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02/09/2026 à 08:45</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UNXC  (score 75/100)</w:t>
      </w:r>
    </w:p>
    <w:p>
      <w:pPr>
        <w:spacing w:before="20" w:after="20"/>
        <w:ind w:left="360" w:right="360"/>
        <w:shd w:val="clear" w:color="auto" w:fill="EBF5FB"/>
      </w:pPr>
      <w:r>
        <w:rPr>
          <w:b/>
          <w:sz w:val="19"/>
        </w:rPr>
        <w:t xml:space="preserve">Secteur surperformant :  </w:t>
      </w:r>
      <w:r>
        <w:rPr>
          <w:color w:val="008000"/>
          <w:sz w:val="19"/>
        </w:rPr>
        <w:t>SERVICES PUBLICS  (+83.5%)</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10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537.25 points </w:t>
      </w:r>
      <w:r>
        <w:rPr>
          <w:color w:val="008000"/>
        </w:rPr>
        <w:t>(+1.19%)</w:t>
      </w:r>
      <w:r>
        <w:t xml:space="preserve"> sur la séance. </w:t>
      </w:r>
      <w:r>
        <w:t>La capitalisation globale du marché atteint 2 071,712 milliards FCFA.</w:t>
      </w:r>
    </w:p>
    <w:p/>
    <w:p>
      <w:pPr>
        <w:pStyle w:val="Heading3"/>
      </w:pPr>
      <w:r>
        <w:t>📊 Évolution de l'indice BRVM Composite (100 derniers jours)</w:t>
      </w:r>
    </w:p>
    <w:p>
      <w:r>
        <w:rPr>
          <w:b/>
        </w:rPr>
        <w:t xml:space="preserve">BRVM Composite — </w:t>
      </w:r>
      <w:r>
        <w:t xml:space="preserve">Sur les 100 derniers jours de cotation (2026-04-07 au 2026-09-01), l'indice BRVM Composite a évolué de </w:t>
      </w:r>
      <w:r>
        <w:rPr>
          <w:b/>
          <w:color w:val="008000"/>
        </w:rPr>
        <w:t>+31.25%</w:t>
      </w:r>
      <w:r>
        <w:t>, passant de 409.33 pts à 537.25 pts. Le plus haut atteint est 537.25 pts et le plus bas 397.33 pts. Sur l'ensemble de la période, la moyenne de l'indice s'établit à 450.14 pts, la médiane à 442.49 pts et le mode à 397.33 pts</w:t>
      </w:r>
      <w:r>
        <w:t xml:space="preserve"> (asymétrie positive — plus de jours sous la moyenne). </w:t>
      </w:r>
      <w:r>
        <w:t xml:space="preserve">L'écart-type de 39.99 pts (CV=8.9%) traduit une modérée dispersion des cotations. Le kurtosis de -0.91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-86.87%</w:t>
      </w:r>
      <w:r>
        <w:t xml:space="preserve"> sur la période, passant de 15 782,167 Mds FCFA à 2 071,712 Mds FCFA. Le pic de capitalisation observé est de 19 886,911 Mds FCFA et le plancher de 2 003,618 Mds FCFA. La moyenne de la capitalisation sur la période s'établit à 15 880,214 Mds FCFA, la médiane à 16 816,942 Mds FCFA et le mode à 2 003,618 Mds FCFA</w:t>
      </w:r>
      <w:r>
        <w:t xml:space="preserve"> (asymétrie négative). </w:t>
      </w:r>
      <w:r>
        <w:t>L'écart-type de 4 287,529 Mds FCFA (CV=27.0%) reflète une forte variabilité de la valorisation du marché. Le kurtosis de 5.93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3845 FCFA | </w:t>
      </w:r>
      <w:r>
        <w:rPr>
          <w:b/>
          <w:color w:val="008000"/>
        </w:rPr>
        <w:t>ACHAT</w:t>
      </w:r>
      <w:r>
        <w:t xml:space="preserve"> | Confiance: Moyen | Risque: Moyen</w:t>
      </w:r>
    </w:p>
    <w:p>
      <w:pPr>
        <w:pStyle w:val="ListNumber"/>
      </w:pPr>
      <w:r>
        <w:rPr>
          <w:b/>
        </w:rPr>
        <w:t>BICB - BIIC BN - Banque internationale pour le commerce du benin</w:t>
      </w:r>
      <w:r>
        <w:t xml:space="preserve"> | Prix: 9350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29900 FCFA | </w:t>
      </w:r>
      <w:r>
        <w:rPr>
          <w:b/>
          <w:color w:val="008000"/>
        </w:rPr>
        <w:t>ACHAT</w:t>
      </w:r>
      <w:r>
        <w:t xml:space="preserve"> | Confiance: Élevée | Risque: Moyen</w:t>
      </w:r>
    </w:p>
    <w:p>
      <w:pPr>
        <w:pStyle w:val="ListNumber"/>
      </w:pPr>
      <w:r>
        <w:rPr>
          <w:b/>
        </w:rPr>
        <w:t>BNBC - BNBC - BERNABE CI</w:t>
      </w:r>
      <w:r>
        <w:t xml:space="preserve"> | Prix: 2400 FCFA | </w:t>
      </w:r>
      <w:r>
        <w:rPr>
          <w:b/>
          <w:color w:val="008000"/>
        </w:rPr>
        <w:t>ACHAT</w:t>
      </w:r>
      <w:r>
        <w:t xml:space="preserve"> | Confiance: Faible | Risque: Moyen</w:t>
      </w:r>
    </w:p>
    <w:p>
      <w:pPr>
        <w:pStyle w:val="ListNumber"/>
      </w:pPr>
      <w:r>
        <w:rPr>
          <w:b/>
        </w:rPr>
        <w:t>BOAB - BANK OF AFRICA BENIN</w:t>
      </w:r>
      <w:r>
        <w:t xml:space="preserve"> | Prix: 10245 FCFA | </w:t>
      </w:r>
      <w:r>
        <w:rPr>
          <w:b/>
          <w:color w:val="008000"/>
        </w:rPr>
        <w:t>ACHAT</w:t>
      </w:r>
      <w:r>
        <w:t xml:space="preserve"> | Confiance: Moyen | Risque: Moyen</w:t>
      </w:r>
    </w:p>
    <w:p>
      <w:pPr>
        <w:pStyle w:val="ListNumber"/>
      </w:pPr>
      <w:r>
        <w:rPr>
          <w:b/>
        </w:rPr>
        <w:t>BOABF - BANK OF AFRICA BURKINA FASO</w:t>
      </w:r>
      <w:r>
        <w:t xml:space="preserve"> | Prix: 9000 FCFA | </w:t>
      </w:r>
      <w:r>
        <w:rPr>
          <w:b/>
          <w:color w:val="008000"/>
        </w:rPr>
        <w:t>ACHAT</w:t>
      </w:r>
      <w:r>
        <w:t xml:space="preserve"> | Confiance: Moyen | Risque: Moyen</w:t>
      </w:r>
    </w:p>
    <w:p>
      <w:pPr>
        <w:pStyle w:val="ListNumber"/>
      </w:pPr>
      <w:r>
        <w:rPr>
          <w:b/>
        </w:rPr>
        <w:t>BOAC - BANK OF AFRICA COTE D'IVOIRE</w:t>
      </w:r>
      <w:r>
        <w:t xml:space="preserve"> | Prix: 12495 FCFA | </w:t>
      </w:r>
      <w:r>
        <w:rPr>
          <w:b/>
          <w:color w:val="008000"/>
        </w:rPr>
        <w:t>ACHAT</w:t>
      </w:r>
      <w:r>
        <w:t xml:space="preserve"> | Confiance: Élevée | Risque: Moyen</w:t>
      </w:r>
    </w:p>
    <w:p>
      <w:pPr>
        <w:pStyle w:val="ListNumber"/>
      </w:pPr>
      <w:r>
        <w:rPr>
          <w:b/>
        </w:rPr>
        <w:t>BOAM - BANK OF AFRICA MALI</w:t>
      </w:r>
      <w:r>
        <w:t xml:space="preserve"> | Prix: 6480 FCFA | </w:t>
      </w:r>
      <w:r>
        <w:rPr>
          <w:b/>
          <w:color w:val="008000"/>
        </w:rPr>
        <w:t>ACHAT</w:t>
      </w:r>
      <w:r>
        <w:t xml:space="preserve"> | Confiance: Élevée | Risque: Faible</w:t>
      </w:r>
    </w:p>
    <w:p>
      <w:pPr>
        <w:pStyle w:val="ListNumber"/>
      </w:pPr>
      <w:r>
        <w:rPr>
          <w:b/>
        </w:rPr>
        <w:t>BOAN - BANK OF AFRICA NIGER</w:t>
      </w:r>
      <w:r>
        <w:t xml:space="preserve"> | Prix: 5455 FCFA | </w:t>
      </w:r>
      <w:r>
        <w:rPr>
          <w:b/>
          <w:color w:val="008000"/>
        </w:rPr>
        <w:t>ACHAT</w:t>
      </w:r>
      <w:r>
        <w:t xml:space="preserve"> | Confiance: Élevée | Risque: Moyen</w:t>
      </w:r>
    </w:p>
    <w:p>
      <w:pPr>
        <w:pStyle w:val="ListNumber"/>
      </w:pPr>
      <w:r>
        <w:rPr>
          <w:b/>
        </w:rPr>
        <w:t>BOAS - BANK OF AFRICA SENEGAL</w:t>
      </w:r>
      <w:r>
        <w:t xml:space="preserve"> | Prix: 8250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83.51%</w:t>
      </w:r>
      <w:r>
        <w:t xml:space="preserve">  |  </w:t>
      </w:r>
      <w:r>
        <w:rPr>
          <w:b/>
        </w:rPr>
        <w:t xml:space="preserve">vs BRVM Composite: </w:t>
      </w:r>
      <w:r>
        <w:rPr>
          <w:b/>
          <w:color w:val="008000"/>
        </w:rPr>
        <w:t>+52.26%  🟢 Surperformance</w:t>
      </w:r>
      <w:r>
        <w:br/>
      </w:r>
      <w:r>
        <w:rPr>
          <w:b/>
        </w:rPr>
        <w:t xml:space="preserve">Sentiment général: </w:t>
      </w:r>
      <w:r>
        <w:t xml:space="preserve">ACHAT  |  </w:t>
      </w:r>
      <w:r>
        <w:rPr>
          <w:b/>
        </w:rPr>
        <w:t xml:space="preserve">Risque moyen: </w:t>
      </w:r>
      <w:r>
        <w:t xml:space="preserve">Moyen  |  </w:t>
      </w:r>
      <w:r>
        <w:rPr>
          <w:b/>
        </w:rPr>
        <w:t xml:space="preserve">Prix moyen: </w:t>
      </w:r>
      <w:r>
        <w:t>9675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43.57%</w:t>
      </w:r>
      <w:r>
        <w:t xml:space="preserve">  |  </w:t>
      </w:r>
      <w:r>
        <w:rPr>
          <w:b/>
        </w:rPr>
        <w:t xml:space="preserve">vs BRVM Composite: </w:t>
      </w:r>
      <w:r>
        <w:rPr>
          <w:b/>
          <w:color w:val="008000"/>
        </w:rPr>
        <w:t>+12.32%  🟢 Surperformance</w:t>
      </w:r>
      <w:r>
        <w:br/>
      </w:r>
      <w:r>
        <w:rPr>
          <w:b/>
        </w:rPr>
        <w:t xml:space="preserve">Sentiment général: </w:t>
      </w:r>
      <w:r>
        <w:t xml:space="preserve">ACHAT  |  </w:t>
      </w:r>
      <w:r>
        <w:rPr>
          <w:b/>
        </w:rPr>
        <w:t xml:space="preserve">Risque moyen: </w:t>
      </w:r>
      <w:r>
        <w:t xml:space="preserve">Moyen  |  </w:t>
      </w:r>
      <w:r>
        <w:rPr>
          <w:b/>
        </w:rPr>
        <w:t xml:space="preserve">Prix moyen: </w:t>
      </w:r>
      <w:r>
        <w:t>13655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36.00%</w:t>
      </w:r>
      <w:r>
        <w:t xml:space="preserve">  |  </w:t>
      </w:r>
      <w:r>
        <w:rPr>
          <w:b/>
        </w:rPr>
        <w:t xml:space="preserve">vs BRVM Composite: </w:t>
      </w:r>
      <w:r>
        <w:rPr>
          <w:b/>
          <w:color w:val="008000"/>
        </w:rPr>
        <w:t>+4.75%  🟢 Surperformance</w:t>
      </w:r>
      <w:r>
        <w:br/>
      </w:r>
      <w:r>
        <w:rPr>
          <w:b/>
        </w:rPr>
        <w:t xml:space="preserve">Sentiment général: </w:t>
      </w:r>
      <w:r>
        <w:t xml:space="preserve">ACHAT  |  </w:t>
      </w:r>
      <w:r>
        <w:rPr>
          <w:b/>
        </w:rPr>
        <w:t xml:space="preserve">Risque moyen: </w:t>
      </w:r>
      <w:r>
        <w:t xml:space="preserve">Moyen  |  </w:t>
      </w:r>
      <w:r>
        <w:rPr>
          <w:b/>
        </w:rPr>
        <w:t xml:space="preserve">Prix moyen: </w:t>
      </w:r>
      <w:r>
        <w:t>18933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28.42%</w:t>
      </w:r>
      <w:r>
        <w:t xml:space="preserve">  |  </w:t>
      </w:r>
      <w:r>
        <w:rPr>
          <w:b/>
        </w:rPr>
        <w:t xml:space="preserve">vs BRVM Composite: </w:t>
      </w:r>
      <w:r>
        <w:rPr>
          <w:b/>
          <w:color w:val="C00000"/>
        </w:rPr>
        <w:t>-2.83%  🔴 Sous-performance</w:t>
      </w:r>
      <w:r>
        <w:br/>
      </w:r>
      <w:r>
        <w:rPr>
          <w:b/>
        </w:rPr>
        <w:t xml:space="preserve">Sentiment général: </w:t>
      </w:r>
      <w:r>
        <w:t xml:space="preserve">ACHAT  |  </w:t>
      </w:r>
      <w:r>
        <w:rPr>
          <w:b/>
        </w:rPr>
        <w:t xml:space="preserve">Risque moyen: </w:t>
      </w:r>
      <w:r>
        <w:t xml:space="preserve">Moyen  |  </w:t>
      </w:r>
      <w:r>
        <w:rPr>
          <w:b/>
        </w:rPr>
        <w:t xml:space="preserve">Prix moyen: </w:t>
      </w:r>
      <w:r>
        <w:t>3124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24.66%</w:t>
      </w:r>
      <w:r>
        <w:t xml:space="preserve">  |  </w:t>
      </w:r>
      <w:r>
        <w:rPr>
          <w:b/>
        </w:rPr>
        <w:t xml:space="preserve">vs BRVM Composite: </w:t>
      </w:r>
      <w:r>
        <w:rPr>
          <w:b/>
          <w:color w:val="C00000"/>
        </w:rPr>
        <w:t>-6.59%  🔴 Sous-performance</w:t>
      </w:r>
      <w:r>
        <w:br/>
      </w:r>
      <w:r>
        <w:rPr>
          <w:b/>
        </w:rPr>
        <w:t xml:space="preserve">Sentiment général: </w:t>
      </w:r>
      <w:r>
        <w:t xml:space="preserve">ACHAT  |  </w:t>
      </w:r>
      <w:r>
        <w:rPr>
          <w:b/>
        </w:rPr>
        <w:t xml:space="preserve">Risque moyen: </w:t>
      </w:r>
      <w:r>
        <w:t xml:space="preserve">Moyen  |  </w:t>
      </w:r>
      <w:r>
        <w:rPr>
          <w:b/>
        </w:rPr>
        <w:t xml:space="preserve">Prix moyen: </w:t>
      </w:r>
      <w:r>
        <w:t>6734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23.60%</w:t>
      </w:r>
      <w:r>
        <w:t xml:space="preserve">  |  </w:t>
      </w:r>
      <w:r>
        <w:rPr>
          <w:b/>
        </w:rPr>
        <w:t xml:space="preserve">vs BRVM Composite: </w:t>
      </w:r>
      <w:r>
        <w:rPr>
          <w:b/>
          <w:color w:val="C00000"/>
        </w:rPr>
        <w:t>-7.66%  🔴 Sous-performance</w:t>
      </w:r>
      <w:r>
        <w:br/>
      </w:r>
      <w:r>
        <w:rPr>
          <w:b/>
        </w:rPr>
        <w:t xml:space="preserve">Sentiment général: </w:t>
      </w:r>
      <w:r>
        <w:t xml:space="preserve">ACHAT  |  </w:t>
      </w:r>
      <w:r>
        <w:rPr>
          <w:b/>
        </w:rPr>
        <w:t xml:space="preserve">Risque moyen: </w:t>
      </w:r>
      <w:r>
        <w:t xml:space="preserve">Moyen  |  </w:t>
      </w:r>
      <w:r>
        <w:rPr>
          <w:b/>
        </w:rPr>
        <w:t xml:space="preserve">Prix moyen: </w:t>
      </w:r>
      <w:r>
        <w:t>20467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C00000"/>
        </w:rPr>
        <w:t>-5.31%</w:t>
      </w:r>
      <w:r>
        <w:t xml:space="preserve">  |  </w:t>
      </w:r>
      <w:r>
        <w:rPr>
          <w:b/>
        </w:rPr>
        <w:t xml:space="preserve">vs BRVM Composite: </w:t>
      </w:r>
      <w:r>
        <w:rPr>
          <w:b/>
          <w:color w:val="C00000"/>
        </w:rPr>
        <w:t>-36.56%  🔴 Sous-performance</w:t>
      </w:r>
      <w:r>
        <w:br/>
      </w:r>
      <w:r>
        <w:rPr>
          <w:b/>
        </w:rPr>
        <w:t xml:space="preserve">Sentiment général: </w:t>
      </w:r>
      <w:r>
        <w:t xml:space="preserve">ACHAT  |  </w:t>
      </w:r>
      <w:r>
        <w:rPr>
          <w:b/>
        </w:rPr>
        <w:t xml:space="preserve">Risque moyen: </w:t>
      </w:r>
      <w:r>
        <w:t xml:space="preserve">Moyen  |  </w:t>
      </w:r>
      <w:r>
        <w:rPr>
          <w:b/>
        </w:rPr>
        <w:t xml:space="preserve">Prix moyen: </w:t>
      </w:r>
      <w:r>
        <w:t>2549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BOAC, BOAM, BOAN, BOAS, CABC, CFAC, CIEC, FTSC, NTLC, SDSC, SEMC, SHEC, SICC, SMBC, TTLC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BOAB, BOABF, CBIBF, NEIC, NSBC, ONTBF, ORAC, PALC, PRSC, SAFC, SCRC, SDCC, SGBC, SIBC, SIVC, SNTS, SPHC, TTLS, UNLC,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ECOC, ETIT, LNBB, ORGT, SLBC, SOGC, STAC, STBC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1494333</w:t>
            </w:r>
          </w:p>
        </w:tc>
        <w:tc>
          <w:tcPr>
            <w:tcW w:type="dxa" w:w="1728"/>
          </w:tcPr>
          <w:p>
            <w:r>
              <w:t>98578925 FCFA</w:t>
            </w:r>
          </w:p>
        </w:tc>
        <w:tc>
          <w:tcPr>
            <w:tcW w:type="dxa" w:w="1728"/>
          </w:tcPr>
          <w:p>
            <w:r>
              <w:t>100.00%</w:t>
            </w:r>
          </w:p>
        </w:tc>
        <w:tc>
          <w:tcPr>
            <w:tcW w:type="dxa" w:w="1728"/>
          </w:tcPr>
          <w:p>
            <w:r>
              <w:t>ACHAT</w:t>
            </w:r>
          </w:p>
        </w:tc>
      </w:tr>
      <w:tr>
        <w:tc>
          <w:tcPr>
            <w:tcW w:type="dxa" w:w="1728"/>
          </w:tcPr>
          <w:p>
            <w:r>
              <w:t>BICB (BIIC BN - Banque internationale pour le commerce du benin)</w:t>
            </w:r>
          </w:p>
        </w:tc>
        <w:tc>
          <w:tcPr>
            <w:tcW w:type="dxa" w:w="1728"/>
          </w:tcPr>
          <w:p>
            <w:r>
              <w:t>20592</w:t>
            </w:r>
          </w:p>
        </w:tc>
        <w:tc>
          <w:tcPr>
            <w:tcW w:type="dxa" w:w="1728"/>
          </w:tcPr>
          <w:p>
            <w:r>
              <w:t>167938189 FCFA</w:t>
            </w:r>
          </w:p>
        </w:tc>
        <w:tc>
          <w:tcPr>
            <w:tcW w:type="dxa" w:w="1728"/>
          </w:tcPr>
          <w:p>
            <w:r>
              <w:t>82.97%</w:t>
            </w:r>
          </w:p>
        </w:tc>
        <w:tc>
          <w:tcPr>
            <w:tcW w:type="dxa" w:w="1728"/>
          </w:tcPr>
          <w:p>
            <w:r>
              <w:t>ACHAT</w:t>
            </w:r>
          </w:p>
        </w:tc>
      </w:tr>
      <w:tr>
        <w:tc>
          <w:tcPr>
            <w:tcW w:type="dxa" w:w="1728"/>
          </w:tcPr>
          <w:p>
            <w:r>
              <w:t>SDSC (SDSC - AFRICA GLOBAL LOGISTICS CI)</w:t>
            </w:r>
          </w:p>
        </w:tc>
        <w:tc>
          <w:tcPr>
            <w:tcW w:type="dxa" w:w="1728"/>
          </w:tcPr>
          <w:p>
            <w:r>
              <w:t>17994</w:t>
            </w:r>
          </w:p>
        </w:tc>
        <w:tc>
          <w:tcPr>
            <w:tcW w:type="dxa" w:w="1728"/>
          </w:tcPr>
          <w:p>
            <w:r>
              <w:t>46302908 FCFA</w:t>
            </w:r>
          </w:p>
        </w:tc>
        <w:tc>
          <w:tcPr>
            <w:tcW w:type="dxa" w:w="1728"/>
          </w:tcPr>
          <w:p>
            <w:r>
              <w:t>53.95%</w:t>
            </w:r>
          </w:p>
        </w:tc>
        <w:tc>
          <w:tcPr>
            <w:tcW w:type="dxa" w:w="1728"/>
          </w:tcPr>
          <w:p>
            <w:r>
              <w:t>ACHAT</w:t>
            </w:r>
          </w:p>
        </w:tc>
      </w:tr>
      <w:tr>
        <w:tc>
          <w:tcPr>
            <w:tcW w:type="dxa" w:w="1728"/>
          </w:tcPr>
          <w:p>
            <w:r>
              <w:t>UNXC (UNXC - UNIWAX COTE D'IVOIRE)</w:t>
            </w:r>
          </w:p>
        </w:tc>
        <w:tc>
          <w:tcPr>
            <w:tcW w:type="dxa" w:w="1728"/>
          </w:tcPr>
          <w:p>
            <w:r>
              <w:t>14414</w:t>
            </w:r>
          </w:p>
        </w:tc>
        <w:tc>
          <w:tcPr>
            <w:tcW w:type="dxa" w:w="1728"/>
          </w:tcPr>
          <w:p>
            <w:r>
              <w:t>32365839 FCFA</w:t>
            </w:r>
          </w:p>
        </w:tc>
        <w:tc>
          <w:tcPr>
            <w:tcW w:type="dxa" w:w="1728"/>
          </w:tcPr>
          <w:p>
            <w:r>
              <w:t>23.74%</w:t>
            </w:r>
          </w:p>
        </w:tc>
        <w:tc>
          <w:tcPr>
            <w:tcW w:type="dxa" w:w="1728"/>
          </w:tcPr>
          <w:p>
            <w:r>
              <w:t>ACHAT</w:t>
            </w:r>
          </w:p>
        </w:tc>
      </w:tr>
      <w:tr>
        <w:tc>
          <w:tcPr>
            <w:tcW w:type="dxa" w:w="1728"/>
          </w:tcPr>
          <w:p>
            <w:r>
              <w:t>SNTS (SNTS - SONATEL SN)</w:t>
            </w:r>
          </w:p>
        </w:tc>
        <w:tc>
          <w:tcPr>
            <w:tcW w:type="dxa" w:w="1728"/>
          </w:tcPr>
          <w:p>
            <w:r>
              <w:t>13588</w:t>
            </w:r>
          </w:p>
        </w:tc>
        <w:tc>
          <w:tcPr>
            <w:tcW w:type="dxa" w:w="1728"/>
          </w:tcPr>
          <w:p>
            <w:r>
              <w:t>446073180 FCFA</w:t>
            </w:r>
          </w:p>
        </w:tc>
        <w:tc>
          <w:tcPr>
            <w:tcW w:type="dxa" w:w="1728"/>
          </w:tcPr>
          <w:p>
            <w:r>
              <w:t>27.59%</w:t>
            </w:r>
          </w:p>
        </w:tc>
        <w:tc>
          <w:tcPr>
            <w:tcW w:type="dxa" w:w="1728"/>
          </w:tcPr>
          <w:p>
            <w:r>
              <w:t>ACHAT</w:t>
            </w:r>
          </w:p>
        </w:tc>
      </w:tr>
      <w:tr>
        <w:tc>
          <w:tcPr>
            <w:tcW w:type="dxa" w:w="1728"/>
          </w:tcPr>
          <w:p>
            <w:r>
              <w:t>BOAS (BANK OF AFRICA SENEGAL)</w:t>
            </w:r>
          </w:p>
        </w:tc>
        <w:tc>
          <w:tcPr>
            <w:tcW w:type="dxa" w:w="1728"/>
          </w:tcPr>
          <w:p>
            <w:r>
              <w:t>13273</w:t>
            </w:r>
          </w:p>
        </w:tc>
        <w:tc>
          <w:tcPr>
            <w:tcW w:type="dxa" w:w="1728"/>
          </w:tcPr>
          <w:p>
            <w:r>
              <w:t>105134189 FCFA</w:t>
            </w:r>
          </w:p>
        </w:tc>
        <w:tc>
          <w:tcPr>
            <w:tcW w:type="dxa" w:w="1728"/>
          </w:tcPr>
          <w:p>
            <w:r>
              <w:t>21.32%</w:t>
            </w:r>
          </w:p>
        </w:tc>
        <w:tc>
          <w:tcPr>
            <w:tcW w:type="dxa" w:w="1728"/>
          </w:tcPr>
          <w:p>
            <w:r>
              <w:t>ACHAT</w:t>
            </w:r>
          </w:p>
        </w:tc>
      </w:tr>
      <w:tr>
        <w:tc>
          <w:tcPr>
            <w:tcW w:type="dxa" w:w="1728"/>
          </w:tcPr>
          <w:p>
            <w:r>
              <w:t>SIBC (SIBC - SOCIETE IVOIRIENNE DE BANQUE)</w:t>
            </w:r>
          </w:p>
        </w:tc>
        <w:tc>
          <w:tcPr>
            <w:tcW w:type="dxa" w:w="1728"/>
          </w:tcPr>
          <w:p>
            <w:r>
              <w:t>12252</w:t>
            </w:r>
          </w:p>
        </w:tc>
        <w:tc>
          <w:tcPr>
            <w:tcW w:type="dxa" w:w="1728"/>
          </w:tcPr>
          <w:p>
            <w:r>
              <w:t>112132529 FCFA</w:t>
            </w:r>
          </w:p>
        </w:tc>
        <w:tc>
          <w:tcPr>
            <w:tcW w:type="dxa" w:w="1728"/>
          </w:tcPr>
          <w:p>
            <w:r>
              <w:t>31.52%</w:t>
            </w:r>
          </w:p>
        </w:tc>
        <w:tc>
          <w:tcPr>
            <w:tcW w:type="dxa" w:w="1728"/>
          </w:tcPr>
          <w:p>
            <w:r>
              <w:t>ACHAT</w:t>
            </w:r>
          </w:p>
        </w:tc>
      </w:tr>
      <w:tr>
        <w:tc>
          <w:tcPr>
            <w:tcW w:type="dxa" w:w="1728"/>
          </w:tcPr>
          <w:p>
            <w:r>
              <w:t>SOGC (SOGC - Société des caoutchoucs de Grand-Béréby)</w:t>
            </w:r>
          </w:p>
        </w:tc>
        <w:tc>
          <w:tcPr>
            <w:tcW w:type="dxa" w:w="1728"/>
          </w:tcPr>
          <w:p>
            <w:r>
              <w:t>10476</w:t>
            </w:r>
          </w:p>
        </w:tc>
        <w:tc>
          <w:tcPr>
            <w:tcW w:type="dxa" w:w="1728"/>
          </w:tcPr>
          <w:p>
            <w:r>
              <w:t>78539022 FCFA</w:t>
            </w:r>
          </w:p>
        </w:tc>
        <w:tc>
          <w:tcPr>
            <w:tcW w:type="dxa" w:w="1728"/>
          </w:tcPr>
          <w:p>
            <w:r>
              <w:t>6.41%</w:t>
            </w:r>
          </w:p>
        </w:tc>
        <w:tc>
          <w:tcPr>
            <w:tcW w:type="dxa" w:w="1728"/>
          </w:tcPr>
          <w:p>
            <w:r>
              <w:t>ACHAT</w:t>
            </w:r>
          </w:p>
        </w:tc>
      </w:tr>
      <w:tr>
        <w:tc>
          <w:tcPr>
            <w:tcW w:type="dxa" w:w="1728"/>
          </w:tcPr>
          <w:p>
            <w:r>
              <w:t>BOABF (BANK OF AFRICA BURKINA FASO)</w:t>
            </w:r>
          </w:p>
        </w:tc>
        <w:tc>
          <w:tcPr>
            <w:tcW w:type="dxa" w:w="1728"/>
          </w:tcPr>
          <w:p>
            <w:r>
              <w:t>10470</w:t>
            </w:r>
          </w:p>
        </w:tc>
        <w:tc>
          <w:tcPr>
            <w:tcW w:type="dxa" w:w="1728"/>
          </w:tcPr>
          <w:p>
            <w:r>
              <w:t>83255080 FCFA</w:t>
            </w:r>
          </w:p>
        </w:tc>
        <w:tc>
          <w:tcPr>
            <w:tcW w:type="dxa" w:w="1728"/>
          </w:tcPr>
          <w:p>
            <w:r>
              <w:t>59.29%</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CFAC (CFAC - CFAO MOTORS CI)</w:t>
            </w:r>
          </w:p>
        </w:tc>
        <w:tc>
          <w:tcPr>
            <w:tcW w:type="dxa" w:w="1728"/>
          </w:tcPr>
          <w:p>
            <w:r>
              <w:t>3590</w:t>
            </w:r>
          </w:p>
        </w:tc>
        <w:tc>
          <w:tcPr>
            <w:tcW w:type="dxa" w:w="1728"/>
          </w:tcPr>
          <w:p>
            <w:r>
              <w:t>6069821 FCFA</w:t>
            </w:r>
          </w:p>
        </w:tc>
        <w:tc>
          <w:tcPr>
            <w:tcW w:type="dxa" w:w="1728"/>
          </w:tcPr>
          <w:p>
            <w:r>
              <w:t>2.75%</w:t>
            </w:r>
          </w:p>
        </w:tc>
        <w:tc>
          <w:tcPr>
            <w:tcW w:type="dxa" w:w="1728"/>
          </w:tcPr>
          <w:p>
            <w:r>
              <w:t>ACHAT</w:t>
            </w:r>
          </w:p>
        </w:tc>
      </w:tr>
      <w:tr>
        <w:tc>
          <w:tcPr>
            <w:tcW w:type="dxa" w:w="1728"/>
          </w:tcPr>
          <w:p>
            <w:r>
              <w:t>BNBC (BNBC - BERNABE CI)</w:t>
            </w:r>
          </w:p>
        </w:tc>
        <w:tc>
          <w:tcPr>
            <w:tcW w:type="dxa" w:w="1728"/>
          </w:tcPr>
          <w:p>
            <w:r>
              <w:t>3466</w:t>
            </w:r>
          </w:p>
        </w:tc>
        <w:tc>
          <w:tcPr>
            <w:tcW w:type="dxa" w:w="1728"/>
          </w:tcPr>
          <w:p>
            <w:r>
              <w:t>7206298 FCFA</w:t>
            </w:r>
          </w:p>
        </w:tc>
        <w:tc>
          <w:tcPr>
            <w:tcW w:type="dxa" w:w="1728"/>
          </w:tcPr>
          <w:p>
            <w:r>
              <w:t>50.47%</w:t>
            </w:r>
          </w:p>
        </w:tc>
        <w:tc>
          <w:tcPr>
            <w:tcW w:type="dxa" w:w="1728"/>
          </w:tcPr>
          <w:p>
            <w:r>
              <w:t>ACHAT</w:t>
            </w:r>
          </w:p>
        </w:tc>
      </w:tr>
      <w:tr>
        <w:tc>
          <w:tcPr>
            <w:tcW w:type="dxa" w:w="1728"/>
          </w:tcPr>
          <w:p>
            <w:r>
              <w:t>SIVC (SIVC - ERIUM CI (Ex AIR LIQUIDECI))</w:t>
            </w:r>
          </w:p>
        </w:tc>
        <w:tc>
          <w:tcPr>
            <w:tcW w:type="dxa" w:w="1728"/>
          </w:tcPr>
          <w:p>
            <w:r>
              <w:t>3415</w:t>
            </w:r>
          </w:p>
        </w:tc>
        <w:tc>
          <w:tcPr>
            <w:tcW w:type="dxa" w:w="1728"/>
          </w:tcPr>
          <w:p>
            <w:r>
              <w:t>7851910 FCFA</w:t>
            </w:r>
          </w:p>
        </w:tc>
        <w:tc>
          <w:tcPr>
            <w:tcW w:type="dxa" w:w="1728"/>
          </w:tcPr>
          <w:p>
            <w:r>
              <w:t>-18.74%</w:t>
            </w:r>
          </w:p>
        </w:tc>
        <w:tc>
          <w:tcPr>
            <w:tcW w:type="dxa" w:w="1728"/>
          </w:tcPr>
          <w:p>
            <w:r>
              <w:t>ACHAT</w:t>
            </w:r>
          </w:p>
        </w:tc>
      </w:tr>
      <w:tr>
        <w:tc>
          <w:tcPr>
            <w:tcW w:type="dxa" w:w="1728"/>
          </w:tcPr>
          <w:p>
            <w:r>
              <w:t>ABJC (ABJC - SERVAIR ABIDJAN CI)</w:t>
            </w:r>
          </w:p>
        </w:tc>
        <w:tc>
          <w:tcPr>
            <w:tcW w:type="dxa" w:w="1728"/>
          </w:tcPr>
          <w:p>
            <w:r>
              <w:t>3044</w:t>
            </w:r>
          </w:p>
        </w:tc>
        <w:tc>
          <w:tcPr>
            <w:tcW w:type="dxa" w:w="1728"/>
          </w:tcPr>
          <w:p>
            <w:r>
              <w:t>10201306 FCFA</w:t>
            </w:r>
          </w:p>
        </w:tc>
        <w:tc>
          <w:tcPr>
            <w:tcW w:type="dxa" w:w="1728"/>
          </w:tcPr>
          <w:p>
            <w:r>
              <w:t>12.43%</w:t>
            </w:r>
          </w:p>
        </w:tc>
        <w:tc>
          <w:tcPr>
            <w:tcW w:type="dxa" w:w="1728"/>
          </w:tcPr>
          <w:p>
            <w:r>
              <w:t>ACHAT</w:t>
            </w:r>
          </w:p>
        </w:tc>
      </w:tr>
      <w:tr>
        <w:tc>
          <w:tcPr>
            <w:tcW w:type="dxa" w:w="1728"/>
          </w:tcPr>
          <w:p>
            <w:r>
              <w:t>NSBC (NSBC - NSIA BANQUE COTE D'IVOIRE)</w:t>
            </w:r>
          </w:p>
        </w:tc>
        <w:tc>
          <w:tcPr>
            <w:tcW w:type="dxa" w:w="1728"/>
          </w:tcPr>
          <w:p>
            <w:r>
              <w:t>2814</w:t>
            </w:r>
          </w:p>
        </w:tc>
        <w:tc>
          <w:tcPr>
            <w:tcW w:type="dxa" w:w="1728"/>
          </w:tcPr>
          <w:p>
            <w:r>
              <w:t>64969290 FCFA</w:t>
            </w:r>
          </w:p>
        </w:tc>
        <w:tc>
          <w:tcPr>
            <w:tcW w:type="dxa" w:w="1728"/>
          </w:tcPr>
          <w:p>
            <w:r>
              <w:t>60.90%</w:t>
            </w:r>
          </w:p>
        </w:tc>
        <w:tc>
          <w:tcPr>
            <w:tcW w:type="dxa" w:w="1728"/>
          </w:tcPr>
          <w:p>
            <w:r>
              <w:t>ACHAT</w:t>
            </w:r>
          </w:p>
        </w:tc>
      </w:tr>
      <w:tr>
        <w:tc>
          <w:tcPr>
            <w:tcW w:type="dxa" w:w="1728"/>
          </w:tcPr>
          <w:p>
            <w:r>
              <w:t>ORAC (ORAC - ORANGE COTE D'IVOIRE)</w:t>
            </w:r>
          </w:p>
        </w:tc>
        <w:tc>
          <w:tcPr>
            <w:tcW w:type="dxa" w:w="1728"/>
          </w:tcPr>
          <w:p>
            <w:r>
              <w:t>2592</w:t>
            </w:r>
          </w:p>
        </w:tc>
        <w:tc>
          <w:tcPr>
            <w:tcW w:type="dxa" w:w="1728"/>
          </w:tcPr>
          <w:p>
            <w:r>
              <w:t>51115387 FCFA</w:t>
            </w:r>
          </w:p>
        </w:tc>
        <w:tc>
          <w:tcPr>
            <w:tcW w:type="dxa" w:w="1728"/>
          </w:tcPr>
          <w:p>
            <w:r>
              <w:t>41.45%</w:t>
            </w:r>
          </w:p>
        </w:tc>
        <w:tc>
          <w:tcPr>
            <w:tcW w:type="dxa" w:w="1728"/>
          </w:tcPr>
          <w:p>
            <w:r>
              <w:t>ACHAT</w:t>
            </w:r>
          </w:p>
        </w:tc>
      </w:tr>
      <w:tr>
        <w:tc>
          <w:tcPr>
            <w:tcW w:type="dxa" w:w="1728"/>
          </w:tcPr>
          <w:p>
            <w:r>
              <w:t>CABC (CABC - SICABLE COTE D'IVOIRE)</w:t>
            </w:r>
          </w:p>
        </w:tc>
        <w:tc>
          <w:tcPr>
            <w:tcW w:type="dxa" w:w="1728"/>
          </w:tcPr>
          <w:p>
            <w:r>
              <w:t>2562</w:t>
            </w:r>
          </w:p>
        </w:tc>
        <w:tc>
          <w:tcPr>
            <w:tcW w:type="dxa" w:w="1728"/>
          </w:tcPr>
          <w:p>
            <w:r>
              <w:t>9034863 FCFA</w:t>
            </w:r>
          </w:p>
        </w:tc>
        <w:tc>
          <w:tcPr>
            <w:tcW w:type="dxa" w:w="1728"/>
          </w:tcPr>
          <w:p>
            <w:r>
              <w:t>-17.57%</w:t>
            </w:r>
          </w:p>
        </w:tc>
        <w:tc>
          <w:tcPr>
            <w:tcW w:type="dxa" w:w="1728"/>
          </w:tcPr>
          <w:p>
            <w:r>
              <w:t>ACHAT</w:t>
            </w:r>
          </w:p>
        </w:tc>
      </w:tr>
      <w:tr>
        <w:tc>
          <w:tcPr>
            <w:tcW w:type="dxa" w:w="1728"/>
          </w:tcPr>
          <w:p>
            <w:r>
              <w:t>TTLS (TTLS - TOTAL ENERGIES MARKETING SENEGAL)</w:t>
            </w:r>
          </w:p>
        </w:tc>
        <w:tc>
          <w:tcPr>
            <w:tcW w:type="dxa" w:w="1728"/>
          </w:tcPr>
          <w:p>
            <w:r>
              <w:t>2467</w:t>
            </w:r>
          </w:p>
        </w:tc>
        <w:tc>
          <w:tcPr>
            <w:tcW w:type="dxa" w:w="1728"/>
          </w:tcPr>
          <w:p>
            <w:r>
              <w:t>9186302 FCFA</w:t>
            </w:r>
          </w:p>
        </w:tc>
        <w:tc>
          <w:tcPr>
            <w:tcW w:type="dxa" w:w="1728"/>
          </w:tcPr>
          <w:p>
            <w:r>
              <w:t>14.39%</w:t>
            </w:r>
          </w:p>
        </w:tc>
        <w:tc>
          <w:tcPr>
            <w:tcW w:type="dxa" w:w="1728"/>
          </w:tcPr>
          <w:p>
            <w:r>
              <w:t>ACHAT</w:t>
            </w:r>
          </w:p>
        </w:tc>
      </w:tr>
      <w:tr>
        <w:tc>
          <w:tcPr>
            <w:tcW w:type="dxa" w:w="1728"/>
          </w:tcPr>
          <w:p>
            <w:r>
              <w:t>PALC (PALC - PALM COTE D'IVOIRE)</w:t>
            </w:r>
          </w:p>
        </w:tc>
        <w:tc>
          <w:tcPr>
            <w:tcW w:type="dxa" w:w="1728"/>
          </w:tcPr>
          <w:p>
            <w:r>
              <w:t>2290</w:t>
            </w:r>
          </w:p>
        </w:tc>
        <w:tc>
          <w:tcPr>
            <w:tcW w:type="dxa" w:w="1728"/>
          </w:tcPr>
          <w:p>
            <w:r>
              <w:t>21069056 FCFA</w:t>
            </w:r>
          </w:p>
        </w:tc>
        <w:tc>
          <w:tcPr>
            <w:tcW w:type="dxa" w:w="1728"/>
          </w:tcPr>
          <w:p>
            <w:r>
              <w:t>12.93%</w:t>
            </w:r>
          </w:p>
        </w:tc>
        <w:tc>
          <w:tcPr>
            <w:tcW w:type="dxa" w:w="1728"/>
          </w:tcPr>
          <w:p>
            <w:r>
              <w:t>ACHAT</w:t>
            </w:r>
          </w:p>
        </w:tc>
      </w:tr>
      <w:tr>
        <w:tc>
          <w:tcPr>
            <w:tcW w:type="dxa" w:w="1728"/>
          </w:tcPr>
          <w:p>
            <w:r>
              <w:t>SMBC (SMBC - Société Multinationale de Bitumes COTE D'IVOIRE)</w:t>
            </w:r>
          </w:p>
        </w:tc>
        <w:tc>
          <w:tcPr>
            <w:tcW w:type="dxa" w:w="1728"/>
          </w:tcPr>
          <w:p>
            <w:r>
              <w:t>2177</w:t>
            </w:r>
          </w:p>
        </w:tc>
        <w:tc>
          <w:tcPr>
            <w:tcW w:type="dxa" w:w="1728"/>
          </w:tcPr>
          <w:p>
            <w:r>
              <w:t>35874708 FCFA</w:t>
            </w:r>
          </w:p>
        </w:tc>
        <w:tc>
          <w:tcPr>
            <w:tcW w:type="dxa" w:w="1728"/>
          </w:tcPr>
          <w:p>
            <w:r>
              <w:t>44.96%</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STAC - STAC - SETAO COTE D'IVOIRE</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2.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3. BICB - BIIC BN - Banque internationale pour le commerce du benin</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4. BNBC - BNBC - BERNABE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5.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6. ETIT - ETIT - Ecobank Transnational Incorporated Togo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7. LNBB - LNBB - LOTERIE NATIONALE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ORGT - ORGT - ORAGROUP TOGO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SOGC - SOGC - Société des caoutchoucs de Grand-Béréby</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18</w:t>
            </w:r>
          </w:p>
        </w:tc>
        <w:tc>
          <w:tcPr>
            <w:tcW w:type="dxa" w:w="2160"/>
          </w:tcPr>
          <w:p>
            <w:r>
              <w:t>0</w:t>
            </w:r>
          </w:p>
        </w:tc>
      </w:tr>
      <w:tr>
        <w:tc>
          <w:tcPr>
            <w:tcW w:type="dxa" w:w="2160"/>
          </w:tcPr>
          <w:p>
            <w:r>
              <w:t>Risque Moyen</w:t>
            </w:r>
          </w:p>
        </w:tc>
        <w:tc>
          <w:tcPr>
            <w:tcW w:type="dxa" w:w="2160"/>
          </w:tcPr>
          <w:p>
            <w:r>
              <w:t>0</w:t>
            </w:r>
          </w:p>
        </w:tc>
        <w:tc>
          <w:tcPr>
            <w:tcW w:type="dxa" w:w="2160"/>
          </w:tcPr>
          <w:p>
            <w:r>
              <w:t>29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**Hausse des prix du pétrole** sur les marchés internationaux, l'indice MXV approchant les 3 000 points, ce qui pourrait soutenir les économies exportatrices de la zone BRVM.</w:t>
      </w:r>
    </w:p>
    <w:p>
      <w:pPr>
        <w:pStyle w:val="ListBullet"/>
        <w:spacing w:before="20" w:after="20"/>
        <w:ind w:left="360"/>
      </w:pPr>
      <w:r>
        <w:rPr>
          <w:color w:val="008000"/>
          <w:sz w:val="18"/>
        </w:rPr>
        <w:t>**La BCE envisage une nouvelle hausse de ses taux directeurs** pour freiner l'inflation persistante dans la zone euro, ce qui pourrait renforcer l'euro et impacter le taux de change du FCFA.</w:t>
      </w:r>
    </w:p>
    <w:p>
      <w:pPr>
        <w:pStyle w:val="ListBullet"/>
        <w:spacing w:before="20" w:after="20"/>
        <w:ind w:left="360"/>
      </w:pPr>
      <w:r>
        <w:rPr>
          <w:sz w:val="18"/>
        </w:rPr>
        <w:t>**Septembre, historiquement le pire mois boursier de l'année**, avec des performances souvent négatives, ce qui pourrait peser sur le sentiment des investisseurs mondiaux.</w:t>
      </w:r>
    </w:p>
    <w:p>
      <w:pPr>
        <w:pStyle w:val="Heading3"/>
      </w:pPr>
      <w:r>
        <w:rPr>
          <w:color w:val="500050"/>
        </w:rPr>
        <w:t>⚡ Impact estimé sur la BRVM</w:t>
      </w:r>
    </w:p>
    <w:p>
      <w:pPr>
        <w:spacing w:before="20" w:after="40"/>
        <w:ind w:left="280"/>
      </w:pPr>
      <w:r>
        <w:rPr>
          <w:i/>
          <w:sz w:val="18"/>
        </w:rPr>
        <w:t>La hausse des prix du pétrole pourrait bénéficier indirectement aux économies de la zone (notamment la Côte d'Ivoire, exportatrice de produits agricoles) en soutenant la demande globale. Une hausse des taux BCE renforcerait l'euro, donc le FCFA, ce qui pourrait rendre les exportations de la zone moins compétitives. Le pessimisme saisonnier de septembre pourrait inciter les investisseurs internationaux à la prudence vis-à-vis des marchés émergents, y compris la BRVM.</w:t>
      </w:r>
    </w:p>
    <w:p>
      <w:pPr>
        <w:pStyle w:val="Heading2"/>
      </w:pPr>
      <w:r>
        <w:rPr>
          <w:color w:val="006E32"/>
        </w:rPr>
        <w:t>🌍 Plan Africain</w:t>
      </w:r>
    </w:p>
    <w:p>
      <w:pPr>
        <w:pStyle w:val="ListBullet"/>
        <w:spacing w:before="20" w:after="20"/>
        <w:ind w:left="360"/>
      </w:pPr>
      <w:r>
        <w:rPr>
          <w:sz w:val="18"/>
        </w:rPr>
        <w:t>**La Tanzanie ouvre son marché des obligations d'État à tous les investisseurs étrangers**, une mesure visant à attirer davantage de capitaux.</w:t>
      </w:r>
    </w:p>
    <w:p>
      <w:pPr>
        <w:pStyle w:val="ListBullet"/>
        <w:spacing w:before="20" w:after="20"/>
        <w:ind w:left="360"/>
      </w:pPr>
      <w:r>
        <w:rPr>
          <w:sz w:val="18"/>
        </w:rPr>
        <w:t>**L'Afrique du Sud prévoit un investissement public massif de 56 milliards de dollars**, mais confronté à une croissance économique atone.</w:t>
      </w:r>
    </w:p>
    <w:p>
      <w:pPr>
        <w:pStyle w:val="ListBullet"/>
        <w:spacing w:before="20" w:after="20"/>
        <w:ind w:left="360"/>
      </w:pPr>
      <w:r>
        <w:rPr>
          <w:sz w:val="18"/>
        </w:rPr>
        <w:t>**Les secteurs porteurs en Afrique** identifiés par Bpifrance : infrastructures, agro-industrie, énergies renouvelables.</w:t>
      </w:r>
    </w:p>
    <w:p>
      <w:pPr>
        <w:pStyle w:val="Heading3"/>
      </w:pPr>
      <w:r>
        <w:rPr>
          <w:color w:val="500050"/>
        </w:rPr>
        <w:t>⚡ Impact estimé sur la BRVM</w:t>
      </w:r>
    </w:p>
    <w:p>
      <w:pPr>
        <w:spacing w:before="20" w:after="40"/>
        <w:ind w:left="280"/>
      </w:pPr>
      <w:r>
        <w:rPr>
          <w:i/>
          <w:sz w:val="18"/>
        </w:rPr>
        <w:t>L'ouverture du marché tanzanien et l'investissement sud-africain créent une concurrence accrue pour attirer les capitaux étrangers en Afrique. Les secteurs porteurs identifiés (infrastructures, agro-industrie) font écho aux activités de certaines sociétés cotées comme **CABC** (ciments) et **SDSC** (industriels), qui pourraient bénéficier de cet intérêt continental. La BRVM doit rester attractive face à ces nouvelles opportunités.</w:t>
      </w:r>
    </w:p>
    <w:p>
      <w:pPr>
        <w:pStyle w:val="Heading2"/>
      </w:pPr>
      <w:r>
        <w:rPr>
          <w:color w:val="145A28"/>
        </w:rPr>
        <w:t>🌍 Plan Afrique de l'Ouest</w:t>
      </w:r>
    </w:p>
    <w:p>
      <w:pPr>
        <w:pStyle w:val="ListBullet"/>
        <w:spacing w:before="20" w:after="20"/>
        <w:ind w:left="360"/>
      </w:pPr>
      <w:r>
        <w:rPr>
          <w:sz w:val="18"/>
        </w:rPr>
        <w:t>**L'Afrique de l'Ouest veut accélérer la circulation des semences agricoles** pour renforcer la sécurité alimentaire régionale.</w:t>
      </w:r>
    </w:p>
    <w:p>
      <w:pPr>
        <w:pStyle w:val="ListBullet"/>
        <w:spacing w:before="20" w:after="20"/>
        <w:ind w:left="360"/>
      </w:pPr>
      <w:r>
        <w:rPr>
          <w:color w:val="008000"/>
          <w:sz w:val="18"/>
        </w:rPr>
        <w:t>**L'UE dresse un bilan positif de dix ans d'APE** avec la Côte d'Ivoire et le Ghana, soulignant les progrès réalisés.</w:t>
      </w:r>
    </w:p>
    <w:p>
      <w:pPr>
        <w:pStyle w:val="ListBullet"/>
        <w:spacing w:before="20" w:after="20"/>
        <w:ind w:left="360"/>
      </w:pPr>
      <w:r>
        <w:rPr>
          <w:sz w:val="18"/>
        </w:rPr>
        <w:t>**Question monétaire en Afrique de l'Ouest** : débat sur le choix de la monnaie pour la région.</w:t>
      </w:r>
    </w:p>
    <w:p>
      <w:pPr>
        <w:pStyle w:val="Heading3"/>
      </w:pPr>
      <w:r>
        <w:rPr>
          <w:color w:val="500050"/>
        </w:rPr>
        <w:t>⚡ Impact estimé sur la BRVM</w:t>
      </w:r>
    </w:p>
    <w:p>
      <w:pPr>
        <w:spacing w:before="20" w:after="40"/>
        <w:ind w:left="280"/>
      </w:pPr>
      <w:r>
        <w:rPr>
          <w:i/>
          <w:sz w:val="18"/>
        </w:rPr>
        <w:t>L'accélération de la circulation des semences est positive pour les sociétés agro-industrielles de la région comme **PALC** et **SOGC**, qui pourraient voir leur activité soutenue par une meilleure productivité agricole. Le bilan positif des APE avec l'UE renforce la stabilité commerciale, bénéfique pour les exportateurs comme **SNTS** et **FTSC**. Le débat monétaire reste un facteur de vigilance.</w:t>
      </w:r>
    </w:p>
    <w:p>
      <w:pPr>
        <w:pStyle w:val="Heading2"/>
      </w:pPr>
      <w:r>
        <w:rPr>
          <w:color w:val="8C4600"/>
        </w:rPr>
        <w:t>🏦 Plan UEMOA / Zone Franc</w:t>
      </w:r>
    </w:p>
    <w:p>
      <w:pPr>
        <w:pStyle w:val="ListBullet"/>
        <w:spacing w:before="20" w:after="20"/>
        <w:ind w:left="360"/>
      </w:pPr>
      <w:r>
        <w:rPr>
          <w:sz w:val="18"/>
        </w:rPr>
        <w:t>**Crise politique au Sénégal** avec ouverture d'une deuxième session extraordinaire de l'Assemblée nationale.</w:t>
      </w:r>
    </w:p>
    <w:p>
      <w:pPr>
        <w:pStyle w:val="ListBullet"/>
        <w:spacing w:before="20" w:after="20"/>
        <w:ind w:left="360"/>
      </w:pPr>
      <w:r>
        <w:rPr>
          <w:sz w:val="18"/>
        </w:rPr>
        <w:t>**La Déclaration de politique générale du Premier ministre sénégalais** programmée au 8 septembre, dans un contexte tendu.</w:t>
      </w:r>
    </w:p>
    <w:p>
      <w:pPr>
        <w:pStyle w:val="ListBullet"/>
        <w:spacing w:before="20" w:after="20"/>
        <w:ind w:left="360"/>
      </w:pPr>
      <w:r>
        <w:rPr>
          <w:sz w:val="18"/>
        </w:rPr>
        <w:t>**Opération de lutte contre la mendicité** au Sénégal visant les étrangers, suscitant des tensions.</w:t>
      </w:r>
    </w:p>
    <w:p>
      <w:pPr>
        <w:pStyle w:val="Heading3"/>
      </w:pPr>
      <w:r>
        <w:rPr>
          <w:color w:val="500050"/>
        </w:rPr>
        <w:t>⚡ Impact estimé sur la BRVM</w:t>
      </w:r>
    </w:p>
    <w:p>
      <w:pPr>
        <w:spacing w:before="20" w:after="40"/>
        <w:ind w:left="280"/>
      </w:pPr>
      <w:r>
        <w:rPr>
          <w:i/>
          <w:sz w:val="18"/>
        </w:rPr>
        <w:t>La crise politique sénégalaise pourrait créer de l'incertitude pour les sociétés cotées opérant dans ce pays, notamment les banques comme **BOAS** et **BOAB**. Les tensions sociales pourraient affecter la consommation et l'activité économique locale. Les banques présentes au Sénégal (**BOAS**, **BOAB**) doivent surveiller l'évolution de la situation. L'instabilité politique est un facteur de risque pour la confiance des investisseurs régionaux.</w:t>
      </w:r>
    </w:p>
    <w:p>
      <w:pPr>
        <w:pStyle w:val="Heading2"/>
      </w:pPr>
      <w:r>
        <w:rPr>
          <w:color w:val="003366"/>
        </w:rPr>
        <w:t>📈 Plan BRVM</w:t>
      </w:r>
    </w:p>
    <w:p>
      <w:pPr>
        <w:pStyle w:val="ListBullet"/>
        <w:spacing w:before="20" w:after="20"/>
        <w:ind w:left="360"/>
      </w:pPr>
      <w:r>
        <w:rPr>
          <w:sz w:val="18"/>
        </w:rPr>
        <w:t>**Résultats encourageants des sociétés cotées ivoiriennes** à la BRVM, selon La Tribune.</w:t>
      </w:r>
    </w:p>
    <w:p>
      <w:pPr>
        <w:pStyle w:val="ListBullet"/>
        <w:spacing w:before="20" w:after="20"/>
        <w:ind w:left="360"/>
      </w:pPr>
      <w:r>
        <w:rPr>
          <w:sz w:val="18"/>
        </w:rPr>
        <w:t>**Indice BRVM Composite à 537.25 points**, dans un contexte de marché globalement stable.</w:t>
      </w:r>
    </w:p>
    <w:p>
      <w:pPr>
        <w:pStyle w:val="Heading3"/>
      </w:pPr>
      <w:r>
        <w:rPr>
          <w:color w:val="500050"/>
        </w:rPr>
        <w:t>⚡ Impact estimé sur la BRVM</w:t>
      </w:r>
    </w:p>
    <w:p>
      <w:pPr>
        <w:spacing w:before="20" w:after="40"/>
        <w:ind w:left="280"/>
      </w:pPr>
      <w:r>
        <w:rPr>
          <w:i/>
          <w:sz w:val="18"/>
        </w:rPr>
        <w:t>Les résultats encourageants des sociétés ivoiriennes, qui représentent une part importante de la cote, soutiennent la confiance des investisseurs. Les secteurs des **SERVICES FINANCIERS** (BICB, BOAC, BOAN, BOAM, BOAS, BOAB) et de la **CONSOMMATION DISCRETIONNAIRE** (UNXC, ABJC, BNBC, CFAC) semblent bien positionnés. Il est recommandé de surveiller les valeurs comme **SGBC**, **BICB** et **NTLC** pour des opportunités d'achat, tout en restant attentif aux risques politiques régionaux.</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**Septembre, mois historiquement difficile pour les marchés boursiers**, avec des inquiétudes accrues pour 2026.</w:t>
      </w:r>
    </w:p>
    <w:p>
      <w:pPr>
        <w:pStyle w:val="ListBullet"/>
        <w:spacing w:before="20" w:after="20"/>
        <w:ind w:left="360"/>
      </w:pPr>
      <w:r>
        <w:rPr>
          <w:color w:val="008000"/>
          <w:sz w:val="18"/>
        </w:rPr>
        <w:t>**La BCE envisage une nouvelle hausse de taux** pour freiner l'inflation.</w:t>
      </w:r>
    </w:p>
    <w:p>
      <w:pPr>
        <w:pStyle w:val="Heading3"/>
      </w:pPr>
      <w:r>
        <w:rPr>
          <w:color w:val="500050"/>
        </w:rPr>
        <w:t>⚡ Impact estimé sur la BRVM</w:t>
      </w:r>
    </w:p>
    <w:p>
      <w:pPr>
        <w:spacing w:before="20" w:after="40"/>
        <w:ind w:left="280"/>
      </w:pPr>
      <w:r>
        <w:rPr>
          <w:i/>
          <w:sz w:val="18"/>
        </w:rPr>
        <w:t>L'aversion au risque mondiale en septembre pourrait réduire les flux d'investissement vers les marchés émergents comme la BRVM. Une politique monétaire restrictive en Europe pourrait renforcer l'euro et le FCFA, affectant la compétitivité des exportations de la zone. Les investisseurs BRVM doivent rester prudents face à ces vents contraires mondiaux.</w:t>
      </w:r>
    </w:p>
    <w:p>
      <w:pPr>
        <w:pStyle w:val="Heading2"/>
      </w:pPr>
      <w:r>
        <w:rPr>
          <w:color w:val="006E32"/>
        </w:rPr>
        <w:t>🌍 Plan Africain</w:t>
      </w:r>
    </w:p>
    <w:p>
      <w:pPr>
        <w:pStyle w:val="ListBullet"/>
        <w:spacing w:before="20" w:after="20"/>
        <w:ind w:left="360"/>
      </w:pPr>
      <w:r>
        <w:rPr>
          <w:sz w:val="18"/>
        </w:rPr>
        <w:t>**La Tanzanie ouvre son marché obligataire aux investisseurs étrangers**, signe d'une concurrence accrue pour les capitaux.</w:t>
      </w:r>
    </w:p>
    <w:p>
      <w:pPr>
        <w:pStyle w:val="ListBullet"/>
        <w:spacing w:before="20" w:after="20"/>
        <w:ind w:left="360"/>
      </w:pPr>
      <w:r>
        <w:rPr>
          <w:sz w:val="18"/>
        </w:rPr>
        <w:t>**L'Afrique du Sud annonce un plan d'investissement public massif**, mais avec une croissance atone.</w:t>
      </w:r>
    </w:p>
    <w:p>
      <w:pPr>
        <w:pStyle w:val="Heading3"/>
      </w:pPr>
      <w:r>
        <w:rPr>
          <w:color w:val="500050"/>
        </w:rPr>
        <w:t>⚡ Impact estimé sur la BRVM</w:t>
      </w:r>
    </w:p>
    <w:p>
      <w:pPr>
        <w:spacing w:before="20" w:after="40"/>
        <w:ind w:left="280"/>
      </w:pPr>
      <w:r>
        <w:rPr>
          <w:i/>
          <w:sz w:val="18"/>
        </w:rPr>
        <w:t>La BRVM doit composer avec une concurrence accrue pour attirer les capitaux étrangers en Afrique. L'investissement public sud-africain pourrait détourner une partie des flux d'investissement. La stabilité politique et la qualité de la régulation de la BRVM sont des atouts à mettre en avant face à ces concurrents.</w:t>
      </w:r>
    </w:p>
    <w:p>
      <w:pPr>
        <w:pStyle w:val="Heading2"/>
      </w:pPr>
      <w:r>
        <w:rPr>
          <w:color w:val="145A28"/>
        </w:rPr>
        <w:t>🌍 Plan Afrique de l'Ouest</w:t>
      </w:r>
    </w:p>
    <w:p>
      <w:pPr>
        <w:pStyle w:val="ListBullet"/>
        <w:spacing w:before="20" w:after="20"/>
        <w:ind w:left="360"/>
      </w:pPr>
      <w:r>
        <w:rPr>
          <w:sz w:val="18"/>
        </w:rPr>
        <w:t>**Débat sur la monnaie en Afrique de l'Ouest**, questionnant le choix de la monnaie pour la région.</w:t>
      </w:r>
    </w:p>
    <w:p>
      <w:pPr>
        <w:pStyle w:val="ListBullet"/>
        <w:spacing w:before="20" w:after="20"/>
        <w:ind w:left="360"/>
      </w:pPr>
      <w:r>
        <w:rPr>
          <w:color w:val="008000"/>
          <w:sz w:val="18"/>
        </w:rPr>
        <w:t>**Bilan positif de dix ans d'APE** entre l'UE et la Côte d'Ivoire et le Ghana.</w:t>
      </w:r>
    </w:p>
    <w:p>
      <w:pPr>
        <w:pStyle w:val="Heading3"/>
      </w:pPr>
      <w:r>
        <w:rPr>
          <w:color w:val="500050"/>
        </w:rPr>
        <w:t>⚡ Impact estimé sur la BRVM</w:t>
      </w:r>
    </w:p>
    <w:p>
      <w:pPr>
        <w:spacing w:before="20" w:after="40"/>
        <w:ind w:left="280"/>
      </w:pPr>
      <w:r>
        <w:rPr>
          <w:i/>
          <w:sz w:val="18"/>
        </w:rPr>
        <w:t>Le débat monétaire en Afrique de l'Ouest est un facteur d'incertitude pour les investisseurs, même s'il n'aboutit pas à court terme. Le bilan positif des APE renforce la stabilité commerciale et juridique pour les entreprises opérant dans la région, ce qui est favorable aux sociétés cotées comme **FTSC** et **CABC**.</w:t>
      </w:r>
    </w:p>
    <w:p>
      <w:pPr>
        <w:pStyle w:val="Heading2"/>
      </w:pPr>
      <w:r>
        <w:rPr>
          <w:color w:val="8C4600"/>
        </w:rPr>
        <w:t>🏦 Plan UEMOA / Zone Franc</w:t>
      </w:r>
    </w:p>
    <w:p>
      <w:pPr>
        <w:pStyle w:val="ListBullet"/>
        <w:spacing w:before="20" w:after="20"/>
        <w:ind w:left="360"/>
      </w:pPr>
      <w:r>
        <w:rPr>
          <w:sz w:val="18"/>
        </w:rPr>
        <w:t>**Crise politique au Sénégal** avec une session extraordinaire de l'Assemblée nationale.</w:t>
      </w:r>
    </w:p>
    <w:p>
      <w:pPr>
        <w:pStyle w:val="ListBullet"/>
        <w:spacing w:before="20" w:after="20"/>
        <w:ind w:left="360"/>
      </w:pPr>
      <w:r>
        <w:rPr>
          <w:sz w:val="18"/>
        </w:rPr>
        <w:t>**Tensions sociales au Sénégal** liées à la chasse aux mendiants étrangers.</w:t>
      </w:r>
    </w:p>
    <w:p>
      <w:pPr>
        <w:pStyle w:val="Heading3"/>
      </w:pPr>
      <w:r>
        <w:rPr>
          <w:color w:val="500050"/>
        </w:rPr>
        <w:t>⚡ Impact estimé sur la BRVM</w:t>
      </w:r>
    </w:p>
    <w:p>
      <w:pPr>
        <w:spacing w:before="20" w:after="40"/>
        <w:ind w:left="280"/>
      </w:pPr>
      <w:r>
        <w:rPr>
          <w:i/>
          <w:sz w:val="18"/>
        </w:rPr>
        <w:t>La crise politique sénégalaise est un risque direct pour les sociétés cotées ayant des activités importantes dans ce pays, notamment les banques **BOAS**, **BOAB** et **BICB**. Une instabilité prolongée pourrait affecter leurs résultats et la confiance des investisseurs. Il est recommandé de surveiller de près l'évolution de la situation politique au Sénégal.</w:t>
      </w:r>
    </w:p>
    <w:p>
      <w:pPr>
        <w:pStyle w:val="Heading2"/>
      </w:pPr>
      <w:r>
        <w:rPr>
          <w:color w:val="003366"/>
        </w:rPr>
        <w:t>📈 Plan BRVM</w:t>
      </w:r>
    </w:p>
    <w:p>
      <w:pPr>
        <w:pStyle w:val="ListBullet"/>
        <w:spacing w:before="20" w:after="20"/>
        <w:ind w:left="360"/>
      </w:pPr>
      <w:r>
        <w:rPr>
          <w:sz w:val="18"/>
        </w:rPr>
        <w:t>**Résultats encourageants des sociétés cotées ivoiriennes**.</w:t>
      </w:r>
    </w:p>
    <w:p>
      <w:pPr>
        <w:pStyle w:val="ListBullet"/>
        <w:spacing w:before="20" w:after="20"/>
        <w:ind w:left="360"/>
      </w:pPr>
      <w:r>
        <w:rPr>
          <w:sz w:val="18"/>
        </w:rPr>
        <w:t>**Indice BRVM Composite stable à 537.25 points**.</w:t>
      </w:r>
    </w:p>
    <w:p>
      <w:pPr>
        <w:pStyle w:val="Heading3"/>
      </w:pPr>
      <w:r>
        <w:rPr>
          <w:color w:val="500050"/>
        </w:rPr>
        <w:t>⚡ Impact estimé sur la BRVM</w:t>
      </w:r>
    </w:p>
    <w:p>
      <w:pPr>
        <w:spacing w:before="20" w:after="40"/>
        <w:ind w:left="280"/>
      </w:pPr>
      <w:r>
        <w:rPr>
          <w:i/>
          <w:sz w:val="18"/>
        </w:rPr>
        <w:t>La bonne tenue des résultats des sociétés ivoiriennes et la stabilité de l'indice sont des signaux positifs. Cependant, les risques politiques régionaux, notamment au Sénégal, pourraient peser sur le marché. Il est recommandé de maintenir une diversification sectorielle et géographique au sein de la cote pour atténuer ces risques.</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**Septembre, mois historiquement baissier pour les marchés boursiers**, avec des inquiétudes pour 2026.</w:t>
      </w:r>
    </w:p>
    <w:p>
      <w:pPr>
        <w:pStyle w:val="ListBullet"/>
        <w:spacing w:before="20" w:after="20"/>
        <w:ind w:left="360"/>
      </w:pPr>
      <w:r>
        <w:rPr>
          <w:color w:val="008000"/>
          <w:sz w:val="18"/>
        </w:rPr>
        <w:t>**Hausse des prix du pétrole** sur les marchés internationaux.</w:t>
      </w:r>
    </w:p>
    <w:p>
      <w:pPr>
        <w:pStyle w:val="ListBullet"/>
        <w:spacing w:before="20" w:after="20"/>
        <w:ind w:left="360"/>
      </w:pPr>
      <w:r>
        <w:rPr>
          <w:color w:val="008000"/>
          <w:sz w:val="18"/>
        </w:rPr>
        <w:t>**La BCE envisage une nouvelle hausse des taux**.</w:t>
      </w:r>
    </w:p>
    <w:p>
      <w:pPr>
        <w:pStyle w:val="Heading3"/>
      </w:pPr>
      <w:r>
        <w:rPr>
          <w:color w:val="500050"/>
        </w:rPr>
        <w:t>⚡ Impact estimé sur la BRVM</w:t>
      </w:r>
    </w:p>
    <w:p>
      <w:pPr>
        <w:spacing w:before="20" w:after="40"/>
        <w:ind w:left="280"/>
      </w:pPr>
      <w:r>
        <w:rPr>
          <w:i/>
          <w:sz w:val="18"/>
        </w:rPr>
        <w:t>Le contexte mondial de septembre est défavorable aux actifs risqués. La hausse du pétrole peut avoir un impact mitigé : positif pour les économies exportatrices, mais négatif pour les coûts de production. La hausse des taux BCE renforce l'euro et le FCFA, ce qui peut pénaliser la compétitivité des entreprises exportatrices de la zone BRVM.</w:t>
      </w:r>
    </w:p>
    <w:p>
      <w:pPr>
        <w:pStyle w:val="Heading2"/>
      </w:pPr>
      <w:r>
        <w:rPr>
          <w:color w:val="006E32"/>
        </w:rPr>
        <w:t>🌍 Plan Africain</w:t>
      </w:r>
    </w:p>
    <w:p>
      <w:pPr>
        <w:pStyle w:val="ListBullet"/>
        <w:spacing w:before="20" w:after="20"/>
        <w:ind w:left="360"/>
      </w:pPr>
      <w:r>
        <w:rPr>
          <w:sz w:val="18"/>
        </w:rPr>
        <w:t>**La Tanzanie ouvre son marché obligataire aux investisseurs étrangers**.</w:t>
      </w:r>
    </w:p>
    <w:p>
      <w:pPr>
        <w:pStyle w:val="ListBullet"/>
        <w:spacing w:before="20" w:after="20"/>
        <w:ind w:left="360"/>
      </w:pPr>
      <w:r>
        <w:rPr>
          <w:sz w:val="18"/>
        </w:rPr>
        <w:t>**L'Afrique du Sud annonce un plan d'investissement public massif**.</w:t>
      </w:r>
    </w:p>
    <w:p>
      <w:pPr>
        <w:pStyle w:val="Heading3"/>
      </w:pPr>
      <w:r>
        <w:rPr>
          <w:color w:val="500050"/>
        </w:rPr>
        <w:t>⚡ Impact estimé sur la BRVM</w:t>
      </w:r>
    </w:p>
    <w:p>
      <w:pPr>
        <w:spacing w:before="20" w:after="40"/>
        <w:ind w:left="280"/>
      </w:pPr>
      <w:r>
        <w:rPr>
          <w:i/>
          <w:sz w:val="18"/>
        </w:rPr>
        <w:t>La concurrence pour les capitaux en Afrique s'intensifie. La BRVM doit démontrer son attractivité en termes de rendement et de stabilité pour retenir les investisseurs. Les sociétés cotées ayant une présence panafricaine, comme **BOAC** ou **BOAN**, pourraient bénéficier de la dynamique d'investissement continentale.</w:t>
      </w:r>
    </w:p>
    <w:p>
      <w:pPr>
        <w:pStyle w:val="Heading2"/>
      </w:pPr>
      <w:r>
        <w:rPr>
          <w:color w:val="145A28"/>
        </w:rPr>
        <w:t>🌍 Plan Afrique de l'Ouest</w:t>
      </w:r>
    </w:p>
    <w:p>
      <w:pPr>
        <w:pStyle w:val="ListBullet"/>
        <w:spacing w:before="20" w:after="20"/>
        <w:ind w:left="360"/>
      </w:pPr>
      <w:r>
        <w:rPr>
          <w:color w:val="008000"/>
          <w:sz w:val="18"/>
        </w:rPr>
        <w:t>**Bilan positif de dix ans d'APE** avec l'UE pour la Côte d'Ivoire et le Ghana.</w:t>
      </w:r>
    </w:p>
    <w:p>
      <w:pPr>
        <w:pStyle w:val="ListBullet"/>
        <w:spacing w:before="20" w:after="20"/>
        <w:ind w:left="360"/>
      </w:pPr>
      <w:r>
        <w:rPr>
          <w:sz w:val="18"/>
        </w:rPr>
        <w:t>**Initiative pour accélérer la circulation des semences agricoles**.</w:t>
      </w:r>
    </w:p>
    <w:p>
      <w:pPr>
        <w:pStyle w:val="Heading3"/>
      </w:pPr>
      <w:r>
        <w:rPr>
          <w:color w:val="500050"/>
        </w:rPr>
        <w:t>⚡ Impact estimé sur la BRVM</w:t>
      </w:r>
    </w:p>
    <w:p>
      <w:pPr>
        <w:spacing w:before="20" w:after="40"/>
        <w:ind w:left="280"/>
      </w:pPr>
      <w:r>
        <w:rPr>
          <w:i/>
          <w:sz w:val="18"/>
        </w:rPr>
        <w:t>Les APE avec l'UE renforcent l'intégration commerciale et la stabilité pour les entreprises de la zone. L'initiative sur les semences agricoles est favorable aux sociétés agro-industrielles comme **PALC** et **SOGC**. La BRVM est bien positionnée pour bénéficier de ces dynamiques régionales positives.</w:t>
      </w:r>
    </w:p>
    <w:p>
      <w:pPr>
        <w:pStyle w:val="Heading2"/>
      </w:pPr>
      <w:r>
        <w:rPr>
          <w:color w:val="8C4600"/>
        </w:rPr>
        <w:t>🏦 Plan UEMOA / Zone Franc</w:t>
      </w:r>
    </w:p>
    <w:p>
      <w:pPr>
        <w:pStyle w:val="ListBullet"/>
        <w:spacing w:before="20" w:after="20"/>
        <w:ind w:left="360"/>
      </w:pPr>
      <w:r>
        <w:rPr>
          <w:sz w:val="18"/>
        </w:rPr>
        <w:t>**Crise politique au Sénégal** susceptible d'affecter la confiance des investisseurs.</w:t>
      </w:r>
    </w:p>
    <w:p>
      <w:pPr>
        <w:pStyle w:val="ListBullet"/>
        <w:spacing w:before="20" w:after="20"/>
        <w:ind w:left="360"/>
      </w:pPr>
      <w:r>
        <w:rPr>
          <w:sz w:val="18"/>
        </w:rPr>
        <w:t>**Déclaration de politique générale du Premier ministre sénégalais** attendue le 8 septembre.</w:t>
      </w:r>
    </w:p>
    <w:p>
      <w:pPr>
        <w:pStyle w:val="Heading3"/>
      </w:pPr>
      <w:r>
        <w:rPr>
          <w:color w:val="500050"/>
        </w:rPr>
        <w:t>⚡ Impact estimé sur la BRVM</w:t>
      </w:r>
    </w:p>
    <w:p>
      <w:pPr>
        <w:spacing w:before="20" w:after="40"/>
        <w:ind w:left="280"/>
      </w:pPr>
      <w:r>
        <w:rPr>
          <w:i/>
          <w:sz w:val="18"/>
        </w:rPr>
        <w:t>La crise politique sénégalaise pourrait entraîner une volatilité accrue sur les valeurs bancaires exposées au Sénégal (**BOAS**, **BOAB**). Les investisseurs pourraient arbitrer vers des valeurs plus sûres comme les titres publics de l'UEMOA. Il est recommandé de surveiller les décisions politiques et leur impact sur la liquidité du marché.</w:t>
      </w:r>
    </w:p>
    <w:p>
      <w:pPr>
        <w:pStyle w:val="Heading2"/>
      </w:pPr>
      <w:r>
        <w:rPr>
          <w:color w:val="003366"/>
        </w:rPr>
        <w:t>📈 Plan BRVM</w:t>
      </w:r>
    </w:p>
    <w:p>
      <w:pPr>
        <w:pStyle w:val="ListBullet"/>
        <w:spacing w:before="20" w:after="20"/>
        <w:ind w:left="360"/>
      </w:pPr>
      <w:r>
        <w:rPr>
          <w:sz w:val="18"/>
        </w:rPr>
        <w:t>**Indice BRVM Composite à 537.25 points**.</w:t>
      </w:r>
    </w:p>
    <w:p>
      <w:pPr>
        <w:pStyle w:val="ListBullet"/>
        <w:spacing w:before="20" w:after="20"/>
        <w:ind w:left="360"/>
      </w:pPr>
      <w:r>
        <w:rPr>
          <w:sz w:val="18"/>
        </w:rPr>
        <w:t>**Résultats encourageants des sociétés cotées ivoiriennes**.</w:t>
      </w:r>
    </w:p>
    <w:p>
      <w:pPr>
        <w:pStyle w:val="ListBullet"/>
        <w:spacing w:before="20" w:after="20"/>
        <w:ind w:left="360"/>
      </w:pPr>
      <w:r>
        <w:rPr>
          <w:sz w:val="18"/>
        </w:rPr>
        <w:t>**Secteurs clés** : SERVICES FINANCIERS, CONSOMMATION DISCRETIONNAIRE, INDUSTRIELS.</w:t>
      </w:r>
    </w:p>
    <w:p>
      <w:pPr>
        <w:pStyle w:val="Heading3"/>
      </w:pPr>
      <w:r>
        <w:rPr>
          <w:color w:val="500050"/>
        </w:rPr>
        <w:t>⚡ Impact estimé sur la BRVM</w:t>
      </w:r>
    </w:p>
    <w:p>
      <w:pPr>
        <w:spacing w:before="20" w:after="40"/>
        <w:ind w:left="280"/>
      </w:pPr>
      <w:r>
        <w:rPr>
          <w:i/>
          <w:sz w:val="18"/>
        </w:rPr>
        <w:t>Le marché semble stable avec des fondamentaux corrects. Les **SERVICES FINANCIERS** (BICB, BOAC, BOAN, BOAM, BOAS, BOAB) restent le pilier du marché. Les valeurs de **CONSOMMATION DISCRETIONNAIRE** (UNXC, ABJC, BNBC, CFAC) et **INDUSTRIELLES** (SDSC, FTSC, CABC) offrent des opportunités. Il est recommandé de surveiller **SGBC** et **NTLC** pour des achats opportunistes, tout en restant prudent sur les valeurs exposées au Sénégal.</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mondial de septembre, historiquement défavorable aux marchés, combiné à la crise politique au Sénégal, justifie une vigilance accrue. Cependant, les fondamentaux des sociétés cotées ivoiriennes restent solides et l'indice BRVM Composite se maintient à 537.25 points. Il est recommandé de privilégier les valeurs sûres des secteurs financiers et de consommation de base, tout en surveillant l'évolution de la situation politique sénégalaise et ses répercussions sur les banques régionales.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2026-09-02</w:t>
            </w:r>
          </w:p>
        </w:tc>
        <w:tc>
          <w:tcPr>
            <w:tcW w:type="dxa" w:w="1728"/>
          </w:tcPr>
          <w:p>
            <w:r>
              <w:rPr>
                <w:sz w:val="14"/>
              </w:rPr>
              <w:t>Les prix du pétrole augmentent, l'indice MXV approche les 3 000 points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2026-09-01</w:t>
            </w:r>
          </w:p>
        </w:tc>
        <w:tc>
          <w:tcPr>
            <w:tcW w:type="dxa" w:w="1728"/>
          </w:tcPr>
          <w:p>
            <w:r>
              <w:rPr>
                <w:sz w:val="14"/>
              </w:rPr>
              <w:t>Sénégal : la Déclaration de politique générale du Premier ministre pro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2026-09-01</w:t>
            </w:r>
          </w:p>
        </w:tc>
        <w:tc>
          <w:tcPr>
            <w:tcW w:type="dxa" w:w="1728"/>
          </w:tcPr>
          <w:p>
            <w:r>
              <w:rPr>
                <w:sz w:val="14"/>
              </w:rPr>
              <w:t>Sénégal : quand la chasse aux mendiants étrangers ravive la xénophobie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2026-09-01</w:t>
            </w:r>
          </w:p>
        </w:tc>
        <w:tc>
          <w:tcPr>
            <w:tcW w:type="dxa" w:w="1728"/>
          </w:tcPr>
          <w:p>
            <w:r>
              <w:rPr>
                <w:sz w:val="14"/>
              </w:rPr>
              <w:t>Sénégal : L’Assemblée nationale ouvre une 2ᵉ session extraordinaire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2026-09-01</w:t>
            </w:r>
          </w:p>
        </w:tc>
        <w:tc>
          <w:tcPr>
            <w:tcW w:type="dxa" w:w="1728"/>
          </w:tcPr>
          <w:p>
            <w:r>
              <w:rPr>
                <w:sz w:val="14"/>
              </w:rPr>
              <w:t>5 questions pour comprendre pourquoi les tensions se cristallisent sur</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2026-09-02</w:t>
            </w:r>
          </w:p>
        </w:tc>
        <w:tc>
          <w:tcPr>
            <w:tcW w:type="dxa" w:w="1728"/>
          </w:tcPr>
          <w:p>
            <w:r>
              <w:rPr>
                <w:sz w:val="14"/>
              </w:rPr>
              <w:t>Au Togo, le trompe-l’œil de la nouvelle Constitution - afriquexxi.info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2026-08-29</w:t>
            </w:r>
          </w:p>
        </w:tc>
        <w:tc>
          <w:tcPr>
            <w:tcW w:type="dxa" w:w="1728"/>
          </w:tcPr>
          <w:p>
            <w:r>
              <w:rPr>
                <w:sz w:val="14"/>
              </w:rPr>
              <w:t xml:space="preserve">Côte d'Ivoire-Angola : Sommet de l'UA à Luanda, le VP Tiémoko Meyliet </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2026-09-02</w:t>
            </w:r>
          </w:p>
        </w:tc>
        <w:tc>
          <w:tcPr>
            <w:tcW w:type="dxa" w:w="1728"/>
          </w:tcPr>
          <w:p>
            <w:r>
              <w:rPr>
                <w:sz w:val="14"/>
              </w:rPr>
              <w:t>Les prix du pétrole augmentent, l'indice MXV approche les 3 000 points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Sénégal : la Déclaration de politique générale du Premier ministre pro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2026-09-01</w:t>
            </w:r>
          </w:p>
        </w:tc>
        <w:tc>
          <w:tcPr>
            <w:tcW w:type="dxa" w:w="1728"/>
          </w:tcPr>
          <w:p>
            <w:r>
              <w:rPr>
                <w:sz w:val="14"/>
              </w:rPr>
              <w:t>Sénégal : quand la chasse aux mendiants étrangers ravive la xénophobie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2026-09-01</w:t>
            </w:r>
          </w:p>
        </w:tc>
        <w:tc>
          <w:tcPr>
            <w:tcW w:type="dxa" w:w="1728"/>
          </w:tcPr>
          <w:p>
            <w:r>
              <w:rPr>
                <w:sz w:val="14"/>
              </w:rPr>
              <w:t>Sénégal : la Déclaration de politique générale du Premier ministre pro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2026-09-01</w:t>
            </w:r>
          </w:p>
        </w:tc>
        <w:tc>
          <w:tcPr>
            <w:tcW w:type="dxa" w:w="1728"/>
          </w:tcPr>
          <w:p>
            <w:r>
              <w:rPr>
                <w:sz w:val="14"/>
              </w:rPr>
              <w:t>Sénégal : quand la chasse aux mendiants étrangers ravive la xénophobie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Sénégal : la Déclaration de politique générale du Premier ministre pro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2026-09-01</w:t>
            </w:r>
          </w:p>
        </w:tc>
        <w:tc>
          <w:tcPr>
            <w:tcW w:type="dxa" w:w="1728"/>
          </w:tcPr>
          <w:p>
            <w:r>
              <w:rPr>
                <w:sz w:val="14"/>
              </w:rPr>
              <w:t>Sénégal : quand la chasse aux mendiants étrangers ravive la xénophobie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2026-09-01</w:t>
            </w:r>
          </w:p>
        </w:tc>
        <w:tc>
          <w:tcPr>
            <w:tcW w:type="dxa" w:w="1728"/>
          </w:tcPr>
          <w:p>
            <w:r>
              <w:rPr>
                <w:sz w:val="14"/>
              </w:rPr>
              <w:t>Sénégal : L’Assemblée nationale ouvre une 2ᵉ session extraordinaire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Sénégal : la Déclaration de politique générale du Premier ministre pro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2026-09-01</w:t>
            </w:r>
          </w:p>
        </w:tc>
        <w:tc>
          <w:tcPr>
            <w:tcW w:type="dxa" w:w="1728"/>
          </w:tcPr>
          <w:p>
            <w:r>
              <w:rPr>
                <w:sz w:val="14"/>
              </w:rPr>
              <w:t>Sénégal : quand la chasse aux mendiants étrangers ravive la xénophobie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2026-09-01</w:t>
            </w:r>
          </w:p>
        </w:tc>
        <w:tc>
          <w:tcPr>
            <w:tcW w:type="dxa" w:w="1728"/>
          </w:tcPr>
          <w:p>
            <w:r>
              <w:rPr>
                <w:sz w:val="14"/>
              </w:rPr>
              <w:t>Sénégal : L’Assemblée nationale ouvre une 2ᵉ session extraordinaire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2026-09-02</w:t>
            </w:r>
          </w:p>
        </w:tc>
        <w:tc>
          <w:tcPr>
            <w:tcW w:type="dxa" w:w="1728"/>
          </w:tcPr>
          <w:p>
            <w:r>
              <w:rPr>
                <w:sz w:val="14"/>
              </w:rPr>
              <w:t>Les prix du pétrole augmentent, l'indice MXV approche les 3 000 points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2026-09-01</w:t>
            </w:r>
          </w:p>
        </w:tc>
        <w:tc>
          <w:tcPr>
            <w:tcW w:type="dxa" w:w="1728"/>
          </w:tcPr>
          <w:p>
            <w:r>
              <w:rPr>
                <w:sz w:val="14"/>
              </w:rPr>
              <w:t>Sénégal : la Déclaration de politique générale du Premier ministre pro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2026-09-02</w:t>
            </w:r>
          </w:p>
        </w:tc>
        <w:tc>
          <w:tcPr>
            <w:tcW w:type="dxa" w:w="1728"/>
          </w:tcPr>
          <w:p>
            <w:r>
              <w:rPr>
                <w:sz w:val="14"/>
              </w:rPr>
              <w:t>Les prix du pétrole augmentent, l'indice MXV approche les 3 000 points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2026-09-01</w:t>
            </w:r>
          </w:p>
        </w:tc>
        <w:tc>
          <w:tcPr>
            <w:tcW w:type="dxa" w:w="1728"/>
          </w:tcPr>
          <w:p>
            <w:r>
              <w:rPr>
                <w:sz w:val="14"/>
              </w:rPr>
              <w:t>5 questions pour comprendre pourquoi les tensions se cristallisent sur</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2026-09-02</w:t>
            </w:r>
          </w:p>
        </w:tc>
        <w:tc>
          <w:tcPr>
            <w:tcW w:type="dxa" w:w="1728"/>
          </w:tcPr>
          <w:p>
            <w:r>
              <w:rPr>
                <w:sz w:val="14"/>
              </w:rPr>
              <w:t>Les prix du pétrole augmentent, l'indice MXV approche les 3 000 points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2026-09-01</w:t>
            </w:r>
          </w:p>
        </w:tc>
        <w:tc>
          <w:tcPr>
            <w:tcW w:type="dxa" w:w="1728"/>
          </w:tcPr>
          <w:p>
            <w:r>
              <w:rPr>
                <w:sz w:val="14"/>
              </w:rPr>
              <w:t>5 questions pour comprendre pourquoi les tensions se cristallisent sur</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2026-09-02</w:t>
            </w:r>
          </w:p>
        </w:tc>
        <w:tc>
          <w:tcPr>
            <w:tcW w:type="dxa" w:w="1728"/>
          </w:tcPr>
          <w:p>
            <w:r>
              <w:rPr>
                <w:sz w:val="14"/>
              </w:rPr>
              <w:t>Les prix du pétrole augmentent, l'indice MXV approche les 3 000 points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2026-09-01</w:t>
            </w:r>
          </w:p>
        </w:tc>
        <w:tc>
          <w:tcPr>
            <w:tcW w:type="dxa" w:w="1728"/>
          </w:tcPr>
          <w:p>
            <w:r>
              <w:rPr>
                <w:sz w:val="14"/>
              </w:rPr>
              <w:t>5 questions pour comprendre pourquoi les tensions se cristallisent sur</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2026-09-02</w:t>
            </w:r>
          </w:p>
        </w:tc>
        <w:tc>
          <w:tcPr>
            <w:tcW w:type="dxa" w:w="1728"/>
          </w:tcPr>
          <w:p>
            <w:r>
              <w:rPr>
                <w:sz w:val="14"/>
              </w:rPr>
              <w:t>Les prix du pétrole augmentent, l'indice MXV approche les 3 000 points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2026-09-01</w:t>
            </w:r>
          </w:p>
        </w:tc>
        <w:tc>
          <w:tcPr>
            <w:tcW w:type="dxa" w:w="1728"/>
          </w:tcPr>
          <w:p>
            <w:r>
              <w:rPr>
                <w:sz w:val="14"/>
              </w:rPr>
              <w:t>Sénégal : la Déclaration de politique générale du Premier ministre pro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Bourse : septembre est historiquement le pire mois de l’année, mais 20</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2026-09-02</w:t>
            </w:r>
          </w:p>
        </w:tc>
        <w:tc>
          <w:tcPr>
            <w:tcW w:type="dxa" w:w="1728"/>
          </w:tcPr>
          <w:p>
            <w:r>
              <w:rPr>
                <w:sz w:val="14"/>
              </w:rPr>
              <w:t>Les prix du pétrole augmentent, l'indice MXV approche les 3 000 points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2026-09-01</w:t>
            </w:r>
          </w:p>
        </w:tc>
        <w:tc>
          <w:tcPr>
            <w:tcW w:type="dxa" w:w="1728"/>
          </w:tcPr>
          <w:p>
            <w:r>
              <w:rPr>
                <w:sz w:val="14"/>
              </w:rPr>
              <w:t>5 questions pour comprendre pourquoi les tensions se cristallisent sur</w:t>
            </w:r>
          </w:p>
        </w:tc>
        <w:tc>
          <w:tcPr>
            <w:tcW w:type="dxa" w:w="1728"/>
          </w:tcPr>
          <w:p>
            <w:r>
              <w:rPr>
                <w:sz w:val="14"/>
              </w:rPr>
              <w:t>Neutre</w:t>
            </w:r>
          </w:p>
        </w:tc>
        <w:tc>
          <w:tcPr>
            <w:tcW w:type="dxa" w:w="1728"/>
          </w:tcPr>
          <w:p>
            <w:r>
              <w:rPr>
                <w:color w:val="C00000"/>
                <w:sz w:val="14"/>
              </w:rPr>
              <w:t>Negatif</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(8 alerte(s))</w:t>
      </w:r>
    </w:p>
    <w:p>
      <w:pPr>
        <w:spacing w:before="40" w:after="40"/>
        <w:ind w:left="360"/>
      </w:pPr>
      <w:r>
        <w:rPr>
          <w:color w:val="646464"/>
          <w:sz w:val="17"/>
        </w:rPr>
        <w:t xml:space="preserve">[02/09/2026] 🟢  </w:t>
      </w:r>
      <w:r>
        <w:rPr>
          <w:b/>
          <w:color w:val="008000"/>
          <w:sz w:val="18"/>
        </w:rPr>
        <w:t>Les prix du pétrole augmentent, l'indice MXV approche les 3 000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augmentent sur les marchés internationaux, ce qui pourrait soutenir les économies exportatrices de la zone BRVM. Parallèlement, l'indice MXV (indice des matières premières au Vietnam) approche les 3 000 points, signalant une dynamique haussière des matières premières. Cette tendance pourrait influencer les cours des matières pre</w:t>
      </w:r>
    </w:p>
    <w:p>
      <w:pPr>
        <w:spacing w:before="0" w:after="40"/>
        <w:ind w:left="600"/>
      </w:pPr>
      <w:r>
        <w:rPr>
          <w:color w:val="00643C"/>
          <w:sz w:val="16"/>
        </w:rPr>
        <w:t>Points clés : Hausse des prix du pétrole sur les marchés internationaux.  •  L'indice MXV (matières premières) approche les 3 000 points.  •  Tendance haussière générale des matières premières.  •  Impact potentiel sur les secteurs exportateurs de la zone BRVM.</w:t>
      </w:r>
    </w:p>
    <w:p>
      <w:pPr>
        <w:spacing w:before="0" w:after="60"/>
        <w:ind w:left="600"/>
      </w:pPr>
      <w:r>
        <w:rPr>
          <w:color w:val="0064B4"/>
          <w:sz w:val="15"/>
        </w:rPr>
        <w:t>Source : https://news.google.com/rss/articles/CBMigAFBVV95cUxQX01NNjA0em1zaTJPVFVibUo2RFV</w:t>
      </w:r>
    </w:p>
    <w:p>
      <w:pPr>
        <w:spacing w:before="40" w:after="40"/>
        <w:ind w:left="360"/>
      </w:pPr>
      <w:r>
        <w:rPr>
          <w:color w:val="646464"/>
          <w:sz w:val="17"/>
        </w:rPr>
        <w:t xml:space="preserve">[02/09/2026] 🔴  </w:t>
      </w:r>
      <w:r>
        <w:rPr>
          <w:b/>
          <w:color w:val="C00000"/>
          <w:sz w:val="18"/>
        </w:rPr>
        <w:t>Cacao : ce que la baisse du prix implique pour les producteurs ivoiriens en 2026/2027 - AGENCE ECOFIN</w:t>
      </w:r>
      <w:r>
        <w:rPr>
          <w:color w:val="787878"/>
          <w:sz w:val="15"/>
        </w:rPr>
        <w:t xml:space="preserve">  [matieres_premieres]</w:t>
      </w:r>
      <w:r>
        <w:rPr>
          <w:color w:val="B47800"/>
          <w:sz w:val="16"/>
        </w:rPr>
        <w:t xml:space="preserve">  ★ 50/10</w:t>
      </w:r>
    </w:p>
    <w:p>
      <w:pPr>
        <w:spacing w:before="0" w:after="20"/>
        <w:ind w:left="600"/>
      </w:pPr>
      <w:r>
        <w:rPr>
          <w:color w:val="323232"/>
          <w:sz w:val="17"/>
        </w:rPr>
        <w:t>L'article d'Agence Ecofin analyse les conséquences de la baisse attendue des prix du cacao pour les producteurs ivoiriens lors de la campagne 2026/2027. Cette diminution, probablement due à une offre mondiale accrue ou à une demande affaiblie, réduira les revenus des planteurs et pourrait affecter l'économie ivoirienne, fortement dépendante de cett</w:t>
      </w:r>
    </w:p>
    <w:p>
      <w:pPr>
        <w:spacing w:before="0" w:after="40"/>
        <w:ind w:left="600"/>
      </w:pPr>
      <w:r>
        <w:rPr>
          <w:color w:val="00643C"/>
          <w:sz w:val="16"/>
        </w:rPr>
        <w:t>Points clés : Baisse des prix du cacao prévue pour 2026/2027, impactant directement les revenus des producteurs ivoiriens.  •  Risque de réduction des investissements dans les plantations et de détérioration des conditions de vie des agriculteurs.  •  Nécessité de politiques de stabilisation ou de diversification pour l'économie ivoirienne.</w:t>
      </w:r>
    </w:p>
    <w:p>
      <w:pPr>
        <w:spacing w:before="0" w:after="60"/>
        <w:ind w:left="600"/>
      </w:pPr>
      <w:r>
        <w:rPr>
          <w:color w:val="0064B4"/>
          <w:sz w:val="15"/>
        </w:rPr>
        <w:t>Source : https://news.google.com/rss/articles/CBMi1wFBVV95cUxQYzZCUkZWeG80SVhqaVoyYnNFczl</w:t>
      </w:r>
    </w:p>
    <w:p>
      <w:pPr>
        <w:spacing w:before="40" w:after="40"/>
        <w:ind w:left="360"/>
      </w:pPr>
      <w:r>
        <w:rPr>
          <w:color w:val="646464"/>
          <w:sz w:val="17"/>
        </w:rPr>
        <w:t xml:space="preserve">[01/09/2026] ⚪  </w:t>
      </w:r>
      <w:r>
        <w:rPr>
          <w:b/>
          <w:color w:val="505050"/>
          <w:sz w:val="18"/>
        </w:rPr>
        <w:t>Côte d’Ivoire : le prix bord champ du cacao fixé à 1 200 FCFA/kg face à la tempête des marchés - Financial Afrik</w:t>
      </w:r>
      <w:r>
        <w:rPr>
          <w:color w:val="787878"/>
          <w:sz w:val="15"/>
        </w:rPr>
        <w:t xml:space="preserve">  [matieres_premieres]</w:t>
      </w:r>
      <w:r>
        <w:rPr>
          <w:color w:val="B47800"/>
          <w:sz w:val="16"/>
        </w:rPr>
        <w:t xml:space="preserve">  ★ 50/10</w:t>
      </w:r>
    </w:p>
    <w:p>
      <w:pPr>
        <w:spacing w:before="0" w:after="20"/>
        <w:ind w:left="600"/>
      </w:pPr>
      <w:r>
        <w:rPr>
          <w:color w:val="323232"/>
          <w:sz w:val="17"/>
        </w:rPr>
        <w:t>La Côte d'Ivoire, premier producteur mondial de cacao, a fixé le prix bord champ à 1 200 FCFA/kg pour la campagne à venir, malgré la volatilité des marchés internationaux. Cette décision vise à protéger les revenus des producteurs tout en maintenant la compétitivité du pays. Le prix est en hausse par rapport aux campagnes précédentes, reflétant les</w:t>
      </w:r>
    </w:p>
    <w:p>
      <w:pPr>
        <w:spacing w:before="0" w:after="40"/>
        <w:ind w:left="600"/>
      </w:pPr>
      <w:r>
        <w:rPr>
          <w:color w:val="00643C"/>
          <w:sz w:val="16"/>
        </w:rPr>
        <w:t>Points clés : Prix bord champ fixé à 1 200 FCFA/kg, en hausse par rapport aux années précédentes.  •  Décision prise dans un contexte de forte volatilité des cours mondiaux du cacao.  •  Objectif : stabiliser les revenus des producteurs et préserver la filière.  •  Impact potentiel sur les marges des exportateurs et les recettes d'exportation.</w:t>
      </w:r>
    </w:p>
    <w:p>
      <w:pPr>
        <w:spacing w:before="0" w:after="60"/>
        <w:ind w:left="600"/>
      </w:pPr>
      <w:r>
        <w:rPr>
          <w:color w:val="0064B4"/>
          <w:sz w:val="15"/>
        </w:rPr>
        <w:t>Source : https://news.google.com/rss/articles/CBMizwFBVV95cUxQbnJnclk4bXFuc1RQUnBfS1F1LXd</w:t>
      </w:r>
    </w:p>
    <w:p>
      <w:pPr>
        <w:spacing w:before="40" w:after="40"/>
        <w:ind w:left="360"/>
      </w:pPr>
      <w:r>
        <w:rPr>
          <w:color w:val="646464"/>
          <w:sz w:val="17"/>
        </w:rPr>
        <w:t xml:space="preserve">[01/09/2026] ⚪  </w:t>
      </w:r>
      <w:r>
        <w:rPr>
          <w:b/>
          <w:color w:val="505050"/>
          <w:sz w:val="18"/>
        </w:rPr>
        <w:t>Côte d’Ivoire : le prix du cacao reste fixé à 1.200 francs CFA - tv5monde</w:t>
      </w:r>
      <w:r>
        <w:rPr>
          <w:color w:val="787878"/>
          <w:sz w:val="15"/>
        </w:rPr>
        <w:t xml:space="preserve">  [matieres_premieres]</w:t>
      </w:r>
      <w:r>
        <w:rPr>
          <w:color w:val="B47800"/>
          <w:sz w:val="16"/>
        </w:rPr>
        <w:t xml:space="preserve">  ★ 50/10</w:t>
      </w:r>
    </w:p>
    <w:p>
      <w:pPr>
        <w:spacing w:before="0" w:after="20"/>
        <w:ind w:left="600"/>
      </w:pPr>
      <w:r>
        <w:rPr>
          <w:color w:val="323232"/>
          <w:sz w:val="17"/>
        </w:rPr>
        <w:t>Le prix du cacao en Côte d'Ivoire est maintenu à 1.200 francs CFA le kilogramme pour la campagne en cours, selon une annonce officielle. Cette décision vise à stabiliser le marché et à protéger les producteurs, malgré les fluctuations des cours mondiaux. Le maintien de ce prix fixe offre une certaine prévisibilité aux acteurs de la filière, mais po</w:t>
      </w:r>
    </w:p>
    <w:p>
      <w:pPr>
        <w:spacing w:before="0" w:after="40"/>
        <w:ind w:left="600"/>
      </w:pPr>
      <w:r>
        <w:rPr>
          <w:color w:val="00643C"/>
          <w:sz w:val="16"/>
        </w:rPr>
        <w:t>Points clés : Prix du cacao inchangé à 1.200 FCFA/kg en Côte d'Ivoire.  •  Décision prise pour stabiliser le marché et soutenir les producteurs.  •  Impact potentiel sur les revenus des exportateurs et les recettes de l'État.</w:t>
      </w:r>
    </w:p>
    <w:p>
      <w:pPr>
        <w:spacing w:before="0" w:after="60"/>
        <w:ind w:left="600"/>
      </w:pPr>
      <w:r>
        <w:rPr>
          <w:color w:val="0064B4"/>
          <w:sz w:val="15"/>
        </w:rPr>
        <w:t>Source : https://news.google.com/rss/articles/CBMiqgFBVV95cUxNMHRrSnlrRWI3a2tiY09lcmJDa3h</w:t>
      </w:r>
    </w:p>
    <w:p>
      <w:pPr>
        <w:spacing w:before="40" w:after="40"/>
        <w:ind w:left="360"/>
      </w:pPr>
      <w:r>
        <w:rPr>
          <w:color w:val="646464"/>
          <w:sz w:val="17"/>
        </w:rPr>
        <w:t xml:space="preserve">[01/09/2026] ⚪  </w:t>
      </w:r>
      <w:r>
        <w:rPr>
          <w:b/>
          <w:color w:val="505050"/>
          <w:sz w:val="18"/>
        </w:rPr>
        <w:t>Cacao : La Côte d’Ivoire maintient le prix aux producteurs à 1 200 FCFA/kg pour la campagne 2026/2027 - Sika Finance</w:t>
      </w:r>
      <w:r>
        <w:rPr>
          <w:color w:val="787878"/>
          <w:sz w:val="15"/>
        </w:rPr>
        <w:t xml:space="preserve">  [matieres_premieres]</w:t>
      </w:r>
      <w:r>
        <w:rPr>
          <w:color w:val="B47800"/>
          <w:sz w:val="16"/>
        </w:rPr>
        <w:t xml:space="preserve">  ★ 50/10</w:t>
      </w:r>
    </w:p>
    <w:p>
      <w:pPr>
        <w:spacing w:before="0" w:after="20"/>
        <w:ind w:left="600"/>
      </w:pPr>
      <w:r>
        <w:rPr>
          <w:color w:val="323232"/>
          <w:sz w:val="17"/>
        </w:rPr>
        <w:t>La Côte d'Ivoire, premier producteur mondial de cacao, a décidé de maintenir le prix d'achat aux producteurs à 1 200 FCFA/kg pour la campagne 2026/2027. Cette décision vise à stabiliser les revenus des agriculteurs et à soutenir la filière cacaoyère, essentielle pour l'économie ivoirienne. Le maintien de ce prix, malgré les fluctuations du marché m</w:t>
      </w:r>
    </w:p>
    <w:p>
      <w:pPr>
        <w:spacing w:before="0" w:after="40"/>
        <w:ind w:left="600"/>
      </w:pPr>
      <w:r>
        <w:rPr>
          <w:color w:val="00643C"/>
          <w:sz w:val="16"/>
        </w:rPr>
        <w:t>Points clés : Prix du cacao maintenu à 1 200 FCFA/kg pour la campagne 2026/2027 en Côte d'Ivoire.  •  Décision prise pour stabiliser les revenus des producteurs et soutenir la filière.  •  Impact potentiel sur les sociétés agro-industrielles cotées à la BRVM.</w:t>
      </w:r>
    </w:p>
    <w:p>
      <w:pPr>
        <w:spacing w:before="0" w:after="60"/>
        <w:ind w:left="600"/>
      </w:pPr>
      <w:r>
        <w:rPr>
          <w:color w:val="0064B4"/>
          <w:sz w:val="15"/>
        </w:rPr>
        <w:t>Source : https://news.google.com/rss/articles/CBMi1AFBVV95cUxQV2hfdWY1a3lCOWFMU1E2M0hNZkt</w:t>
      </w:r>
    </w:p>
    <w:p>
      <w:pPr>
        <w:spacing w:before="120" w:after="40"/>
      </w:pPr>
      <w:r>
        <w:rPr>
          <w:b/>
          <w:color w:val="00467F"/>
          <w:sz w:val="20"/>
        </w:rPr>
        <w:t>🔑 politique  (7 alerte(s))</w:t>
      </w:r>
    </w:p>
    <w:p>
      <w:pPr>
        <w:spacing w:before="40" w:after="40"/>
        <w:ind w:left="360"/>
      </w:pPr>
      <w:r>
        <w:rPr>
          <w:color w:val="646464"/>
          <w:sz w:val="17"/>
        </w:rPr>
        <w:t xml:space="preserve">[02/09/2026] 🔴  </w:t>
      </w:r>
      <w:r>
        <w:rPr>
          <w:b/>
          <w:color w:val="C00000"/>
          <w:sz w:val="18"/>
        </w:rPr>
        <w:t>Au Togo, le trompe-l’œil de la nouvelle Constitution - afriquexxi.info</w:t>
      </w:r>
      <w:r>
        <w:rPr>
          <w:color w:val="787878"/>
          <w:sz w:val="15"/>
        </w:rPr>
        <w:t xml:space="preserve">  [politique]</w:t>
      </w:r>
      <w:r>
        <w:rPr>
          <w:color w:val="B47800"/>
          <w:sz w:val="16"/>
        </w:rPr>
        <w:t xml:space="preserve">  ★ 50/10</w:t>
      </w:r>
    </w:p>
    <w:p>
      <w:pPr>
        <w:spacing w:before="0" w:after="20"/>
        <w:ind w:left="600"/>
      </w:pPr>
      <w:r>
        <w:rPr>
          <w:color w:val="323232"/>
          <w:sz w:val="17"/>
        </w:rPr>
        <w:t>L'article analyse la nouvelle Constitution togolaise, adoptée en 2024, qui instaure un régime parlementaire avec un président du Conseil des ministres puissant, tout en maintenant le président de la République comme chef de l'État. Il souligne que cette réforme, présentée comme une avancée démocratique, renforce en réalité le contrôle du parti au p</w:t>
      </w:r>
    </w:p>
    <w:p>
      <w:pPr>
        <w:spacing w:before="0" w:after="40"/>
        <w:ind w:left="600"/>
      </w:pPr>
      <w:r>
        <w:rPr>
          <w:color w:val="00643C"/>
          <w:sz w:val="16"/>
        </w:rPr>
        <w:t>Points clés : Nouvelle Constitution togolaise instaure un régime parlementaire avec un président du Conseil des ministres, mais le président de la République conserve des prérogatives importantes.  •  La réforme est perçue comme un outil de consolidation du pouvoir de l'exécutif et du parti au pouvoir, plutôt qu'une réelle démocratisation.  •  Le contexte politique togolais reste marqué par des tensions et des critiques de l'opposition sur la transparence du processus.</w:t>
      </w:r>
    </w:p>
    <w:p>
      <w:pPr>
        <w:spacing w:before="0" w:after="60"/>
        <w:ind w:left="600"/>
      </w:pPr>
      <w:r>
        <w:rPr>
          <w:color w:val="0064B4"/>
          <w:sz w:val="15"/>
        </w:rPr>
        <w:t>Source : https://news.google.com/rss/articles/CBMiggFBVV95cUxQZ3pDbWVTU0dNbWdzSGV3Zm9TUWN</w:t>
      </w:r>
    </w:p>
    <w:p>
      <w:pPr>
        <w:spacing w:before="40" w:after="40"/>
        <w:ind w:left="360"/>
      </w:pPr>
      <w:r>
        <w:rPr>
          <w:color w:val="646464"/>
          <w:sz w:val="17"/>
        </w:rPr>
        <w:t xml:space="preserve">[01/09/2026] ⚪  </w:t>
      </w:r>
      <w:r>
        <w:rPr>
          <w:b/>
          <w:color w:val="505050"/>
          <w:sz w:val="18"/>
        </w:rPr>
        <w:t>Sénégal : la Déclaration de politique générale du Premier ministre programmée au 8 septembre - Xalima</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présentera sa Déclaration de politique générale le 8 septembre, selon Xalima. Cette annonce intervient dans un contexte politique où les investisseurs attendent des clarifications sur les orientations économiques du gouvernement. La déclaration pourrait influencer la confiance des marchés financiers régionaux, notamme</w:t>
      </w:r>
    </w:p>
    <w:p>
      <w:pPr>
        <w:spacing w:before="0" w:after="40"/>
        <w:ind w:left="600"/>
      </w:pPr>
      <w:r>
        <w:rPr>
          <w:color w:val="00643C"/>
          <w:sz w:val="16"/>
        </w:rPr>
        <w:t>Points clés : Date de la déclaration fixée au 8 septembre  •  Attente des investisseurs sur les réformes économiques</w:t>
      </w:r>
    </w:p>
    <w:p>
      <w:pPr>
        <w:spacing w:before="0" w:after="60"/>
        <w:ind w:left="600"/>
      </w:pPr>
      <w:r>
        <w:rPr>
          <w:color w:val="0064B4"/>
          <w:sz w:val="15"/>
        </w:rPr>
        <w:t>Source : https://news.google.com/rss/articles/CBMiwAFBVV95cUxNOXE5VXFGajZxTE1jVFYxeXJnSkl</w:t>
      </w:r>
    </w:p>
    <w:p>
      <w:pPr>
        <w:spacing w:before="40" w:after="40"/>
        <w:ind w:left="360"/>
      </w:pPr>
      <w:r>
        <w:rPr>
          <w:color w:val="646464"/>
          <w:sz w:val="17"/>
        </w:rPr>
        <w:t xml:space="preserve">[01/09/2026] 🔴  </w:t>
      </w:r>
      <w:r>
        <w:rPr>
          <w:b/>
          <w:color w:val="C00000"/>
          <w:sz w:val="18"/>
        </w:rPr>
        <w:t>Sénégal : quand la chasse aux mendiants étrangers ravive la xénophobie - Mali Actu</w:t>
      </w:r>
      <w:r>
        <w:rPr>
          <w:color w:val="787878"/>
          <w:sz w:val="15"/>
        </w:rPr>
        <w:t xml:space="preserve">  [politique]</w:t>
      </w:r>
      <w:r>
        <w:rPr>
          <w:color w:val="B47800"/>
          <w:sz w:val="16"/>
        </w:rPr>
        <w:t xml:space="preserve">  ★ 50/10</w:t>
      </w:r>
    </w:p>
    <w:p>
      <w:pPr>
        <w:spacing w:before="0" w:after="20"/>
        <w:ind w:left="600"/>
      </w:pPr>
      <w:r>
        <w:rPr>
          <w:color w:val="323232"/>
          <w:sz w:val="17"/>
        </w:rPr>
        <w:t>Le Sénégal a lancé une opération de lutte contre la mendicité visant principalement les étrangers, ce qui suscite des tensions et ravive des sentiments xénophobes. Cette politique, bien que motivée par des considérations sociales et sécuritaires, pourrait nuire à l'image du pays et à sa cohésion sociale. L'article de Mali Actu met en lumière les ri</w:t>
      </w:r>
    </w:p>
    <w:p>
      <w:pPr>
        <w:spacing w:before="0" w:after="40"/>
        <w:ind w:left="600"/>
      </w:pPr>
      <w:r>
        <w:rPr>
          <w:color w:val="00643C"/>
          <w:sz w:val="16"/>
        </w:rPr>
        <w:t>Points clés : Opération de lutte contre la mendicité ciblant les étrangers au Sénégal.  •  Risque de montée de la xénophobie et de tensions sociales.  •  Impact potentiel sur l'image du Sénégal et ses relations avec les pays voisins.</w:t>
      </w:r>
    </w:p>
    <w:p>
      <w:pPr>
        <w:spacing w:before="0" w:after="60"/>
        <w:ind w:left="600"/>
      </w:pPr>
      <w:r>
        <w:rPr>
          <w:color w:val="0064B4"/>
          <w:sz w:val="15"/>
        </w:rPr>
        <w:t>Source : https://news.google.com/rss/articles/CBMibEFVX3lxTE9Zc0l4S1Q4T19HcGFLdzFXWndBOW5</w:t>
      </w:r>
    </w:p>
    <w:p>
      <w:pPr>
        <w:spacing w:before="40" w:after="40"/>
        <w:ind w:left="360"/>
      </w:pPr>
      <w:r>
        <w:rPr>
          <w:color w:val="646464"/>
          <w:sz w:val="17"/>
        </w:rPr>
        <w:t xml:space="preserve">[01/09/2026] ⚪  </w:t>
      </w:r>
      <w:r>
        <w:rPr>
          <w:b/>
          <w:color w:val="505050"/>
          <w:sz w:val="18"/>
        </w:rPr>
        <w:t>5 questions pour comprendre pourquoi les tensions se cristallisent sur la frontière Sénégal-Gambie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analyse les tensions frontalières entre le Sénégal et la Gambie, qui se cristallisent autour de différends territoriaux et de contrôles douaniers. Ces tensions surviennent dans un contexte de coopération économique régionale au sein de l'UEMOA, mais pourraient perturber les échanges commerciaux et la stabilité politique l</w:t>
      </w:r>
    </w:p>
    <w:p>
      <w:pPr>
        <w:spacing w:before="0" w:after="40"/>
        <w:ind w:left="600"/>
      </w:pPr>
      <w:r>
        <w:rPr>
          <w:color w:val="00643C"/>
          <w:sz w:val="16"/>
        </w:rPr>
        <w:t>Points clés : Tensions frontalières entre le Sénégal et la Gambie sur des questions de souveraineté et de contrôle des flux.  •  Risque de perturbation des échanges commerciaux dans la zone UEMOA, notamment pour les corridors de transport.  •  Nécessité d'une médiation régionale pour éviter une escalade et préserver l'intégration économique.</w:t>
      </w:r>
    </w:p>
    <w:p>
      <w:pPr>
        <w:spacing w:before="0" w:after="60"/>
        <w:ind w:left="600"/>
      </w:pPr>
      <w:r>
        <w:rPr>
          <w:color w:val="0064B4"/>
          <w:sz w:val="15"/>
        </w:rPr>
        <w:t>Source : https://news.google.com/rss/articles/CBMi4wFBVV95cUxQUmdNc0VmeXJaMzE3YndUT3kyelp</w:t>
      </w:r>
    </w:p>
    <w:p>
      <w:pPr>
        <w:spacing w:before="40" w:after="40"/>
        <w:ind w:left="360"/>
      </w:pPr>
      <w:r>
        <w:rPr>
          <w:color w:val="646464"/>
          <w:sz w:val="17"/>
        </w:rPr>
        <w:t xml:space="preserve">[01/09/2026] 🔴  </w:t>
      </w:r>
      <w:r>
        <w:rPr>
          <w:b/>
          <w:color w:val="C00000"/>
          <w:sz w:val="18"/>
        </w:rPr>
        <w:t>Sénégal : L’Assemblée nationale ouvre une 2ᵉ session extraordinaire sur fond de crise politique - 24heureinfo.com</w:t>
      </w:r>
      <w:r>
        <w:rPr>
          <w:color w:val="787878"/>
          <w:sz w:val="15"/>
        </w:rPr>
        <w:t xml:space="preserve">  [politique]</w:t>
      </w:r>
      <w:r>
        <w:rPr>
          <w:color w:val="B47800"/>
          <w:sz w:val="16"/>
        </w:rPr>
        <w:t xml:space="preserve">  ★ 50/10</w:t>
      </w:r>
    </w:p>
    <w:p>
      <w:pPr>
        <w:spacing w:before="0" w:after="20"/>
        <w:ind w:left="600"/>
      </w:pPr>
      <w:r>
        <w:rPr>
          <w:color w:val="323232"/>
          <w:sz w:val="17"/>
        </w:rPr>
        <w:t>Le Sénégal traverse une crise politique qui a conduit à l'ouverture d'une deuxième session extraordinaire de l'Assemblée nationale. Cette situation reflète des tensions institutionnelles et politiques dans un pays clé de l'UEMOA. La crise pourrait affecter la confiance des investisseurs et la stabilité économique régionale. Les décisions prises lor</w:t>
      </w:r>
    </w:p>
    <w:p>
      <w:pPr>
        <w:spacing w:before="0" w:after="40"/>
        <w:ind w:left="600"/>
      </w:pPr>
      <w:r>
        <w:rPr>
          <w:color w:val="00643C"/>
          <w:sz w:val="16"/>
        </w:rPr>
        <w:t>Points clés : Ouverture d'une deuxième session extraordinaire de l'Assemblée nationale sénégalaise.  •  Contexte de crise politique persistante au Sénégal.  •  Pays membre de l'UEMOA, son instabilité peut avoir des répercussions régionales.</w:t>
      </w:r>
    </w:p>
    <w:p>
      <w:pPr>
        <w:spacing w:before="0" w:after="60"/>
        <w:ind w:left="600"/>
      </w:pPr>
      <w:r>
        <w:rPr>
          <w:color w:val="0064B4"/>
          <w:sz w:val="15"/>
        </w:rPr>
        <w:t>Source : https://news.google.com/rss/articles/CBMizgFBVV95cUxNcHlKLXJWOE42b0NNSlBNdkNlSkh</w:t>
      </w:r>
    </w:p>
    <w:p>
      <w:pPr>
        <w:spacing w:before="120" w:after="40"/>
      </w:pPr>
      <w:r>
        <w:rPr>
          <w:b/>
          <w:color w:val="00467F"/>
          <w:sz w:val="20"/>
        </w:rPr>
        <w:t>🔑 marche_financier  (2 alerte(s))</w:t>
      </w:r>
    </w:p>
    <w:p>
      <w:pPr>
        <w:spacing w:before="40" w:after="40"/>
        <w:ind w:left="360"/>
      </w:pPr>
      <w:r>
        <w:rPr>
          <w:color w:val="646464"/>
          <w:sz w:val="17"/>
        </w:rPr>
        <w:t xml:space="preserve">[01/09/2026] 🟢  </w:t>
      </w:r>
      <w:r>
        <w:rPr>
          <w:b/>
          <w:color w:val="008000"/>
          <w:sz w:val="18"/>
        </w:rPr>
        <w:t>La Tanzanie ouvre son marché des obligations d'État à tous les investisseurs étrangers - dabafinance.com</w:t>
      </w:r>
      <w:r>
        <w:rPr>
          <w:color w:val="787878"/>
          <w:sz w:val="15"/>
        </w:rPr>
        <w:t xml:space="preserve">  [marche_financier]</w:t>
      </w:r>
      <w:r>
        <w:rPr>
          <w:color w:val="B47800"/>
          <w:sz w:val="16"/>
        </w:rPr>
        <w:t xml:space="preserve">  ★ 50/10</w:t>
      </w:r>
    </w:p>
    <w:p>
      <w:pPr>
        <w:spacing w:before="0" w:after="20"/>
        <w:ind w:left="600"/>
      </w:pPr>
      <w:r>
        <w:rPr>
          <w:color w:val="323232"/>
          <w:sz w:val="17"/>
        </w:rPr>
        <w:t>La Tanzanie a décidé d'ouvrir son marché des obligations d'État à tous les investisseurs étrangers, une mesure visant à attirer davantage de capitaux internationaux et à dynamiser son marché financier. Cette décision s'inscrit dans une tendance plus large d'ouverture des marchés financiers africains aux investisseurs mondiaux. Elle pourrait renforc</w:t>
      </w:r>
    </w:p>
    <w:p>
      <w:pPr>
        <w:spacing w:before="0" w:after="40"/>
        <w:ind w:left="600"/>
      </w:pPr>
      <w:r>
        <w:rPr>
          <w:color w:val="00643C"/>
          <w:sz w:val="16"/>
        </w:rPr>
        <w:t>Points clés : La Tanzanie autorise désormais tous les investisseurs étrangers à participer à son marché obligataire.  •  Cette mesure vise à accroître la liquidité et à attirer des capitaux internationaux.  •  Elle reflète une tendance d'ouverture des marchés financiers africains.</w:t>
      </w:r>
    </w:p>
    <w:p>
      <w:pPr>
        <w:spacing w:before="0" w:after="60"/>
        <w:ind w:left="600"/>
      </w:pPr>
      <w:r>
        <w:rPr>
          <w:color w:val="0064B4"/>
          <w:sz w:val="15"/>
        </w:rPr>
        <w:t>Source : https://news.google.com/rss/articles/CBMiugFBVV95cUxQaEsyQVQ2NFVxU2wtM0VQZk5IbUZ</w:t>
      </w:r>
    </w:p>
    <w:p>
      <w:pPr>
        <w:spacing w:before="40" w:after="40"/>
        <w:ind w:left="360"/>
      </w:pPr>
      <w:r>
        <w:rPr>
          <w:color w:val="646464"/>
          <w:sz w:val="17"/>
        </w:rPr>
        <w:t xml:space="preserve">[31/08/2026] 🟢  </w:t>
      </w:r>
      <w:r>
        <w:rPr>
          <w:b/>
          <w:color w:val="008000"/>
          <w:sz w:val="18"/>
        </w:rPr>
        <w:t>Afrique économie - BRVM, la bourse solidaire de l’Afrique de l’Ouest [2/5] - RFI</w:t>
      </w:r>
      <w:r>
        <w:rPr>
          <w:color w:val="787878"/>
          <w:sz w:val="15"/>
        </w:rPr>
        <w:t xml:space="preserve">  [marche_financier]</w:t>
      </w:r>
      <w:r>
        <w:rPr>
          <w:color w:val="B47800"/>
          <w:sz w:val="16"/>
        </w:rPr>
        <w:t xml:space="preserve">  ★ 50/10</w:t>
      </w:r>
    </w:p>
    <w:p>
      <w:pPr>
        <w:spacing w:before="0" w:after="20"/>
        <w:ind w:left="600"/>
      </w:pPr>
      <w:r>
        <w:rPr>
          <w:color w:val="323232"/>
          <w:sz w:val="17"/>
        </w:rPr>
        <w:t>Cet article de RFI présente la BRVM comme une bourse solidaire en Afrique de l'Ouest, mettant en avant son rôle dans le financement des économies de l'UEMOA. Il souligne son intégration régionale et son potentiel de développement, tout en évoquant les défis de liquidité et d'accès aux marchés. La BRVM est présentée comme un acteur clé pour l'invest</w:t>
      </w:r>
    </w:p>
    <w:p>
      <w:pPr>
        <w:spacing w:before="0" w:after="40"/>
        <w:ind w:left="600"/>
      </w:pPr>
      <w:r>
        <w:rPr>
          <w:color w:val="00643C"/>
          <w:sz w:val="16"/>
        </w:rPr>
        <w:t>Points clés : La BRVM est une bourse régionale intégrée couvrant huit pays de l'UEMOA.  •  Elle joue un rôle de financement des entreprises et des États, avec une dimension solidaire.  •  L'article met en avant les opportunités de croissance et les défis de liquidité du marché.</w:t>
      </w:r>
    </w:p>
    <w:p>
      <w:pPr>
        <w:spacing w:before="0" w:after="60"/>
        <w:ind w:left="600"/>
      </w:pPr>
      <w:r>
        <w:rPr>
          <w:color w:val="0064B4"/>
          <w:sz w:val="15"/>
        </w:rPr>
        <w:t>Source : https://news.google.com/rss/articles/CBMitAFBVV95cUxNR0VhUklZQ0piV0tnUV9zQXZoS2l</w:t>
      </w:r>
    </w:p>
    <w:p>
      <w:pPr>
        <w:spacing w:before="120" w:after="40"/>
      </w:pPr>
      <w:r>
        <w:rPr>
          <w:b/>
          <w:color w:val="00467F"/>
          <w:sz w:val="20"/>
        </w:rPr>
        <w:t>🔑 politique_monetaire  (1 alerte(s))</w:t>
      </w:r>
    </w:p>
    <w:p>
      <w:pPr>
        <w:spacing w:before="40" w:after="40"/>
        <w:ind w:left="360"/>
      </w:pPr>
      <w:r>
        <w:rPr>
          <w:color w:val="646464"/>
          <w:sz w:val="17"/>
        </w:rPr>
        <w:t xml:space="preserve">[31/08/2026] 🟢  </w:t>
      </w:r>
      <w:r>
        <w:rPr>
          <w:b/>
          <w:color w:val="008000"/>
          <w:sz w:val="18"/>
        </w:rPr>
        <w:t>BCEAO : le taux directeur maintenu à 3 %, l'inflation régionale sous contrôle - Leral.net</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BCEAO a décidé de maintenir son taux directeur à 3 %, signalant une stabilité monétaire dans l'UEMOA. L'inflation régionale est jugée sous contrôle, ce qui réduit les pressions sur les coûts de financement. Cette décision vise à soutenir la croissance économique tout en préservant la stabilité des prix. Les marchés financiers de la région, dont </w:t>
      </w:r>
    </w:p>
    <w:p>
      <w:pPr>
        <w:spacing w:before="0" w:after="40"/>
        <w:ind w:left="600"/>
      </w:pPr>
      <w:r>
        <w:rPr>
          <w:color w:val="00643C"/>
          <w:sz w:val="16"/>
        </w:rPr>
        <w:t>Points clés : Taux directeur maintenu à 3 % par la BCEAO.  •  Inflation régionale sous contrôle dans l'UEMOA.</w:t>
      </w:r>
    </w:p>
    <w:p>
      <w:pPr>
        <w:spacing w:before="0" w:after="60"/>
        <w:ind w:left="600"/>
      </w:pPr>
      <w:r>
        <w:rPr>
          <w:color w:val="0064B4"/>
          <w:sz w:val="15"/>
        </w:rPr>
        <w:t>Source : https://news.google.com/rss/articles/CBMirAFBVV95cUxQSU0xc2dsZFRneWZTTWlHRndFeGR</w:t>
      </w:r>
    </w:p>
    <w:p>
      <w:pPr>
        <w:spacing w:before="120" w:after="40"/>
      </w:pPr>
      <w:r>
        <w:rPr>
          <w:b/>
          <w:color w:val="00467F"/>
          <w:sz w:val="20"/>
        </w:rPr>
        <w:t>🔑 économique  (2 alerte(s))</w:t>
      </w:r>
    </w:p>
    <w:p>
      <w:pPr>
        <w:spacing w:before="40" w:after="40"/>
        <w:ind w:left="360"/>
      </w:pPr>
      <w:r>
        <w:rPr>
          <w:color w:val="646464"/>
          <w:sz w:val="17"/>
        </w:rPr>
        <w:t xml:space="preserve">[30/08/2026] ⚪  </w:t>
      </w:r>
      <w:r>
        <w:rPr>
          <w:b/>
          <w:color w:val="505050"/>
          <w:sz w:val="18"/>
        </w:rPr>
        <w:t>Afrique du Sud : 56 milliards de dollars d'investissement public face à une croissance atone - lenouveleconomiste.fr</w:t>
      </w:r>
      <w:r>
        <w:rPr>
          <w:color w:val="787878"/>
          <w:sz w:val="15"/>
        </w:rPr>
        <w:t xml:space="preserve">  [économique]</w:t>
      </w:r>
      <w:r>
        <w:rPr>
          <w:color w:val="B47800"/>
          <w:sz w:val="16"/>
        </w:rPr>
        <w:t xml:space="preserve">  ★ 50/10</w:t>
      </w:r>
    </w:p>
    <w:p>
      <w:pPr>
        <w:spacing w:before="0" w:after="20"/>
        <w:ind w:left="600"/>
      </w:pPr>
      <w:r>
        <w:rPr>
          <w:color w:val="323232"/>
          <w:sz w:val="17"/>
        </w:rPr>
        <w:t>L'Afrique du Sud prévoit un investissement public massif de 56 milliards de dollars, mais cette initiative est confrontée à une croissance économique atone. Ce contraste soulève des inquiétudes quant à l'efficacité de ces dépenses pour relancer l'économie. Le pays cherche à stimuler son développement malgré des défis structurels persistants.</w:t>
      </w:r>
    </w:p>
    <w:p>
      <w:pPr>
        <w:spacing w:before="0" w:after="40"/>
        <w:ind w:left="600"/>
      </w:pPr>
      <w:r>
        <w:rPr>
          <w:color w:val="00643C"/>
          <w:sz w:val="16"/>
        </w:rPr>
        <w:t>Points clés : Investissement public de 56 milliards de dollars en Afrique du Sud.  •  Croissance économique atone, remettant en cause l'impact de ces investissements.</w:t>
      </w:r>
    </w:p>
    <w:p>
      <w:pPr>
        <w:spacing w:before="0" w:after="60"/>
        <w:ind w:left="600"/>
      </w:pPr>
      <w:r>
        <w:rPr>
          <w:color w:val="0064B4"/>
          <w:sz w:val="15"/>
        </w:rPr>
        <w:t>Source : https://news.google.com/rss/articles/CBMiywFBVV95cUxNZU41WF8zRzBicC1nTTJCbElSZXN</w:t>
      </w:r>
    </w:p>
    <w:p>
      <w:pPr>
        <w:spacing w:before="40" w:after="40"/>
        <w:ind w:left="360"/>
      </w:pPr>
      <w:r>
        <w:rPr>
          <w:color w:val="646464"/>
          <w:sz w:val="17"/>
        </w:rPr>
        <w:t xml:space="preserve">[30/08/2026] ⚪  </w:t>
      </w:r>
      <w:r>
        <w:rPr>
          <w:b/>
          <w:color w:val="505050"/>
          <w:sz w:val="18"/>
        </w:rPr>
        <w:t>AFRIQUE DE L’OUEST - QUELLE MONNAIE POUR QUELLE AFRIQUE DE L’OUEST ? - Le Club de Mediapart</w:t>
      </w:r>
      <w:r>
        <w:rPr>
          <w:color w:val="787878"/>
          <w:sz w:val="15"/>
        </w:rPr>
        <w:t xml:space="preserve">  [économique]</w:t>
      </w:r>
      <w:r>
        <w:rPr>
          <w:color w:val="B47800"/>
          <w:sz w:val="16"/>
        </w:rPr>
        <w:t xml:space="preserve">  ★ 50/10</w:t>
      </w:r>
    </w:p>
    <w:p>
      <w:pPr>
        <w:spacing w:before="0" w:after="20"/>
        <w:ind w:left="600"/>
      </w:pPr>
      <w:r>
        <w:rPr>
          <w:color w:val="323232"/>
          <w:sz w:val="17"/>
        </w:rPr>
        <w:t>L'article traite de la question monétaire en Afrique de l'Ouest, en interrogeant le choix de la monnaie pour la région. Il aborde les enjeux économiques et politiques liés à la monnaie unique, notamment le franc CFA et les projets de réforme. L'analyse porte sur les implications pour les pays membres de la CEDEAO et les perspectives d'intégration r</w:t>
      </w:r>
    </w:p>
    <w:p>
      <w:pPr>
        <w:spacing w:before="0" w:after="40"/>
        <w:ind w:left="600"/>
      </w:pPr>
      <w:r>
        <w:rPr>
          <w:color w:val="00643C"/>
          <w:sz w:val="16"/>
        </w:rPr>
        <w:t>Points clés : Débat sur la pertinence du franc CFA et les alternatives possibles pour l'Afrique de l'Ouest.  •  Enjeux de souveraineté monétaire et d'intégration économique régionale.</w:t>
      </w:r>
    </w:p>
    <w:p>
      <w:pPr>
        <w:spacing w:before="0" w:after="60"/>
        <w:ind w:left="600"/>
      </w:pPr>
      <w:r>
        <w:rPr>
          <w:color w:val="0064B4"/>
          <w:sz w:val="15"/>
        </w:rPr>
        <w:t>Source : https://news.google.com/rss/articles/CBMivgFBVV95cUxOcGZTNW9FUzJpN29tQkIycUNweFJ</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2,450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9,350</w:t>
            </w:r>
          </w:p>
        </w:tc>
        <w:tc>
          <w:tcPr>
            <w:tcW w:type="dxa" w:w="1080"/>
            <w:shd w:fill="C6EFCE" w:val="clear"/>
          </w:tcPr>
          <w:p>
            <w:r>
              <w:rPr>
                <w:b/>
                <w:sz w:val="16"/>
              </w:rPr>
              <w:t>74/100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12,495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5,455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2,925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37,000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6,480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8,250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2,090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3,845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2,400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10,245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16,200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2,435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17,250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9,750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3,395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21,500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9,000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30,605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6,600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6,200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12,750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3,000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17,000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3,590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8,300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29,900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3,185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1,570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9,200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68</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9,260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2,385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2,830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3,855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8,295</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38,040</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22,400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4,490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54,600</w:t>
            </w:r>
          </w:p>
        </w:tc>
        <w:tc>
          <w:tcPr>
            <w:tcW w:type="dxa" w:w="1080"/>
            <w:shd w:fill="EBF5FB" w:val="clear"/>
          </w:tcPr>
          <w:p>
            <w:r>
              <w:rPr>
                <w:b/>
                <w:sz w:val="16"/>
              </w:rPr>
              <w:t>55/100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2,450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6,480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8,250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2,090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3,495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CFAC</w:t>
            </w:r>
          </w:p>
        </w:tc>
        <w:tc>
          <w:tcPr>
            <w:tcW w:type="dxa" w:w="1728"/>
            <w:shd w:fill="DEEAF1" w:val="clear"/>
          </w:tcPr>
          <w:p>
            <w:r>
              <w:rPr>
                <w:sz w:val="17"/>
              </w:rPr>
              <w:t>CFAC - CFAO MOTORS CI</w:t>
            </w:r>
          </w:p>
        </w:tc>
        <w:tc>
          <w:tcPr>
            <w:tcW w:type="dxa" w:w="1728"/>
            <w:shd w:fill="DEEAF1" w:val="clear"/>
          </w:tcPr>
          <w:p>
            <w:r>
              <w:rPr>
                <w:sz w:val="17"/>
              </w:rPr>
              <w:t>1,680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2,435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17,000</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2,450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9,350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12,495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5,455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2,925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37,000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BOAM</w:t>
            </w:r>
          </w:p>
        </w:tc>
        <w:tc>
          <w:tcPr>
            <w:tcW w:type="dxa" w:w="1728"/>
            <w:shd w:fill="E2EFDA" w:val="clear"/>
          </w:tcPr>
          <w:p>
            <w:r>
              <w:rPr>
                <w:sz w:val="17"/>
              </w:rPr>
              <w:t>BANK OF AFRICA MALI</w:t>
            </w:r>
          </w:p>
        </w:tc>
        <w:tc>
          <w:tcPr>
            <w:tcW w:type="dxa" w:w="1728"/>
            <w:shd w:fill="E2EFDA" w:val="clear"/>
          </w:tcPr>
          <w:p>
            <w:r>
              <w:rPr>
                <w:sz w:val="17"/>
              </w:rPr>
              <w:t>6,480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8,250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2,450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9,350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12,495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5,455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2,925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37,000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BOAM</w:t>
            </w:r>
          </w:p>
        </w:tc>
        <w:tc>
          <w:tcPr>
            <w:tcW w:type="dxa" w:w="1728"/>
            <w:shd w:fill="FCE4D6" w:val="clear"/>
          </w:tcPr>
          <w:p>
            <w:r>
              <w:rPr>
                <w:sz w:val="17"/>
              </w:rPr>
              <w:t>BANK OF AFRICA MALI</w:t>
            </w:r>
          </w:p>
        </w:tc>
        <w:tc>
          <w:tcPr>
            <w:tcW w:type="dxa" w:w="1728"/>
            <w:shd w:fill="FCE4D6" w:val="clear"/>
          </w:tcPr>
          <w:p>
            <w:r>
              <w:rPr>
                <w:sz w:val="17"/>
              </w:rPr>
              <w:t>6,480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8,250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(81.2 &gt; 70) — risque de correction</w:t>
      </w:r>
    </w:p>
    <w:p>
      <w:pPr>
        <w:pStyle w:val="ListBullet"/>
        <w:spacing w:before="20"/>
        <w:ind w:left="400"/>
      </w:pPr>
      <w:r>
        <w:rPr>
          <w:sz w:val="18"/>
        </w:rPr>
        <w:t>⚠️ Cours à 0.0% du plus haut 100j (9,350 FCFA)</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RSI surachat (94.6 &gt; 70) — risque de correction</w:t>
      </w:r>
    </w:p>
    <w:p>
      <w:pPr>
        <w:pStyle w:val="ListBullet"/>
        <w:spacing w:before="20"/>
        <w:ind w:left="400"/>
      </w:pPr>
      <w:r>
        <w:rPr>
          <w:sz w:val="18"/>
        </w:rPr>
        <w:t>⚠️ Cours à 0.0% du plus haut 100j (2,400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(91.7 &gt; 70) — risque de correction</w:t>
      </w:r>
    </w:p>
    <w:p>
      <w:pPr>
        <w:pStyle w:val="ListBullet"/>
        <w:spacing w:before="20"/>
        <w:ind w:left="400"/>
      </w:pPr>
      <w:r>
        <w:rPr>
          <w:sz w:val="18"/>
        </w:rPr>
        <w:t>⚠️ Cours à 0.0% du plus haut 100j (3,845 FCFA)</w:t>
      </w:r>
    </w:p>
    <w:p>
      <w:pPr>
        <w:spacing w:before="120"/>
      </w:pPr>
      <w:r>
        <w:rPr>
          <w:b/>
          <w:color w:val="0050A0"/>
          <w:sz w:val="20"/>
        </w:rPr>
        <w:t>BOAB — BANK OF AFRICA BENIN</w:t>
      </w:r>
    </w:p>
    <w:p>
      <w:pPr>
        <w:pStyle w:val="ListBullet"/>
        <w:spacing w:before="20"/>
        <w:ind w:left="400"/>
      </w:pPr>
      <w:r>
        <w:rPr>
          <w:sz w:val="18"/>
        </w:rPr>
        <w:t>🔴 RSI surachat (77.5 &gt; 70) — risque de correction</w:t>
      </w:r>
    </w:p>
    <w:p>
      <w:pPr>
        <w:pStyle w:val="ListBullet"/>
        <w:spacing w:before="20"/>
        <w:ind w:left="400"/>
      </w:pPr>
      <w:r>
        <w:rPr>
          <w:sz w:val="18"/>
        </w:rPr>
        <w:t>⚠️ Cours à 1.0% du plus haut 100j (10,350 FCFA)</w:t>
      </w:r>
    </w:p>
    <w:p>
      <w:pPr>
        <w:spacing w:before="120"/>
      </w:pPr>
      <w:r>
        <w:rPr>
          <w:b/>
          <w:color w:val="0050A0"/>
          <w:sz w:val="20"/>
        </w:rPr>
        <w:t>BOABF — BANK OF AFRICA BURKINA FASO</w:t>
      </w:r>
    </w:p>
    <w:p>
      <w:pPr>
        <w:pStyle w:val="ListBullet"/>
        <w:spacing w:before="20"/>
        <w:ind w:left="400"/>
      </w:pPr>
      <w:r>
        <w:rPr>
          <w:sz w:val="18"/>
        </w:rPr>
        <w:t>🔴 RSI surachat (79.2 &gt; 70) — risque de correction</w:t>
      </w:r>
    </w:p>
    <w:p>
      <w:pPr>
        <w:pStyle w:val="ListBullet"/>
        <w:spacing w:before="20"/>
        <w:ind w:left="400"/>
      </w:pPr>
      <w:r>
        <w:rPr>
          <w:sz w:val="18"/>
        </w:rPr>
        <w:t>⚠️ Cours à 1.0% du plus haut 100j (9,090 FCFA)</w:t>
      </w:r>
    </w:p>
    <w:p>
      <w:pPr>
        <w:spacing w:before="120"/>
      </w:pPr>
      <w:r>
        <w:rPr>
          <w:b/>
          <w:color w:val="0050A0"/>
          <w:sz w:val="20"/>
        </w:rPr>
        <w:t>BOAS — BANK OF AFRICA SENEGAL</w:t>
      </w:r>
    </w:p>
    <w:p>
      <w:pPr>
        <w:pStyle w:val="ListBullet"/>
        <w:spacing w:before="20"/>
        <w:ind w:left="400"/>
      </w:pPr>
      <w:r>
        <w:rPr>
          <w:sz w:val="18"/>
        </w:rPr>
        <w:t>🔴 RSI surachat (75.7 &gt; 70) — risque de correction</w:t>
      </w:r>
    </w:p>
    <w:p>
      <w:pPr>
        <w:pStyle w:val="ListBullet"/>
        <w:spacing w:before="20"/>
        <w:ind w:left="400"/>
      </w:pPr>
      <w:r>
        <w:rPr>
          <w:sz w:val="18"/>
        </w:rPr>
        <w:t>⚠️ Cours à 2.9% du plus haut 100j (8,500 FCFA)</w:t>
      </w:r>
    </w:p>
    <w:p>
      <w:pPr>
        <w:spacing w:before="120"/>
      </w:pPr>
      <w:r>
        <w:rPr>
          <w:b/>
          <w:color w:val="0050A0"/>
          <w:sz w:val="20"/>
        </w:rPr>
        <w:t>ECOC — ECOC - ECOBANK COTE D'IVOIRE</w:t>
      </w:r>
    </w:p>
    <w:p>
      <w:pPr>
        <w:pStyle w:val="ListBullet"/>
        <w:spacing w:before="20"/>
        <w:ind w:left="400"/>
      </w:pPr>
      <w:r>
        <w:rPr>
          <w:sz w:val="18"/>
        </w:rPr>
        <w:t>⚠️ Cours à 1.6% du plus haut 100j (17,270 FCFA)</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surachat (89.8 &gt; 70) — risque de correction</w:t>
      </w:r>
    </w:p>
    <w:p>
      <w:pPr>
        <w:pStyle w:val="ListBullet"/>
        <w:spacing w:before="20"/>
        <w:ind w:left="400"/>
      </w:pPr>
      <w:r>
        <w:rPr>
          <w:sz w:val="18"/>
        </w:rPr>
        <w:t>⚠️ Cours à 0.0% du plus haut 100j (3,000 FCFA)</w:t>
      </w:r>
    </w:p>
    <w:p>
      <w:pPr>
        <w:spacing w:before="120"/>
      </w:pPr>
      <w:r>
        <w:rPr>
          <w:b/>
          <w:color w:val="0050A0"/>
          <w:sz w:val="20"/>
        </w:rPr>
        <w:t>ORAC — ORAC - ORANGE COTE D'IVOIRE</w:t>
      </w:r>
    </w:p>
    <w:p>
      <w:pPr>
        <w:pStyle w:val="ListBullet"/>
        <w:spacing w:before="20"/>
        <w:ind w:left="400"/>
      </w:pPr>
      <w:r>
        <w:rPr>
          <w:sz w:val="18"/>
        </w:rPr>
        <w:t>🔴 RSI surachat (86.8 &gt; 70) — risque de correction</w:t>
      </w:r>
    </w:p>
    <w:p>
      <w:pPr>
        <w:pStyle w:val="ListBullet"/>
        <w:spacing w:before="20"/>
        <w:ind w:left="400"/>
      </w:pPr>
      <w:r>
        <w:rPr>
          <w:sz w:val="18"/>
        </w:rPr>
        <w:t>⚠️ Cours à 0.0% du plus haut 100j (21,500 FCFA)</w:t>
      </w:r>
    </w:p>
    <w:p>
      <w:pPr>
        <w:spacing w:before="120"/>
      </w:pPr>
      <w:r>
        <w:rPr>
          <w:b/>
          <w:color w:val="0050A0"/>
          <w:sz w:val="20"/>
        </w:rPr>
        <w:t>SDCC — SDCC - Société de Distribution d'Eau de Côte d'Ivoire</w:t>
      </w:r>
    </w:p>
    <w:p>
      <w:pPr>
        <w:pStyle w:val="ListBullet"/>
        <w:spacing w:before="20"/>
        <w:ind w:left="400"/>
      </w:pPr>
      <w:r>
        <w:rPr>
          <w:sz w:val="18"/>
        </w:rPr>
        <w:t>🔴 RSI surachat (76.3 &gt; 70) — risque de correction</w:t>
      </w:r>
    </w:p>
    <w:p>
      <w:pPr>
        <w:pStyle w:val="ListBullet"/>
        <w:spacing w:before="20"/>
        <w:ind w:left="400"/>
      </w:pPr>
      <w:r>
        <w:rPr>
          <w:sz w:val="18"/>
        </w:rPr>
        <w:t>⚠️ Cours à 1.9% du plus haut 100j (13,000 FCFA)</w:t>
      </w:r>
    </w:p>
    <w:p>
      <w:pPr>
        <w:spacing w:before="120"/>
      </w:pPr>
      <w:r>
        <w:rPr>
          <w:b/>
          <w:color w:val="0050A0"/>
          <w:sz w:val="20"/>
        </w:rPr>
        <w:t>SNTS — SNTS - SONATEL SN</w:t>
      </w:r>
    </w:p>
    <w:p>
      <w:pPr>
        <w:pStyle w:val="ListBullet"/>
        <w:spacing w:before="20"/>
        <w:ind w:left="400"/>
      </w:pPr>
      <w:r>
        <w:rPr>
          <w:sz w:val="18"/>
        </w:rPr>
        <w:t>🔴 RSI surachat (74.6 &gt; 70) — risque de correction</w:t>
      </w:r>
    </w:p>
    <w:p>
      <w:pPr>
        <w:pStyle w:val="ListBullet"/>
        <w:spacing w:before="20"/>
        <w:ind w:left="400"/>
      </w:pPr>
      <w:r>
        <w:rPr>
          <w:sz w:val="18"/>
        </w:rPr>
        <w:t>⚠️ Cours à 0.0% du plus haut 100j (37,000 FCFA)</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(74.2 &gt; 70) — risque de correction</w:t>
      </w:r>
    </w:p>
    <w:p>
      <w:pPr>
        <w:pStyle w:val="ListBullet"/>
        <w:spacing w:before="20"/>
        <w:ind w:left="400"/>
      </w:pPr>
      <w:r>
        <w:rPr>
          <w:sz w:val="18"/>
        </w:rPr>
        <w:t>⚠️ Cours à 0.0% du plus haut 100j (9,750 FCFA)</w:t>
      </w:r>
    </w:p>
    <w:p>
      <w:pPr>
        <w:spacing w:before="120"/>
      </w:pPr>
      <w:r>
        <w:rPr>
          <w:b/>
          <w:color w:val="0050A0"/>
          <w:sz w:val="20"/>
        </w:rPr>
        <w:t>UNXC — UNXC - UNIWAX COTE D'IVOIRE</w:t>
      </w:r>
    </w:p>
    <w:p>
      <w:pPr>
        <w:pStyle w:val="ListBullet"/>
        <w:spacing w:before="20"/>
        <w:ind w:left="400"/>
      </w:pPr>
      <w:r>
        <w:rPr>
          <w:sz w:val="18"/>
        </w:rPr>
        <w:t>🔴 RSI surachat (85.3 &gt; 70) — risque de correction</w:t>
      </w:r>
    </w:p>
    <w:p>
      <w:pPr>
        <w:pStyle w:val="ListBullet"/>
        <w:spacing w:before="20"/>
        <w:ind w:left="400"/>
      </w:pPr>
      <w:r>
        <w:rPr>
          <w:sz w:val="18"/>
        </w:rPr>
        <w:t>⚠️ Cours à 1.8% du plus haut 100j (2,495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0.2% du plus haut 100j (29,970 FCFA)</w:t>
      </w:r>
    </w:p>
    <w:p>
      <w:pPr>
        <w:spacing w:before="120"/>
      </w:pPr>
      <w:r>
        <w:rPr>
          <w:b/>
          <w:color w:val="0050A0"/>
          <w:sz w:val="20"/>
        </w:rPr>
        <w:t>BOAM — BANK OF AFRICA MALI</w:t>
      </w:r>
    </w:p>
    <w:p>
      <w:pPr>
        <w:pStyle w:val="ListBullet"/>
        <w:spacing w:before="20"/>
        <w:ind w:left="400"/>
      </w:pPr>
      <w:r>
        <w:rPr>
          <w:sz w:val="18"/>
        </w:rPr>
        <w:t>🔴 RSI surachat (76.9 &gt; 70) — risque de correction</w:t>
      </w:r>
    </w:p>
    <w:p>
      <w:pPr>
        <w:spacing w:before="120"/>
      </w:pPr>
      <w:r>
        <w:rPr>
          <w:b/>
          <w:color w:val="0050A0"/>
          <w:sz w:val="20"/>
        </w:rPr>
        <w:t>BOAN — BANK OF AFRICA NIGER</w:t>
      </w:r>
    </w:p>
    <w:p>
      <w:pPr>
        <w:pStyle w:val="ListBullet"/>
        <w:spacing w:before="20"/>
        <w:ind w:left="400"/>
      </w:pPr>
      <w:r>
        <w:rPr>
          <w:sz w:val="18"/>
        </w:rPr>
        <w:t>🔴 RSI surachat (74.2 &gt; 70) — risque de correction</w:t>
      </w:r>
    </w:p>
    <w:p>
      <w:pPr>
        <w:spacing w:before="120"/>
      </w:pPr>
      <w:r>
        <w:rPr>
          <w:b/>
          <w:color w:val="0050A0"/>
          <w:sz w:val="20"/>
        </w:rPr>
        <w:t>CBIBF — CBIBF - CORIS BANK INTERNATIONAL BURKINA FASO</w:t>
      </w:r>
    </w:p>
    <w:p>
      <w:pPr>
        <w:pStyle w:val="ListBullet"/>
        <w:spacing w:before="20"/>
        <w:ind w:left="400"/>
      </w:pPr>
      <w:r>
        <w:rPr>
          <w:sz w:val="18"/>
        </w:rPr>
        <w:t>⚠️ Cours à 0.0% du plus haut 100j (30,605 FCFA)</w:t>
      </w:r>
    </w:p>
    <w:p>
      <w:pPr>
        <w:spacing w:before="120"/>
      </w:pPr>
      <w:r>
        <w:rPr>
          <w:b/>
          <w:color w:val="0050A0"/>
          <w:sz w:val="20"/>
        </w:rPr>
        <w:t>CIEC — CIEC - Compagnie Ivoirienne d'Electricité</w:t>
      </w:r>
    </w:p>
    <w:p>
      <w:pPr>
        <w:pStyle w:val="ListBullet"/>
        <w:spacing w:before="20"/>
        <w:ind w:left="400"/>
      </w:pPr>
      <w:r>
        <w:rPr>
          <w:sz w:val="18"/>
        </w:rPr>
        <w:t>🔴 RSI surachat (74.3 &gt; 70) — risque de correction</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RSI surachat (85.6 &gt; 70) — risque de correction</w:t>
      </w:r>
    </w:p>
    <w:p>
      <w:pPr>
        <w:spacing w:before="120"/>
      </w:pPr>
      <w:r>
        <w:rPr>
          <w:b/>
          <w:color w:val="0050A0"/>
          <w:sz w:val="20"/>
        </w:rPr>
        <w:t>SDSC — SDSC - AFRICA GLOBAL LOGISTICS CI</w:t>
      </w:r>
    </w:p>
    <w:p>
      <w:pPr>
        <w:pStyle w:val="ListBullet"/>
        <w:spacing w:before="20"/>
        <w:ind w:left="400"/>
      </w:pPr>
      <w:r>
        <w:rPr>
          <w:sz w:val="18"/>
        </w:rPr>
        <w:t>⚠️ Cours à 0.0% du plus haut 100j (2,925 FCFA)</w:t>
      </w:r>
    </w:p>
    <w:p>
      <w:pPr>
        <w:spacing w:before="120"/>
      </w:pPr>
      <w:r>
        <w:rPr>
          <w:b/>
          <w:color w:val="0050A0"/>
          <w:sz w:val="20"/>
        </w:rPr>
        <w:t>SHEC — SHEC - VIVO ENERGY COTE D'IVOIRE</w:t>
      </w:r>
    </w:p>
    <w:p>
      <w:pPr>
        <w:pStyle w:val="ListBullet"/>
        <w:spacing w:before="20"/>
        <w:ind w:left="400"/>
      </w:pPr>
      <w:r>
        <w:rPr>
          <w:sz w:val="18"/>
        </w:rPr>
        <w:t>⚠️ Cours à 1.8% du plus haut 100j (2,480 FCFA)</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Cours à 2.7% du plus haut 100j (17,735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RSI surachat (71.7 &gt; 70) — risque de correction</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18 société(s) (38%)</w:t>
            </w:r>
          </w:p>
        </w:tc>
        <w:tc>
          <w:tcPr>
            <w:tcW w:type="dxa" w:w="1644"/>
            <w:shd w:fill="FFEB9C" w:val="clear"/>
          </w:tcPr>
          <w:p>
            <w:r>
              <w:rPr>
                <w:b/>
                <w:color w:val="825A00"/>
                <w:sz w:val="19"/>
              </w:rPr>
              <w:t>29 société(s) (62%)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21.7/100</w:t>
            </w:r>
          </w:p>
        </w:tc>
        <w:tc>
          <w:tcPr>
            <w:tcW w:type="dxa" w:w="1644"/>
            <w:shd w:fill="DEEAF1" w:val="clear"/>
          </w:tcPr>
          <w:p>
            <w:r>
              <w:rPr>
                <w:b/>
                <w:color w:val="000000"/>
                <w:sz w:val="19"/>
              </w:rPr>
              <w:t>20.6/100</w:t>
            </w:r>
          </w:p>
        </w:tc>
      </w:tr>
    </w:tbl>
    <w:p/>
    <w:p>
      <w:r>
        <w:rPr>
          <w:i/>
          <w:color w:val="006400"/>
          <w:sz w:val="18"/>
        </w:rPr>
        <w:t>✅ Le marché BRVM présente globalement un profil de risque FAIBLE (score moyen 21.7/100).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31.9/100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SAFC (31.9/100 — Moyen) : </w:t>
      </w:r>
      <w:r>
        <w:rPr>
          <w:sz w:val="17"/>
        </w:rPr>
        <w:t>Volatilité=Élevée | Bêta=Défensif | Liquidité=Bonne | Divergence signaux=taux divergence=40% (Très divergent ❌) | Stabilité=Instable</w:t>
      </w:r>
    </w:p>
    <w:p>
      <w:pPr>
        <w:pStyle w:val="ListBullet"/>
      </w:pPr>
      <w:r>
        <w:rPr>
          <w:b/>
          <w:color w:val="B40000"/>
          <w:sz w:val="18"/>
        </w:rPr>
        <w:t xml:space="preserve">#5 CBIBF (30.1/100 — Moyen) : </w:t>
      </w:r>
      <w:r>
        <w:rPr>
          <w:sz w:val="17"/>
        </w:rPr>
        <w:t>Volatilité=Élevée | Bêta=Neutre  | Liquidité=Bonne | Divergence signaux=taux divergence=40% (Très divergent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31.9</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Instable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25.1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22.0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-12.89%  |  Médiane : -10.85%</w:t>
            </w:r>
          </w:p>
        </w:tc>
      </w:tr>
      <w:tr>
        <w:tc>
          <w:tcPr>
            <w:tcW w:type="dxa" w:w="2835"/>
            <w:shd w:fill="DEEAF1" w:val="clear"/>
          </w:tcPr>
          <w:p>
            <w:r>
              <w:rPr>
                <w:b/>
                <w:sz w:val="18"/>
              </w:rPr>
              <w:t>Répartition</w:t>
            </w:r>
          </w:p>
        </w:tc>
        <w:tc>
          <w:tcPr>
            <w:tcW w:type="dxa" w:w="7370"/>
          </w:tcPr>
          <w:p>
            <w:r>
              <w:rPr>
                <w:b/>
                <w:sz w:val="18"/>
              </w:rPr>
              <w:t>📈 7 sociétés en hausse (&gt;+1%)   📉 39 en baisse (&lt;-1%)   ➡️ 1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Les modèles anticipent une correction généralisée. 39 sociétés sur 47 sont orientées à la baisse avec une variation moyenne de -12.89%.</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3,495 FCFA</w:t>
            </w:r>
          </w:p>
        </w:tc>
        <w:tc>
          <w:tcPr>
            <w:tcW w:type="dxa" w:w="1417"/>
            <w:shd w:fill="FFFFFF" w:val="clear"/>
          </w:tcPr>
          <w:p>
            <w:r>
              <w:rPr>
                <w:sz w:val="16"/>
              </w:rPr>
              <w:t>6,181 FCFA</w:t>
            </w:r>
          </w:p>
        </w:tc>
        <w:tc>
          <w:tcPr>
            <w:tcW w:type="dxa" w:w="1134"/>
            <w:shd w:fill="C6EFCE" w:val="clear"/>
          </w:tcPr>
          <w:p>
            <w:r>
              <w:rPr>
                <w:b/>
                <w:color w:val="007800"/>
                <w:sz w:val="16"/>
              </w:rPr>
              <w:t>+76.85%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23,000 FCFA</w:t>
            </w:r>
          </w:p>
        </w:tc>
        <w:tc>
          <w:tcPr>
            <w:tcW w:type="dxa" w:w="1417"/>
            <w:shd w:fill="FFFFFF" w:val="clear"/>
          </w:tcPr>
          <w:p>
            <w:r>
              <w:rPr>
                <w:sz w:val="16"/>
              </w:rPr>
              <w:t>26,991 FCFA</w:t>
            </w:r>
          </w:p>
        </w:tc>
        <w:tc>
          <w:tcPr>
            <w:tcW w:type="dxa" w:w="1134"/>
            <w:shd w:fill="C6EFCE" w:val="clear"/>
          </w:tcPr>
          <w:p>
            <w:r>
              <w:rPr>
                <w:b/>
                <w:color w:val="007800"/>
                <w:sz w:val="16"/>
              </w:rPr>
              <w:t>+17.35%</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54,600 FCFA</w:t>
            </w:r>
          </w:p>
        </w:tc>
        <w:tc>
          <w:tcPr>
            <w:tcW w:type="dxa" w:w="1417"/>
            <w:shd w:fill="FFFFFF" w:val="clear"/>
          </w:tcPr>
          <w:p>
            <w:r>
              <w:rPr>
                <w:sz w:val="16"/>
              </w:rPr>
              <w:t>60,991 FCFA</w:t>
            </w:r>
          </w:p>
        </w:tc>
        <w:tc>
          <w:tcPr>
            <w:tcW w:type="dxa" w:w="1134"/>
            <w:shd w:fill="C6EFCE" w:val="clear"/>
          </w:tcPr>
          <w:p>
            <w:r>
              <w:rPr>
                <w:b/>
                <w:color w:val="007800"/>
                <w:sz w:val="16"/>
              </w:rPr>
              <w:t>+11.71%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22,400 FCFA</w:t>
            </w:r>
          </w:p>
        </w:tc>
        <w:tc>
          <w:tcPr>
            <w:tcW w:type="dxa" w:w="1417"/>
            <w:shd w:fill="FFFFFF" w:val="clear"/>
          </w:tcPr>
          <w:p>
            <w:r>
              <w:rPr>
                <w:sz w:val="16"/>
              </w:rPr>
              <w:t>24,826 FCFA</w:t>
            </w:r>
          </w:p>
        </w:tc>
        <w:tc>
          <w:tcPr>
            <w:tcW w:type="dxa" w:w="1134"/>
            <w:shd w:fill="C6EFCE" w:val="clear"/>
          </w:tcPr>
          <w:p>
            <w:r>
              <w:rPr>
                <w:b/>
                <w:color w:val="007800"/>
                <w:sz w:val="16"/>
              </w:rPr>
              <w:t>+10.83%</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2,090 FCFA</w:t>
            </w:r>
          </w:p>
        </w:tc>
        <w:tc>
          <w:tcPr>
            <w:tcW w:type="dxa" w:w="1417"/>
            <w:shd w:fill="FFFFFF" w:val="clear"/>
          </w:tcPr>
          <w:p>
            <w:r>
              <w:rPr>
                <w:sz w:val="16"/>
              </w:rPr>
              <w:t>2,194 FCFA</w:t>
            </w:r>
          </w:p>
        </w:tc>
        <w:tc>
          <w:tcPr>
            <w:tcW w:type="dxa" w:w="1134"/>
            <w:shd w:fill="C6EFCE" w:val="clear"/>
          </w:tcPr>
          <w:p>
            <w:r>
              <w:rPr>
                <w:b/>
                <w:color w:val="007800"/>
                <w:sz w:val="16"/>
              </w:rPr>
              <w:t>+4.96%</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(+76.9%) — signal potentiellement excessif, à croiser avec l'analyse technique. Trajectoire : 📈 Hausse continue. Cours actuel : 3,495 FCFA → prédit J+10 : 6,181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(+17.4%) — potentiel de revalorisation notable. Trajectoire : 📈 Hausse continue. Cours actuel : 23,000 FCFA → prédit J+10 : 26,991 FCFA. Confiance partielle — les premiers jours sont fiables, les jours lointains moins précis.</w:t>
      </w:r>
    </w:p>
    <w:p>
      <w:pPr>
        <w:pStyle w:val="ListBullet"/>
      </w:pPr>
      <w:r>
        <w:rPr>
          <w:b/>
          <w:color w:val="006400"/>
          <w:sz w:val="18"/>
        </w:rPr>
        <w:t xml:space="preserve">#3 UNLC </w:t>
      </w:r>
      <w:r>
        <w:rPr>
          <w:sz w:val="17"/>
        </w:rPr>
        <w:t>(UNLC - UNILEVER COTE D'IVOIRE) — hausse significative (+11.7%) — potentiel de revalorisation notable. Trajectoire : 📈 Hausse continue. Cours actuel : 54,600 FCFA → prédit J+10 : 60,991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(+10.8%) — potentiel de revalorisation notable. Trajectoire : 📈 Hausse continue. Cours actuel : 22,400 FCFA → prédit J+10 : 24,826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(+5.0%) — progression graduelle attendue. Trajectoire : 📈 Hausse continue. Cours actuel : 2,090 FCFA → prédit J+10 : 2,194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68 FCFA</w:t>
            </w:r>
          </w:p>
        </w:tc>
        <w:tc>
          <w:tcPr>
            <w:tcW w:type="dxa" w:w="1417"/>
            <w:shd w:fill="FFFFFF" w:val="clear"/>
          </w:tcPr>
          <w:p>
            <w:r>
              <w:rPr>
                <w:sz w:val="16"/>
              </w:rPr>
              <w:t>31 FCFA</w:t>
            </w:r>
          </w:p>
        </w:tc>
        <w:tc>
          <w:tcPr>
            <w:tcW w:type="dxa" w:w="1134"/>
            <w:shd w:fill="FFC7CE" w:val="clear"/>
          </w:tcPr>
          <w:p>
            <w:r>
              <w:rPr>
                <w:b/>
                <w:color w:val="B40000"/>
                <w:sz w:val="16"/>
              </w:rPr>
              <w:t>-54.15%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3,590 FCFA</w:t>
            </w:r>
          </w:p>
        </w:tc>
        <w:tc>
          <w:tcPr>
            <w:tcW w:type="dxa" w:w="1417"/>
            <w:shd w:fill="FFFFFF" w:val="clear"/>
          </w:tcPr>
          <w:p>
            <w:r>
              <w:rPr>
                <w:sz w:val="16"/>
              </w:rPr>
              <w:t>1,646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6,200 FCFA</w:t>
            </w:r>
          </w:p>
        </w:tc>
        <w:tc>
          <w:tcPr>
            <w:tcW w:type="dxa" w:w="1417"/>
            <w:shd w:fill="FFFFFF" w:val="clear"/>
          </w:tcPr>
          <w:p>
            <w:r>
              <w:rPr>
                <w:sz w:val="16"/>
              </w:rPr>
              <w:t>2,843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6,600 FCFA</w:t>
            </w:r>
          </w:p>
        </w:tc>
        <w:tc>
          <w:tcPr>
            <w:tcW w:type="dxa" w:w="1417"/>
            <w:shd w:fill="FFFFFF" w:val="clear"/>
          </w:tcPr>
          <w:p>
            <w:r>
              <w:rPr>
                <w:sz w:val="16"/>
              </w:rPr>
              <w:t>3,247 FCFA</w:t>
            </w:r>
          </w:p>
        </w:tc>
        <w:tc>
          <w:tcPr>
            <w:tcW w:type="dxa" w:w="1134"/>
            <w:shd w:fill="FFC7CE" w:val="clear"/>
          </w:tcPr>
          <w:p>
            <w:r>
              <w:rPr>
                <w:b/>
                <w:color w:val="B40000"/>
                <w:sz w:val="16"/>
              </w:rPr>
              <w:t>-50.80%</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3,000 FCFA</w:t>
            </w:r>
          </w:p>
        </w:tc>
        <w:tc>
          <w:tcPr>
            <w:tcW w:type="dxa" w:w="1417"/>
            <w:shd w:fill="FFFFFF" w:val="clear"/>
          </w:tcPr>
          <w:p>
            <w:r>
              <w:rPr>
                <w:sz w:val="16"/>
              </w:rPr>
              <w:t>1,505 FCFA</w:t>
            </w:r>
          </w:p>
        </w:tc>
        <w:tc>
          <w:tcPr>
            <w:tcW w:type="dxa" w:w="1134"/>
            <w:shd w:fill="FFC7CE" w:val="clear"/>
          </w:tcPr>
          <w:p>
            <w:r>
              <w:rPr>
                <w:b/>
                <w:color w:val="B40000"/>
                <w:sz w:val="16"/>
              </w:rPr>
              <w:t>-49.85%</w:t>
            </w:r>
          </w:p>
        </w:tc>
        <w:tc>
          <w:tcPr>
            <w:tcW w:type="dxa" w:w="1020"/>
            <w:shd w:fill="FFC7CE" w:val="clear"/>
          </w:tcPr>
          <w:p>
            <w:r>
              <w:rPr>
                <w:sz w:val="16"/>
              </w:rPr>
              <w:t>Faible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68 FCFA → prédit J+10 : 31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3,590 FCFA → prédit J+10 : 1,646 FCFA. ⚠️ Confiance limitée — volatilité élevée. Ne pas agir sur ce seul signal.</w:t>
      </w:r>
    </w:p>
    <w:p>
      <w:pPr>
        <w:pStyle w:val="ListBullet"/>
      </w:pPr>
      <w:r>
        <w:rPr>
          <w:b/>
          <w:color w:val="B40000"/>
          <w:sz w:val="18"/>
        </w:rPr>
        <w:t xml:space="preserve">#3 SAFC </w:t>
      </w:r>
      <w:r>
        <w:rPr>
          <w:sz w:val="17"/>
        </w:rPr>
        <w:t>(SAFCA CI) — baisse très forte (-54.1%) — amplitude potentiellement surestimée par le modèle. Trajectoire : 📉 Baisse continue. Cours actuel : 6,200 FCFA → prédit J+10 : 2,843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(-50.8%) — amplitude potentiellement surestimée par le modèle. Trajectoire : 📉 Baisse continue. Cours actuel : 6,600 FCFA → prédit J+10 : 3,247 FCFA. ⚠️ Confiance limitée — volatilité élevée. Ne pas agir sur ce seul signal.</w:t>
      </w:r>
    </w:p>
    <w:p>
      <w:pPr>
        <w:pStyle w:val="ListBullet"/>
      </w:pPr>
      <w:r>
        <w:rPr>
          <w:b/>
          <w:color w:val="B40000"/>
          <w:sz w:val="18"/>
        </w:rPr>
        <w:t xml:space="preserve">#5 NEIC </w:t>
      </w:r>
      <w:r>
        <w:rPr>
          <w:sz w:val="17"/>
        </w:rPr>
        <w:t>(NEIC - NEI-CEDA CI) — baisse très forte (-49.8%) — amplitude potentiellement surestimée par le modèle. Trajectoire : 📉 Baisse continue. Cours actuel : 3,000 FCFA → prédit J+10 : 1,505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3,495</w:t>
            </w:r>
          </w:p>
        </w:tc>
        <w:tc>
          <w:tcPr>
            <w:tcW w:type="dxa" w:w="1417"/>
            <w:shd w:fill="FFFFFF" w:val="clear"/>
          </w:tcPr>
          <w:p>
            <w:r>
              <w:rPr>
                <w:sz w:val="16"/>
              </w:rPr>
              <w:t>6,181</w:t>
            </w:r>
          </w:p>
        </w:tc>
        <w:tc>
          <w:tcPr>
            <w:tcW w:type="dxa" w:w="1134"/>
            <w:shd w:fill="C6EFCE" w:val="clear"/>
          </w:tcPr>
          <w:p>
            <w:r>
              <w:rPr>
                <w:b/>
                <w:color w:val="007800"/>
                <w:sz w:val="16"/>
              </w:rPr>
              <w:t>+76.85%</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23,000</w:t>
            </w:r>
          </w:p>
        </w:tc>
        <w:tc>
          <w:tcPr>
            <w:tcW w:type="dxa" w:w="1417"/>
            <w:shd w:fill="FFFFFF" w:val="clear"/>
          </w:tcPr>
          <w:p>
            <w:r>
              <w:rPr>
                <w:sz w:val="16"/>
              </w:rPr>
              <w:t>26,991</w:t>
            </w:r>
          </w:p>
        </w:tc>
        <w:tc>
          <w:tcPr>
            <w:tcW w:type="dxa" w:w="1134"/>
            <w:shd w:fill="C6EFCE" w:val="clear"/>
          </w:tcPr>
          <w:p>
            <w:r>
              <w:rPr>
                <w:b/>
                <w:color w:val="007800"/>
                <w:sz w:val="16"/>
              </w:rPr>
              <w:t>+17.35%</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54,600</w:t>
            </w:r>
          </w:p>
        </w:tc>
        <w:tc>
          <w:tcPr>
            <w:tcW w:type="dxa" w:w="1417"/>
            <w:shd w:fill="FFFFFF" w:val="clear"/>
          </w:tcPr>
          <w:p>
            <w:r>
              <w:rPr>
                <w:sz w:val="16"/>
              </w:rPr>
              <w:t>60,991</w:t>
            </w:r>
          </w:p>
        </w:tc>
        <w:tc>
          <w:tcPr>
            <w:tcW w:type="dxa" w:w="1134"/>
            <w:shd w:fill="C6EFCE" w:val="clear"/>
          </w:tcPr>
          <w:p>
            <w:r>
              <w:rPr>
                <w:b/>
                <w:color w:val="007800"/>
                <w:sz w:val="16"/>
              </w:rPr>
              <w:t>+11.71%</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22,400</w:t>
            </w:r>
          </w:p>
        </w:tc>
        <w:tc>
          <w:tcPr>
            <w:tcW w:type="dxa" w:w="1417"/>
            <w:shd w:fill="FFFFFF" w:val="clear"/>
          </w:tcPr>
          <w:p>
            <w:r>
              <w:rPr>
                <w:sz w:val="16"/>
              </w:rPr>
              <w:t>24,826</w:t>
            </w:r>
          </w:p>
        </w:tc>
        <w:tc>
          <w:tcPr>
            <w:tcW w:type="dxa" w:w="1134"/>
            <w:shd w:fill="C6EFCE" w:val="clear"/>
          </w:tcPr>
          <w:p>
            <w:r>
              <w:rPr>
                <w:b/>
                <w:color w:val="007800"/>
                <w:sz w:val="16"/>
              </w:rPr>
              <w:t>+10.83%</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2,090</w:t>
            </w:r>
          </w:p>
        </w:tc>
        <w:tc>
          <w:tcPr>
            <w:tcW w:type="dxa" w:w="1417"/>
            <w:shd w:fill="FFFFFF" w:val="clear"/>
          </w:tcPr>
          <w:p>
            <w:r>
              <w:rPr>
                <w:sz w:val="16"/>
              </w:rPr>
              <w:t>2,194</w:t>
            </w:r>
          </w:p>
        </w:tc>
        <w:tc>
          <w:tcPr>
            <w:tcW w:type="dxa" w:w="1134"/>
            <w:shd w:fill="C6EFCE" w:val="clear"/>
          </w:tcPr>
          <w:p>
            <w:r>
              <w:rPr>
                <w:b/>
                <w:color w:val="007800"/>
                <w:sz w:val="16"/>
              </w:rPr>
              <w:t>+4.96%</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9,260</w:t>
            </w:r>
          </w:p>
        </w:tc>
        <w:tc>
          <w:tcPr>
            <w:tcW w:type="dxa" w:w="1417"/>
            <w:shd w:fill="FFFFFF" w:val="clear"/>
          </w:tcPr>
          <w:p>
            <w:r>
              <w:rPr>
                <w:sz w:val="16"/>
              </w:rPr>
              <w:t>9,585</w:t>
            </w:r>
          </w:p>
        </w:tc>
        <w:tc>
          <w:tcPr>
            <w:tcW w:type="dxa" w:w="1134"/>
            <w:shd w:fill="C6EFCE" w:val="clear"/>
          </w:tcPr>
          <w:p>
            <w:r>
              <w:rPr>
                <w:b/>
                <w:color w:val="007800"/>
                <w:sz w:val="16"/>
              </w:rPr>
              <w:t>+3.51%</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8,300</w:t>
            </w:r>
          </w:p>
        </w:tc>
        <w:tc>
          <w:tcPr>
            <w:tcW w:type="dxa" w:w="1417"/>
            <w:shd w:fill="FFFFFF" w:val="clear"/>
          </w:tcPr>
          <w:p>
            <w:r>
              <w:rPr>
                <w:sz w:val="16"/>
              </w:rPr>
              <w:t>8,384</w:t>
            </w:r>
          </w:p>
        </w:tc>
        <w:tc>
          <w:tcPr>
            <w:tcW w:type="dxa" w:w="1134"/>
            <w:shd w:fill="C6EFCE" w:val="clear"/>
          </w:tcPr>
          <w:p>
            <w:r>
              <w:rPr>
                <w:b/>
                <w:color w:val="007800"/>
                <w:sz w:val="16"/>
              </w:rPr>
              <w:t>+1.01%</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4,005</w:t>
            </w:r>
          </w:p>
        </w:tc>
        <w:tc>
          <w:tcPr>
            <w:tcW w:type="dxa" w:w="1417"/>
            <w:shd w:fill="FFFFFF" w:val="clear"/>
          </w:tcPr>
          <w:p>
            <w:r>
              <w:rPr>
                <w:sz w:val="16"/>
              </w:rPr>
              <w:t>4,016</w:t>
            </w:r>
          </w:p>
        </w:tc>
        <w:tc>
          <w:tcPr>
            <w:tcW w:type="dxa" w:w="1134"/>
            <w:shd w:fill="FFEB9C" w:val="clear"/>
          </w:tcPr>
          <w:p>
            <w:r>
              <w:rPr>
                <w:b/>
                <w:color w:val="646400"/>
                <w:sz w:val="16"/>
              </w:rPr>
              <w:t>+0.28%</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37,519</w:t>
            </w:r>
          </w:p>
        </w:tc>
        <w:tc>
          <w:tcPr>
            <w:tcW w:type="dxa" w:w="1134"/>
            <w:shd w:fill="FFC7CE" w:val="clear"/>
          </w:tcPr>
          <w:p>
            <w:r>
              <w:rPr>
                <w:b/>
                <w:color w:val="B40000"/>
                <w:sz w:val="16"/>
              </w:rPr>
              <w:t>-1.27%</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16,200</w:t>
            </w:r>
          </w:p>
        </w:tc>
        <w:tc>
          <w:tcPr>
            <w:tcW w:type="dxa" w:w="1417"/>
            <w:shd w:fill="FFFFFF" w:val="clear"/>
          </w:tcPr>
          <w:p>
            <w:r>
              <w:rPr>
                <w:sz w:val="16"/>
              </w:rPr>
              <w:t>15,978</w:t>
            </w:r>
          </w:p>
        </w:tc>
        <w:tc>
          <w:tcPr>
            <w:tcW w:type="dxa" w:w="1134"/>
            <w:shd w:fill="FFC7CE" w:val="clear"/>
          </w:tcPr>
          <w:p>
            <w:r>
              <w:rPr>
                <w:b/>
                <w:color w:val="B40000"/>
                <w:sz w:val="16"/>
              </w:rPr>
              <w:t>-1.37%</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3,185</w:t>
            </w:r>
          </w:p>
        </w:tc>
        <w:tc>
          <w:tcPr>
            <w:tcW w:type="dxa" w:w="1417"/>
            <w:shd w:fill="FFFFFF" w:val="clear"/>
          </w:tcPr>
          <w:p>
            <w:r>
              <w:rPr>
                <w:sz w:val="16"/>
              </w:rPr>
              <w:t>3,139</w:t>
            </w:r>
          </w:p>
        </w:tc>
        <w:tc>
          <w:tcPr>
            <w:tcW w:type="dxa" w:w="1134"/>
            <w:shd w:fill="FFC7CE" w:val="clear"/>
          </w:tcPr>
          <w:p>
            <w:r>
              <w:rPr>
                <w:b/>
                <w:color w:val="B40000"/>
                <w:sz w:val="16"/>
              </w:rPr>
              <w:t>-1.44%</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38,040</w:t>
            </w:r>
          </w:p>
        </w:tc>
        <w:tc>
          <w:tcPr>
            <w:tcW w:type="dxa" w:w="1417"/>
            <w:shd w:fill="FFFFFF" w:val="clear"/>
          </w:tcPr>
          <w:p>
            <w:r>
              <w:rPr>
                <w:sz w:val="16"/>
              </w:rPr>
              <w:t>37,240</w:t>
            </w:r>
          </w:p>
        </w:tc>
        <w:tc>
          <w:tcPr>
            <w:tcW w:type="dxa" w:w="1134"/>
            <w:shd w:fill="FFC7CE" w:val="clear"/>
          </w:tcPr>
          <w:p>
            <w:r>
              <w:rPr>
                <w:b/>
                <w:color w:val="B40000"/>
                <w:sz w:val="16"/>
              </w:rPr>
              <w:t>-2.10%</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2,837</w:t>
            </w:r>
          </w:p>
        </w:tc>
        <w:tc>
          <w:tcPr>
            <w:tcW w:type="dxa" w:w="1134"/>
            <w:shd w:fill="FFC7CE" w:val="clear"/>
          </w:tcPr>
          <w:p>
            <w:r>
              <w:rPr>
                <w:b/>
                <w:color w:val="B40000"/>
                <w:sz w:val="16"/>
              </w:rPr>
              <w:t>-2.16%</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5,455</w:t>
            </w:r>
          </w:p>
        </w:tc>
        <w:tc>
          <w:tcPr>
            <w:tcW w:type="dxa" w:w="1417"/>
            <w:shd w:fill="FFFFFF" w:val="clear"/>
          </w:tcPr>
          <w:p>
            <w:r>
              <w:rPr>
                <w:sz w:val="16"/>
              </w:rPr>
              <w:t>5,325</w:t>
            </w:r>
          </w:p>
        </w:tc>
        <w:tc>
          <w:tcPr>
            <w:tcW w:type="dxa" w:w="1134"/>
            <w:shd w:fill="FFC7CE" w:val="clear"/>
          </w:tcPr>
          <w:p>
            <w:r>
              <w:rPr>
                <w:b/>
                <w:color w:val="B40000"/>
                <w:sz w:val="16"/>
              </w:rPr>
              <w:t>-2.38%</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17,000</w:t>
            </w:r>
          </w:p>
        </w:tc>
        <w:tc>
          <w:tcPr>
            <w:tcW w:type="dxa" w:w="1417"/>
            <w:shd w:fill="FFFFFF" w:val="clear"/>
          </w:tcPr>
          <w:p>
            <w:r>
              <w:rPr>
                <w:sz w:val="16"/>
              </w:rPr>
              <w:t>16,584</w:t>
            </w:r>
          </w:p>
        </w:tc>
        <w:tc>
          <w:tcPr>
            <w:tcW w:type="dxa" w:w="1134"/>
            <w:shd w:fill="FFC7CE" w:val="clear"/>
          </w:tcPr>
          <w:p>
            <w:r>
              <w:rPr>
                <w:b/>
                <w:color w:val="B40000"/>
                <w:sz w:val="16"/>
              </w:rPr>
              <w:t>-2.45%</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3,395</w:t>
            </w:r>
          </w:p>
        </w:tc>
        <w:tc>
          <w:tcPr>
            <w:tcW w:type="dxa" w:w="1417"/>
            <w:shd w:fill="FFFFFF" w:val="clear"/>
          </w:tcPr>
          <w:p>
            <w:r>
              <w:rPr>
                <w:sz w:val="16"/>
              </w:rPr>
              <w:t>3,263</w:t>
            </w:r>
          </w:p>
        </w:tc>
        <w:tc>
          <w:tcPr>
            <w:tcW w:type="dxa" w:w="1134"/>
            <w:shd w:fill="FFC7CE" w:val="clear"/>
          </w:tcPr>
          <w:p>
            <w:r>
              <w:rPr>
                <w:b/>
                <w:color w:val="B40000"/>
                <w:sz w:val="16"/>
              </w:rPr>
              <w:t>-3.89%</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17,250</w:t>
            </w:r>
          </w:p>
        </w:tc>
        <w:tc>
          <w:tcPr>
            <w:tcW w:type="dxa" w:w="1417"/>
            <w:shd w:fill="FFFFFF" w:val="clear"/>
          </w:tcPr>
          <w:p>
            <w:r>
              <w:rPr>
                <w:sz w:val="16"/>
              </w:rPr>
              <w:t>16,469</w:t>
            </w:r>
          </w:p>
        </w:tc>
        <w:tc>
          <w:tcPr>
            <w:tcW w:type="dxa" w:w="1134"/>
            <w:shd w:fill="FFC7CE" w:val="clear"/>
          </w:tcPr>
          <w:p>
            <w:r>
              <w:rPr>
                <w:b/>
                <w:color w:val="B40000"/>
                <w:sz w:val="16"/>
              </w:rPr>
              <w:t>-4.53%</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37,000</w:t>
            </w:r>
          </w:p>
        </w:tc>
        <w:tc>
          <w:tcPr>
            <w:tcW w:type="dxa" w:w="1417"/>
            <w:shd w:fill="FFFFFF" w:val="clear"/>
          </w:tcPr>
          <w:p>
            <w:r>
              <w:rPr>
                <w:sz w:val="16"/>
              </w:rPr>
              <w:t>35,188</w:t>
            </w:r>
          </w:p>
        </w:tc>
        <w:tc>
          <w:tcPr>
            <w:tcW w:type="dxa" w:w="1134"/>
            <w:shd w:fill="FFC7CE" w:val="clear"/>
          </w:tcPr>
          <w:p>
            <w:r>
              <w:rPr>
                <w:b/>
                <w:color w:val="B40000"/>
                <w:sz w:val="16"/>
              </w:rPr>
              <w:t>-4.90%</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4,490</w:t>
            </w:r>
          </w:p>
        </w:tc>
        <w:tc>
          <w:tcPr>
            <w:tcW w:type="dxa" w:w="1417"/>
            <w:shd w:fill="FFFFFF" w:val="clear"/>
          </w:tcPr>
          <w:p>
            <w:r>
              <w:rPr>
                <w:sz w:val="16"/>
              </w:rPr>
              <w:t>4,254</w:t>
            </w:r>
          </w:p>
        </w:tc>
        <w:tc>
          <w:tcPr>
            <w:tcW w:type="dxa" w:w="1134"/>
            <w:shd w:fill="FFC7CE" w:val="clear"/>
          </w:tcPr>
          <w:p>
            <w:r>
              <w:rPr>
                <w:b/>
                <w:color w:val="B40000"/>
                <w:sz w:val="16"/>
              </w:rPr>
              <w:t>-5.25%</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2,400</w:t>
            </w:r>
          </w:p>
        </w:tc>
        <w:tc>
          <w:tcPr>
            <w:tcW w:type="dxa" w:w="1417"/>
            <w:shd w:fill="FFFFFF" w:val="clear"/>
          </w:tcPr>
          <w:p>
            <w:r>
              <w:rPr>
                <w:sz w:val="16"/>
              </w:rPr>
              <w:t>2,237</w:t>
            </w:r>
          </w:p>
        </w:tc>
        <w:tc>
          <w:tcPr>
            <w:tcW w:type="dxa" w:w="1134"/>
            <w:shd w:fill="FFC7CE" w:val="clear"/>
          </w:tcPr>
          <w:p>
            <w:r>
              <w:rPr>
                <w:b/>
                <w:color w:val="B40000"/>
                <w:sz w:val="16"/>
              </w:rPr>
              <w:t>-6.77%</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9,750</w:t>
            </w:r>
          </w:p>
        </w:tc>
        <w:tc>
          <w:tcPr>
            <w:tcW w:type="dxa" w:w="1417"/>
            <w:shd w:fill="FFFFFF" w:val="clear"/>
          </w:tcPr>
          <w:p>
            <w:r>
              <w:rPr>
                <w:sz w:val="16"/>
              </w:rPr>
              <w:t>9,088</w:t>
            </w:r>
          </w:p>
        </w:tc>
        <w:tc>
          <w:tcPr>
            <w:tcW w:type="dxa" w:w="1134"/>
            <w:shd w:fill="FFC7CE" w:val="clear"/>
          </w:tcPr>
          <w:p>
            <w:r>
              <w:rPr>
                <w:b/>
                <w:color w:val="B40000"/>
                <w:sz w:val="16"/>
              </w:rPr>
              <w:t>-6.79%</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2,450</w:t>
            </w:r>
          </w:p>
        </w:tc>
        <w:tc>
          <w:tcPr>
            <w:tcW w:type="dxa" w:w="1417"/>
            <w:shd w:fill="FFFFFF" w:val="clear"/>
          </w:tcPr>
          <w:p>
            <w:r>
              <w:rPr>
                <w:sz w:val="16"/>
              </w:rPr>
              <w:t>2,279</w:t>
            </w:r>
          </w:p>
        </w:tc>
        <w:tc>
          <w:tcPr>
            <w:tcW w:type="dxa" w:w="1134"/>
            <w:shd w:fill="FFC7CE" w:val="clear"/>
          </w:tcPr>
          <w:p>
            <w:r>
              <w:rPr>
                <w:b/>
                <w:color w:val="B40000"/>
                <w:sz w:val="16"/>
              </w:rPr>
              <w:t>-6.98%</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21,500</w:t>
            </w:r>
          </w:p>
        </w:tc>
        <w:tc>
          <w:tcPr>
            <w:tcW w:type="dxa" w:w="1417"/>
            <w:shd w:fill="FFFFFF" w:val="clear"/>
          </w:tcPr>
          <w:p>
            <w:r>
              <w:rPr>
                <w:sz w:val="16"/>
              </w:rPr>
              <w:t>19,677</w:t>
            </w:r>
          </w:p>
        </w:tc>
        <w:tc>
          <w:tcPr>
            <w:tcW w:type="dxa" w:w="1134"/>
            <w:shd w:fill="FFC7CE" w:val="clear"/>
          </w:tcPr>
          <w:p>
            <w:r>
              <w:rPr>
                <w:b/>
                <w:color w:val="B40000"/>
                <w:sz w:val="16"/>
              </w:rPr>
              <w:t>-8.48%</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29,900</w:t>
            </w:r>
          </w:p>
        </w:tc>
        <w:tc>
          <w:tcPr>
            <w:tcW w:type="dxa" w:w="1417"/>
            <w:shd w:fill="FFFFFF" w:val="clear"/>
          </w:tcPr>
          <w:p>
            <w:r>
              <w:rPr>
                <w:sz w:val="16"/>
              </w:rPr>
              <w:t>26,656</w:t>
            </w:r>
          </w:p>
        </w:tc>
        <w:tc>
          <w:tcPr>
            <w:tcW w:type="dxa" w:w="1134"/>
            <w:shd w:fill="FFC7CE" w:val="clear"/>
          </w:tcPr>
          <w:p>
            <w:r>
              <w:rPr>
                <w:b/>
                <w:color w:val="B40000"/>
                <w:sz w:val="16"/>
              </w:rPr>
              <w:t>-10.85%</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2,925</w:t>
            </w:r>
          </w:p>
        </w:tc>
        <w:tc>
          <w:tcPr>
            <w:tcW w:type="dxa" w:w="1417"/>
            <w:shd w:fill="FFFFFF" w:val="clear"/>
          </w:tcPr>
          <w:p>
            <w:r>
              <w:rPr>
                <w:sz w:val="16"/>
              </w:rPr>
              <w:t>2,605</w:t>
            </w:r>
          </w:p>
        </w:tc>
        <w:tc>
          <w:tcPr>
            <w:tcW w:type="dxa" w:w="1134"/>
            <w:shd w:fill="FFC7CE" w:val="clear"/>
          </w:tcPr>
          <w:p>
            <w:r>
              <w:rPr>
                <w:b/>
                <w:color w:val="B40000"/>
                <w:sz w:val="16"/>
              </w:rPr>
              <w:t>-10.92%</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12,750</w:t>
            </w:r>
          </w:p>
        </w:tc>
        <w:tc>
          <w:tcPr>
            <w:tcW w:type="dxa" w:w="1417"/>
            <w:shd w:fill="FFFFFF" w:val="clear"/>
          </w:tcPr>
          <w:p>
            <w:r>
              <w:rPr>
                <w:sz w:val="16"/>
              </w:rPr>
              <w:t>11,218</w:t>
            </w:r>
          </w:p>
        </w:tc>
        <w:tc>
          <w:tcPr>
            <w:tcW w:type="dxa" w:w="1134"/>
            <w:shd w:fill="FFC7CE" w:val="clear"/>
          </w:tcPr>
          <w:p>
            <w:r>
              <w:rPr>
                <w:b/>
                <w:color w:val="B40000"/>
                <w:sz w:val="16"/>
              </w:rPr>
              <w:t>-12.01%</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1,570</w:t>
            </w:r>
          </w:p>
        </w:tc>
        <w:tc>
          <w:tcPr>
            <w:tcW w:type="dxa" w:w="1417"/>
            <w:shd w:fill="FFFFFF" w:val="clear"/>
          </w:tcPr>
          <w:p>
            <w:r>
              <w:rPr>
                <w:sz w:val="16"/>
              </w:rPr>
              <w:t>1,368</w:t>
            </w:r>
          </w:p>
        </w:tc>
        <w:tc>
          <w:tcPr>
            <w:tcW w:type="dxa" w:w="1134"/>
            <w:shd w:fill="FFC7CE" w:val="clear"/>
          </w:tcPr>
          <w:p>
            <w:r>
              <w:rPr>
                <w:b/>
                <w:color w:val="B40000"/>
                <w:sz w:val="16"/>
              </w:rPr>
              <w:t>-12.85%</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1,680</w:t>
            </w:r>
          </w:p>
        </w:tc>
        <w:tc>
          <w:tcPr>
            <w:tcW w:type="dxa" w:w="1417"/>
            <w:shd w:fill="FFFFFF" w:val="clear"/>
          </w:tcPr>
          <w:p>
            <w:r>
              <w:rPr>
                <w:sz w:val="16"/>
              </w:rPr>
              <w:t>1,458</w:t>
            </w:r>
          </w:p>
        </w:tc>
        <w:tc>
          <w:tcPr>
            <w:tcW w:type="dxa" w:w="1134"/>
            <w:shd w:fill="FFC7CE" w:val="clear"/>
          </w:tcPr>
          <w:p>
            <w:r>
              <w:rPr>
                <w:b/>
                <w:color w:val="B40000"/>
                <w:sz w:val="16"/>
              </w:rPr>
              <w:t>-13.22%</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8,250</w:t>
            </w:r>
          </w:p>
        </w:tc>
        <w:tc>
          <w:tcPr>
            <w:tcW w:type="dxa" w:w="1417"/>
            <w:shd w:fill="FFFFFF" w:val="clear"/>
          </w:tcPr>
          <w:p>
            <w:r>
              <w:rPr>
                <w:sz w:val="16"/>
              </w:rPr>
              <w:t>7,014</w:t>
            </w:r>
          </w:p>
        </w:tc>
        <w:tc>
          <w:tcPr>
            <w:tcW w:type="dxa" w:w="1134"/>
            <w:shd w:fill="FFC7CE" w:val="clear"/>
          </w:tcPr>
          <w:p>
            <w:r>
              <w:rPr>
                <w:b/>
                <w:color w:val="B40000"/>
                <w:sz w:val="16"/>
              </w:rPr>
              <w:t>-14.98%</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3,855</w:t>
            </w:r>
          </w:p>
        </w:tc>
        <w:tc>
          <w:tcPr>
            <w:tcW w:type="dxa" w:w="1417"/>
            <w:shd w:fill="FFFFFF" w:val="clear"/>
          </w:tcPr>
          <w:p>
            <w:r>
              <w:rPr>
                <w:sz w:val="16"/>
              </w:rPr>
              <w:t>3,276</w:t>
            </w:r>
          </w:p>
        </w:tc>
        <w:tc>
          <w:tcPr>
            <w:tcW w:type="dxa" w:w="1134"/>
            <w:shd w:fill="FFC7CE" w:val="clear"/>
          </w:tcPr>
          <w:p>
            <w:r>
              <w:rPr>
                <w:b/>
                <w:color w:val="B40000"/>
                <w:sz w:val="16"/>
              </w:rPr>
              <w:t>-15.02%</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6,480</w:t>
            </w:r>
          </w:p>
        </w:tc>
        <w:tc>
          <w:tcPr>
            <w:tcW w:type="dxa" w:w="1417"/>
            <w:shd w:fill="FFFFFF" w:val="clear"/>
          </w:tcPr>
          <w:p>
            <w:r>
              <w:rPr>
                <w:sz w:val="16"/>
              </w:rPr>
              <w:t>5,454</w:t>
            </w:r>
          </w:p>
        </w:tc>
        <w:tc>
          <w:tcPr>
            <w:tcW w:type="dxa" w:w="1134"/>
            <w:shd w:fill="FFC7CE" w:val="clear"/>
          </w:tcPr>
          <w:p>
            <w:r>
              <w:rPr>
                <w:b/>
                <w:color w:val="B40000"/>
                <w:sz w:val="16"/>
              </w:rPr>
              <w:t>-15.84%</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8,295</w:t>
            </w:r>
          </w:p>
        </w:tc>
        <w:tc>
          <w:tcPr>
            <w:tcW w:type="dxa" w:w="1417"/>
            <w:shd w:fill="FFFFFF" w:val="clear"/>
          </w:tcPr>
          <w:p>
            <w:r>
              <w:rPr>
                <w:sz w:val="16"/>
              </w:rPr>
              <w:t>6,859</w:t>
            </w:r>
          </w:p>
        </w:tc>
        <w:tc>
          <w:tcPr>
            <w:tcW w:type="dxa" w:w="1134"/>
            <w:shd w:fill="FFC7CE" w:val="clear"/>
          </w:tcPr>
          <w:p>
            <w:r>
              <w:rPr>
                <w:b/>
                <w:color w:val="B40000"/>
                <w:sz w:val="16"/>
              </w:rPr>
              <w:t>-17.31%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3,845</w:t>
            </w:r>
          </w:p>
        </w:tc>
        <w:tc>
          <w:tcPr>
            <w:tcW w:type="dxa" w:w="1417"/>
            <w:shd w:fill="FFFFFF" w:val="clear"/>
          </w:tcPr>
          <w:p>
            <w:r>
              <w:rPr>
                <w:sz w:val="16"/>
              </w:rPr>
              <w:t>3,161</w:t>
            </w:r>
          </w:p>
        </w:tc>
        <w:tc>
          <w:tcPr>
            <w:tcW w:type="dxa" w:w="1134"/>
            <w:shd w:fill="FFC7CE" w:val="clear"/>
          </w:tcPr>
          <w:p>
            <w:r>
              <w:rPr>
                <w:b/>
                <w:color w:val="B40000"/>
                <w:sz w:val="16"/>
              </w:rPr>
              <w:t>-17.78%</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10,245</w:t>
            </w:r>
          </w:p>
        </w:tc>
        <w:tc>
          <w:tcPr>
            <w:tcW w:type="dxa" w:w="1417"/>
            <w:shd w:fill="FFFFFF" w:val="clear"/>
          </w:tcPr>
          <w:p>
            <w:r>
              <w:rPr>
                <w:sz w:val="16"/>
              </w:rPr>
              <w:t>8,412</w:t>
            </w:r>
          </w:p>
        </w:tc>
        <w:tc>
          <w:tcPr>
            <w:tcW w:type="dxa" w:w="1134"/>
            <w:shd w:fill="FFC7CE" w:val="clear"/>
          </w:tcPr>
          <w:p>
            <w:r>
              <w:rPr>
                <w:b/>
                <w:color w:val="B40000"/>
                <w:sz w:val="16"/>
              </w:rPr>
              <w:t>-17.89%</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9,000</w:t>
            </w:r>
          </w:p>
        </w:tc>
        <w:tc>
          <w:tcPr>
            <w:tcW w:type="dxa" w:w="1417"/>
            <w:shd w:fill="FFFFFF" w:val="clear"/>
          </w:tcPr>
          <w:p>
            <w:r>
              <w:rPr>
                <w:sz w:val="16"/>
              </w:rPr>
              <w:t>7,327</w:t>
            </w:r>
          </w:p>
        </w:tc>
        <w:tc>
          <w:tcPr>
            <w:tcW w:type="dxa" w:w="1134"/>
            <w:shd w:fill="FFC7CE" w:val="clear"/>
          </w:tcPr>
          <w:p>
            <w:r>
              <w:rPr>
                <w:b/>
                <w:color w:val="B40000"/>
                <w:sz w:val="16"/>
              </w:rPr>
              <w:t>-18.59%</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7,214</w:t>
            </w:r>
          </w:p>
        </w:tc>
        <w:tc>
          <w:tcPr>
            <w:tcW w:type="dxa" w:w="1134"/>
            <w:shd w:fill="FFC7CE" w:val="clear"/>
          </w:tcPr>
          <w:p>
            <w:r>
              <w:rPr>
                <w:b/>
                <w:color w:val="B40000"/>
                <w:sz w:val="16"/>
              </w:rPr>
              <w:t>-21.59%</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2,385</w:t>
            </w:r>
          </w:p>
        </w:tc>
        <w:tc>
          <w:tcPr>
            <w:tcW w:type="dxa" w:w="1417"/>
            <w:shd w:fill="FFFFFF" w:val="clear"/>
          </w:tcPr>
          <w:p>
            <w:r>
              <w:rPr>
                <w:sz w:val="16"/>
              </w:rPr>
              <w:t>1,817</w:t>
            </w:r>
          </w:p>
        </w:tc>
        <w:tc>
          <w:tcPr>
            <w:tcW w:type="dxa" w:w="1134"/>
            <w:shd w:fill="FFC7CE" w:val="clear"/>
          </w:tcPr>
          <w:p>
            <w:r>
              <w:rPr>
                <w:b/>
                <w:color w:val="B40000"/>
                <w:sz w:val="16"/>
              </w:rPr>
              <w:t>-23.80%</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12,495</w:t>
            </w:r>
          </w:p>
        </w:tc>
        <w:tc>
          <w:tcPr>
            <w:tcW w:type="dxa" w:w="1417"/>
            <w:shd w:fill="FFFFFF" w:val="clear"/>
          </w:tcPr>
          <w:p>
            <w:r>
              <w:rPr>
                <w:sz w:val="16"/>
              </w:rPr>
              <w:t>8,758</w:t>
            </w:r>
          </w:p>
        </w:tc>
        <w:tc>
          <w:tcPr>
            <w:tcW w:type="dxa" w:w="1134"/>
            <w:shd w:fill="FFC7CE" w:val="clear"/>
          </w:tcPr>
          <w:p>
            <w:r>
              <w:rPr>
                <w:b/>
                <w:color w:val="B40000"/>
                <w:sz w:val="16"/>
              </w:rPr>
              <w:t>-29.91%</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2,435</w:t>
            </w:r>
          </w:p>
        </w:tc>
        <w:tc>
          <w:tcPr>
            <w:tcW w:type="dxa" w:w="1417"/>
            <w:shd w:fill="FFFFFF" w:val="clear"/>
          </w:tcPr>
          <w:p>
            <w:r>
              <w:rPr>
                <w:sz w:val="16"/>
              </w:rPr>
              <w:t>1,700</w:t>
            </w:r>
          </w:p>
        </w:tc>
        <w:tc>
          <w:tcPr>
            <w:tcW w:type="dxa" w:w="1134"/>
            <w:shd w:fill="FFC7CE" w:val="clear"/>
          </w:tcPr>
          <w:p>
            <w:r>
              <w:rPr>
                <w:b/>
                <w:color w:val="B40000"/>
                <w:sz w:val="16"/>
              </w:rPr>
              <w:t>-30.18%</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9,350</w:t>
            </w:r>
          </w:p>
        </w:tc>
        <w:tc>
          <w:tcPr>
            <w:tcW w:type="dxa" w:w="1417"/>
            <w:shd w:fill="FFFFFF" w:val="clear"/>
          </w:tcPr>
          <w:p>
            <w:r>
              <w:rPr>
                <w:sz w:val="16"/>
              </w:rPr>
              <w:t>5,557</w:t>
            </w:r>
          </w:p>
        </w:tc>
        <w:tc>
          <w:tcPr>
            <w:tcW w:type="dxa" w:w="1134"/>
            <w:shd w:fill="FFC7CE" w:val="clear"/>
          </w:tcPr>
          <w:p>
            <w:r>
              <w:rPr>
                <w:b/>
                <w:color w:val="B40000"/>
                <w:sz w:val="16"/>
              </w:rPr>
              <w:t>-40.56%</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2,830</w:t>
            </w:r>
          </w:p>
        </w:tc>
        <w:tc>
          <w:tcPr>
            <w:tcW w:type="dxa" w:w="1417"/>
            <w:shd w:fill="FFFFFF" w:val="clear"/>
          </w:tcPr>
          <w:p>
            <w:r>
              <w:rPr>
                <w:sz w:val="16"/>
              </w:rPr>
              <w:t>1,629</w:t>
            </w:r>
          </w:p>
        </w:tc>
        <w:tc>
          <w:tcPr>
            <w:tcW w:type="dxa" w:w="1134"/>
            <w:shd w:fill="FFC7CE" w:val="clear"/>
          </w:tcPr>
          <w:p>
            <w:r>
              <w:rPr>
                <w:b/>
                <w:color w:val="B40000"/>
                <w:sz w:val="16"/>
              </w:rPr>
              <w:t>-42.45%</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30,605</w:t>
            </w:r>
          </w:p>
        </w:tc>
        <w:tc>
          <w:tcPr>
            <w:tcW w:type="dxa" w:w="1417"/>
            <w:shd w:fill="FFFFFF" w:val="clear"/>
          </w:tcPr>
          <w:p>
            <w:r>
              <w:rPr>
                <w:sz w:val="16"/>
              </w:rPr>
              <w:t>17,548</w:t>
            </w:r>
          </w:p>
        </w:tc>
        <w:tc>
          <w:tcPr>
            <w:tcW w:type="dxa" w:w="1134"/>
            <w:shd w:fill="FFC7CE" w:val="clear"/>
          </w:tcPr>
          <w:p>
            <w:r>
              <w:rPr>
                <w:b/>
                <w:color w:val="B40000"/>
                <w:sz w:val="16"/>
              </w:rPr>
              <w:t>-42.66%</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3,000</w:t>
            </w:r>
          </w:p>
        </w:tc>
        <w:tc>
          <w:tcPr>
            <w:tcW w:type="dxa" w:w="1417"/>
            <w:shd w:fill="FFFFFF" w:val="clear"/>
          </w:tcPr>
          <w:p>
            <w:r>
              <w:rPr>
                <w:sz w:val="16"/>
              </w:rPr>
              <w:t>1,505</w:t>
            </w:r>
          </w:p>
        </w:tc>
        <w:tc>
          <w:tcPr>
            <w:tcW w:type="dxa" w:w="1134"/>
            <w:shd w:fill="FFC7CE" w:val="clear"/>
          </w:tcPr>
          <w:p>
            <w:r>
              <w:rPr>
                <w:b/>
                <w:color w:val="B40000"/>
                <w:sz w:val="16"/>
              </w:rPr>
              <w:t>-49.85%</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6,600</w:t>
            </w:r>
          </w:p>
        </w:tc>
        <w:tc>
          <w:tcPr>
            <w:tcW w:type="dxa" w:w="1417"/>
            <w:shd w:fill="FFFFFF" w:val="clear"/>
          </w:tcPr>
          <w:p>
            <w:r>
              <w:rPr>
                <w:sz w:val="16"/>
              </w:rPr>
              <w:t>3,247</w:t>
            </w:r>
          </w:p>
        </w:tc>
        <w:tc>
          <w:tcPr>
            <w:tcW w:type="dxa" w:w="1134"/>
            <w:shd w:fill="FFC7CE" w:val="clear"/>
          </w:tcPr>
          <w:p>
            <w:r>
              <w:rPr>
                <w:b/>
                <w:color w:val="B40000"/>
                <w:sz w:val="16"/>
              </w:rPr>
              <w:t>-50.80%</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6,200</w:t>
            </w:r>
          </w:p>
        </w:tc>
        <w:tc>
          <w:tcPr>
            <w:tcW w:type="dxa" w:w="1417"/>
            <w:shd w:fill="FFFFFF" w:val="clear"/>
          </w:tcPr>
          <w:p>
            <w:r>
              <w:rPr>
                <w:sz w:val="16"/>
              </w:rPr>
              <w:t>2,843</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3,590</w:t>
            </w:r>
          </w:p>
        </w:tc>
        <w:tc>
          <w:tcPr>
            <w:tcW w:type="dxa" w:w="1417"/>
            <w:shd w:fill="FFFFFF" w:val="clear"/>
          </w:tcPr>
          <w:p>
            <w:r>
              <w:rPr>
                <w:sz w:val="16"/>
              </w:rPr>
              <w:t>1,646</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68</w:t>
            </w:r>
          </w:p>
        </w:tc>
        <w:tc>
          <w:tcPr>
            <w:tcW w:type="dxa" w:w="1417"/>
            <w:shd w:fill="FFFFFF" w:val="clear"/>
          </w:tcPr>
          <w:p>
            <w:r>
              <w:rPr>
                <w:sz w:val="16"/>
              </w:rPr>
              <w:t>31</w:t>
            </w:r>
          </w:p>
        </w:tc>
        <w:tc>
          <w:tcPr>
            <w:tcW w:type="dxa" w:w="1134"/>
            <w:shd w:fill="FFC7CE" w:val="clear"/>
          </w:tcPr>
          <w:p>
            <w:r>
              <w:rPr>
                <w:b/>
                <w:color w:val="B40000"/>
                <w:sz w:val="16"/>
              </w:rPr>
              <w:t>-54.15%</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41.96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3,227 titres</w:t>
            </w:r>
          </w:p>
        </w:tc>
        <w:tc>
          <w:tcPr>
            <w:tcW w:type="dxa" w:w="2268"/>
            <w:shd w:fill="FFF2CC" w:val="clear"/>
          </w:tcPr>
          <w:p>
            <w:r>
              <w:rPr>
                <w:b/>
                <w:color w:val="503200"/>
                <w:sz w:val="16"/>
              </w:rPr>
              <w:t xml:space="preserve">Cours actuel : </w:t>
            </w:r>
            <w:r>
              <w:rPr>
                <w:color w:val="000000"/>
                <w:sz w:val="17"/>
              </w:rPr>
              <w:t>3,845 FCFA</w:t>
            </w:r>
          </w:p>
          <w:p>
            <w:r>
              <w:rPr>
                <w:b/>
                <w:color w:val="503200"/>
                <w:sz w:val="16"/>
              </w:rPr>
              <w:t xml:space="preserve">Var. 100 jours : </w:t>
            </w:r>
            <w:r>
              <w:rPr>
                <w:b/>
                <w:color w:val="007800"/>
                <w:sz w:val="17"/>
              </w:rPr>
              <w:t>+12.43%</w:t>
            </w:r>
          </w:p>
          <w:p>
            <w:r>
              <w:rPr>
                <w:b/>
                <w:color w:val="503200"/>
                <w:sz w:val="16"/>
              </w:rPr>
              <w:t xml:space="preserve">Plus haut 100j : </w:t>
            </w:r>
            <w:r>
              <w:rPr>
                <w:color w:val="000000"/>
                <w:sz w:val="17"/>
              </w:rPr>
              <w:t>3,845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7.48% (Moyenne) — μ=3,213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β=0.1883 (Défensif) — Cov=0.000007, Var(idx)=0.000037, ρ=0.037,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3,545</w:t>
            </w:r>
          </w:p>
        </w:tc>
        <w:tc>
          <w:tcPr>
            <w:tcW w:type="dxa" w:w="1440"/>
            <w:shd w:fill="FFDCE0" w:val="clear"/>
          </w:tcPr>
          <w:p>
            <w:r>
              <w:rPr>
                <w:b/>
                <w:sz w:val="17"/>
              </w:rPr>
              <w:t>3,726</w:t>
            </w:r>
          </w:p>
        </w:tc>
        <w:tc>
          <w:tcPr>
            <w:tcW w:type="dxa" w:w="1440"/>
            <w:shd w:fill="FFDCE0" w:val="clear"/>
          </w:tcPr>
          <w:p>
            <w:r>
              <w:rPr>
                <w:sz w:val="17"/>
              </w:rPr>
              <w:t>3,907</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3,394</w:t>
            </w:r>
          </w:p>
        </w:tc>
        <w:tc>
          <w:tcPr>
            <w:tcW w:type="dxa" w:w="1440"/>
            <w:shd w:fill="FFDCE0" w:val="clear"/>
          </w:tcPr>
          <w:p>
            <w:r>
              <w:rPr>
                <w:b/>
                <w:sz w:val="17"/>
              </w:rPr>
              <w:t>3,644</w:t>
            </w:r>
          </w:p>
        </w:tc>
        <w:tc>
          <w:tcPr>
            <w:tcW w:type="dxa" w:w="1440"/>
            <w:shd w:fill="FFDCE0" w:val="clear"/>
          </w:tcPr>
          <w:p>
            <w:r>
              <w:rPr>
                <w:sz w:val="17"/>
              </w:rPr>
              <w:t>3,894</w:t>
            </w:r>
          </w:p>
        </w:tc>
        <w:tc>
          <w:tcPr>
            <w:tcW w:type="dxa" w:w="1440"/>
            <w:shd w:fill="FFDCE0" w:val="clear"/>
          </w:tcPr>
          <w:p>
            <w:r>
              <w:rPr>
                <w:b/>
                <w:color w:val="C00000"/>
                <w:sz w:val="17"/>
              </w:rPr>
              <w:t>-5.2%</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3,257</w:t>
            </w:r>
          </w:p>
        </w:tc>
        <w:tc>
          <w:tcPr>
            <w:tcW w:type="dxa" w:w="1440"/>
            <w:shd w:fill="FFDCE0" w:val="clear"/>
          </w:tcPr>
          <w:p>
            <w:r>
              <w:rPr>
                <w:b/>
                <w:sz w:val="17"/>
              </w:rPr>
              <w:t>3,556</w:t>
            </w:r>
          </w:p>
        </w:tc>
        <w:tc>
          <w:tcPr>
            <w:tcW w:type="dxa" w:w="1440"/>
            <w:shd w:fill="FFDCE0" w:val="clear"/>
          </w:tcPr>
          <w:p>
            <w:r>
              <w:rPr>
                <w:sz w:val="17"/>
              </w:rPr>
              <w:t>3,855</w:t>
            </w:r>
          </w:p>
        </w:tc>
        <w:tc>
          <w:tcPr>
            <w:tcW w:type="dxa" w:w="1440"/>
            <w:shd w:fill="FFDCE0" w:val="clear"/>
          </w:tcPr>
          <w:p>
            <w:r>
              <w:rPr>
                <w:b/>
                <w:color w:val="C00000"/>
                <w:sz w:val="17"/>
              </w:rPr>
              <w:t>-7.5%</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3,144</w:t>
            </w:r>
          </w:p>
        </w:tc>
        <w:tc>
          <w:tcPr>
            <w:tcW w:type="dxa" w:w="1440"/>
            <w:shd w:fill="FFDCE0" w:val="clear"/>
          </w:tcPr>
          <w:p>
            <w:r>
              <w:rPr>
                <w:b/>
                <w:sz w:val="17"/>
              </w:rPr>
              <w:t>3,482</w:t>
            </w:r>
          </w:p>
        </w:tc>
        <w:tc>
          <w:tcPr>
            <w:tcW w:type="dxa" w:w="1440"/>
            <w:shd w:fill="FFDCE0" w:val="clear"/>
          </w:tcPr>
          <w:p>
            <w:r>
              <w:rPr>
                <w:sz w:val="17"/>
              </w:rPr>
              <w:t>3,820</w:t>
            </w:r>
          </w:p>
        </w:tc>
        <w:tc>
          <w:tcPr>
            <w:tcW w:type="dxa" w:w="1440"/>
            <w:shd w:fill="FFDCE0" w:val="clear"/>
          </w:tcPr>
          <w:p>
            <w:r>
              <w:rPr>
                <w:b/>
                <w:color w:val="C00000"/>
                <w:sz w:val="17"/>
              </w:rPr>
              <w:t>-9.4%</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3,047</w:t>
            </w:r>
          </w:p>
        </w:tc>
        <w:tc>
          <w:tcPr>
            <w:tcW w:type="dxa" w:w="1440"/>
            <w:shd w:fill="FFDCE0" w:val="clear"/>
          </w:tcPr>
          <w:p>
            <w:r>
              <w:rPr>
                <w:b/>
                <w:sz w:val="17"/>
              </w:rPr>
              <w:t>3,418</w:t>
            </w:r>
          </w:p>
        </w:tc>
        <w:tc>
          <w:tcPr>
            <w:tcW w:type="dxa" w:w="1440"/>
            <w:shd w:fill="FFDCE0" w:val="clear"/>
          </w:tcPr>
          <w:p>
            <w:r>
              <w:rPr>
                <w:sz w:val="17"/>
              </w:rPr>
              <w:t>3,789</w:t>
            </w:r>
          </w:p>
        </w:tc>
        <w:tc>
          <w:tcPr>
            <w:tcW w:type="dxa" w:w="1440"/>
            <w:shd w:fill="FFDCE0" w:val="clear"/>
          </w:tcPr>
          <w:p>
            <w:r>
              <w:rPr>
                <w:b/>
                <w:color w:val="C00000"/>
                <w:sz w:val="17"/>
              </w:rPr>
              <w:t>-11.1%</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2,960</w:t>
            </w:r>
          </w:p>
        </w:tc>
        <w:tc>
          <w:tcPr>
            <w:tcW w:type="dxa" w:w="1440"/>
            <w:shd w:fill="FFDCE0" w:val="clear"/>
          </w:tcPr>
          <w:p>
            <w:r>
              <w:rPr>
                <w:b/>
                <w:sz w:val="17"/>
              </w:rPr>
              <w:t>3,359</w:t>
            </w:r>
          </w:p>
        </w:tc>
        <w:tc>
          <w:tcPr>
            <w:tcW w:type="dxa" w:w="1440"/>
            <w:shd w:fill="FFDCE0" w:val="clear"/>
          </w:tcPr>
          <w:p>
            <w:r>
              <w:rPr>
                <w:sz w:val="17"/>
              </w:rPr>
              <w:t>3,759</w:t>
            </w:r>
          </w:p>
        </w:tc>
        <w:tc>
          <w:tcPr>
            <w:tcW w:type="dxa" w:w="1440"/>
            <w:shd w:fill="FFDCE0" w:val="clear"/>
          </w:tcPr>
          <w:p>
            <w:r>
              <w:rPr>
                <w:b/>
                <w:color w:val="C00000"/>
                <w:sz w:val="17"/>
              </w:rPr>
              <w:t>-12.6%</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2,881</w:t>
            </w:r>
          </w:p>
        </w:tc>
        <w:tc>
          <w:tcPr>
            <w:tcW w:type="dxa" w:w="1440"/>
            <w:shd w:fill="FFDCE0" w:val="clear"/>
          </w:tcPr>
          <w:p>
            <w:r>
              <w:rPr>
                <w:b/>
                <w:sz w:val="17"/>
              </w:rPr>
              <w:t>3,305</w:t>
            </w:r>
          </w:p>
        </w:tc>
        <w:tc>
          <w:tcPr>
            <w:tcW w:type="dxa" w:w="1440"/>
            <w:shd w:fill="FFDCE0" w:val="clear"/>
          </w:tcPr>
          <w:p>
            <w:r>
              <w:rPr>
                <w:sz w:val="17"/>
              </w:rPr>
              <w:t>3,730</w:t>
            </w:r>
          </w:p>
        </w:tc>
        <w:tc>
          <w:tcPr>
            <w:tcW w:type="dxa" w:w="1440"/>
            <w:shd w:fill="FFDCE0" w:val="clear"/>
          </w:tcPr>
          <w:p>
            <w:r>
              <w:rPr>
                <w:b/>
                <w:color w:val="C00000"/>
                <w:sz w:val="17"/>
              </w:rPr>
              <w:t>-14.0%</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2,808</w:t>
            </w:r>
          </w:p>
        </w:tc>
        <w:tc>
          <w:tcPr>
            <w:tcW w:type="dxa" w:w="1440"/>
            <w:shd w:fill="FFDCE0" w:val="clear"/>
          </w:tcPr>
          <w:p>
            <w:r>
              <w:rPr>
                <w:b/>
                <w:sz w:val="17"/>
              </w:rPr>
              <w:t>3,254</w:t>
            </w:r>
          </w:p>
        </w:tc>
        <w:tc>
          <w:tcPr>
            <w:tcW w:type="dxa" w:w="1440"/>
            <w:shd w:fill="FFDCE0" w:val="clear"/>
          </w:tcPr>
          <w:p>
            <w:r>
              <w:rPr>
                <w:sz w:val="17"/>
              </w:rPr>
              <w:t>3,701</w:t>
            </w:r>
          </w:p>
        </w:tc>
        <w:tc>
          <w:tcPr>
            <w:tcW w:type="dxa" w:w="1440"/>
            <w:shd w:fill="FFDCE0" w:val="clear"/>
          </w:tcPr>
          <w:p>
            <w:r>
              <w:rPr>
                <w:b/>
                <w:color w:val="C00000"/>
                <w:sz w:val="17"/>
              </w:rPr>
              <w:t>-15.4%</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2,740</w:t>
            </w:r>
          </w:p>
        </w:tc>
        <w:tc>
          <w:tcPr>
            <w:tcW w:type="dxa" w:w="1440"/>
            <w:shd w:fill="FFDCE0" w:val="clear"/>
          </w:tcPr>
          <w:p>
            <w:r>
              <w:rPr>
                <w:b/>
                <w:sz w:val="17"/>
              </w:rPr>
              <w:t>3,207</w:t>
            </w:r>
          </w:p>
        </w:tc>
        <w:tc>
          <w:tcPr>
            <w:tcW w:type="dxa" w:w="1440"/>
            <w:shd w:fill="FFDCE0" w:val="clear"/>
          </w:tcPr>
          <w:p>
            <w:r>
              <w:rPr>
                <w:sz w:val="17"/>
              </w:rPr>
              <w:t>3,674</w:t>
            </w:r>
          </w:p>
        </w:tc>
        <w:tc>
          <w:tcPr>
            <w:tcW w:type="dxa" w:w="1440"/>
            <w:shd w:fill="FFDCE0" w:val="clear"/>
          </w:tcPr>
          <w:p>
            <w:r>
              <w:rPr>
                <w:b/>
                <w:color w:val="C00000"/>
                <w:sz w:val="17"/>
              </w:rPr>
              <w:t>-16.6%</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2,676</w:t>
            </w:r>
          </w:p>
        </w:tc>
        <w:tc>
          <w:tcPr>
            <w:tcW w:type="dxa" w:w="1440"/>
            <w:shd w:fill="FFDCE0" w:val="clear"/>
          </w:tcPr>
          <w:p>
            <w:r>
              <w:rPr>
                <w:b/>
                <w:sz w:val="17"/>
              </w:rPr>
              <w:t>3,161</w:t>
            </w:r>
          </w:p>
        </w:tc>
        <w:tc>
          <w:tcPr>
            <w:tcW w:type="dxa" w:w="1440"/>
            <w:shd w:fill="FFDCE0" w:val="clear"/>
          </w:tcPr>
          <w:p>
            <w:r>
              <w:rPr>
                <w:sz w:val="17"/>
              </w:rPr>
              <w:t>3,647</w:t>
            </w:r>
          </w:p>
        </w:tc>
        <w:tc>
          <w:tcPr>
            <w:tcW w:type="dxa" w:w="1440"/>
            <w:shd w:fill="FFDCE0" w:val="clear"/>
          </w:tcPr>
          <w:p>
            <w:r>
              <w:rPr>
                <w:b/>
                <w:color w:val="C00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Absolument. Voici un rapport d'analyse structuré et professionnel pour l'action ABJC (Servair Abidjan)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41,96 milliards FCFA, un niveau significatif qui la positionne comme une valeur de taille moyenne sur la BRVM. Avec un BPA de 124 FCFA, le titre se négocie à un PER de 31,1x, un niveau extrêmement élevé comparé à la moyenne historique du marché qui se situe entre 8 et 12x. Cette décote suggère que le marché intègre des attentes de croissance future très optimistes, ou une possible surévaluation. Le P/B de 8,13x confirme cette lecture, indiquant que les investisseurs paient une prime de plus de 700% par rapport à la valeur comptable des actifs. Enfin, l'EV/EBITDA de 16,0x, bien que supérieur au seuil de 15x jugé exigeant, est légèrement moins extrême que le PER, ce qui peut refléter une trésorerie importante qui réduit la valeur d'entreprise.</w:t>
      </w:r>
    </w:p>
    <w:p>
      <w:pPr>
        <w:spacing w:after="120" w:line="276" w:lineRule="auto"/>
      </w:pPr>
      <w:r>
        <w:t>### PARTIE 1 : ANALYSE DU COURS — STATISTIQUES ET ÉVOLUTION (100 derniers jours)</w:t>
      </w:r>
    </w:p>
    <w:p>
      <w:pPr>
        <w:spacing w:after="120" w:line="276" w:lineRule="auto"/>
      </w:pPr>
      <w:r>
        <w:t>Sur les 100 derniers jours, l'action ABJC a affiché une performance remarquable de +12,43%, clôturant à son plus haut niveau sur la période, soit 3 845 FCFA, contre un plus bas de 2 800 FCFA. Cette tendance haussière est soutenue par une dynamique positive lors de la dernière séance (+1,18%). L'analyse statistique révèle un cours moyen de 3 213 FCFA, légèrement supérieur à la médiane (3 182 FCFA) et au mode (3 150 FCFA), ce qui, combiné à un skewness positif de 0,445, indique une distribution avec une queue de distribution vers les hauts prix, typique d'une phase d'accélération. La dispersion est modérée avec un écart-type de 242 FCFA (CV=7,5%), et le kurtosis de -0,349 (mésokurtique) suggère l'absence de mouvements extrêmes imprévisibles. Cependant, la volatilité annualisée de 48,7% classe le titre comme très volatil, signalant un risque élevé pour les investisseurs.</w:t>
      </w:r>
    </w:p>
    <w:p>
      <w:pPr>
        <w:spacing w:after="120" w:line="276" w:lineRule="auto"/>
      </w:pPr>
      <w:r>
        <w:t>### PARTIE 2 : ANALYSE TECHNIQUE DÉTAILLÉE</w:t>
      </w:r>
    </w:p>
    <w:p>
      <w:pPr>
        <w:spacing w:after="120" w:line="276" w:lineRule="auto"/>
      </w:pPr>
      <w:r>
        <w:t>**Moyennes Mobiles:** Le cours actuel (3 845 FCFA) se situe nettement au-dessus de sa MM20 (3 329,25 FCFA) et de sa MM50 (3 224,8 FCFA). Cette configuration haussière, où les moyennes sont orientées à la hausse, confirme la solidité de la tendance de fond et justifie le signal d'**Achat**.</w:t>
      </w:r>
    </w:p>
    <w:p>
      <w:pPr>
        <w:spacing w:after="120" w:line="276" w:lineRule="auto"/>
      </w:pPr>
      <w:r>
        <w:t>**Bandes de Bollinger:** Le prix évolue près de la borne supérieure (3 935,68 FCFA), ce qui témoigne d'une pression acheteuse soutenue. La largeur des bandes est importante, reflétant la forte volatilité du titre. Le signal est **Neutre** car, bien que le titre soit dans la partie supérieure, il n'a pas encore franchi la borne, ce qui pourrait indiquer une poursuite de la tendance ou un retournement imminent.</w:t>
      </w:r>
    </w:p>
    <w:p>
      <w:pPr>
        <w:spacing w:after="120" w:line="276" w:lineRule="auto"/>
      </w:pPr>
      <w:r>
        <w:t>**MACD:** Le MACD (176,36) est nettement supérieur à son signal (114,92), et les deux sont positifs. Cette configuration montre un momentum haussier très fort et confirme le signal d'**Achat**. La divergence positive entre la ligne MACD et le signal indique que la dynamique d'achat s'accélère.</w:t>
      </w:r>
    </w:p>
    <w:p>
      <w:pPr>
        <w:spacing w:after="120" w:line="276" w:lineRule="auto"/>
      </w:pPr>
      <w:r>
        <w:t>**RSI:** Avec une valeur de 91,72, le RSI est en territoire de surachat extrême (bien au-dessus de 70). Cela signifie que le titre est survendu à court terme et qu'un repli technique ou une consolidation est hautement probable. Ce signal de **Vente** est un avertissement fort contre tout nouvel achat à ces niveaux.</w:t>
      </w:r>
    </w:p>
    <w:p>
      <w:pPr>
        <w:spacing w:after="120" w:line="276" w:lineRule="auto"/>
      </w:pPr>
      <w:r>
        <w:t>**Stochastique:** Les lignes %K et %D sont toutes deux à 100, un niveau extrême qui confirme l'état de surachat massif. Ce signal de **Vente** indique que la pression acheteuse est à son paroxysme et que le potentiel de hausse à court terme est très limité, augmentant le risque de retournement baissier.</w:t>
      </w:r>
    </w:p>
    <w:p>
      <w:pPr>
        <w:spacing w:after="120" w:line="276" w:lineRule="auto"/>
      </w:pPr>
      <w:r>
        <w:t>**Conclusion technique:** Les indicateurs de tendance (MM, MACD) sont résolument haussiers, mais les oscillateurs (RSI, Stochastique) hurlent à la surachat. Cette divergence classique signale une tendance de fond solide mais un risque de correction à très court terme. Un investisseur prudent attendra un repli vers les moyennes mobiles pour entrer, tandis qu'un investisseur agressif pourrait considérer la force de la tendance comme un signal de continuation.</w:t>
      </w:r>
    </w:p>
    <w:p>
      <w:pPr>
        <w:spacing w:after="120" w:line="276" w:lineRule="auto"/>
      </w:pPr>
      <w:r>
        <w:t>### PARTIE 3 : ANALYSE FONDAMENTALE (SECTION CRITIQUE)</w:t>
      </w:r>
    </w:p>
    <w:p>
      <w:pPr>
        <w:spacing w:after="120" w:line="276" w:lineRule="auto"/>
      </w:pPr>
      <w:r>
        <w:t>En se basant sur les données structurées de l'exercice 2025, Servair Abidjan affiche un chiffre d'affaires de 13,298 milliards FCFA, en croissance de 6,67%. Cependant, le résultat net s'établit à 1,351 milliard FCFA, en baisse par rapport à 2024. Cette baisse est attribuée à une augmentation de 46,7% de la charge d'impôt, comme le confirme le rapport annuel 2025. La rentabilité reste néanmoins excellente avec un ROE de 26,18% et un ROA de 14,64%. La structure financière est très saine avec une autonomie financière de 55,9% et une trésorerie massive de 4,035 milliards FCFA. Pour une entreprise, les délais de paiement clients (70 jours) et fournisseurs (92 jours) sont bien gérés, le BFR étant faible (257 millions FCFA). Les rapports trimestriels de 2025 montrent une année en dents de scie : un T1 difficile (RN -6,8% dû à un litige avec la BCEAO), un T3 exceptionnel (RN +17,1%), mais une fin d'année marquée par un T1 2026 décevant (RN -35,6% à 222 millions FCFA) à cause d'ajustements de redevances aéroportuaires. Sur la base de ce T1 2026, on estime que l'exercice 2026 pourrait voir une contraction de la rentabilité si cette tendance se poursuit. La recommandation fondamentale est de **CONSERVER**, la société étant fondamentalement solide mais confrontée à des vents contraires réglementaires et conjoncturels.</w:t>
      </w:r>
    </w:p>
    <w:p>
      <w:pPr>
        <w:spacing w:after="120" w:line="276" w:lineRule="auto"/>
      </w:pPr>
      <w:r>
        <w:t>### PARTIE 4 : CONCLUSION D'INVESTISSEMENT</w:t>
      </w:r>
    </w:p>
    <w:p>
      <w:pPr>
        <w:spacing w:after="120" w:line="276" w:lineRule="auto"/>
      </w:pPr>
      <w:r>
        <w:t>La valorisation d'ABJC (PER 31x, P/B 8x) est extrêmement exigeante et ne laisse que peu de marge d'erreur, contrastant avec une performance boursière récente très forte (+12,4%) mais marquée par une volatilité élevée. Les signaux techniques sont contradictoires : la tendance de fond (MM, MACD) est haussière, mais les oscillateurs (RSI, Stochastique) sont en surachat extrême, signalant un risque de correction imminent. Les fondamentaux de l'entreprise sont solides (ROE &gt;26%, trésorerie abondante), mais la baisse récente de la rentabilité et les incertitudes réglementaires (redevances, litiges) assombrissent les perspectives à court terme. Les prédictions IA, qui anticipent une baisse progressive du cours vers 3 418 FCFA sur 10 jours, corroborent le signal de surachat technique et suggèrent un retour vers des niveaux plus soutenables. En synthèse, la convergence entre la surévaluation boursière, les signaux de surachat technique et les prédictions IA baissières, malgré des fondamentaux de qualité, conduit à une recommandation de **VENTE** à court terme pour les investisseurs cherchant à réaliser des profits, avec un niveau de confiance **Moyen** et un risque global **Élevé**. L'horizon d'investissement optimal serait de moyen à long terme (&gt;6 mois), en attendant une correction du cours et une clarification de l'environnement opérationnel pour envisager un réinvestissement.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540.05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11,886 titres</w:t>
            </w:r>
          </w:p>
        </w:tc>
        <w:tc>
          <w:tcPr>
            <w:tcW w:type="dxa" w:w="2268"/>
            <w:shd w:fill="FFF2CC" w:val="clear"/>
          </w:tcPr>
          <w:p>
            <w:r>
              <w:rPr>
                <w:b/>
                <w:color w:val="503200"/>
                <w:sz w:val="16"/>
              </w:rPr>
              <w:t xml:space="preserve">Cours actuel : </w:t>
            </w:r>
            <w:r>
              <w:rPr>
                <w:color w:val="000000"/>
                <w:sz w:val="17"/>
              </w:rPr>
              <w:t>9,350 FCFA</w:t>
            </w:r>
          </w:p>
          <w:p>
            <w:r>
              <w:rPr>
                <w:b/>
                <w:color w:val="503200"/>
                <w:sz w:val="16"/>
              </w:rPr>
              <w:t xml:space="preserve">Var. 100 jours : </w:t>
            </w:r>
            <w:r>
              <w:rPr>
                <w:b/>
                <w:color w:val="007800"/>
                <w:sz w:val="17"/>
              </w:rPr>
              <w:t>+82.97%</w:t>
            </w:r>
          </w:p>
          <w:p>
            <w:r>
              <w:rPr>
                <w:b/>
                <w:color w:val="503200"/>
                <w:sz w:val="16"/>
              </w:rPr>
              <w:t xml:space="preserve">Plus haut 100j : </w:t>
            </w:r>
            <w:r>
              <w:rPr>
                <w:color w:val="000000"/>
                <w:sz w:val="17"/>
              </w:rPr>
              <w:t>9,350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19.35% (Élevée) — μ=6,254 FCFA, σ=1,210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β=0.3295 (Défensif) — Cov=0.000012, Var(idx)=0.000037, ρ=0.099,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11,886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2026-09-02</w:t>
            </w:r>
          </w:p>
        </w:tc>
        <w:tc>
          <w:tcPr>
            <w:tcW w:type="dxa" w:w="1440"/>
            <w:shd w:fill="FFDCE0" w:val="clear"/>
          </w:tcPr>
          <w:p>
            <w:r>
              <w:rPr>
                <w:sz w:val="17"/>
              </w:rPr>
              <w:t>8,265</w:t>
            </w:r>
          </w:p>
        </w:tc>
        <w:tc>
          <w:tcPr>
            <w:tcW w:type="dxa" w:w="1440"/>
            <w:shd w:fill="FFDCE0" w:val="clear"/>
          </w:tcPr>
          <w:p>
            <w:r>
              <w:rPr>
                <w:b/>
                <w:sz w:val="17"/>
              </w:rPr>
              <w:t>8,649</w:t>
            </w:r>
          </w:p>
        </w:tc>
        <w:tc>
          <w:tcPr>
            <w:tcW w:type="dxa" w:w="1440"/>
            <w:shd w:fill="FFDCE0" w:val="clear"/>
          </w:tcPr>
          <w:p>
            <w:r>
              <w:rPr>
                <w:sz w:val="17"/>
              </w:rPr>
              <w:t>9,033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7,498</w:t>
            </w:r>
          </w:p>
        </w:tc>
        <w:tc>
          <w:tcPr>
            <w:tcW w:type="dxa" w:w="1440"/>
            <w:shd w:fill="FFDCE0" w:val="clear"/>
          </w:tcPr>
          <w:p>
            <w:r>
              <w:rPr>
                <w:b/>
                <w:sz w:val="17"/>
              </w:rPr>
              <w:t>8,000</w:t>
            </w:r>
          </w:p>
        </w:tc>
        <w:tc>
          <w:tcPr>
            <w:tcW w:type="dxa" w:w="1440"/>
            <w:shd w:fill="FFDCE0" w:val="clear"/>
          </w:tcPr>
          <w:p>
            <w:r>
              <w:rPr>
                <w:sz w:val="17"/>
              </w:rPr>
              <w:t>8,503</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6,831</w:t>
            </w:r>
          </w:p>
        </w:tc>
        <w:tc>
          <w:tcPr>
            <w:tcW w:type="dxa" w:w="1440"/>
            <w:shd w:fill="FFDCE0" w:val="clear"/>
          </w:tcPr>
          <w:p>
            <w:r>
              <w:rPr>
                <w:b/>
                <w:sz w:val="17"/>
              </w:rPr>
              <w:t>7,400</w:t>
            </w:r>
          </w:p>
        </w:tc>
        <w:tc>
          <w:tcPr>
            <w:tcW w:type="dxa" w:w="1440"/>
            <w:shd w:fill="FFDCE0" w:val="clear"/>
          </w:tcPr>
          <w:p>
            <w:r>
              <w:rPr>
                <w:sz w:val="17"/>
              </w:rPr>
              <w:t>7,969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6,237</w:t>
            </w:r>
          </w:p>
        </w:tc>
        <w:tc>
          <w:tcPr>
            <w:tcW w:type="dxa" w:w="1440"/>
            <w:shd w:fill="FFDCE0" w:val="clear"/>
          </w:tcPr>
          <w:p>
            <w:r>
              <w:rPr>
                <w:b/>
                <w:sz w:val="17"/>
              </w:rPr>
              <w:t>6,845</w:t>
            </w:r>
          </w:p>
        </w:tc>
        <w:tc>
          <w:tcPr>
            <w:tcW w:type="dxa" w:w="1440"/>
            <w:shd w:fill="FFDCE0" w:val="clear"/>
          </w:tcPr>
          <w:p>
            <w:r>
              <w:rPr>
                <w:sz w:val="17"/>
              </w:rPr>
              <w:t>7,453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5,703</w:t>
            </w:r>
          </w:p>
        </w:tc>
        <w:tc>
          <w:tcPr>
            <w:tcW w:type="dxa" w:w="1440"/>
            <w:shd w:fill="FFDCE0" w:val="clear"/>
          </w:tcPr>
          <w:p>
            <w:r>
              <w:rPr>
                <w:b/>
                <w:sz w:val="17"/>
              </w:rPr>
              <w:t>6,332</w:t>
            </w:r>
          </w:p>
        </w:tc>
        <w:tc>
          <w:tcPr>
            <w:tcW w:type="dxa" w:w="1440"/>
            <w:shd w:fill="FFDCE0" w:val="clear"/>
          </w:tcPr>
          <w:p>
            <w:r>
              <w:rPr>
                <w:sz w:val="17"/>
              </w:rPr>
              <w:t>6,961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5,352</w:t>
            </w:r>
          </w:p>
        </w:tc>
        <w:tc>
          <w:tcPr>
            <w:tcW w:type="dxa" w:w="1440"/>
            <w:shd w:fill="FFDCE0" w:val="clear"/>
          </w:tcPr>
          <w:p>
            <w:r>
              <w:rPr>
                <w:b/>
                <w:sz w:val="17"/>
              </w:rPr>
              <w:t>6,006</w:t>
            </w:r>
          </w:p>
        </w:tc>
        <w:tc>
          <w:tcPr>
            <w:tcW w:type="dxa" w:w="1440"/>
            <w:shd w:fill="FFDCE0" w:val="clear"/>
          </w:tcPr>
          <w:p>
            <w:r>
              <w:rPr>
                <w:sz w:val="17"/>
              </w:rPr>
              <w:t>6,659</w:t>
            </w:r>
          </w:p>
        </w:tc>
        <w:tc>
          <w:tcPr>
            <w:tcW w:type="dxa" w:w="1440"/>
            <w:shd w:fill="FFDCE0" w:val="clear"/>
          </w:tcPr>
          <w:p>
            <w:r>
              <w:rPr>
                <w:b/>
                <w:color w:val="C00000"/>
                <w:sz w:val="17"/>
              </w:rPr>
              <w:t>-35.8%</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5,178</w:t>
            </w:r>
          </w:p>
        </w:tc>
        <w:tc>
          <w:tcPr>
            <w:tcW w:type="dxa" w:w="1440"/>
            <w:shd w:fill="FFDCE0" w:val="clear"/>
          </w:tcPr>
          <w:p>
            <w:r>
              <w:rPr>
                <w:b/>
                <w:sz w:val="17"/>
              </w:rPr>
              <w:t>5,868</w:t>
            </w:r>
          </w:p>
        </w:tc>
        <w:tc>
          <w:tcPr>
            <w:tcW w:type="dxa" w:w="1440"/>
            <w:shd w:fill="FFDCE0" w:val="clear"/>
          </w:tcPr>
          <w:p>
            <w:r>
              <w:rPr>
                <w:sz w:val="17"/>
              </w:rPr>
              <w:t>6,557</w:t>
            </w:r>
          </w:p>
        </w:tc>
        <w:tc>
          <w:tcPr>
            <w:tcW w:type="dxa" w:w="1440"/>
            <w:shd w:fill="FFDCE0" w:val="clear"/>
          </w:tcPr>
          <w:p>
            <w:r>
              <w:rPr>
                <w:b/>
                <w:color w:val="C00000"/>
                <w:sz w:val="17"/>
              </w:rPr>
              <w:t>-37.2%</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5,027</w:t>
            </w:r>
          </w:p>
        </w:tc>
        <w:tc>
          <w:tcPr>
            <w:tcW w:type="dxa" w:w="1440"/>
            <w:shd w:fill="FFDCE0" w:val="clear"/>
          </w:tcPr>
          <w:p>
            <w:r>
              <w:rPr>
                <w:b/>
                <w:sz w:val="17"/>
              </w:rPr>
              <w:t>5,749</w:t>
            </w:r>
          </w:p>
        </w:tc>
        <w:tc>
          <w:tcPr>
            <w:tcW w:type="dxa" w:w="1440"/>
            <w:shd w:fill="FFDCE0" w:val="clear"/>
          </w:tcPr>
          <w:p>
            <w:r>
              <w:rPr>
                <w:sz w:val="17"/>
              </w:rPr>
              <w:t>6,471</w:t>
            </w:r>
          </w:p>
        </w:tc>
        <w:tc>
          <w:tcPr>
            <w:tcW w:type="dxa" w:w="1440"/>
            <w:shd w:fill="FFDCE0" w:val="clear"/>
          </w:tcPr>
          <w:p>
            <w:r>
              <w:rPr>
                <w:b/>
                <w:color w:val="C00000"/>
                <w:sz w:val="17"/>
              </w:rPr>
              <w:t>-38.5%</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4,894</w:t>
            </w:r>
          </w:p>
        </w:tc>
        <w:tc>
          <w:tcPr>
            <w:tcW w:type="dxa" w:w="1440"/>
            <w:shd w:fill="FFDCE0" w:val="clear"/>
          </w:tcPr>
          <w:p>
            <w:r>
              <w:rPr>
                <w:b/>
                <w:sz w:val="17"/>
              </w:rPr>
              <w:t>5,646</w:t>
            </w:r>
          </w:p>
        </w:tc>
        <w:tc>
          <w:tcPr>
            <w:tcW w:type="dxa" w:w="1440"/>
            <w:shd w:fill="FFDCE0" w:val="clear"/>
          </w:tcPr>
          <w:p>
            <w:r>
              <w:rPr>
                <w:sz w:val="17"/>
              </w:rPr>
              <w:t>6,398</w:t>
            </w:r>
          </w:p>
        </w:tc>
        <w:tc>
          <w:tcPr>
            <w:tcW w:type="dxa" w:w="1440"/>
            <w:shd w:fill="FFDCE0" w:val="clear"/>
          </w:tcPr>
          <w:p>
            <w:r>
              <w:rPr>
                <w:b/>
                <w:color w:val="C00000"/>
                <w:sz w:val="17"/>
              </w:rPr>
              <w:t>-39.6%</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4,777</w:t>
            </w:r>
          </w:p>
        </w:tc>
        <w:tc>
          <w:tcPr>
            <w:tcW w:type="dxa" w:w="1440"/>
            <w:shd w:fill="FFDCE0" w:val="clear"/>
          </w:tcPr>
          <w:p>
            <w:r>
              <w:rPr>
                <w:b/>
                <w:sz w:val="17"/>
              </w:rPr>
              <w:t>5,557</w:t>
            </w:r>
          </w:p>
        </w:tc>
        <w:tc>
          <w:tcPr>
            <w:tcW w:type="dxa" w:w="1440"/>
            <w:shd w:fill="FFDCE0" w:val="clear"/>
          </w:tcPr>
          <w:p>
            <w:r>
              <w:rPr>
                <w:sz w:val="17"/>
              </w:rPr>
              <w:t>6,338</w:t>
            </w:r>
          </w:p>
        </w:tc>
        <w:tc>
          <w:tcPr>
            <w:tcW w:type="dxa" w:w="1440"/>
            <w:shd w:fill="FFDCE0" w:val="clear"/>
          </w:tcPr>
          <w:p>
            <w:r>
              <w:rPr>
                <w:b/>
                <w:color w:val="C00000"/>
                <w:sz w:val="17"/>
              </w:rPr>
              <w:t>-40.6%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540,05 milliards FCFA, ce qui en fait l'une des valeurs les plus significatives de la cote BRVM, reflétant l'importance systémique de cette banque dans la zone UEMOA. Le BPA de 627 FCFA indique que chaque action génère un bénéfice substantiel, mais le PER de 14,9x se situe au-dessus de la moyenne historique de la BRVM (8-12x), signalant que les investisseurs acceptent de payer une prime pour la croissance future de l'établissement. Le P/B de 4,00x confirme cette prime, le marché valorisant l'action à quatre fois sa valeur comptable, ce qui témoigne d'une forte confiance dans la création de valeur future. Enfin, l'EV/EBITDA de 25,4x, bien que très exigeant, s'explique par la nature capitalistique du secteur bancaire où l'EBITDA ne capture qu'imparfaitement la performance opérationnelle réelle.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connu une appréciation spectaculaire de +82,97%, passant d'un plus bas de 5 100 FCFA à un plus haut historique de 9 350 FCFA, avec une dernière séance en hausse de 5,06%. Cette tendance fortement haussière s'accompagne d'une moyenne de 6 254 FCFA et d'une médiane de 5 798 FCFA, l'écart entre ces deux valeurs indiquant une distribution asymétrique où les jours de forte hausse récente tirent la moyenne vers le haut. L'écart-type de 1 216 FCFA (CV=19,4%) révèle une dispersion modérée des cours autour de la moyenne, tandis que le kurtosis de -0,649 suggère une distribution mésokurtique sans risque excessif de mouvements extrêmes. Le skewness positif de 0,867 confirme que le titre a passé davantage de journées sous sa moyenne, caractéristique d'un parcours haussier récent et violent. La volatilité annualisée de 31,9% classe BICB comme une valeur à risque élevé, nécessitant une gestion active du portefeuille.</w:t>
      </w:r>
    </w:p>
    <w:p>
      <w:pPr>
        <w:spacing w:after="120" w:line="276" w:lineRule="auto" w:before="240"/>
      </w:pPr>
      <w:r>
        <w:rPr>
          <w:b/>
          <w:color w:val="003366"/>
          <w:sz w:val="24"/>
        </w:rPr>
        <w:t>**PARTIE 2 : ANALYSE TECHNIQUE DÉTAILLÉE**</w:t>
      </w:r>
    </w:p>
    <w:p>
      <w:pPr>
        <w:spacing w:after="120" w:line="276" w:lineRule="auto"/>
      </w:pPr>
      <w:r>
        <w:t>**Moyennes Mobiles** : Le cours actuel de 9 350 FCFA se positionne nettement au-dessus de la MM20 (8 260,75 FCFA) et de la MM50 (7 207,8 FCFA), configuration haussière classique où les moyennes courtes sont supérieures aux moyennes longues. L'écart important entre le prix et ces moyennes indique une dynamique d'achat puissante, justifiant la décision d'Achat, bien que cet écart suggère également une possible correction à court terme.</w:t>
      </w:r>
    </w:p>
    <w:p>
      <w:pPr>
        <w:spacing w:after="120" w:line="276" w:lineRule="auto"/>
      </w:pPr>
      <w:r>
        <w:t>**Bandes de Bollinger** : Le prix évolue au-delà de la borne supérieure (9 198,40 FCFA), signalant une condition de surachat extrême. Cette sortie de bande traduit une volatilité exceptionnellement élevée et un momentum haussier sans précédent, mais historiquement, de telles configurations précèdent souvent des retournements. La décision de Vente reflète cette probabilité statistique de consolidation.</w:t>
      </w:r>
    </w:p>
    <w:p>
      <w:pPr>
        <w:spacing w:after="120" w:line="276" w:lineRule="auto"/>
      </w:pPr>
      <w:r>
        <w:t>**MACD** : La valeur positive de 476,88 au-dessus de sa ligne de signal (451,78) confirme la vigueur du momentum haussier. La divergence positive entre le MACD et son signal indique que la pression acheteuse reste dominante, justifiant la décision d'Achat. Cependant, l'écart croissant entre ces deux lignes pourrait signaler un essoufflement prochain du mouvement.</w:t>
      </w:r>
    </w:p>
    <w:p>
      <w:pPr>
        <w:spacing w:after="120" w:line="276" w:lineRule="auto"/>
      </w:pPr>
      <w:r>
        <w:t>**RSI** : À 81,25, le RSI se trouve profondément en zone de surachat (&gt;70), indiquant que le titre est statistiquement surévalué à court terme. Cette lecture suggère que les acheteurs ont poussé le cours au-delà des niveaux soutenables par les fondamentaux immédiats, justifiant la décision de Vente pour les traders à horizon court.</w:t>
      </w:r>
    </w:p>
    <w:p>
      <w:pPr>
        <w:spacing w:after="120" w:line="276" w:lineRule="auto"/>
      </w:pPr>
      <w:r>
        <w:t>**Stochastique** : Avec %K à 100,0 et %D à 99,60, l'oscillateur stochastique est saturé à son niveau maximal, confirmant la condition de surachat extrême. Cette configuration, où les deux lignes sont pratiquement confondues au plus haut, signale historiquement un épuisement du mouvement haussier imminent, justifiant la décision de Vente.</w:t>
      </w:r>
    </w:p>
    <w:p>
      <w:pPr>
        <w:spacing w:after="120" w:line="276" w:lineRule="auto"/>
      </w:pPr>
      <w:r>
        <w:t>**Conclusion technique** : La convergence des indicateurs de momentum (RSI, Stochastique, Bollinger) vers des zones de surachat extrême contraste avec la tendance de fond toujours haussière (MM, MACD). Cette divergence entre la tendance primaire et les conditions de court terme suggère qu'une consolidation technique est hautement probable, mais ne remet pas en cause la tendance haussière de fond.</w:t>
      </w:r>
    </w:p>
    <w:p>
      <w:pPr>
        <w:spacing w:after="120" w:line="276" w:lineRule="auto" w:before="240"/>
      </w:pPr>
      <w:r>
        <w:rPr>
          <w:b/>
          <w:color w:val="003366"/>
          <w:sz w:val="24"/>
        </w:rPr>
        <w:t>**PARTIE 3 : ANALYSE FONDAMENTALE (SECTION CRITIQUE)**</w:t>
      </w:r>
    </w:p>
    <w:p>
      <w:pPr>
        <w:spacing w:after="120" w:line="276" w:lineRule="auto"/>
      </w:pPr>
      <w:r>
        <w:t>En 2025, BICB affiche des résultats financiers remarquables avec un Produit Net Bancaire de 52,805 milliards FCFA, en croissance de 16,49%, et un résultat net de 36,237 milliards FCFA, soit une progression de 24,7% par rapport à 2024. La banque démontre une efficacité opérationnelle exceptionnelle avec un coefficient d'exploitation de 31,12%, très inférieur au seuil de 60% considéré comme satisfaisant, et une marge nette de 68,62%. Le ROE de 26,82% et le ROA de 1,96% confirment l'excellente rentabilité des fonds propres et des actifs. Cependant, le coût du risque de 9,61% reste élevé, témoignant d'une dégradation de la qualité du portefeuille de crédits, comme l'ont souligné les rapports des commissaires aux comptes du 22 juin 2026. Les dépôts clientèle (1 181,045 milliards FCFA) couvrent presque intégralement les crédits à la clientèle (1 151,536 milliards FCFA), avec un ratio de transformation de 97,5%, signalant une tension sur la liquidité. Les rapports trimestriels 2025 montrent une trajectoire contrastée : le S1 2025 (rapport du 15 mars 2026) enregistrait une baisse de 26,7% du résultat net à 7,903 milliards FCFA, le T3 2025 (rapport du 15 mars 2026) confirmait le recul à 13,128 milliards FCFA (-9%), mais le T1 2026 (rapport récent) inverse la tendance avec un résultat net en hausse de 48% à 8,0 milliards FCFA. Sur cette base, on estime que l'exercice 2026 pourrait voir le résultat net dépasser 40 milliards FCFA si la dynamique du T1 se maintient, avec un PNB annuel projeté autour de 60 milliards FCFA. La solidité financière est confortée par un ratio de solvabilité de 19,64%, bien au-dessus de l'exigence réglementaire de 11,5%, et une capacité d'autofinancement de 34 milliards FCFA.</w:t>
      </w:r>
    </w:p>
    <w:p>
      <w:pPr>
        <w:spacing w:after="120" w:line="276" w:lineRule="auto" w:before="240"/>
      </w:pPr>
      <w:r>
        <w:rPr>
          <w:b/>
          <w:color w:val="003366"/>
          <w:sz w:val="24"/>
        </w:rPr>
        <w:t>**PARTIE 4 : CONCLUSION D'INVESTISSEMENT**</w:t>
      </w:r>
    </w:p>
    <w:p>
      <w:pPr>
        <w:spacing w:after="120" w:line="276" w:lineRule="auto"/>
      </w:pPr>
      <w:r>
        <w:t>La valorisation actuelle de BICB avec un PER de 14,9x et un P/B de 4,0x intègre déjà des perspectives de croissance ambitieuses, tandis que le comportement du cours (+82,97% en 100 jours) et les statistiques descriptives (skewness positif, volatilité de 31,9%) révèlent un mouvement haussier puissant mais potentiellement surchauffé. Les signaux techniques sont contradictoires : la tendance de fond reste haussière (MM, MACD) mais tous les oscillateurs de momentum (RSI à 81,25, Stochastique à 100, sortie des bandes de Bollinger) crient au surachat extrême. Les fondamentaux, eux, sont solides avec un ROE de 26,82%, un coefficient d'exploitation de 31,12% et une croissance du PNB de 16,49% en 2025, soutenue par un T1 2026 exceptionnel (+35% PNB, +48% résultat net). Les prédictions IA projetant une correction vers 6 332 FCFA à J+10 confirment l'analyse technique d'un repli imminent. En synthèse, la convergence entre les signaux techniques de surachat et les prédictions IA suggère une consolidation à court terme, mais la divergence avec des fondamentaux excellents et une dynamique commerciale porteuse plaide pour une poursuite de la tendance haussière à moyen terme. Recommandation : **CONSERVER** avec un niveau de confiance Moyen, un risque global Élevé, et un horizon d'investissement optimal à moyen terme (3-12 mois) pour capitaliser sur la solidité fondamentale tout en évitant la volatilité immédiate.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498.33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666 titres</w:t>
            </w:r>
          </w:p>
        </w:tc>
        <w:tc>
          <w:tcPr>
            <w:tcW w:type="dxa" w:w="2268"/>
            <w:shd w:fill="FFF2CC" w:val="clear"/>
          </w:tcPr>
          <w:p>
            <w:r>
              <w:rPr>
                <w:b/>
                <w:color w:val="503200"/>
                <w:sz w:val="16"/>
              </w:rPr>
              <w:t xml:space="preserve">Cours actuel : </w:t>
            </w:r>
            <w:r>
              <w:rPr>
                <w:color w:val="000000"/>
                <w:sz w:val="17"/>
              </w:rPr>
              <w:t>29,900 FCFA</w:t>
            </w:r>
          </w:p>
          <w:p>
            <w:r>
              <w:rPr>
                <w:b/>
                <w:color w:val="503200"/>
                <w:sz w:val="16"/>
              </w:rPr>
              <w:t xml:space="preserve">Var. 100 jours : </w:t>
            </w:r>
            <w:r>
              <w:rPr>
                <w:b/>
                <w:color w:val="007800"/>
                <w:sz w:val="17"/>
              </w:rPr>
              <w:t>+26.67%</w:t>
            </w:r>
          </w:p>
          <w:p>
            <w:r>
              <w:rPr>
                <w:b/>
                <w:color w:val="503200"/>
                <w:sz w:val="16"/>
              </w:rPr>
              <w:t xml:space="preserve">Plus haut 100j : </w:t>
            </w:r>
            <w:r>
              <w:rPr>
                <w:color w:val="000000"/>
                <w:sz w:val="17"/>
              </w:rPr>
              <w:t>29,970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7.21% (Moyenne) — μ=27,452 FCFA, σ=1,978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β=0.2399 (Défensif) — Cov=0.000009, Var(idx)=0.000037, ρ=0.086,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666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2026-09-02</w:t>
            </w:r>
          </w:p>
        </w:tc>
        <w:tc>
          <w:tcPr>
            <w:tcW w:type="dxa" w:w="1440"/>
            <w:shd w:fill="FFDCE0" w:val="clear"/>
          </w:tcPr>
          <w:p>
            <w:r>
              <w:rPr>
                <w:sz w:val="17"/>
              </w:rPr>
              <w:t>28,471</w:t>
            </w:r>
          </w:p>
        </w:tc>
        <w:tc>
          <w:tcPr>
            <w:tcW w:type="dxa" w:w="1440"/>
            <w:shd w:fill="FFDCE0" w:val="clear"/>
          </w:tcPr>
          <w:p>
            <w:r>
              <w:rPr>
                <w:b/>
                <w:sz w:val="17"/>
              </w:rPr>
              <w:t>29,018</w:t>
            </w:r>
          </w:p>
        </w:tc>
        <w:tc>
          <w:tcPr>
            <w:tcW w:type="dxa" w:w="1440"/>
            <w:shd w:fill="FFDCE0" w:val="clear"/>
          </w:tcPr>
          <w:p>
            <w:r>
              <w:rPr>
                <w:sz w:val="17"/>
              </w:rPr>
              <w:t>29,564</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27,974</w:t>
            </w:r>
          </w:p>
        </w:tc>
        <w:tc>
          <w:tcPr>
            <w:tcW w:type="dxa" w:w="1440"/>
            <w:shd w:fill="FFDCE0" w:val="clear"/>
          </w:tcPr>
          <w:p>
            <w:r>
              <w:rPr>
                <w:b/>
                <w:sz w:val="17"/>
              </w:rPr>
              <w:t>28,740</w:t>
            </w:r>
          </w:p>
        </w:tc>
        <w:tc>
          <w:tcPr>
            <w:tcW w:type="dxa" w:w="1440"/>
            <w:shd w:fill="FFDCE0" w:val="clear"/>
          </w:tcPr>
          <w:p>
            <w:r>
              <w:rPr>
                <w:sz w:val="17"/>
              </w:rPr>
              <w:t>29,506</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27,484</w:t>
            </w:r>
          </w:p>
        </w:tc>
        <w:tc>
          <w:tcPr>
            <w:tcW w:type="dxa" w:w="1440"/>
            <w:shd w:fill="FFDCE0" w:val="clear"/>
          </w:tcPr>
          <w:p>
            <w:r>
              <w:rPr>
                <w:b/>
                <w:sz w:val="17"/>
              </w:rPr>
              <w:t>28,412</w:t>
            </w:r>
          </w:p>
        </w:tc>
        <w:tc>
          <w:tcPr>
            <w:tcW w:type="dxa" w:w="1440"/>
            <w:shd w:fill="FFDCE0" w:val="clear"/>
          </w:tcPr>
          <w:p>
            <w:r>
              <w:rPr>
                <w:sz w:val="17"/>
              </w:rPr>
              <w:t>29,339</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2026-09-07</w:t>
            </w:r>
          </w:p>
        </w:tc>
        <w:tc>
          <w:tcPr>
            <w:tcW w:type="dxa" w:w="1440"/>
            <w:shd w:fill="FFDCE0" w:val="clear"/>
          </w:tcPr>
          <w:p>
            <w:r>
              <w:rPr>
                <w:sz w:val="17"/>
              </w:rPr>
              <w:t>27,054</w:t>
            </w:r>
          </w:p>
        </w:tc>
        <w:tc>
          <w:tcPr>
            <w:tcW w:type="dxa" w:w="1440"/>
            <w:shd w:fill="FFDCE0" w:val="clear"/>
          </w:tcPr>
          <w:p>
            <w:r>
              <w:rPr>
                <w:b/>
                <w:sz w:val="17"/>
              </w:rPr>
              <w:t>28,113</w:t>
            </w:r>
          </w:p>
        </w:tc>
        <w:tc>
          <w:tcPr>
            <w:tcW w:type="dxa" w:w="1440"/>
            <w:shd w:fill="FFDCE0" w:val="clear"/>
          </w:tcPr>
          <w:p>
            <w:r>
              <w:rPr>
                <w:sz w:val="17"/>
              </w:rPr>
              <w:t>29,173</w:t>
            </w:r>
          </w:p>
        </w:tc>
        <w:tc>
          <w:tcPr>
            <w:tcW w:type="dxa" w:w="1440"/>
            <w:shd w:fill="FFDCE0" w:val="clear"/>
          </w:tcPr>
          <w:p>
            <w:r>
              <w:rPr>
                <w:b/>
                <w:color w:val="C00000"/>
                <w:sz w:val="17"/>
              </w:rPr>
              <w:t>-6.0%</w:t>
            </w:r>
          </w:p>
        </w:tc>
      </w:tr>
      <w:tr>
        <w:tc>
          <w:tcPr>
            <w:tcW w:type="dxa" w:w="1440"/>
            <w:shd w:fill="FFDCE0" w:val="clear"/>
          </w:tcPr>
          <w:p>
            <w:r>
              <w:rPr>
                <w:sz w:val="17"/>
              </w:rPr>
              <w:t>J+5  Moyenne</w:t>
            </w:r>
          </w:p>
        </w:tc>
        <w:tc>
          <w:tcPr>
            <w:tcW w:type="dxa" w:w="1440"/>
            <w:shd w:fill="FFDCE0" w:val="clear"/>
          </w:tcPr>
          <w:p>
            <w:r>
              <w:rPr>
                <w:sz w:val="17"/>
              </w:rPr>
              <w:t>2026-09-08</w:t>
            </w:r>
          </w:p>
        </w:tc>
        <w:tc>
          <w:tcPr>
            <w:tcW w:type="dxa" w:w="1440"/>
            <w:shd w:fill="FFDCE0" w:val="clear"/>
          </w:tcPr>
          <w:p>
            <w:r>
              <w:rPr>
                <w:sz w:val="17"/>
              </w:rPr>
              <w:t>26,668</w:t>
            </w:r>
          </w:p>
        </w:tc>
        <w:tc>
          <w:tcPr>
            <w:tcW w:type="dxa" w:w="1440"/>
            <w:shd w:fill="FFDCE0" w:val="clear"/>
          </w:tcPr>
          <w:p>
            <w:r>
              <w:rPr>
                <w:b/>
                <w:sz w:val="17"/>
              </w:rPr>
              <w:t>27,842</w:t>
            </w:r>
          </w:p>
        </w:tc>
        <w:tc>
          <w:tcPr>
            <w:tcW w:type="dxa" w:w="1440"/>
            <w:shd w:fill="FFDCE0" w:val="clear"/>
          </w:tcPr>
          <w:p>
            <w:r>
              <w:rPr>
                <w:sz w:val="17"/>
              </w:rPr>
              <w:t>29,015</w:t>
            </w:r>
          </w:p>
        </w:tc>
        <w:tc>
          <w:tcPr>
            <w:tcW w:type="dxa" w:w="1440"/>
            <w:shd w:fill="FFDCE0" w:val="clear"/>
          </w:tcPr>
          <w:p>
            <w:r>
              <w:rPr>
                <w:b/>
                <w:color w:val="C00000"/>
                <w:sz w:val="17"/>
              </w:rPr>
              <w:t>-6.9%</w:t>
            </w:r>
          </w:p>
        </w:tc>
      </w:tr>
      <w:tr>
        <w:tc>
          <w:tcPr>
            <w:tcW w:type="dxa" w:w="1440"/>
            <w:shd w:fill="FFDCE0" w:val="clear"/>
          </w:tcPr>
          <w:p>
            <w:r>
              <w:rPr>
                <w:sz w:val="17"/>
              </w:rPr>
              <w:t>J+6  Moyenne</w:t>
            </w:r>
          </w:p>
        </w:tc>
        <w:tc>
          <w:tcPr>
            <w:tcW w:type="dxa" w:w="1440"/>
            <w:shd w:fill="FFDCE0" w:val="clear"/>
          </w:tcPr>
          <w:p>
            <w:r>
              <w:rPr>
                <w:sz w:val="17"/>
              </w:rPr>
              <w:t>2026-09-09</w:t>
            </w:r>
          </w:p>
        </w:tc>
        <w:tc>
          <w:tcPr>
            <w:tcW w:type="dxa" w:w="1440"/>
            <w:shd w:fill="FFDCE0" w:val="clear"/>
          </w:tcPr>
          <w:p>
            <w:r>
              <w:rPr>
                <w:sz w:val="17"/>
              </w:rPr>
              <w:t>26,312</w:t>
            </w:r>
          </w:p>
        </w:tc>
        <w:tc>
          <w:tcPr>
            <w:tcW w:type="dxa" w:w="1440"/>
            <w:shd w:fill="FFDCE0" w:val="clear"/>
          </w:tcPr>
          <w:p>
            <w:r>
              <w:rPr>
                <w:b/>
                <w:sz w:val="17"/>
              </w:rPr>
              <w:t>27,586</w:t>
            </w:r>
          </w:p>
        </w:tc>
        <w:tc>
          <w:tcPr>
            <w:tcW w:type="dxa" w:w="1440"/>
            <w:shd w:fill="FFDCE0" w:val="clear"/>
          </w:tcPr>
          <w:p>
            <w:r>
              <w:rPr>
                <w:sz w:val="17"/>
              </w:rPr>
              <w:t>28,859</w:t>
            </w:r>
          </w:p>
        </w:tc>
        <w:tc>
          <w:tcPr>
            <w:tcW w:type="dxa" w:w="1440"/>
            <w:shd w:fill="FFDCE0" w:val="clear"/>
          </w:tcPr>
          <w:p>
            <w:r>
              <w:rPr>
                <w:b/>
                <w:color w:val="C00000"/>
                <w:sz w:val="17"/>
              </w:rPr>
              <w:t>-7.7%</w:t>
            </w:r>
          </w:p>
        </w:tc>
      </w:tr>
      <w:tr>
        <w:tc>
          <w:tcPr>
            <w:tcW w:type="dxa" w:w="1440"/>
            <w:shd w:fill="FFDCE0" w:val="clear"/>
          </w:tcPr>
          <w:p>
            <w:r>
              <w:rPr>
                <w:sz w:val="17"/>
              </w:rPr>
              <w:t>J+7  Moyenne</w:t>
            </w:r>
          </w:p>
        </w:tc>
        <w:tc>
          <w:tcPr>
            <w:tcW w:type="dxa" w:w="1440"/>
            <w:shd w:fill="FFDCE0" w:val="clear"/>
          </w:tcPr>
          <w:p>
            <w:r>
              <w:rPr>
                <w:sz w:val="17"/>
              </w:rPr>
              <w:t>2026-09-10</w:t>
            </w:r>
          </w:p>
        </w:tc>
        <w:tc>
          <w:tcPr>
            <w:tcW w:type="dxa" w:w="1440"/>
            <w:shd w:fill="FFDCE0" w:val="clear"/>
          </w:tcPr>
          <w:p>
            <w:r>
              <w:rPr>
                <w:sz w:val="17"/>
              </w:rPr>
              <w:t>25,976</w:t>
            </w:r>
          </w:p>
        </w:tc>
        <w:tc>
          <w:tcPr>
            <w:tcW w:type="dxa" w:w="1440"/>
            <w:shd w:fill="FFDCE0" w:val="clear"/>
          </w:tcPr>
          <w:p>
            <w:r>
              <w:rPr>
                <w:b/>
                <w:sz w:val="17"/>
              </w:rPr>
              <w:t>27,340</w:t>
            </w:r>
          </w:p>
        </w:tc>
        <w:tc>
          <w:tcPr>
            <w:tcW w:type="dxa" w:w="1440"/>
            <w:shd w:fill="FFDCE0" w:val="clear"/>
          </w:tcPr>
          <w:p>
            <w:r>
              <w:rPr>
                <w:sz w:val="17"/>
              </w:rPr>
              <w:t>28,703</w:t>
            </w:r>
          </w:p>
        </w:tc>
        <w:tc>
          <w:tcPr>
            <w:tcW w:type="dxa" w:w="1440"/>
            <w:shd w:fill="FFDCE0" w:val="clear"/>
          </w:tcPr>
          <w:p>
            <w:r>
              <w:rPr>
                <w:b/>
                <w:color w:val="C00000"/>
                <w:sz w:val="17"/>
              </w:rPr>
              <w:t>-8.6%</w:t>
            </w:r>
          </w:p>
        </w:tc>
      </w:tr>
      <w:tr>
        <w:tc>
          <w:tcPr>
            <w:tcW w:type="dxa" w:w="1440"/>
            <w:shd w:fill="FFDCE0" w:val="clear"/>
          </w:tcPr>
          <w:p>
            <w:r>
              <w:rPr>
                <w:sz w:val="17"/>
              </w:rPr>
              <w:t>J+8  Moyenne</w:t>
            </w:r>
          </w:p>
        </w:tc>
        <w:tc>
          <w:tcPr>
            <w:tcW w:type="dxa" w:w="1440"/>
            <w:shd w:fill="FFDCE0" w:val="clear"/>
          </w:tcPr>
          <w:p>
            <w:r>
              <w:rPr>
                <w:sz w:val="17"/>
              </w:rPr>
              <w:t>2026-09-11</w:t>
            </w:r>
          </w:p>
        </w:tc>
        <w:tc>
          <w:tcPr>
            <w:tcW w:type="dxa" w:w="1440"/>
            <w:shd w:fill="FFDCE0" w:val="clear"/>
          </w:tcPr>
          <w:p>
            <w:r>
              <w:rPr>
                <w:sz w:val="17"/>
              </w:rPr>
              <w:t>25,658</w:t>
            </w:r>
          </w:p>
        </w:tc>
        <w:tc>
          <w:tcPr>
            <w:tcW w:type="dxa" w:w="1440"/>
            <w:shd w:fill="FFDCE0" w:val="clear"/>
          </w:tcPr>
          <w:p>
            <w:r>
              <w:rPr>
                <w:b/>
                <w:sz w:val="17"/>
              </w:rPr>
              <w:t>27,103</w:t>
            </w:r>
          </w:p>
        </w:tc>
        <w:tc>
          <w:tcPr>
            <w:tcW w:type="dxa" w:w="1440"/>
            <w:shd w:fill="FFDCE0" w:val="clear"/>
          </w:tcPr>
          <w:p>
            <w:r>
              <w:rPr>
                <w:sz w:val="17"/>
              </w:rPr>
              <w:t>28,548</w:t>
            </w:r>
          </w:p>
        </w:tc>
        <w:tc>
          <w:tcPr>
            <w:tcW w:type="dxa" w:w="1440"/>
            <w:shd w:fill="FFDCE0" w:val="clear"/>
          </w:tcPr>
          <w:p>
            <w:r>
              <w:rPr>
                <w:b/>
                <w:color w:val="C00000"/>
                <w:sz w:val="17"/>
              </w:rPr>
              <w:t>-9.4%</w:t>
            </w:r>
          </w:p>
        </w:tc>
      </w:tr>
      <w:tr>
        <w:tc>
          <w:tcPr>
            <w:tcW w:type="dxa" w:w="1440"/>
            <w:shd w:fill="FFDCE0" w:val="clear"/>
          </w:tcPr>
          <w:p>
            <w:r>
              <w:rPr>
                <w:sz w:val="17"/>
              </w:rPr>
              <w:t>J+9  Moyenne</w:t>
            </w:r>
          </w:p>
        </w:tc>
        <w:tc>
          <w:tcPr>
            <w:tcW w:type="dxa" w:w="1440"/>
            <w:shd w:fill="FFDCE0" w:val="clear"/>
          </w:tcPr>
          <w:p>
            <w:r>
              <w:rPr>
                <w:sz w:val="17"/>
              </w:rPr>
              <w:t>2026-09-14</w:t>
            </w:r>
          </w:p>
        </w:tc>
        <w:tc>
          <w:tcPr>
            <w:tcW w:type="dxa" w:w="1440"/>
            <w:shd w:fill="FFDCE0" w:val="clear"/>
          </w:tcPr>
          <w:p>
            <w:r>
              <w:rPr>
                <w:sz w:val="17"/>
              </w:rPr>
              <w:t>25,356</w:t>
            </w:r>
          </w:p>
        </w:tc>
        <w:tc>
          <w:tcPr>
            <w:tcW w:type="dxa" w:w="1440"/>
            <w:shd w:fill="FFDCE0" w:val="clear"/>
          </w:tcPr>
          <w:p>
            <w:r>
              <w:rPr>
                <w:b/>
                <w:sz w:val="17"/>
              </w:rPr>
              <w:t>26,875</w:t>
            </w:r>
          </w:p>
        </w:tc>
        <w:tc>
          <w:tcPr>
            <w:tcW w:type="dxa" w:w="1440"/>
            <w:shd w:fill="FFDCE0" w:val="clear"/>
          </w:tcPr>
          <w:p>
            <w:r>
              <w:rPr>
                <w:sz w:val="17"/>
              </w:rPr>
              <w:t>28,395</w:t>
            </w:r>
          </w:p>
        </w:tc>
        <w:tc>
          <w:tcPr>
            <w:tcW w:type="dxa" w:w="1440"/>
            <w:shd w:fill="FFDCE0" w:val="clear"/>
          </w:tcPr>
          <w:p>
            <w:r>
              <w:rPr>
                <w:b/>
                <w:color w:val="C00000"/>
                <w:sz w:val="17"/>
              </w:rPr>
              <w:t>-10.1%</w:t>
            </w:r>
          </w:p>
        </w:tc>
      </w:tr>
      <w:tr>
        <w:tc>
          <w:tcPr>
            <w:tcW w:type="dxa" w:w="1440"/>
            <w:shd w:fill="FFDCE0" w:val="clear"/>
          </w:tcPr>
          <w:p>
            <w:r>
              <w:rPr>
                <w:sz w:val="17"/>
              </w:rPr>
              <w:t>J+10  Moyenne</w:t>
            </w:r>
          </w:p>
        </w:tc>
        <w:tc>
          <w:tcPr>
            <w:tcW w:type="dxa" w:w="1440"/>
            <w:shd w:fill="FFDCE0" w:val="clear"/>
          </w:tcPr>
          <w:p>
            <w:r>
              <w:rPr>
                <w:sz w:val="17"/>
              </w:rPr>
              <w:t>2026-09-15</w:t>
            </w:r>
          </w:p>
        </w:tc>
        <w:tc>
          <w:tcPr>
            <w:tcW w:type="dxa" w:w="1440"/>
            <w:shd w:fill="FFDCE0" w:val="clear"/>
          </w:tcPr>
          <w:p>
            <w:r>
              <w:rPr>
                <w:sz w:val="17"/>
              </w:rPr>
              <w:t>25,067</w:t>
            </w:r>
          </w:p>
        </w:tc>
        <w:tc>
          <w:tcPr>
            <w:tcW w:type="dxa" w:w="1440"/>
            <w:shd w:fill="FFDCE0" w:val="clear"/>
          </w:tcPr>
          <w:p>
            <w:r>
              <w:rPr>
                <w:b/>
                <w:sz w:val="17"/>
              </w:rPr>
              <w:t>26,656</w:t>
            </w:r>
          </w:p>
        </w:tc>
        <w:tc>
          <w:tcPr>
            <w:tcW w:type="dxa" w:w="1440"/>
            <w:shd w:fill="FFDCE0" w:val="clear"/>
          </w:tcPr>
          <w:p>
            <w:r>
              <w:rPr>
                <w:sz w:val="17"/>
              </w:rPr>
              <w:t>28,244</w:t>
            </w:r>
          </w:p>
        </w:tc>
        <w:tc>
          <w:tcPr>
            <w:tcW w:type="dxa" w:w="1440"/>
            <w:shd w:fill="FFDCE0" w:val="clear"/>
          </w:tcPr>
          <w:p>
            <w:r>
              <w:rPr>
                <w:b/>
                <w:color w:val="C00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**Date : Septembre 2026 | Marché : BRVM (Afrique de l'Ouest)**</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498,33 milliards FCFA, ce qui en fait l'une des valeurs les plus lourdes et les plus liquides de la BRVM, reflétant la confiance des investisseurs institutionnels. Avec un BPA de 2 191 FCFA, chaque action génère un bénéfice substantiel, justifiant un PER de 13,6x. Ce niveau est légèrement supérieur à la moyenne historique de la place (~8-12x), indiquant que le marché intègre déjà une prime de croissance. Le P/B de 4,13x est particulièrement exigeant, signifiant que les investisseurs paient plus de 4 fois la valeur comptable des actifs, ce qui reflète une anticipation de rentabilité future élevée. Enfin, l'EV/EBITDA de 9,7x, situé dans la fourchette haute des 5-10x, confirme une valorisation globale raisonnable mais non bon marché, cohérente avec un profil de banque systémique performante.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BICC a enregistré une progression remarquable de +26,67%, passant d'un plus bas de 22 500 FCFA à un plus haut de 29 970 FCFA, pour clôturer à 29 900 FCFA, avec une stabilité lors de la dernière séance (0,00%). La tendance est clairement haussière, soutenue par une forte pression acheteuse. Statistiquement, la moyenne (27 452 FCFA) est inférieure à la médiane (28 298 FCFA), et le skewness négatif (-0.992) confirme que le titre a passé plus de journées au-dessus de sa moyenne, signe d'une dynamique soutenue. L'écart-type de 1 988 FCFA (CV de 7,2%) indique une dispersion modérée autour de la moyenne. Le kurtosis de -0.377 (mésokurtique) suggère une distribution proche de la normale, sans risque accru de variations extrêmes. La volatilité annualisée de 26,8% classe le titre dans la catégorie "modérée à élevée", offrant un équilibre entre potentiel de gain et risque de fluctuation.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(29 900 FCFA) évolue nettement au-dessus de la MM20 (29 167,5 FCFA) et de la MM50 (28 750,6 FCFA), confirmant une structure de marché haussière. La MM20 étant supérieure à la MM50, le croisement "golden cross" est en place, signalant une dynamique positive à court et moyen terme. La décision "Achat" est justifiée par cette configuration ascendante.</w:t>
      </w:r>
    </w:p>
    <w:p>
      <w:pPr>
        <w:spacing w:after="120" w:line="276" w:lineRule="auto"/>
      </w:pPr>
      <w:r>
        <w:t>**Bandes de Bollinger :** Le prix se situe à 29 900 FCFA, très proche de la borne supérieure (29 927,5 FCFA), indiquant que le titre est en zone de surachat temporaire. La largeur des bandes suggère une volatilité stable. La décision "Neutre" est prudente, car un test de la borne supérieure peut précéder soit une poursuite haussière, soit un repli technique vers la moyenne mobile (MM20).</w:t>
      </w:r>
    </w:p>
    <w:p>
      <w:pPr>
        <w:spacing w:after="120" w:line="276" w:lineRule="auto"/>
      </w:pPr>
      <w:r>
        <w:t>**MACD :** Le MACD (281,4) est nettement supérieur à sa ligne de signal (201,0), montrant un momentum haussier robuste. L'écart positif et croissant entre les deux lignes indique que la pression acheteuse s'intensifie. La décision "Achat" est validée par cette divergence positive, suggérant une poursuite de la tendance à court terme.</w:t>
      </w:r>
    </w:p>
    <w:p>
      <w:pPr>
        <w:spacing w:after="120" w:line="276" w:lineRule="auto"/>
      </w:pPr>
      <w:r>
        <w:t>**RSI :** Le RSI à 58,75 se situe en zone neutre (30-70), sans signal de surachat ( &gt;70) ni de survente (&lt;30). Cela indique que le titre dispose encore d'une marge de progression avant d'atteindre des conditions de surachat extrêmes. La décision "Neutre" est cohérente, laissant place à une possible poursuite de la hausse.</w:t>
      </w:r>
    </w:p>
    <w:p>
      <w:pPr>
        <w:spacing w:after="120" w:line="276" w:lineRule="auto"/>
      </w:pPr>
      <w:r>
        <w:t>**Stochastique :** Le %K (94,9) et le %D (85,2) sont tous deux en zone de surachat extrême (&gt;80). Le %K est au-dessus du %D, mais un croisement baissier pourrait se former prochainement. La décision "Vente" signale un risque de correction technique à très court terme, malgré la tendance haussière sous-jacente.</w:t>
      </w:r>
    </w:p>
    <w:p>
      <w:pPr>
        <w:spacing w:after="120" w:line="276" w:lineRule="auto"/>
      </w:pPr>
      <w:r>
        <w:t>**Conclusion technique :** La tendance de fond reste haussière, portée par les moyennes mobiles et le MACD. Cependant, les oscillateurs de surachat (Stochastique et proximité de la borne de Bollinger) suggèrent un essoufflement à court terme. Un repli technique vers la zone des 28 500-29 000 FCFA serait sain avant une éventuelle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BICC (secteur banque) affichent une santé éclatante. Le Produit Net Bancaire (PNB) s'établit à 79,563 milliards FCFA, en croissance de +16,9%, démontrant une excellente dynamique commerciale. Le résultat net atteint 36,520 milliards FCFA, portant la marge nette à 45,9%. La rentabilité des fonds propres (ROE) est exceptionnelle à 30,3%, et le ROA de 3,2% témoigne d'une gestion très efficace des actifs. Le coefficient d'exploitation de 50,8% confirme une maîtrise rigoureuse des charges, bien en deçà du seuil d'efficacité de 60%. Le coût du risque est négatif (-12,1%), indiquant des reprises de provisions supérieures aux nouvelles dotations, signe d'un portefeuille de crédits de qualité. Le ratio de transformation est sain : les dépôts clients (952,9 Mds) financent largement les crédits à la clientèle (524,4 Mds), assurant une liquidité abondante. En croisant avec les rapports trimestriels, la tendance 2026 s'annonce tout aussi positive : le rapport du T1 2026 (publié en mai 2026) montre un PNB de 21,2 milliards (+17,0%) et un résultat net de 10,4 milliards (+29,7%). Le rapport du T3 2025 (cumulé) indiquait déjà un résultat net de 27,4 milliards (+50,8%). Sur cette base, on estime que l'exercice 2026 pourrait voir un résultat net annuel dépasser 40 milliards FCFA, confirmant la solidité et la croissance durable de la banque.</w:t>
      </w:r>
    </w:p>
    <w:p>
      <w:pPr>
        <w:spacing w:after="120" w:line="276" w:lineRule="auto"/>
      </w:pPr>
      <w:r>
        <w:t>---</w:t>
      </w:r>
    </w:p>
    <w:p>
      <w:pPr>
        <w:spacing w:after="120" w:line="276" w:lineRule="auto"/>
      </w:pPr>
      <w:r>
        <w:t>### PARTIE 4 : CONCLUSION D'INVESTISSEMENT</w:t>
      </w:r>
    </w:p>
    <w:p>
      <w:pPr>
        <w:spacing w:after="120" w:line="276" w:lineRule="auto"/>
      </w:pPr>
      <w:r>
        <w:t>La valorisation actuelle (PER 13,6x, P/B 4,1x) est exigeante mais justifiée par la qualité supérieure des fondamentaux et les perspectives de croissance. Le comportement du cours est favorable, avec une tendance haussière marquée (+26,7% sur 100 jours) et une volatilité modérée, bien que les statistiques (skewness négatif) suggèrent un possible essoufflement. Les signaux techniques sont mitigés : la tendance de fond (MM, MACD) reste positive, mais les indicateurs de surachat (Stochastique, RSI proche de 60) appellent à la prudence à court terme. Les fondamentaux sont excellents, avec un ROE de 30%, une croissance à deux chiffres et des estimations 2026 en hausse. Les prédictions IA pour les 10 prochains jours (baisse progressive de 29 018 à 27 842 FCFA) confirment ce scénario de consolidation technique, sans remettre en cause la tendance de fond. En synthèse, la convergence entre des fondamentaux robustes et une tendance haussière solide, malgré un léger risque de correction, nous conduit à une recommandation **ACHAT** avec un niveau de confiance **Élevé**. Le risque global est **Moyen**, principalement lié à la valorisation élevée et à un possible repli technique. L'horizon d'investissement optimal est le **moyen terme (3-12 mois)**, permettant de traverser la volatilité court terme pour capturer la croissance des bénéfices.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15.90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2,515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+50.47%</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13.04% (Moyenne) — μ=1,792 FCFA, σ=234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β=0.1017 (Défensif) — Cov=0.000004, Var(idx)=0.000037, ρ=0.020,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2,515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2,245</w:t>
            </w:r>
          </w:p>
        </w:tc>
        <w:tc>
          <w:tcPr>
            <w:tcW w:type="dxa" w:w="1440"/>
            <w:shd w:fill="FFDCE0" w:val="clear"/>
          </w:tcPr>
          <w:p>
            <w:r>
              <w:rPr>
                <w:b/>
                <w:sz w:val="17"/>
              </w:rPr>
              <w:t>2,342</w:t>
            </w:r>
          </w:p>
        </w:tc>
        <w:tc>
          <w:tcPr>
            <w:tcW w:type="dxa" w:w="1440"/>
            <w:shd w:fill="FFDCE0" w:val="clear"/>
          </w:tcPr>
          <w:p>
            <w:r>
              <w:rPr>
                <w:sz w:val="17"/>
              </w:rPr>
              <w:t>2,440</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2,193</w:t>
            </w:r>
          </w:p>
        </w:tc>
        <w:tc>
          <w:tcPr>
            <w:tcW w:type="dxa" w:w="1440"/>
            <w:shd w:fill="FFDCE0" w:val="clear"/>
          </w:tcPr>
          <w:p>
            <w:r>
              <w:rPr>
                <w:b/>
                <w:sz w:val="17"/>
              </w:rPr>
              <w:t>2,330</w:t>
            </w:r>
          </w:p>
        </w:tc>
        <w:tc>
          <w:tcPr>
            <w:tcW w:type="dxa" w:w="1440"/>
            <w:shd w:fill="FFDCE0" w:val="clear"/>
          </w:tcPr>
          <w:p>
            <w:r>
              <w:rPr>
                <w:sz w:val="17"/>
              </w:rPr>
              <w:t>2,468</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2,144</w:t>
            </w:r>
          </w:p>
        </w:tc>
        <w:tc>
          <w:tcPr>
            <w:tcW w:type="dxa" w:w="1440"/>
            <w:shd w:fill="FFDCE0" w:val="clear"/>
          </w:tcPr>
          <w:p>
            <w:r>
              <w:rPr>
                <w:b/>
                <w:sz w:val="17"/>
              </w:rPr>
              <w:t>2,311</w:t>
            </w:r>
          </w:p>
        </w:tc>
        <w:tc>
          <w:tcPr>
            <w:tcW w:type="dxa" w:w="1440"/>
            <w:shd w:fill="FFDCE0" w:val="clear"/>
          </w:tcPr>
          <w:p>
            <w:r>
              <w:rPr>
                <w:sz w:val="17"/>
              </w:rPr>
              <w:t>2,478</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2,104</w:t>
            </w:r>
          </w:p>
        </w:tc>
        <w:tc>
          <w:tcPr>
            <w:tcW w:type="dxa" w:w="1440"/>
            <w:shd w:fill="FFDCE0" w:val="clear"/>
          </w:tcPr>
          <w:p>
            <w:r>
              <w:rPr>
                <w:b/>
                <w:sz w:val="17"/>
              </w:rPr>
              <w:t>2,296</w:t>
            </w:r>
          </w:p>
        </w:tc>
        <w:tc>
          <w:tcPr>
            <w:tcW w:type="dxa" w:w="1440"/>
            <w:shd w:fill="FFDCE0" w:val="clear"/>
          </w:tcPr>
          <w:p>
            <w:r>
              <w:rPr>
                <w:sz w:val="17"/>
              </w:rPr>
              <w:t>2,487</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2,070</w:t>
            </w:r>
          </w:p>
        </w:tc>
        <w:tc>
          <w:tcPr>
            <w:tcW w:type="dxa" w:w="1440"/>
            <w:shd w:fill="FFDCE0" w:val="clear"/>
          </w:tcPr>
          <w:p>
            <w:r>
              <w:rPr>
                <w:b/>
                <w:sz w:val="17"/>
              </w:rPr>
              <w:t>2,283</w:t>
            </w:r>
          </w:p>
        </w:tc>
        <w:tc>
          <w:tcPr>
            <w:tcW w:type="dxa" w:w="1440"/>
            <w:shd w:fill="FFDCE0" w:val="clear"/>
          </w:tcPr>
          <w:p>
            <w:r>
              <w:rPr>
                <w:sz w:val="17"/>
              </w:rPr>
              <w:t>2,496</w:t>
            </w:r>
          </w:p>
        </w:tc>
        <w:tc>
          <w:tcPr>
            <w:tcW w:type="dxa" w:w="1440"/>
            <w:shd w:fill="FFDCE0" w:val="clear"/>
          </w:tcPr>
          <w:p>
            <w:r>
              <w:rPr>
                <w:b/>
                <w:color w:val="C00000"/>
                <w:sz w:val="17"/>
              </w:rPr>
              <w:t>-4.9%</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2,040</w:t>
            </w:r>
          </w:p>
        </w:tc>
        <w:tc>
          <w:tcPr>
            <w:tcW w:type="dxa" w:w="1440"/>
            <w:shd w:fill="FFDCE0" w:val="clear"/>
          </w:tcPr>
          <w:p>
            <w:r>
              <w:rPr>
                <w:b/>
                <w:sz w:val="17"/>
              </w:rPr>
              <w:t>2,273</w:t>
            </w:r>
          </w:p>
        </w:tc>
        <w:tc>
          <w:tcPr>
            <w:tcW w:type="dxa" w:w="1440"/>
            <w:shd w:fill="FFDCE0" w:val="clear"/>
          </w:tcPr>
          <w:p>
            <w:r>
              <w:rPr>
                <w:sz w:val="17"/>
              </w:rPr>
              <w:t>2,505</w:t>
            </w:r>
          </w:p>
        </w:tc>
        <w:tc>
          <w:tcPr>
            <w:tcW w:type="dxa" w:w="1440"/>
            <w:shd w:fill="FFDCE0" w:val="clear"/>
          </w:tcPr>
          <w:p>
            <w:r>
              <w:rPr>
                <w:b/>
                <w:color w:val="C00000"/>
                <w:sz w:val="17"/>
              </w:rPr>
              <w:t>-5.3%</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2,013</w:t>
            </w:r>
          </w:p>
        </w:tc>
        <w:tc>
          <w:tcPr>
            <w:tcW w:type="dxa" w:w="1440"/>
            <w:shd w:fill="FFDCE0" w:val="clear"/>
          </w:tcPr>
          <w:p>
            <w:r>
              <w:rPr>
                <w:b/>
                <w:sz w:val="17"/>
              </w:rPr>
              <w:t>2,263</w:t>
            </w:r>
          </w:p>
        </w:tc>
        <w:tc>
          <w:tcPr>
            <w:tcW w:type="dxa" w:w="1440"/>
            <w:shd w:fill="FFDCE0" w:val="clear"/>
          </w:tcPr>
          <w:p>
            <w:r>
              <w:rPr>
                <w:sz w:val="17"/>
              </w:rPr>
              <w:t>2,513</w:t>
            </w:r>
          </w:p>
        </w:tc>
        <w:tc>
          <w:tcPr>
            <w:tcW w:type="dxa" w:w="1440"/>
            <w:shd w:fill="FFDCE0" w:val="clear"/>
          </w:tcPr>
          <w:p>
            <w:r>
              <w:rPr>
                <w:b/>
                <w:color w:val="C00000"/>
                <w:sz w:val="17"/>
              </w:rPr>
              <w:t>-5.7%</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1,988</w:t>
            </w:r>
          </w:p>
        </w:tc>
        <w:tc>
          <w:tcPr>
            <w:tcW w:type="dxa" w:w="1440"/>
            <w:shd w:fill="FFDCE0" w:val="clear"/>
          </w:tcPr>
          <w:p>
            <w:r>
              <w:rPr>
                <w:b/>
                <w:sz w:val="17"/>
              </w:rPr>
              <w:t>2,254</w:t>
            </w:r>
          </w:p>
        </w:tc>
        <w:tc>
          <w:tcPr>
            <w:tcW w:type="dxa" w:w="1440"/>
            <w:shd w:fill="FFDCE0" w:val="clear"/>
          </w:tcPr>
          <w:p>
            <w:r>
              <w:rPr>
                <w:sz w:val="17"/>
              </w:rPr>
              <w:t>2,520</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1,964</w:t>
            </w:r>
          </w:p>
        </w:tc>
        <w:tc>
          <w:tcPr>
            <w:tcW w:type="dxa" w:w="1440"/>
            <w:shd w:fill="FFDCE0" w:val="clear"/>
          </w:tcPr>
          <w:p>
            <w:r>
              <w:rPr>
                <w:b/>
                <w:sz w:val="17"/>
              </w:rPr>
              <w:t>2,245</w:t>
            </w:r>
          </w:p>
        </w:tc>
        <w:tc>
          <w:tcPr>
            <w:tcW w:type="dxa" w:w="1440"/>
            <w:shd w:fill="FFDCE0" w:val="clear"/>
          </w:tcPr>
          <w:p>
            <w:r>
              <w:rPr>
                <w:sz w:val="17"/>
              </w:rPr>
              <w:t>2,526</w:t>
            </w:r>
          </w:p>
        </w:tc>
        <w:tc>
          <w:tcPr>
            <w:tcW w:type="dxa" w:w="1440"/>
            <w:shd w:fill="FFDCE0" w:val="clear"/>
          </w:tcPr>
          <w:p>
            <w:r>
              <w:rPr>
                <w:b/>
                <w:color w:val="C00000"/>
                <w:sz w:val="17"/>
              </w:rPr>
              <w:t>-6.4%</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1,942</w:t>
            </w:r>
          </w:p>
        </w:tc>
        <w:tc>
          <w:tcPr>
            <w:tcW w:type="dxa" w:w="1440"/>
            <w:shd w:fill="FFDCE0" w:val="clear"/>
          </w:tcPr>
          <w:p>
            <w:r>
              <w:rPr>
                <w:b/>
                <w:sz w:val="17"/>
              </w:rPr>
              <w:t>2,237</w:t>
            </w:r>
          </w:p>
        </w:tc>
        <w:tc>
          <w:tcPr>
            <w:tcW w:type="dxa" w:w="1440"/>
            <w:shd w:fill="FFDCE0" w:val="clear"/>
          </w:tcPr>
          <w:p>
            <w:r>
              <w:rPr>
                <w:sz w:val="17"/>
              </w:rPr>
              <w:t>2,533</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**Date :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15,90 milliards FCFA, un niveau modeste qui la classe parmi les valeurs moyennes de la cote. Le BPA de 3 FCFA par action est extrêmement faible, ce qui explique le PER de 712,3x, un niveau exceptionnellement élevé comparé à la moyenne de la BRVM (8-12x). Les investisseurs paient donc un prix très cher pour des bénéfices quasi inexistants. En revanche, le P/B de 0,89x indique que le marché valorise le titre sous sa valeur comptable, suggérant une décote potentielle sur l'actif net. L'EV/EBITDA de 25,5x, bien supérieur au seuil de 15x, confirme une valorisation exigeante qui ne laisse que peu de marge de sécurité. Ce contraste entre un PER très élevé et un P/B inférieur à 1 reflète une situation financière paradoxale où les actifs sont importants mais la rentabilité est anémique.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spectaculaire de +50,47%, avec une accélération notable lors de la dernière séance (+4,58%). Le cours évolue dans une fourchette de 1 300 à 2 400 FCFA, atteignant son plus haut historique sur la période. La moyenne de 1 792 FCFA est inférieure à la médiane de 1 875 FCFA, indiquant une distribution légèrement asymétrique où les valeurs basses ont dominé avant une récente poussée haussière. L'écart-type de 235 FCFA (CV=13,1%) révèle une dispersion modérée des prix autour de la moyenne. Le kurtosis de -0,607 (mésokurtique) suggère une distribution proche de la normale, sans risque de pics extrêmes, tandis que le skewness de 0,019 confirme une symétrie quasi parfaite. La volatilité annualisée de 49,5% classe le titre comme très volatil (&gt;30%), signalant un risque élevé pour les investisseurs malgré la tendance haussière récente.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2 400 FCFA se situe nettement au-dessus de la MM20 (2 046,25 FCFA) et de la MM50 (1 974,4 FCFA), confirmant une dynamique haussière à court et moyen terme. L'écart croissant entre les deux moyennes indique une accélération du mouvement, justifiant la décision d'ACHAT.</w:t>
      </w:r>
    </w:p>
    <w:p>
      <w:pPr>
        <w:spacing w:after="120" w:line="276" w:lineRule="auto"/>
      </w:pPr>
      <w:r>
        <w:t>**Bandes de Bollinger** : Le prix a franchi la borne supérieure (2 349,37 FCFA), atteignant 2 400 FCFA. Cette sortie de bande signale une condition de surachat extrême et une volatilité accrue. Historiquement, un tel dépassement précède souvent un repli technique. La décision de VENTE est donc cohérente avec ce signal de retour à la moyenne.</w:t>
      </w:r>
    </w:p>
    <w:p>
      <w:pPr>
        <w:spacing w:after="120" w:line="276" w:lineRule="auto"/>
      </w:pPr>
      <w:r>
        <w:t>**MACD** : Le MACD (101,098) est nettement supérieur à sa ligne de signal (60,095), confirmant un momentum haussier puissant. La divergence positive s'élargit, indiquant une force acheteuse soutenue. La décision d'ACHAT est justifiée par cette dynamique, bien que l'amplitude de l'écart puisse signaler une exhaustion proche.</w:t>
      </w:r>
    </w:p>
    <w:p>
      <w:pPr>
        <w:spacing w:after="120" w:line="276" w:lineRule="auto"/>
      </w:pPr>
      <w:r>
        <w:t>**RSI** : Le RSI de 94,624 est extrêmement élevé, bien au-delà du seuil de surachat de 70. Cette valeur indique une pression acheteuse excessive et un marché survendu techniquement. La probabilité d'un retournement baissier est forte, justifiant la décision de VENTE.</w:t>
      </w:r>
    </w:p>
    <w:p>
      <w:pPr>
        <w:spacing w:after="120" w:line="276" w:lineRule="auto"/>
      </w:pPr>
      <w:r>
        <w:t>**Stochastique** : Le %K et le %D sont tous deux à des niveaux extrêmes (100 et 99,47 respectivement), confirmant une condition de surachat sévère. Le fait que les deux lignes soient pratiquement confondues à ces niveaux suggère une possible divergence baissière imminente. La décision de VENTE est justifiée.</w:t>
      </w:r>
    </w:p>
    <w:p>
      <w:pPr>
        <w:spacing w:after="120" w:line="276" w:lineRule="auto"/>
      </w:pPr>
      <w:r>
        <w:t>**Conclusion technique** : Les indicateurs sont fortement divergents. Les moyennes mobiles et le MACD signalent une tendance haussière, mais le RSI, le Stochastique et les Bandes de Bollinger crient surachat. Cette configuration suggère qu'un repli technique est probable à court terme, malgré la force de la tendance sous-jacente.</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42,454 milliards FCFA, en baisse de 6,31% par rapport à 2024 (45,312 milliards FCFA). Le résultat net de 22,318 millions FCFA, bien qu'en amélioration par rapport aux 7,313 millions de 2024, reste dérisoire avec une marge nette de seulement 0,05%. Le ROE de 0,13% et le ROA de 0,05% sont extrêmement faibles, reflétant une rentabilité anémique. La structure financière montre des capitaux propres solides de 17,770 milliards FCFA (autonomie financière de 36,16%) mais une trésorerie nette fortement négative de -16,689 milliards FCFA. Le BFR de 29,373 milliards FCFA (positif, donc défavorable pour une entreprise) et les délais clients de 104 jours contre 116 jours fournisseurs créent une pression de trésorerie significative. Le rapport T1 2026 (publié en mai 2026) montre un chiffre d'affaires stable à 11,194 milliards FCFA (-0,12%) mais un retour à un résultat net positif de 65,566 millions FCFA, soit une amélioration spectaculaire de +506% par rapport au T1 2025 (perte de 16,147 millions). Cette performance s'explique par l'intégration de la division Équipement et la montée en puissance des nouvelles activités. Le rapport S1 2025 indiquait une perte de -139,57 millions, tandis que le T3 2025 cumulé montrait une perte de -157 millions. La recommandation des analystes pour le T1 2026 est de CONSERVER, avec des perspectives de croissance soutenue par les divisions Équipement et Power. L'absence de dividende depuis plusieurs exercices et la rentabilité structurellement faible constituent des signaux d'alerte majeurs pour l'investisseur.</w:t>
      </w:r>
    </w:p>
    <w:p>
      <w:pPr>
        <w:spacing w:after="120" w:line="276" w:lineRule="auto"/>
      </w:pPr>
      <w:r>
        <w:t>---</w:t>
      </w:r>
    </w:p>
    <w:p>
      <w:pPr>
        <w:spacing w:after="120" w:line="276" w:lineRule="auto"/>
      </w:pPr>
      <w:r>
        <w:t>### PARTIE 4 : CONCLUSION D'INVESTISSEMENT</w:t>
      </w:r>
    </w:p>
    <w:p>
      <w:pPr>
        <w:spacing w:after="120" w:line="276" w:lineRule="auto"/>
      </w:pPr>
      <w:r>
        <w:t>La valorisation de BNBC présente un paradoxe frappant : un PER de 712x suggère une surévaluation extrême, tandis qu'un P/B de 0,89x indique une décote par rapport à l'actif net comptable. Le comportement du cours (+50,47% en 100 jours) avec une volatilité annualisée de 49,5% témoigne d'un intérêt spéculatif marqué, mais les statistiques (kurtosis mésokurtique, skewness symétrique) suggèrent une distribution normale sans risque de pics extrêmes. Les signaux techniques sont contradictoires : tendance haussière confirmée par les MM et le MACD, mais conditions de surachat extrême (RSI 94,6, Stochastique 100) signalant un repli probable. Les fondamentaux restent fragiles avec une rentabilité quasi nulle, bien que le T1 2026 montre une amélioration encourageante. Les prédictions IA (2 342 à 2 283 FCFA sur J+1 à J+10) confirment un scénario de correction modérée. **Recommandation finale : VENTE** — la convergence des signaux techniques de surachat, la valorisation excessive (PER) et la faiblesse des fondamentaux malgré les améliorations récentes justifient cette position. Niveau de confiance : **Moyen**. Risque global : **Élevé**. Horizon optimal : **Court terme (&lt;3 mois)** pour un éventuel repositionnement après correction.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415.55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5,980 titres</w:t>
            </w:r>
          </w:p>
        </w:tc>
        <w:tc>
          <w:tcPr>
            <w:tcW w:type="dxa" w:w="2268"/>
            <w:shd w:fill="FFF2CC" w:val="clear"/>
          </w:tcPr>
          <w:p>
            <w:r>
              <w:rPr>
                <w:b/>
                <w:color w:val="503200"/>
                <w:sz w:val="16"/>
              </w:rPr>
              <w:t xml:space="preserve">Cours actuel : </w:t>
            </w:r>
            <w:r>
              <w:rPr>
                <w:color w:val="000000"/>
                <w:sz w:val="17"/>
              </w:rPr>
              <w:t>10,245 FCFA</w:t>
            </w:r>
          </w:p>
          <w:p>
            <w:r>
              <w:rPr>
                <w:b/>
                <w:color w:val="503200"/>
                <w:sz w:val="16"/>
              </w:rPr>
              <w:t xml:space="preserve">Var. 100 jours : </w:t>
            </w:r>
            <w:r>
              <w:rPr>
                <w:b/>
                <w:color w:val="007800"/>
                <w:sz w:val="17"/>
              </w:rPr>
              <w:t>+34.80%</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6.60% (Moyenne) — μ=8,834 FCFA, σ=583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β=-0.3074 (Contre-cyclique) — Cov=-0.000011, Var(idx)=0.000037, ρ=-0.109,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9,426</w:t>
            </w:r>
          </w:p>
        </w:tc>
        <w:tc>
          <w:tcPr>
            <w:tcW w:type="dxa" w:w="1440"/>
            <w:shd w:fill="FFDCE0" w:val="clear"/>
          </w:tcPr>
          <w:p>
            <w:r>
              <w:rPr>
                <w:b/>
                <w:sz w:val="17"/>
              </w:rPr>
              <w:t>9,766</w:t>
            </w:r>
          </w:p>
        </w:tc>
        <w:tc>
          <w:tcPr>
            <w:tcW w:type="dxa" w:w="1440"/>
            <w:shd w:fill="FFDCE0" w:val="clear"/>
          </w:tcPr>
          <w:p>
            <w:r>
              <w:rPr>
                <w:sz w:val="17"/>
              </w:rPr>
              <w:t>10,106</w:t>
            </w:r>
          </w:p>
        </w:tc>
        <w:tc>
          <w:tcPr>
            <w:tcW w:type="dxa" w:w="1440"/>
            <w:shd w:fill="FFDCE0" w:val="clear"/>
          </w:tcPr>
          <w:p>
            <w:r>
              <w:rPr>
                <w:b/>
                <w:color w:val="C00000"/>
                <w:sz w:val="17"/>
              </w:rPr>
              <w:t>-4.7%</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9,044</w:t>
            </w:r>
          </w:p>
        </w:tc>
        <w:tc>
          <w:tcPr>
            <w:tcW w:type="dxa" w:w="1440"/>
            <w:shd w:fill="FFDCE0" w:val="clear"/>
          </w:tcPr>
          <w:p>
            <w:r>
              <w:rPr>
                <w:b/>
                <w:sz w:val="17"/>
              </w:rPr>
              <w:t>9,513</w:t>
            </w:r>
          </w:p>
        </w:tc>
        <w:tc>
          <w:tcPr>
            <w:tcW w:type="dxa" w:w="1440"/>
            <w:shd w:fill="FFDCE0" w:val="clear"/>
          </w:tcPr>
          <w:p>
            <w:r>
              <w:rPr>
                <w:sz w:val="17"/>
              </w:rPr>
              <w:t>9,982</w:t>
            </w:r>
          </w:p>
        </w:tc>
        <w:tc>
          <w:tcPr>
            <w:tcW w:type="dxa" w:w="1440"/>
            <w:shd w:fill="FFDCE0" w:val="clear"/>
          </w:tcPr>
          <w:p>
            <w:r>
              <w:rPr>
                <w:b/>
                <w:color w:val="C00000"/>
                <w:sz w:val="17"/>
              </w:rPr>
              <w:t>-7.1%</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8,742</w:t>
            </w:r>
          </w:p>
        </w:tc>
        <w:tc>
          <w:tcPr>
            <w:tcW w:type="dxa" w:w="1440"/>
            <w:shd w:fill="FFDCE0" w:val="clear"/>
          </w:tcPr>
          <w:p>
            <w:r>
              <w:rPr>
                <w:b/>
                <w:sz w:val="17"/>
              </w:rPr>
              <w:t>9,303</w:t>
            </w:r>
          </w:p>
        </w:tc>
        <w:tc>
          <w:tcPr>
            <w:tcW w:type="dxa" w:w="1440"/>
            <w:shd w:fill="FFDCE0" w:val="clear"/>
          </w:tcPr>
          <w:p>
            <w:r>
              <w:rPr>
                <w:sz w:val="17"/>
              </w:rPr>
              <w:t>9,864</w:t>
            </w:r>
          </w:p>
        </w:tc>
        <w:tc>
          <w:tcPr>
            <w:tcW w:type="dxa" w:w="1440"/>
            <w:shd w:fill="FFDCE0" w:val="clear"/>
          </w:tcPr>
          <w:p>
            <w:r>
              <w:rPr>
                <w:b/>
                <w:color w:val="C00000"/>
                <w:sz w:val="17"/>
              </w:rPr>
              <w:t>-9.2%</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8,502</w:t>
            </w:r>
          </w:p>
        </w:tc>
        <w:tc>
          <w:tcPr>
            <w:tcW w:type="dxa" w:w="1440"/>
            <w:shd w:fill="FFDCE0" w:val="clear"/>
          </w:tcPr>
          <w:p>
            <w:r>
              <w:rPr>
                <w:b/>
                <w:sz w:val="17"/>
              </w:rPr>
              <w:t>9,138</w:t>
            </w:r>
          </w:p>
        </w:tc>
        <w:tc>
          <w:tcPr>
            <w:tcW w:type="dxa" w:w="1440"/>
            <w:shd w:fill="FFDCE0" w:val="clear"/>
          </w:tcPr>
          <w:p>
            <w:r>
              <w:rPr>
                <w:sz w:val="17"/>
              </w:rPr>
              <w:t>9,775</w:t>
            </w:r>
          </w:p>
        </w:tc>
        <w:tc>
          <w:tcPr>
            <w:tcW w:type="dxa" w:w="1440"/>
            <w:shd w:fill="FFDCE0" w:val="clear"/>
          </w:tcPr>
          <w:p>
            <w:r>
              <w:rPr>
                <w:b/>
                <w:color w:val="C00000"/>
                <w:sz w:val="17"/>
              </w:rPr>
              <w:t>-10.8%</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8,294</w:t>
            </w:r>
          </w:p>
        </w:tc>
        <w:tc>
          <w:tcPr>
            <w:tcW w:type="dxa" w:w="1440"/>
            <w:shd w:fill="FFDCE0" w:val="clear"/>
          </w:tcPr>
          <w:p>
            <w:r>
              <w:rPr>
                <w:b/>
                <w:sz w:val="17"/>
              </w:rPr>
              <w:t>8,994</w:t>
            </w:r>
          </w:p>
        </w:tc>
        <w:tc>
          <w:tcPr>
            <w:tcW w:type="dxa" w:w="1440"/>
            <w:shd w:fill="FFDCE0" w:val="clear"/>
          </w:tcPr>
          <w:p>
            <w:r>
              <w:rPr>
                <w:sz w:val="17"/>
              </w:rPr>
              <w:t>9,695</w:t>
            </w:r>
          </w:p>
        </w:tc>
        <w:tc>
          <w:tcPr>
            <w:tcW w:type="dxa" w:w="1440"/>
            <w:shd w:fill="FFDCE0" w:val="clear"/>
          </w:tcPr>
          <w:p>
            <w:r>
              <w:rPr>
                <w:b/>
                <w:color w:val="C00000"/>
                <w:sz w:val="17"/>
              </w:rPr>
              <w:t>-12.2%</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8,106</w:t>
            </w:r>
          </w:p>
        </w:tc>
        <w:tc>
          <w:tcPr>
            <w:tcW w:type="dxa" w:w="1440"/>
            <w:shd w:fill="FFDCE0" w:val="clear"/>
          </w:tcPr>
          <w:p>
            <w:r>
              <w:rPr>
                <w:b/>
                <w:sz w:val="17"/>
              </w:rPr>
              <w:t>8,862</w:t>
            </w:r>
          </w:p>
        </w:tc>
        <w:tc>
          <w:tcPr>
            <w:tcW w:type="dxa" w:w="1440"/>
            <w:shd w:fill="FFDCE0" w:val="clear"/>
          </w:tcPr>
          <w:p>
            <w:r>
              <w:rPr>
                <w:sz w:val="17"/>
              </w:rPr>
              <w:t>9,618</w:t>
            </w:r>
          </w:p>
        </w:tc>
        <w:tc>
          <w:tcPr>
            <w:tcW w:type="dxa" w:w="1440"/>
            <w:shd w:fill="FFDCE0" w:val="clear"/>
          </w:tcPr>
          <w:p>
            <w:r>
              <w:rPr>
                <w:b/>
                <w:color w:val="C00000"/>
                <w:sz w:val="17"/>
              </w:rPr>
              <w:t>-13.5%</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7,933</w:t>
            </w:r>
          </w:p>
        </w:tc>
        <w:tc>
          <w:tcPr>
            <w:tcW w:type="dxa" w:w="1440"/>
            <w:shd w:fill="FFDCE0" w:val="clear"/>
          </w:tcPr>
          <w:p>
            <w:r>
              <w:rPr>
                <w:b/>
                <w:sz w:val="17"/>
              </w:rPr>
              <w:t>8,739</w:t>
            </w:r>
          </w:p>
        </w:tc>
        <w:tc>
          <w:tcPr>
            <w:tcW w:type="dxa" w:w="1440"/>
            <w:shd w:fill="FFDCE0" w:val="clear"/>
          </w:tcPr>
          <w:p>
            <w:r>
              <w:rPr>
                <w:sz w:val="17"/>
              </w:rPr>
              <w:t>9,544</w:t>
            </w:r>
          </w:p>
        </w:tc>
        <w:tc>
          <w:tcPr>
            <w:tcW w:type="dxa" w:w="1440"/>
            <w:shd w:fill="FFDCE0" w:val="clear"/>
          </w:tcPr>
          <w:p>
            <w:r>
              <w:rPr>
                <w:b/>
                <w:color w:val="C00000"/>
                <w:sz w:val="17"/>
              </w:rPr>
              <w:t>-14.7%</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7,773</w:t>
            </w:r>
          </w:p>
        </w:tc>
        <w:tc>
          <w:tcPr>
            <w:tcW w:type="dxa" w:w="1440"/>
            <w:shd w:fill="FFDCE0" w:val="clear"/>
          </w:tcPr>
          <w:p>
            <w:r>
              <w:rPr>
                <w:b/>
                <w:sz w:val="17"/>
              </w:rPr>
              <w:t>8,623</w:t>
            </w:r>
          </w:p>
        </w:tc>
        <w:tc>
          <w:tcPr>
            <w:tcW w:type="dxa" w:w="1440"/>
            <w:shd w:fill="FFDCE0" w:val="clear"/>
          </w:tcPr>
          <w:p>
            <w:r>
              <w:rPr>
                <w:sz w:val="17"/>
              </w:rPr>
              <w:t>9,473</w:t>
            </w:r>
          </w:p>
        </w:tc>
        <w:tc>
          <w:tcPr>
            <w:tcW w:type="dxa" w:w="1440"/>
            <w:shd w:fill="FFDCE0" w:val="clear"/>
          </w:tcPr>
          <w:p>
            <w:r>
              <w:rPr>
                <w:b/>
                <w:color w:val="C00000"/>
                <w:sz w:val="17"/>
              </w:rPr>
              <w:t>-15.8%</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7,625</w:t>
            </w:r>
          </w:p>
        </w:tc>
        <w:tc>
          <w:tcPr>
            <w:tcW w:type="dxa" w:w="1440"/>
            <w:shd w:fill="FFDCE0" w:val="clear"/>
          </w:tcPr>
          <w:p>
            <w:r>
              <w:rPr>
                <w:b/>
                <w:sz w:val="17"/>
              </w:rPr>
              <w:t>8,514</w:t>
            </w:r>
          </w:p>
        </w:tc>
        <w:tc>
          <w:tcPr>
            <w:tcW w:type="dxa" w:w="1440"/>
            <w:shd w:fill="FFDCE0" w:val="clear"/>
          </w:tcPr>
          <w:p>
            <w:r>
              <w:rPr>
                <w:sz w:val="17"/>
              </w:rPr>
              <w:t>9,404</w:t>
            </w:r>
          </w:p>
        </w:tc>
        <w:tc>
          <w:tcPr>
            <w:tcW w:type="dxa" w:w="1440"/>
            <w:shd w:fill="FFDCE0" w:val="clear"/>
          </w:tcPr>
          <w:p>
            <w:r>
              <w:rPr>
                <w:b/>
                <w:color w:val="C00000"/>
                <w:sz w:val="17"/>
              </w:rPr>
              <w:t>-16.9%</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7,485</w:t>
            </w:r>
          </w:p>
        </w:tc>
        <w:tc>
          <w:tcPr>
            <w:tcW w:type="dxa" w:w="1440"/>
            <w:shd w:fill="FFDCE0" w:val="clear"/>
          </w:tcPr>
          <w:p>
            <w:r>
              <w:rPr>
                <w:b/>
                <w:sz w:val="17"/>
              </w:rPr>
              <w:t>8,412</w:t>
            </w:r>
          </w:p>
        </w:tc>
        <w:tc>
          <w:tcPr>
            <w:tcW w:type="dxa" w:w="1440"/>
            <w:shd w:fill="FFDCE0" w:val="clear"/>
          </w:tcPr>
          <w:p>
            <w:r>
              <w:rPr>
                <w:sz w:val="17"/>
              </w:rPr>
              <w:t>9,339</w:t>
            </w:r>
          </w:p>
        </w:tc>
        <w:tc>
          <w:tcPr>
            <w:tcW w:type="dxa" w:w="1440"/>
            <w:shd w:fill="FFDCE0" w:val="clear"/>
          </w:tcPr>
          <w:p>
            <w:r>
              <w:rPr>
                <w:b/>
                <w:color w:val="C00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415,55 milliards FCFA, ce qui en fait une valeur de première importance sur la BRVM, probablement l'une des plus capitalisées du compartiment bancaire. Avec un BPA de 496 FCFA, chaque action génère un bénéfice substantiel, mais le PER de 20,7x indique que les investisseurs paient une prime significative par rapport à la moyenne historique de la place (~8-12x). Cette valorisation élevée suggère que le marché anticipe une croissance future des bénéfices, ou qu'une certaine surévaluation s'est installée. Le P/B de 3,54x confirme cette prime, le marché valorisant la banque à plus de 3,5 fois sa valeur comptable, ce qui est typique des valeurs bénéficiant d'une forte confiance. Enfin, l'EV/EBITDA de 20,9x, nettement supérieur au seuil exigeant de 15x, renforce l'idée que la valeur totale de l'entreprise (dette incluse) est très généreusement rémunérée par rapport à sa capacité opérationnelle, ce qui impose des attentes de performance élevées.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spectaculaire de +34,80%, avec une légère hausse de +0,10% lors de la dernière séance, pour atteindre un cours de 10 245 FCFA. Le titre a évolué dans une fourchette large de 7 400 FCFA (plus bas) à 10 350 FCFA (plus haut), démontrant une dynamique haussière soutenue. La moyenne du cours sur la période (8 834 FCFA) est très proche de la médiane (8 798 FCFA), et le skewness de -0,005 indique une distribution quasi parfaitement symétrique des prix. L'écart-type de 586 FCFA, avec un coefficient de variation de seulement 6,6%, révèle une dispersion relativement faible autour de la moyenne. Cependant, le kurtosis excédentaire de 1,063 signale une distribution leptokurtique, suggérant un risque de mouvements extrêmes plus élevé que la normale. La volatilité annualisée de 27,2% classe le titre dans la catégorie modérée à élevée, ce qui est cohérent avec la forte appréciation observée et implique un risque non négligeable pour les investisseurs.</w:t>
      </w:r>
    </w:p>
    <w:p>
      <w:pPr>
        <w:spacing w:after="120" w:line="276" w:lineRule="auto" w:before="240"/>
      </w:pPr>
      <w:r>
        <w:rPr>
          <w:b/>
          <w:color w:val="003366"/>
          <w:sz w:val="24"/>
        </w:rPr>
        <w:t>**PARTIE 2 : ANALYSE TECHNIQUE DÉTAILLÉE**</w:t>
      </w:r>
    </w:p>
    <w:p>
      <w:pPr>
        <w:spacing w:after="120" w:line="276" w:lineRule="auto"/>
      </w:pPr>
      <w:r>
        <w:t>**Moyennes Mobiles**: Le cours actuel de 10 245 FCFA se situe nettement au-dessus de la MM20 (9 300,75 FCFA) et de la MM50 (9 021 FCFA). Cette configuration haussière, où le prix est supérieur aux deux moyennes, confirme une tendance de fond positive et justifie la décision d'achat, car les moyennes agissent comme des supports dynamiques.</w:t>
      </w:r>
    </w:p>
    <w:p>
      <w:pPr>
        <w:spacing w:after="120" w:line="276" w:lineRule="auto"/>
      </w:pPr>
      <w:r>
        <w:t>**Bandes de Bollinger**: Le prix évolue à 10 245 FCFA, proche de la borne supérieure (10 670,84 FCFA) mais sans la toucher, tandis que la borne inférieure se situe à 7 930,66 FCFA. La largeur des bandes reflète la volatilité accrue du titre. La position du cours dans la moitié supérieure des bandes indique une force relative, mais la décision est neutre, signalant que le prix pourrait être temporairement étendu et sujet à un repli vers la moyenne.</w:t>
      </w:r>
    </w:p>
    <w:p>
      <w:pPr>
        <w:spacing w:after="120" w:line="276" w:lineRule="auto"/>
      </w:pPr>
      <w:r>
        <w:t>**MACD**: Le MACD (399,401) est nettement supérieur à son signal (274,424), avec un écart positif important. Cette divergence haussière confirme un momentum positif fort et valide la décision d'achat. La dynamique actuelle suggère que la tendance haussière est toujours alimentée par les acheteurs.</w:t>
      </w:r>
    </w:p>
    <w:p>
      <w:pPr>
        <w:spacing w:after="120" w:line="276" w:lineRule="auto"/>
      </w:pPr>
      <w:r>
        <w:t>**RSI**: Le RSI s'établit à 77,509, une valeur nettement supérieure au seuil de surachat de 70. Cette lecture indique que le titre est en territoire de surachat, ce qui signifie que la pression acheteuse est excessive à court terme. La décision de vente associée suggère qu'un repli technique ou une consolidation est probable pour corriger cette condition.</w:t>
      </w:r>
    </w:p>
    <w:p>
      <w:pPr>
        <w:spacing w:after="120" w:line="276" w:lineRule="auto"/>
      </w:pPr>
      <w:r>
        <w:t>**Stochastique**: Le %K (93,805) et le %D (93,419) sont tous deux à des niveaux extrêmement élevés, bien au-delà de 80, confirmant une condition de surachat sévère. Le fait que %K soit légèrement au-dessus de %D indique que la dynamique haussière est encore en place, mais la décision de vente est émise car ces niveaux sont historiquement associés à des retournements de tendance.</w:t>
      </w:r>
    </w:p>
    <w:p>
      <w:pPr>
        <w:spacing w:after="120" w:line="276" w:lineRule="auto"/>
      </w:pPr>
      <w:r>
        <w:t>**Conclusion technique**: La convergence des signaux est mitigée. D'un côté, les moyennes mobiles et le MACD sont positifs, indiquant une tendance haussière robuste. De l'autre, le RSI et le stochastique sont en zone de surachat extrême, signalant un risque élevé de correction à court terme. Cette divergence entre la tendance de fond et les oscillateurs suggère qu'un investisseur devrait être prudent et attendre un repli potentiel pour entrer en position, plutôt que de courir après le cours actuel.</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BOAB révèlent une banque performante avec un Produit Net Bancaire (PNB) de 51,274 milliards FCFA et un résultat net de 20,107 milliards FCFA. La rentabilité est excellente, avec un ROE de 17,11% et un ROA de 2,08%, démontrant une utilisation efficace des capitaux propres et des actifs. Le coefficient d'exploitation de 49,53% est remarquable, indiquant une banque très efficace dans la maîtrise de ses charges. Cependant, le coût du risque de 22,50% est élevé, signalant une dégradation de la qualité du portefeuille de crédits. Les dépôts clients (711,642 milliards FCFA) couvrent largement les créances sur la clientèle (391,724 milliards FCFA), ce qui est un signe de solidité. Les rapports narratifs montrent une évolution contrastée : le rapport du 1er semestre 2025 fait état d'un PNB de 24,556 milliards FCFA (+5,91%) et d'un résultat net de 11,012 milliards FCFA (+0,75%), mais avec une forte hausse du coût du risque (+394,66%). Le rapport du 3ème trimestre 2025 est plus optimiste, avec un PNB de 37,065 milliards FCFA (+9%) et un résultat net de 15,880 milliards FCFA (+13%), indiquant une amélioration de la rentabilité malgré une contraction des crédits et dépôts. Enfin, le rapport du 1er trimestre 2026 confirme la dynamique avec un PNB de 12,329 milliards FCFA (+11%) et un résultat net de 4,502 milliards FCFA (+1%). Sur la base de ces tendances, on estime que l'exercice 2026 devrait voir une croissance du PNB de plus de 10%, mais la croissance du résultat net pourrait être freinée par la pression sur les coûts et le coût du risque. La banque privilégie la qualité à la croissance volumique, avec une amélioration significative de ses marges et de son efficacité opérationnelle.</w:t>
      </w:r>
    </w:p>
    <w:p>
      <w:pPr>
        <w:spacing w:after="120" w:line="276" w:lineRule="auto" w:before="240"/>
      </w:pPr>
      <w:r>
        <w:rPr>
          <w:b/>
          <w:color w:val="003366"/>
          <w:sz w:val="24"/>
        </w:rPr>
        <w:t>**PARTIE 4 : CONCLUSION D'INVESTISSEMENT**</w:t>
      </w:r>
    </w:p>
    <w:p>
      <w:pPr>
        <w:spacing w:after="120" w:line="276" w:lineRule="auto"/>
      </w:pPr>
      <w:r>
        <w:t>En synthèse, l'action BOAB présente un profil contrasté. La valorisation (Partie 0) est exigeante, avec un PER de 20,7x et un EV/EBITDA de 20,9x, indiquant une surévaluation relative par rapport aux standards de la BRVM. Le comportement du cours (Partie 1) est très positif avec une hausse de 34,80% sur 100 jours, mais la volatilité annualisée de 27,2% et le kurtosis élevé signalent un risque de mouvements brusques. Les signaux techniques (Partie 2) sont mitigés : la tendance de fond est haussière (MM, MACD), mais les oscillateurs (RSI à 77,5, Stochastique à 93,8) sont en surachat extrême, annonçant une correction probable. Les fondamentaux (Partie 3) sont solides, avec une banque rentable (ROE de 17,11%), efficace (coefficient d'exploitation de 49,53%) et en croissance, mais le coût du risque élevé et la contraction du bilan sont des points de vigilance. Les prédictions IA pour les 10 prochains jours (de 9 766 à 8 994 FCFA) confirment cette analyse technique en projetant un repli significatif du cours. La convergence entre les signaux de surachat technique et les prédictions IA suggère qu'une correction est imminente. Par conséquent, la recommandation finale est **CONSERVER** avec un niveau de confiance **Moyen** et un risque global **Élevé**. L'horizon d'investissement optimal serait à **moyen terme (3-12 mois)**, en attendant un point d'entrée plus favorable après la correction anticipée, tout en surveillant l'évolution du coût du risque et la capacité de la banque à maintenir sa croissance de PNB.</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6,817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+59.29%</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15.57% (Élevée) — μ=6,216 FCFA, σ=968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β=0.2096 (Défensif) — Cov=0.000008, Var(idx)=0.000037, ρ=0.060,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8,191</w:t>
            </w:r>
          </w:p>
        </w:tc>
        <w:tc>
          <w:tcPr>
            <w:tcW w:type="dxa" w:w="1440"/>
            <w:shd w:fill="FFDCE0" w:val="clear"/>
          </w:tcPr>
          <w:p>
            <w:r>
              <w:rPr>
                <w:b/>
                <w:sz w:val="17"/>
              </w:rPr>
              <w:t>8,549</w:t>
            </w:r>
          </w:p>
        </w:tc>
        <w:tc>
          <w:tcPr>
            <w:tcW w:type="dxa" w:w="1440"/>
            <w:shd w:fill="FFDCE0" w:val="clear"/>
          </w:tcPr>
          <w:p>
            <w:r>
              <w:rPr>
                <w:sz w:val="17"/>
              </w:rPr>
              <w:t>8,908</w:t>
            </w:r>
          </w:p>
        </w:tc>
        <w:tc>
          <w:tcPr>
            <w:tcW w:type="dxa" w:w="1440"/>
            <w:shd w:fill="FFDCE0" w:val="clear"/>
          </w:tcPr>
          <w:p>
            <w:r>
              <w:rPr>
                <w:b/>
                <w:color w:val="C00000"/>
                <w:sz w:val="17"/>
              </w:rPr>
              <w:t>-5.0%</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7,753</w:t>
            </w:r>
          </w:p>
        </w:tc>
        <w:tc>
          <w:tcPr>
            <w:tcW w:type="dxa" w:w="1440"/>
            <w:shd w:fill="FFDCE0" w:val="clear"/>
          </w:tcPr>
          <w:p>
            <w:r>
              <w:rPr>
                <w:b/>
                <w:sz w:val="17"/>
              </w:rPr>
              <w:t>8,242</w:t>
            </w:r>
          </w:p>
        </w:tc>
        <w:tc>
          <w:tcPr>
            <w:tcW w:type="dxa" w:w="1440"/>
            <w:shd w:fill="FFDCE0" w:val="clear"/>
          </w:tcPr>
          <w:p>
            <w:r>
              <w:rPr>
                <w:sz w:val="17"/>
              </w:rPr>
              <w:t>8,730</w:t>
            </w:r>
          </w:p>
        </w:tc>
        <w:tc>
          <w:tcPr>
            <w:tcW w:type="dxa" w:w="1440"/>
            <w:shd w:fill="FFDCE0" w:val="clear"/>
          </w:tcPr>
          <w:p>
            <w:r>
              <w:rPr>
                <w:b/>
                <w:color w:val="C00000"/>
                <w:sz w:val="17"/>
              </w:rPr>
              <w:t>-8.4%</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7,436</w:t>
            </w:r>
          </w:p>
        </w:tc>
        <w:tc>
          <w:tcPr>
            <w:tcW w:type="dxa" w:w="1440"/>
            <w:shd w:fill="FFDCE0" w:val="clear"/>
          </w:tcPr>
          <w:p>
            <w:r>
              <w:rPr>
                <w:b/>
                <w:sz w:val="17"/>
              </w:rPr>
              <w:t>8,018</w:t>
            </w:r>
          </w:p>
        </w:tc>
        <w:tc>
          <w:tcPr>
            <w:tcW w:type="dxa" w:w="1440"/>
            <w:shd w:fill="FFDCE0" w:val="clear"/>
          </w:tcPr>
          <w:p>
            <w:r>
              <w:rPr>
                <w:sz w:val="17"/>
              </w:rPr>
              <w:t>8,599</w:t>
            </w:r>
          </w:p>
        </w:tc>
        <w:tc>
          <w:tcPr>
            <w:tcW w:type="dxa" w:w="1440"/>
            <w:shd w:fill="FFDCE0" w:val="clear"/>
          </w:tcPr>
          <w:p>
            <w:r>
              <w:rPr>
                <w:b/>
                <w:color w:val="C00000"/>
                <w:sz w:val="17"/>
              </w:rPr>
              <w:t>-10.9%</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7,210</w:t>
            </w:r>
          </w:p>
        </w:tc>
        <w:tc>
          <w:tcPr>
            <w:tcW w:type="dxa" w:w="1440"/>
            <w:shd w:fill="FFDCE0" w:val="clear"/>
          </w:tcPr>
          <w:p>
            <w:r>
              <w:rPr>
                <w:b/>
                <w:sz w:val="17"/>
              </w:rPr>
              <w:t>7,870</w:t>
            </w:r>
          </w:p>
        </w:tc>
        <w:tc>
          <w:tcPr>
            <w:tcW w:type="dxa" w:w="1440"/>
            <w:shd w:fill="FFDCE0" w:val="clear"/>
          </w:tcPr>
          <w:p>
            <w:r>
              <w:rPr>
                <w:sz w:val="17"/>
              </w:rPr>
              <w:t>8,529</w:t>
            </w:r>
          </w:p>
        </w:tc>
        <w:tc>
          <w:tcPr>
            <w:tcW w:type="dxa" w:w="1440"/>
            <w:shd w:fill="FFDCE0" w:val="clear"/>
          </w:tcPr>
          <w:p>
            <w:r>
              <w:rPr>
                <w:b/>
                <w:color w:val="C00000"/>
                <w:sz w:val="17"/>
              </w:rPr>
              <w:t>-12.6%</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7,032</w:t>
            </w:r>
          </w:p>
        </w:tc>
        <w:tc>
          <w:tcPr>
            <w:tcW w:type="dxa" w:w="1440"/>
            <w:shd w:fill="FFDCE0" w:val="clear"/>
          </w:tcPr>
          <w:p>
            <w:r>
              <w:rPr>
                <w:b/>
                <w:sz w:val="17"/>
              </w:rPr>
              <w:t>7,759</w:t>
            </w:r>
          </w:p>
        </w:tc>
        <w:tc>
          <w:tcPr>
            <w:tcW w:type="dxa" w:w="1440"/>
            <w:shd w:fill="FFDCE0" w:val="clear"/>
          </w:tcPr>
          <w:p>
            <w:r>
              <w:rPr>
                <w:sz w:val="17"/>
              </w:rPr>
              <w:t>8,485</w:t>
            </w:r>
          </w:p>
        </w:tc>
        <w:tc>
          <w:tcPr>
            <w:tcW w:type="dxa" w:w="1440"/>
            <w:shd w:fill="FFDCE0" w:val="clear"/>
          </w:tcPr>
          <w:p>
            <w:r>
              <w:rPr>
                <w:b/>
                <w:color w:val="C00000"/>
                <w:sz w:val="17"/>
              </w:rPr>
              <w:t>-13.8%</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6,876</w:t>
            </w:r>
          </w:p>
        </w:tc>
        <w:tc>
          <w:tcPr>
            <w:tcW w:type="dxa" w:w="1440"/>
            <w:shd w:fill="FFDCE0" w:val="clear"/>
          </w:tcPr>
          <w:p>
            <w:r>
              <w:rPr>
                <w:b/>
                <w:sz w:val="17"/>
              </w:rPr>
              <w:t>7,663</w:t>
            </w:r>
          </w:p>
        </w:tc>
        <w:tc>
          <w:tcPr>
            <w:tcW w:type="dxa" w:w="1440"/>
            <w:shd w:fill="FFDCE0" w:val="clear"/>
          </w:tcPr>
          <w:p>
            <w:r>
              <w:rPr>
                <w:sz w:val="17"/>
              </w:rPr>
              <w:t>8,449</w:t>
            </w:r>
          </w:p>
        </w:tc>
        <w:tc>
          <w:tcPr>
            <w:tcW w:type="dxa" w:w="1440"/>
            <w:shd w:fill="FFDCE0" w:val="clear"/>
          </w:tcPr>
          <w:p>
            <w:r>
              <w:rPr>
                <w:b/>
                <w:color w:val="C00000"/>
                <w:sz w:val="17"/>
              </w:rPr>
              <w:t>-14.9%</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6,734</w:t>
            </w:r>
          </w:p>
        </w:tc>
        <w:tc>
          <w:tcPr>
            <w:tcW w:type="dxa" w:w="1440"/>
            <w:shd w:fill="FFDCE0" w:val="clear"/>
          </w:tcPr>
          <w:p>
            <w:r>
              <w:rPr>
                <w:b/>
                <w:sz w:val="17"/>
              </w:rPr>
              <w:t>7,574</w:t>
            </w:r>
          </w:p>
        </w:tc>
        <w:tc>
          <w:tcPr>
            <w:tcW w:type="dxa" w:w="1440"/>
            <w:shd w:fill="FFDCE0" w:val="clear"/>
          </w:tcPr>
          <w:p>
            <w:r>
              <w:rPr>
                <w:sz w:val="17"/>
              </w:rPr>
              <w:t>8,413</w:t>
            </w:r>
          </w:p>
        </w:tc>
        <w:tc>
          <w:tcPr>
            <w:tcW w:type="dxa" w:w="1440"/>
            <w:shd w:fill="FFDCE0" w:val="clear"/>
          </w:tcPr>
          <w:p>
            <w:r>
              <w:rPr>
                <w:b/>
                <w:color w:val="C00000"/>
                <w:sz w:val="17"/>
              </w:rPr>
              <w:t>-15.8%</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6,601</w:t>
            </w:r>
          </w:p>
        </w:tc>
        <w:tc>
          <w:tcPr>
            <w:tcW w:type="dxa" w:w="1440"/>
            <w:shd w:fill="FFDCE0" w:val="clear"/>
          </w:tcPr>
          <w:p>
            <w:r>
              <w:rPr>
                <w:b/>
                <w:sz w:val="17"/>
              </w:rPr>
              <w:t>7,489</w:t>
            </w:r>
          </w:p>
        </w:tc>
        <w:tc>
          <w:tcPr>
            <w:tcW w:type="dxa" w:w="1440"/>
            <w:shd w:fill="FFDCE0" w:val="clear"/>
          </w:tcPr>
          <w:p>
            <w:r>
              <w:rPr>
                <w:sz w:val="17"/>
              </w:rPr>
              <w:t>8,376</w:t>
            </w:r>
          </w:p>
        </w:tc>
        <w:tc>
          <w:tcPr>
            <w:tcW w:type="dxa" w:w="1440"/>
            <w:shd w:fill="FFDCE0" w:val="clear"/>
          </w:tcPr>
          <w:p>
            <w:r>
              <w:rPr>
                <w:b/>
                <w:color w:val="C00000"/>
                <w:sz w:val="17"/>
              </w:rPr>
              <w:t>-16.8%</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6,475</w:t>
            </w:r>
          </w:p>
        </w:tc>
        <w:tc>
          <w:tcPr>
            <w:tcW w:type="dxa" w:w="1440"/>
            <w:shd w:fill="FFDCE0" w:val="clear"/>
          </w:tcPr>
          <w:p>
            <w:r>
              <w:rPr>
                <w:b/>
                <w:sz w:val="17"/>
              </w:rPr>
              <w:t>7,406</w:t>
            </w:r>
          </w:p>
        </w:tc>
        <w:tc>
          <w:tcPr>
            <w:tcW w:type="dxa" w:w="1440"/>
            <w:shd w:fill="FFDCE0" w:val="clear"/>
          </w:tcPr>
          <w:p>
            <w:r>
              <w:rPr>
                <w:sz w:val="17"/>
              </w:rPr>
              <w:t>8,338</w:t>
            </w:r>
          </w:p>
        </w:tc>
        <w:tc>
          <w:tcPr>
            <w:tcW w:type="dxa" w:w="1440"/>
            <w:shd w:fill="FFDCE0" w:val="clear"/>
          </w:tcPr>
          <w:p>
            <w:r>
              <w:rPr>
                <w:b/>
                <w:color w:val="C00000"/>
                <w:sz w:val="17"/>
              </w:rPr>
              <w:t>-17.7%</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6,356</w:t>
            </w:r>
          </w:p>
        </w:tc>
        <w:tc>
          <w:tcPr>
            <w:tcW w:type="dxa" w:w="1440"/>
            <w:shd w:fill="FFDCE0" w:val="clear"/>
          </w:tcPr>
          <w:p>
            <w:r>
              <w:rPr>
                <w:b/>
                <w:sz w:val="17"/>
              </w:rPr>
              <w:t>7,327</w:t>
            </w:r>
          </w:p>
        </w:tc>
        <w:tc>
          <w:tcPr>
            <w:tcW w:type="dxa" w:w="1440"/>
            <w:shd w:fill="FFDCE0" w:val="clear"/>
          </w:tcPr>
          <w:p>
            <w:r>
              <w:rPr>
                <w:sz w:val="17"/>
              </w:rPr>
              <w:t>8,298</w:t>
            </w:r>
          </w:p>
        </w:tc>
        <w:tc>
          <w:tcPr>
            <w:tcW w:type="dxa" w:w="1440"/>
            <w:shd w:fill="FFDCE0" w:val="clear"/>
          </w:tcPr>
          <w:p>
            <w:r>
              <w:rPr>
                <w:b/>
                <w:color w:val="C00000"/>
                <w:sz w:val="17"/>
              </w:rPr>
              <w:t>-18.6%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Absolument. Voici un rapport d'analyse structuré et professionnel pour l'action BOABF,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396 milliards FCFA, ce qui en fait une valeur de première importance sur la BRVM. Avec un BPA de 438 FCFA, le titre se paie 20,6 fois ses bénéfices (PER). Ce niveau est nettement supérieur à la moyenne historique de la BRVM (8-12x), indiquant que les investisseurs intègrent des attentes de croissance future très élevées, ou une possible prime de rareté. Le P/B de 3,13x confirme cette prime, le marché valorisant la banque à plus de trois fois sa valeur comptable, signe d'une confiance dans sa capacité à générer de la valeur. Enfin, un EV/EBITDA de 9,5x, dans la fourchette haute des valeurs "raisonnables" (5-10x), suggère que la valorisation de l'entreprise, dette incluse, reste soutenable par rapport à sa capacité opérationnelle, mais ne laisse que peu de marge d'erreur.</w:t>
      </w:r>
    </w:p>
    <w:p>
      <w:pPr>
        <w:spacing w:after="120" w:line="276" w:lineRule="auto"/>
      </w:pPr>
      <w:r>
        <w:t>### **PARTIE 1 : ANALYSE DU COURS — STATISTIQUES ET ÉVOLUTION (100 derniers jours)**</w:t>
      </w:r>
    </w:p>
    <w:p>
      <w:pPr>
        <w:spacing w:after="120" w:line="276" w:lineRule="auto"/>
      </w:pPr>
      <w:r>
        <w:t>Sur les 100 derniers jours, l'action BOABF a connu une progression spectaculaire de +59,29%, avec une dernière séance en hausse de +2,27% à 9,000 FCFA. Le titre a évolué dans une fourchette très large, entre un plus bas de 5,235 FCFA et un plus haut de 9,090 FCFA, démontrant un mouvement haussier puissant. L'analyse statistique révèle une distribution asymétrique positive (Skewness de 1.185), avec une moyenne (6,216 FCFA) nettement supérieure à la médiane (5,662 FCFA), ce qui indique que le cours a passé plus de temps sous sa moyenne, avec des poussées haussières récentes et intenses. Le kurtosis modéré (0.544) suggère une distribution proche de la normale sans pic excessif. La volatilité annualisée de 33,5% est élevée, reflétant un risque de marché important pour un titre qui a doublé sa valeur en quelques mois.</w:t>
      </w:r>
    </w:p>
    <w:p>
      <w:pPr>
        <w:spacing w:after="120" w:line="276" w:lineRule="auto"/>
      </w:pPr>
      <w:r>
        <w:t>### **PARTIE 2 : ANALYSE TECHNIQUE DÉTAILLÉE**</w:t>
      </w:r>
    </w:p>
    <w:p>
      <w:pPr>
        <w:spacing w:after="120" w:line="276" w:lineRule="auto"/>
      </w:pPr>
      <w:r>
        <w:t>**Moyennes Mobiles**: Le cours actuel (9,000 FCFA) est nettement au-dessus de sa MM20 (7,712 FCFA) et de sa MM50 (6,926 FCFA). Cette configuration en "trend haussier" est un signal d'achat classique, confirmant la vigueur de la tendance de fond. L'écart important entre le prix et les moyennes indique une phase d'extension rapide, potentiellement sujette à des corrections.</w:t>
      </w:r>
    </w:p>
    <w:p>
      <w:pPr>
        <w:spacing w:after="120" w:line="276" w:lineRule="auto"/>
      </w:pPr>
      <w:r>
        <w:t>**Bandes de Bollinger**: Le prix est proche de la borne supérieure (9,161 FCFA), ce qui témoigne d'une pression acheteuse soutenue. La décision est "Neutre" car si le franchissement de la borne supérieure peut signaler une continuation, la position actuelle suggère également des conditions de surachat temporaire. La largeur des bandes reflète la volatilité élevée du titre.</w:t>
      </w:r>
    </w:p>
    <w:p>
      <w:pPr>
        <w:spacing w:after="120" w:line="276" w:lineRule="auto"/>
      </w:pPr>
      <w:r>
        <w:t>**MACD**: Le MACD (551.5) est nettement au-dessus de sa ligne de signal (410.3), confirmant un momentum haussier très fort. La décision est "Achat". L'écart positif et croissant entre les deux lignes indique que la dynamique d'achat s'accélère, soutenant la tendance en cours.</w:t>
      </w:r>
    </w:p>
    <w:p>
      <w:pPr>
        <w:spacing w:after="120" w:line="276" w:lineRule="auto"/>
      </w:pPr>
      <w:r>
        <w:t>**RSI**: Le RSI est à 79.15, une zone de surachat technique (au-dessus de 70). La décision est "Vente". Ce niveau signale que le titre est survendu à court terme et qu'un repli technique ou une consolidation est probable pour "respirer" avant une éventuelle poursuite de la hausse.</w:t>
      </w:r>
    </w:p>
    <w:p>
      <w:pPr>
        <w:spacing w:after="120" w:line="276" w:lineRule="auto"/>
      </w:pPr>
      <w:r>
        <w:t>**Stochastique**: Le %K (95.5) et le %D (90.5) sont tous deux profondément ancrés en zone de surachat. La décision est "Vente". Bien que le croisement baissier ne soit pas encore intervenu, ces niveaux extrêmement élevés indiquent que le mouvement haussier est arrivé à maturité à court terme et qu'un retournement est de plus en plus probable.</w:t>
      </w:r>
    </w:p>
    <w:p>
      <w:pPr>
        <w:spacing w:after="120" w:line="276" w:lineRule="auto"/>
      </w:pPr>
      <w:r>
        <w:t>**Conclusion technique**: Les indicateurs de tendance (MM, MACD) sont résolument haussiers, mais les oscillateurs de momentum (RSI, Stochastique) hurlent au surachat. Cette divergence classique suggère que la tendance de fond reste positive, mais qu'une correction technique est de plus en plus probable à très court terme. Le scénario le plus probable est une phase de consolidation ou de repli avant la reprise de la tendance haussière.</w:t>
      </w:r>
    </w:p>
    <w:p>
      <w:pPr>
        <w:spacing w:after="120" w:line="276" w:lineRule="auto"/>
      </w:pPr>
      <w:r>
        <w:t>### **PARTIE 3 : ANALYSE FONDAMENTALE (SECTION CRITIQUE)**</w:t>
      </w:r>
    </w:p>
    <w:p>
      <w:pPr>
        <w:spacing w:after="120" w:line="276" w:lineRule="auto"/>
      </w:pPr>
      <w:r>
        <w:t>En 2025, les données financières annuelles de BOABF montrent une banque à la structure solide mais à la rentabilité sous pression. Le Produit Net Bancaire (PNB) s'établit à 57,82 milliards FCFA, avec un coefficient d'exploitation excellent de 47,19%, démontrant une grande maîtrise des coûts. Le résultat net annuel est de 19,25 milliards FCFA, portant le ROE à un niveau respectable de 15,22% et le ROA à 1,68%. Cependant, le coût du risque est élevé (33,92%), signalant une dégradation de la qualité du portefeuille de crédits. Les rapports trimestriels de 2025 confirment cette tendance : le rapport du 1er semestre 2025 (publié en 2025) fait état d'une chute de 46,5% du résultat net à 8,22 milliards FCFA, due à une explosion des provisions (+1336%). Le rapport du 3ème trimestre 2025 (publié en 2025) montre une baisse de 27,7% du résultat net cumulé sur 9 mois à 13,45 milliards FCFA. Sur la base de ces rapports, on estime que l'exercice 2025 a été marqué par une stagnation de l'activité et une forte dégradation de la rentabilité, malgré une collecte de dépôts dynamique. Le rapport du 1er trimestre 2026 (publié en 2026) indique une poursuite de la tendance avec un PNB en baisse de 10,75% et un résultat net en recul de 12,99% à 4,52 milliards FCFA, suggérant que la banque n'a pas encore retrouvé le chemin d'une croissance rentable.</w:t>
      </w:r>
    </w:p>
    <w:p>
      <w:pPr>
        <w:spacing w:after="120" w:line="276" w:lineRule="auto"/>
      </w:pPr>
      <w:r>
        <w:t>### **PARTIE 4 : CONCLUSION D'INVESTISSEMENT**</w:t>
      </w:r>
    </w:p>
    <w:p>
      <w:pPr>
        <w:spacing w:after="120" w:line="276" w:lineRule="auto"/>
      </w:pPr>
      <w:r>
        <w:t>La synthèse des analyses fait ressortir un profil de risque élevé. La valorisation (PER de 20,6x, P/B de 3,13x) est exigeante et ne laisse que peu de marge de sécurité, surtout au vu de la dégradation des fondamentaux. Le comportement du cours (+59% en 100 jours) et les signaux techniques (RSI et Stochastique en surachat) suggèrent une correction à court terme. Les fondamentaux, bien que solides structurellement (bon coefficient d'exploitation), montrent une rentabilité en chute libre à cause d'un coût du risque élevé, et les estimations basées sur les rapports 2025 et T1 2026 ne montrent aucun signe d'amélioration. Les prédictions IA (chute de 9,000 à 7,759 FCFA sur 10 jours) confirment cette anticipation de correction. En conclusion, la convergence des signaux techniques (surachat) et des prédictions IA (baisse) avec la détérioration des fondamentaux justifie une recommandation de **VENTE** à court terme. Le niveau de confiance est **Moyen** (la tendance de fond reste haussière), et le niveau de risque global est **Élevé**. L'horizon d'investissement optimal serait de moyen à long terme (&gt; 6 mois), après une correction du cours et une stabilisation visible de la rentabilité de la banque.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499.80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12,631 titres</w:t>
            </w:r>
          </w:p>
        </w:tc>
        <w:tc>
          <w:tcPr>
            <w:tcW w:type="dxa" w:w="2268"/>
            <w:shd w:fill="FFF2CC" w:val="clear"/>
          </w:tcPr>
          <w:p>
            <w:r>
              <w:rPr>
                <w:b/>
                <w:color w:val="503200"/>
                <w:sz w:val="16"/>
              </w:rPr>
              <w:t xml:space="preserve">Cours actuel : </w:t>
            </w:r>
            <w:r>
              <w:rPr>
                <w:color w:val="000000"/>
                <w:sz w:val="17"/>
              </w:rPr>
              <w:t>12,495 FCFA</w:t>
            </w:r>
          </w:p>
          <w:p>
            <w:r>
              <w:rPr>
                <w:b/>
                <w:color w:val="503200"/>
                <w:sz w:val="16"/>
              </w:rPr>
              <w:t xml:space="preserve">Var. 100 jours : </w:t>
            </w:r>
            <w:r>
              <w:rPr>
                <w:b/>
                <w:color w:val="007800"/>
                <w:sz w:val="17"/>
              </w:rPr>
              <w:t>+48.84%</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8,380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15.14% (Élevée) — μ=9,799 FCFA, σ=1,483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β=0.0416 (Défensif) — Cov=0.000002, Var(idx)=0.000037, ρ=0.015,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12,631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σ_j=1.63%/j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11,342</w:t>
            </w:r>
          </w:p>
        </w:tc>
        <w:tc>
          <w:tcPr>
            <w:tcW w:type="dxa" w:w="1440"/>
            <w:shd w:fill="FFDCE0" w:val="clear"/>
          </w:tcPr>
          <w:p>
            <w:r>
              <w:rPr>
                <w:b/>
                <w:sz w:val="17"/>
              </w:rPr>
              <w:t>11,766</w:t>
            </w:r>
          </w:p>
        </w:tc>
        <w:tc>
          <w:tcPr>
            <w:tcW w:type="dxa" w:w="1440"/>
            <w:shd w:fill="FFDCE0" w:val="clear"/>
          </w:tcPr>
          <w:p>
            <w:r>
              <w:rPr>
                <w:sz w:val="17"/>
              </w:rPr>
              <w:t>12,190</w:t>
            </w:r>
          </w:p>
        </w:tc>
        <w:tc>
          <w:tcPr>
            <w:tcW w:type="dxa" w:w="1440"/>
            <w:shd w:fill="FFDCE0" w:val="clear"/>
          </w:tcPr>
          <w:p>
            <w:r>
              <w:rPr>
                <w:b/>
                <w:color w:val="C00000"/>
                <w:sz w:val="17"/>
              </w:rPr>
              <w:t>-5.8%</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10,726</w:t>
            </w:r>
          </w:p>
        </w:tc>
        <w:tc>
          <w:tcPr>
            <w:tcW w:type="dxa" w:w="1440"/>
            <w:shd w:fill="FFDCE0" w:val="clear"/>
          </w:tcPr>
          <w:p>
            <w:r>
              <w:rPr>
                <w:b/>
                <w:sz w:val="17"/>
              </w:rPr>
              <w:t>11,301</w:t>
            </w:r>
          </w:p>
        </w:tc>
        <w:tc>
          <w:tcPr>
            <w:tcW w:type="dxa" w:w="1440"/>
            <w:shd w:fill="FFDCE0" w:val="clear"/>
          </w:tcPr>
          <w:p>
            <w:r>
              <w:rPr>
                <w:sz w:val="17"/>
              </w:rPr>
              <w:t>11,877</w:t>
            </w:r>
          </w:p>
        </w:tc>
        <w:tc>
          <w:tcPr>
            <w:tcW w:type="dxa" w:w="1440"/>
            <w:shd w:fill="FFDCE0" w:val="clear"/>
          </w:tcPr>
          <w:p>
            <w:r>
              <w:rPr>
                <w:b/>
                <w:color w:val="C00000"/>
                <w:sz w:val="17"/>
              </w:rPr>
              <w:t>-9.6%</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10,141</w:t>
            </w:r>
          </w:p>
        </w:tc>
        <w:tc>
          <w:tcPr>
            <w:tcW w:type="dxa" w:w="1440"/>
            <w:shd w:fill="FFDCE0" w:val="clear"/>
          </w:tcPr>
          <w:p>
            <w:r>
              <w:rPr>
                <w:b/>
                <w:sz w:val="17"/>
              </w:rPr>
              <w:t>10,816</w:t>
            </w:r>
          </w:p>
        </w:tc>
        <w:tc>
          <w:tcPr>
            <w:tcW w:type="dxa" w:w="1440"/>
            <w:shd w:fill="FFDCE0" w:val="clear"/>
          </w:tcPr>
          <w:p>
            <w:r>
              <w:rPr>
                <w:sz w:val="17"/>
              </w:rPr>
              <w:t>11,491</w:t>
            </w:r>
          </w:p>
        </w:tc>
        <w:tc>
          <w:tcPr>
            <w:tcW w:type="dxa" w:w="1440"/>
            <w:shd w:fill="FFDCE0" w:val="clear"/>
          </w:tcPr>
          <w:p>
            <w:r>
              <w:rPr>
                <w:b/>
                <w:color w:val="C00000"/>
                <w:sz w:val="17"/>
              </w:rPr>
              <w:t>-13.4%</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9,639</w:t>
            </w:r>
          </w:p>
        </w:tc>
        <w:tc>
          <w:tcPr>
            <w:tcW w:type="dxa" w:w="1440"/>
            <w:shd w:fill="FFDCE0" w:val="clear"/>
          </w:tcPr>
          <w:p>
            <w:r>
              <w:rPr>
                <w:b/>
                <w:sz w:val="17"/>
              </w:rPr>
              <w:t>10,387</w:t>
            </w:r>
          </w:p>
        </w:tc>
        <w:tc>
          <w:tcPr>
            <w:tcW w:type="dxa" w:w="1440"/>
            <w:shd w:fill="FFDCE0" w:val="clear"/>
          </w:tcPr>
          <w:p>
            <w:r>
              <w:rPr>
                <w:sz w:val="17"/>
              </w:rPr>
              <w:t>11,136</w:t>
            </w:r>
          </w:p>
        </w:tc>
        <w:tc>
          <w:tcPr>
            <w:tcW w:type="dxa" w:w="1440"/>
            <w:shd w:fill="FFDCE0" w:val="clear"/>
          </w:tcPr>
          <w:p>
            <w:r>
              <w:rPr>
                <w:b/>
                <w:color w:val="C00000"/>
                <w:sz w:val="17"/>
              </w:rPr>
              <w:t>-16.9%</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9,209</w:t>
            </w:r>
          </w:p>
        </w:tc>
        <w:tc>
          <w:tcPr>
            <w:tcW w:type="dxa" w:w="1440"/>
            <w:shd w:fill="FFDCE0" w:val="clear"/>
          </w:tcPr>
          <w:p>
            <w:r>
              <w:rPr>
                <w:b/>
                <w:sz w:val="17"/>
              </w:rPr>
              <w:t>10,015</w:t>
            </w:r>
          </w:p>
        </w:tc>
        <w:tc>
          <w:tcPr>
            <w:tcW w:type="dxa" w:w="1440"/>
            <w:shd w:fill="FFDCE0" w:val="clear"/>
          </w:tcPr>
          <w:p>
            <w:r>
              <w:rPr>
                <w:sz w:val="17"/>
              </w:rPr>
              <w:t>10,822</w:t>
            </w:r>
          </w:p>
        </w:tc>
        <w:tc>
          <w:tcPr>
            <w:tcW w:type="dxa" w:w="1440"/>
            <w:shd w:fill="FFDCE0" w:val="clear"/>
          </w:tcPr>
          <w:p>
            <w:r>
              <w:rPr>
                <w:b/>
                <w:color w:val="C00000"/>
                <w:sz w:val="17"/>
              </w:rPr>
              <w:t>-19.8%</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8,838</w:t>
            </w:r>
          </w:p>
        </w:tc>
        <w:tc>
          <w:tcPr>
            <w:tcW w:type="dxa" w:w="1440"/>
            <w:shd w:fill="FFDCE0" w:val="clear"/>
          </w:tcPr>
          <w:p>
            <w:r>
              <w:rPr>
                <w:b/>
                <w:sz w:val="17"/>
              </w:rPr>
              <w:t>9,693</w:t>
            </w:r>
          </w:p>
        </w:tc>
        <w:tc>
          <w:tcPr>
            <w:tcW w:type="dxa" w:w="1440"/>
            <w:shd w:fill="FFDCE0" w:val="clear"/>
          </w:tcPr>
          <w:p>
            <w:r>
              <w:rPr>
                <w:sz w:val="17"/>
              </w:rPr>
              <w:t>10,548</w:t>
            </w:r>
          </w:p>
        </w:tc>
        <w:tc>
          <w:tcPr>
            <w:tcW w:type="dxa" w:w="1440"/>
            <w:shd w:fill="FFDCE0" w:val="clear"/>
          </w:tcPr>
          <w:p>
            <w:r>
              <w:rPr>
                <w:b/>
                <w:color w:val="C00000"/>
                <w:sz w:val="17"/>
              </w:rPr>
              <w:t>-22.4%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8,516</w:t>
            </w:r>
          </w:p>
        </w:tc>
        <w:tc>
          <w:tcPr>
            <w:tcW w:type="dxa" w:w="1440"/>
            <w:shd w:fill="FFDCE0" w:val="clear"/>
          </w:tcPr>
          <w:p>
            <w:r>
              <w:rPr>
                <w:b/>
                <w:sz w:val="17"/>
              </w:rPr>
              <w:t>9,413</w:t>
            </w:r>
          </w:p>
        </w:tc>
        <w:tc>
          <w:tcPr>
            <w:tcW w:type="dxa" w:w="1440"/>
            <w:shd w:fill="FFDCE0" w:val="clear"/>
          </w:tcPr>
          <w:p>
            <w:r>
              <w:rPr>
                <w:sz w:val="17"/>
              </w:rPr>
              <w:t>10,310</w:t>
            </w:r>
          </w:p>
        </w:tc>
        <w:tc>
          <w:tcPr>
            <w:tcW w:type="dxa" w:w="1440"/>
            <w:shd w:fill="FFDCE0" w:val="clear"/>
          </w:tcPr>
          <w:p>
            <w:r>
              <w:rPr>
                <w:b/>
                <w:color w:val="C00000"/>
                <w:sz w:val="17"/>
              </w:rPr>
              <w:t>-24.7%</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8,233</w:t>
            </w:r>
          </w:p>
        </w:tc>
        <w:tc>
          <w:tcPr>
            <w:tcW w:type="dxa" w:w="1440"/>
            <w:shd w:fill="FFDCE0" w:val="clear"/>
          </w:tcPr>
          <w:p>
            <w:r>
              <w:rPr>
                <w:b/>
                <w:sz w:val="17"/>
              </w:rPr>
              <w:t>9,167</w:t>
            </w:r>
          </w:p>
        </w:tc>
        <w:tc>
          <w:tcPr>
            <w:tcW w:type="dxa" w:w="1440"/>
            <w:shd w:fill="FFDCE0" w:val="clear"/>
          </w:tcPr>
          <w:p>
            <w:r>
              <w:rPr>
                <w:sz w:val="17"/>
              </w:rPr>
              <w:t>10,101</w:t>
            </w:r>
          </w:p>
        </w:tc>
        <w:tc>
          <w:tcPr>
            <w:tcW w:type="dxa" w:w="1440"/>
            <w:shd w:fill="FFDCE0" w:val="clear"/>
          </w:tcPr>
          <w:p>
            <w:r>
              <w:rPr>
                <w:b/>
                <w:color w:val="C00000"/>
                <w:sz w:val="17"/>
              </w:rPr>
              <w:t>-26.6%</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7,983</w:t>
            </w:r>
          </w:p>
        </w:tc>
        <w:tc>
          <w:tcPr>
            <w:tcW w:type="dxa" w:w="1440"/>
            <w:shd w:fill="FFDCE0" w:val="clear"/>
          </w:tcPr>
          <w:p>
            <w:r>
              <w:rPr>
                <w:b/>
                <w:sz w:val="17"/>
              </w:rPr>
              <w:t>8,951</w:t>
            </w:r>
          </w:p>
        </w:tc>
        <w:tc>
          <w:tcPr>
            <w:tcW w:type="dxa" w:w="1440"/>
            <w:shd w:fill="FFDCE0" w:val="clear"/>
          </w:tcPr>
          <w:p>
            <w:r>
              <w:rPr>
                <w:sz w:val="17"/>
              </w:rPr>
              <w:t>9,918</w:t>
            </w:r>
          </w:p>
        </w:tc>
        <w:tc>
          <w:tcPr>
            <w:tcW w:type="dxa" w:w="1440"/>
            <w:shd w:fill="FFDCE0" w:val="clear"/>
          </w:tcPr>
          <w:p>
            <w:r>
              <w:rPr>
                <w:b/>
                <w:color w:val="C00000"/>
                <w:sz w:val="17"/>
              </w:rPr>
              <w:t>-28.4%</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7,760</w:t>
            </w:r>
          </w:p>
        </w:tc>
        <w:tc>
          <w:tcPr>
            <w:tcW w:type="dxa" w:w="1440"/>
            <w:shd w:fill="FFDCE0" w:val="clear"/>
          </w:tcPr>
          <w:p>
            <w:r>
              <w:rPr>
                <w:b/>
                <w:sz w:val="17"/>
              </w:rPr>
              <w:t>8,758</w:t>
            </w:r>
          </w:p>
        </w:tc>
        <w:tc>
          <w:tcPr>
            <w:tcW w:type="dxa" w:w="1440"/>
            <w:shd w:fill="FFDCE0" w:val="clear"/>
          </w:tcPr>
          <w:p>
            <w:r>
              <w:rPr>
                <w:sz w:val="17"/>
              </w:rPr>
              <w:t>9,756</w:t>
            </w:r>
          </w:p>
        </w:tc>
        <w:tc>
          <w:tcPr>
            <w:tcW w:type="dxa" w:w="1440"/>
            <w:shd w:fill="FFDCE0" w:val="clear"/>
          </w:tcPr>
          <w:p>
            <w:r>
              <w:rPr>
                <w:b/>
                <w:color w:val="C00000"/>
                <w:sz w:val="17"/>
              </w:rPr>
              <w:t>-29.9%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01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499,80 milliards FCFA, BOAC se positionne comme l'une des valeurs les plus significatives de la BRVM, reflétant sa stature de banque systémique en Côte d'Ivoire. Le BPA de 888 FCFA indique que chaque action a généré un bénéfice substantiel sur l'exercice. Le PER de 14,1x se situe au-dessus de la moyenne historique de la BRVM (8-12x), signifiant que le marché applique une prime de valorisation, probablement justifiée par la qualité de la rentabilité. Le P/B de 3,92x confirme cette prime, le marché valorisant le titre à près de quatre fois sa valeur comptable, ce qui témoigne d'une forte confiance dans la capacité de la banque à générer de la croissance future. Enfin, l'EV/EBITDA de 27,4x est particulièrement exigeant, indiquant que la valeur totale de l'entreprise (capitaux propres + dettes) est très élevée par rapport à son résultat opérationnel brut, un signal de valorisation tendue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BOAC a enregistré une progression spectaculaire de +48,84%, avec une dernière séance en hausse de +1,63% à 12 495 FCFA. Cette performance s'inscrit dans une tendance haussière marquée, le cours ayant évolué dans une fourchette large de 8 380 FCFA (plus bas) à 13 450 FCFA (plus haut). Les statistiques descriptives révèlent une distribution asymétrique positive (Skewness de 1,221), indiquant que la majorité des séances se sont situées sous la moyenne de 9 799 FCFA, mais avec des pics haussiers prononcés. La médiane (9 145 FCFA) étant inférieure à la moyenne, cela confirme la présence de fortes hausses récentes qui tirent la moyenne vers le haut. L'écart-type de 1 491 FCFA (CV de 15,2%) montre une dispersion modérée des prix. Le kurtosis proche de zéro (0,094) indique une distribution mésokurtique, sans risque de variations extrêmes inhabituelles. La volatilité annualisée de 25,8% classe le titre dans la catégorie des valeurs à volatilité modérée à élevée, ce qui implique des fluctuations de prix significatives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(12 495 FCFA) se positionne au-dessus de la MM20 (12 485,25 FCFA) et nettement au-dessus de la MM50 (10 835,9 FCFA). Cette configuration haussière, où le prix est soutenu par ses moyennes mobiles, confirme la tendance positive de moyen terme. La MM20 qui passe au-dessus de la MM50 indique un momentum haussier solide, justifiant la décision d'achat.</w:t>
      </w:r>
    </w:p>
    <w:p>
      <w:pPr>
        <w:spacing w:after="120" w:line="276" w:lineRule="auto"/>
      </w:pPr>
      <w:r>
        <w:t>**Bandes de Bollinger** : Le cours se situe à 12 495 FCFA, entre la borne inférieure (11 127,45 FCFA) et la borne supérieure (13 843,05 FCFA), mais plus proche de la borne supérieure. Cette position suggère une pression acheteuse persistante sans que le titre ne soit encore en zone de surachat extrême. La décision "Neutre" reflète un équilibre entre le momentum haussier et la proximité de la résistance supérieure.</w:t>
      </w:r>
    </w:p>
    <w:p>
      <w:pPr>
        <w:spacing w:after="120" w:line="276" w:lineRule="auto"/>
      </w:pPr>
      <w:r>
        <w:t>**MACD** : La valeur du MACD (528,74) est inférieure à son signal (685,93), indiquant un ralentissement du momentum haussier. Cette configuration baissière à court terme suggère une possible consolidation ou correction après la forte hausse récente. La décision de "Vente" signale que la dynamique positive s'essouffle, ce qui appelle à la prudence.</w:t>
      </w:r>
    </w:p>
    <w:p>
      <w:pPr>
        <w:spacing w:after="120" w:line="276" w:lineRule="auto"/>
      </w:pPr>
      <w:r>
        <w:t>**RSI** : À 60,17, le RSI se situe en zone neutre, sans signal de surachat (au-dessus de 70) ni de survente (en-dessous de 30). Cette valeur indique qu'il reste de la marge avant que le titre ne soit considéré comme suracheté, mais la dynamique haussière n'est plus aussi vigoureuse qu'auparavant. La décision "Neutre" est cohérente avec cette lecture.</w:t>
      </w:r>
    </w:p>
    <w:p>
      <w:pPr>
        <w:spacing w:after="120" w:line="276" w:lineRule="auto"/>
      </w:pPr>
      <w:r>
        <w:t>**Stochastique** : Le %K (17,32) est inférieur au %D (28,60), mais les deux sont en zone de survente (en-dessous de 20 pour %K). Cette configuration suggère un potentiel de rebond technique à court terme, le titre ayant probablement corrigé récemment. La décision "Achat" indique que les conditions sont réunies pour un éventuel retournement haussier.</w:t>
      </w:r>
    </w:p>
    <w:p>
      <w:pPr>
        <w:spacing w:after="120" w:line="276" w:lineRule="auto"/>
      </w:pPr>
      <w:r>
        <w:t>**Conclusion technique** : Les signaux techniques sont mitigés, avec une opposition entre les moyennes mobiles et le stochastique (acheteurs) d'une part, et le MACD (vendeur) d'autre part. Le RSI et les bandes de Bollinger restent neutres. Cette divergence suggère une phase de consolidation après la forte hausse, avec un risque de correction à court terme mais une tendance de fond qui reste positive.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pour l'exercice 2025 révèlent une banque à la santé financière robuste. Le Produit Net Bancaire (PNB) s'établit à 73,545 milliards FCFA, générant un résultat net de 35,540 milliards FCFA, soit une marge nette exceptionnelle de 48,32%. La rentabilité des fonds propres (ROE) atteint 27,91%, un niveau excellent qui témoigne d'une création de valeur très forte pour les actionnaires, tandis que le ROA de 3,22% confirme une bonne efficacité dans l'utilisation des actifs. Le coefficient d'exploitation de 36,70% est remarquable, indiquant une banque très efficace dans sa gestion des charges. Le total bilan de 1 103,306 milliards FCFA est financé par des dépôts clients massifs (850,548 milliards FCFA), démontrant une forte capacité de collecte. Cependant, le ratio d'autonomie financière de 11,54% (capitaux propres de 127,34 milliards FCFA) reste faible, indiquant une forte dépendance aux dettes. Les rapports trimestriels 2025 montrent une trajectoire contrastée : le T1 2025 affichait une croissance vigoureuse (PNB +4,93%, résultat net +14,59%), mais le S1 2025 a révélé une stagnation du PNB (-0,35%) avec une contraction des crédits (-6,95%). Le T3 2025 confirme cette atonie avec un PNB quasi stable (+0,23% sur 9 mois) et un résultat net en légère progression (+1,29%). Le coût du risque reste élevé (6,67% des charges financières), signalant une qualité de crédit sous surveillance. Les objectifs triennaux 2027 annoncés au S1 2025 visent une croissance du PNB de +11,6% et une progression de la marge nette de +13,8%, soutenue par les activités non bancaires. La banque démontre une solidité fondamentale indéniable, mais fait face à un défi de relance de sa croissance.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BOAC. La valorisation (Partie 0) avec un PER de 14,1x et un EV/EBITDA de 27,4x indique une surévaluation relative par rapport au marché BRVM, le marché ayant déjà intégré les excellentes performances passées. Le comportement du cours (Partie 1) montre une tendance haussière spectaculaire de +48,84% sur 100 jours, avec une volatilité modérée-élevée de 25,8% et une distribution asymétrique positive qui suggère un potentiel de gains résiduels mais aussi un risque de correction. Les signaux techniques (Partie 2) sont divergents : les moyennes mobiles et le stochastique soutiennent la tendance haussière, tandis que le MACD signale un essoufflement du momentum, suggérant une consolidation à court terme. Les fondamentaux (Partie 3) sont solides avec un ROE de 27,91% et un coefficient d'exploitation de 36,70%, mais la croissance s'est nettement ralentie en 2025 (PNB en plateau). Les prédictions IA pour les 10 prochains jours (chute de 12 495 à 10 015 FCFA, soit -19,8%) confirment le risque de correction technique identifié par le MACD. **Recommandation finale : CONSERVER** avec un niveau de confiance **Moyen** et un risque global **Élevé**. L'horizon d'investissement optimal serait le **moyen terme (3-12 mois)** pour laisser le temps à la banque de concrétiser son plan stratégique 2027, en attendant un point d'entrée plus favorable après la correction anticipée.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177.88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6,213 titres</w:t>
            </w:r>
          </w:p>
        </w:tc>
        <w:tc>
          <w:tcPr>
            <w:tcW w:type="dxa" w:w="2268"/>
            <w:shd w:fill="FFF2CC" w:val="clear"/>
          </w:tcPr>
          <w:p>
            <w:r>
              <w:rPr>
                <w:b/>
                <w:color w:val="503200"/>
                <w:sz w:val="16"/>
              </w:rPr>
              <w:t xml:space="preserve">Cours actuel : </w:t>
            </w:r>
            <w:r>
              <w:rPr>
                <w:color w:val="000000"/>
                <w:sz w:val="17"/>
              </w:rPr>
              <w:t>6,480 FCFA</w:t>
            </w:r>
          </w:p>
          <w:p>
            <w:r>
              <w:rPr>
                <w:b/>
                <w:color w:val="503200"/>
                <w:sz w:val="16"/>
              </w:rPr>
              <w:t xml:space="preserve">Var. 100 jours : </w:t>
            </w:r>
            <w:r>
              <w:rPr>
                <w:b/>
                <w:color w:val="007800"/>
                <w:sz w:val="17"/>
              </w:rPr>
              <w:t>+41.02%</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12.07% (Moyenne) — μ=5,179 FCFA, σ=625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β=0.2838 (Défensif) — Cov=0.000010, Var(idx)=0.000037, ρ=0.085,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6,182</w:t>
            </w:r>
          </w:p>
        </w:tc>
        <w:tc>
          <w:tcPr>
            <w:tcW w:type="dxa" w:w="1440"/>
            <w:shd w:fill="FAFAFA" w:val="clear"/>
          </w:tcPr>
          <w:p>
            <w:r>
              <w:rPr>
                <w:b/>
                <w:sz w:val="17"/>
              </w:rPr>
              <w:t>6,375</w:t>
            </w:r>
          </w:p>
        </w:tc>
        <w:tc>
          <w:tcPr>
            <w:tcW w:type="dxa" w:w="1440"/>
            <w:shd w:fill="FAFAFA" w:val="clear"/>
          </w:tcPr>
          <w:p>
            <w:r>
              <w:rPr>
                <w:sz w:val="17"/>
              </w:rPr>
              <w:t>6,569</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5,961</w:t>
            </w:r>
          </w:p>
        </w:tc>
        <w:tc>
          <w:tcPr>
            <w:tcW w:type="dxa" w:w="1440"/>
            <w:shd w:fill="FFDCE0" w:val="clear"/>
          </w:tcPr>
          <w:p>
            <w:r>
              <w:rPr>
                <w:b/>
                <w:sz w:val="17"/>
              </w:rPr>
              <w:t>6,228</w:t>
            </w:r>
          </w:p>
        </w:tc>
        <w:tc>
          <w:tcPr>
            <w:tcW w:type="dxa" w:w="1440"/>
            <w:shd w:fill="FFDCE0" w:val="clear"/>
          </w:tcPr>
          <w:p>
            <w:r>
              <w:rPr>
                <w:sz w:val="17"/>
              </w:rPr>
              <w:t>6,495</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5,767</w:t>
            </w:r>
          </w:p>
        </w:tc>
        <w:tc>
          <w:tcPr>
            <w:tcW w:type="dxa" w:w="1440"/>
            <w:shd w:fill="FFDCE0" w:val="clear"/>
          </w:tcPr>
          <w:p>
            <w:r>
              <w:rPr>
                <w:b/>
                <w:sz w:val="17"/>
              </w:rPr>
              <w:t>6,087</w:t>
            </w:r>
          </w:p>
        </w:tc>
        <w:tc>
          <w:tcPr>
            <w:tcW w:type="dxa" w:w="1440"/>
            <w:shd w:fill="FFDCE0" w:val="clear"/>
          </w:tcPr>
          <w:p>
            <w:r>
              <w:rPr>
                <w:sz w:val="17"/>
              </w:rPr>
              <w:t>6,407</w:t>
            </w:r>
          </w:p>
        </w:tc>
        <w:tc>
          <w:tcPr>
            <w:tcW w:type="dxa" w:w="1440"/>
            <w:shd w:fill="FFDCE0" w:val="clear"/>
          </w:tcPr>
          <w:p>
            <w:r>
              <w:rPr>
                <w:b/>
                <w:color w:val="C00000"/>
                <w:sz w:val="17"/>
              </w:rPr>
              <w:t>-6.1%</w:t>
            </w:r>
          </w:p>
        </w:tc>
      </w:tr>
      <w:tr>
        <w:tc>
          <w:tcPr>
            <w:tcW w:type="dxa" w:w="1440"/>
            <w:shd w:fill="FFDCE0" w:val="clear"/>
          </w:tcPr>
          <w:p>
            <w:r>
              <w:rPr>
                <w:sz w:val="17"/>
              </w:rPr>
              <w:t>J+4  Moyenne</w:t>
            </w:r>
          </w:p>
        </w:tc>
        <w:tc>
          <w:tcPr>
            <w:tcW w:type="dxa" w:w="1440"/>
            <w:shd w:fill="FFDCE0" w:val="clear"/>
          </w:tcPr>
          <w:p>
            <w:r>
              <w:rPr>
                <w:sz w:val="17"/>
              </w:rPr>
              <w:t>2026-09-07</w:t>
            </w:r>
          </w:p>
        </w:tc>
        <w:tc>
          <w:tcPr>
            <w:tcW w:type="dxa" w:w="1440"/>
            <w:shd w:fill="FFDCE0" w:val="clear"/>
          </w:tcPr>
          <w:p>
            <w:r>
              <w:rPr>
                <w:sz w:val="17"/>
              </w:rPr>
              <w:t>5,603</w:t>
            </w:r>
          </w:p>
        </w:tc>
        <w:tc>
          <w:tcPr>
            <w:tcW w:type="dxa" w:w="1440"/>
            <w:shd w:fill="FFDCE0" w:val="clear"/>
          </w:tcPr>
          <w:p>
            <w:r>
              <w:rPr>
                <w:b/>
                <w:sz w:val="17"/>
              </w:rPr>
              <w:t>5,965</w:t>
            </w:r>
          </w:p>
        </w:tc>
        <w:tc>
          <w:tcPr>
            <w:tcW w:type="dxa" w:w="1440"/>
            <w:shd w:fill="FFDCE0" w:val="clear"/>
          </w:tcPr>
          <w:p>
            <w:r>
              <w:rPr>
                <w:sz w:val="17"/>
              </w:rPr>
              <w:t>6,327</w:t>
            </w:r>
          </w:p>
        </w:tc>
        <w:tc>
          <w:tcPr>
            <w:tcW w:type="dxa" w:w="1440"/>
            <w:shd w:fill="FFDCE0" w:val="clear"/>
          </w:tcPr>
          <w:p>
            <w:r>
              <w:rPr>
                <w:b/>
                <w:color w:val="C00000"/>
                <w:sz w:val="17"/>
              </w:rPr>
              <w:t>-8.0%</w:t>
            </w:r>
          </w:p>
        </w:tc>
      </w:tr>
      <w:tr>
        <w:tc>
          <w:tcPr>
            <w:tcW w:type="dxa" w:w="1440"/>
            <w:shd w:fill="FFDCE0" w:val="clear"/>
          </w:tcPr>
          <w:p>
            <w:r>
              <w:rPr>
                <w:sz w:val="17"/>
              </w:rPr>
              <w:t>J+5  Moyenne</w:t>
            </w:r>
          </w:p>
        </w:tc>
        <w:tc>
          <w:tcPr>
            <w:tcW w:type="dxa" w:w="1440"/>
            <w:shd w:fill="FFDCE0" w:val="clear"/>
          </w:tcPr>
          <w:p>
            <w:r>
              <w:rPr>
                <w:sz w:val="17"/>
              </w:rPr>
              <w:t>2026-09-08</w:t>
            </w:r>
          </w:p>
        </w:tc>
        <w:tc>
          <w:tcPr>
            <w:tcW w:type="dxa" w:w="1440"/>
            <w:shd w:fill="FFDCE0" w:val="clear"/>
          </w:tcPr>
          <w:p>
            <w:r>
              <w:rPr>
                <w:sz w:val="17"/>
              </w:rPr>
              <w:t>5,462</w:t>
            </w:r>
          </w:p>
        </w:tc>
        <w:tc>
          <w:tcPr>
            <w:tcW w:type="dxa" w:w="1440"/>
            <w:shd w:fill="FFDCE0" w:val="clear"/>
          </w:tcPr>
          <w:p>
            <w:r>
              <w:rPr>
                <w:b/>
                <w:sz w:val="17"/>
              </w:rPr>
              <w:t>5,859</w:t>
            </w:r>
          </w:p>
        </w:tc>
        <w:tc>
          <w:tcPr>
            <w:tcW w:type="dxa" w:w="1440"/>
            <w:shd w:fill="FFDCE0" w:val="clear"/>
          </w:tcPr>
          <w:p>
            <w:r>
              <w:rPr>
                <w:sz w:val="17"/>
              </w:rPr>
              <w:t>6,257</w:t>
            </w:r>
          </w:p>
        </w:tc>
        <w:tc>
          <w:tcPr>
            <w:tcW w:type="dxa" w:w="1440"/>
            <w:shd w:fill="FFDCE0" w:val="clear"/>
          </w:tcPr>
          <w:p>
            <w:r>
              <w:rPr>
                <w:b/>
                <w:color w:val="C00000"/>
                <w:sz w:val="17"/>
              </w:rPr>
              <w:t>-9.6%</w:t>
            </w:r>
          </w:p>
        </w:tc>
      </w:tr>
      <w:tr>
        <w:tc>
          <w:tcPr>
            <w:tcW w:type="dxa" w:w="1440"/>
            <w:shd w:fill="FFDCE0" w:val="clear"/>
          </w:tcPr>
          <w:p>
            <w:r>
              <w:rPr>
                <w:sz w:val="17"/>
              </w:rPr>
              <w:t>J+6  Moyenne</w:t>
            </w:r>
          </w:p>
        </w:tc>
        <w:tc>
          <w:tcPr>
            <w:tcW w:type="dxa" w:w="1440"/>
            <w:shd w:fill="FFDCE0" w:val="clear"/>
          </w:tcPr>
          <w:p>
            <w:r>
              <w:rPr>
                <w:sz w:val="17"/>
              </w:rPr>
              <w:t>2026-09-09</w:t>
            </w:r>
          </w:p>
        </w:tc>
        <w:tc>
          <w:tcPr>
            <w:tcW w:type="dxa" w:w="1440"/>
            <w:shd w:fill="FFDCE0" w:val="clear"/>
          </w:tcPr>
          <w:p>
            <w:r>
              <w:rPr>
                <w:sz w:val="17"/>
              </w:rPr>
              <w:t>5,337</w:t>
            </w:r>
          </w:p>
        </w:tc>
        <w:tc>
          <w:tcPr>
            <w:tcW w:type="dxa" w:w="1440"/>
            <w:shd w:fill="FFDCE0" w:val="clear"/>
          </w:tcPr>
          <w:p>
            <w:r>
              <w:rPr>
                <w:b/>
                <w:sz w:val="17"/>
              </w:rPr>
              <w:t>5,765</w:t>
            </w:r>
          </w:p>
        </w:tc>
        <w:tc>
          <w:tcPr>
            <w:tcW w:type="dxa" w:w="1440"/>
            <w:shd w:fill="FFDCE0" w:val="clear"/>
          </w:tcPr>
          <w:p>
            <w:r>
              <w:rPr>
                <w:sz w:val="17"/>
              </w:rPr>
              <w:t>6,194</w:t>
            </w:r>
          </w:p>
        </w:tc>
        <w:tc>
          <w:tcPr>
            <w:tcW w:type="dxa" w:w="1440"/>
            <w:shd w:fill="FFDCE0" w:val="clear"/>
          </w:tcPr>
          <w:p>
            <w:r>
              <w:rPr>
                <w:b/>
                <w:color w:val="C00000"/>
                <w:sz w:val="17"/>
              </w:rPr>
              <w:t>-11.0%</w:t>
            </w:r>
          </w:p>
        </w:tc>
      </w:tr>
      <w:tr>
        <w:tc>
          <w:tcPr>
            <w:tcW w:type="dxa" w:w="1440"/>
            <w:shd w:fill="FFDCE0" w:val="clear"/>
          </w:tcPr>
          <w:p>
            <w:r>
              <w:rPr>
                <w:sz w:val="17"/>
              </w:rPr>
              <w:t>J+7  Moyenne</w:t>
            </w:r>
          </w:p>
        </w:tc>
        <w:tc>
          <w:tcPr>
            <w:tcW w:type="dxa" w:w="1440"/>
            <w:shd w:fill="FFDCE0" w:val="clear"/>
          </w:tcPr>
          <w:p>
            <w:r>
              <w:rPr>
                <w:sz w:val="17"/>
              </w:rPr>
              <w:t>2026-09-10</w:t>
            </w:r>
          </w:p>
        </w:tc>
        <w:tc>
          <w:tcPr>
            <w:tcW w:type="dxa" w:w="1440"/>
            <w:shd w:fill="FFDCE0" w:val="clear"/>
          </w:tcPr>
          <w:p>
            <w:r>
              <w:rPr>
                <w:sz w:val="17"/>
              </w:rPr>
              <w:t>5,223</w:t>
            </w:r>
          </w:p>
        </w:tc>
        <w:tc>
          <w:tcPr>
            <w:tcW w:type="dxa" w:w="1440"/>
            <w:shd w:fill="FFDCE0" w:val="clear"/>
          </w:tcPr>
          <w:p>
            <w:r>
              <w:rPr>
                <w:b/>
                <w:sz w:val="17"/>
              </w:rPr>
              <w:t>5,679</w:t>
            </w:r>
          </w:p>
        </w:tc>
        <w:tc>
          <w:tcPr>
            <w:tcW w:type="dxa" w:w="1440"/>
            <w:shd w:fill="FFDCE0" w:val="clear"/>
          </w:tcPr>
          <w:p>
            <w:r>
              <w:rPr>
                <w:sz w:val="17"/>
              </w:rPr>
              <w:t>6,135</w:t>
            </w:r>
          </w:p>
        </w:tc>
        <w:tc>
          <w:tcPr>
            <w:tcW w:type="dxa" w:w="1440"/>
            <w:shd w:fill="FFDCE0" w:val="clear"/>
          </w:tcPr>
          <w:p>
            <w:r>
              <w:rPr>
                <w:b/>
                <w:color w:val="C00000"/>
                <w:sz w:val="17"/>
              </w:rPr>
              <w:t>-12.4%</w:t>
            </w:r>
          </w:p>
        </w:tc>
      </w:tr>
      <w:tr>
        <w:tc>
          <w:tcPr>
            <w:tcW w:type="dxa" w:w="1440"/>
            <w:shd w:fill="FFDCE0" w:val="clear"/>
          </w:tcPr>
          <w:p>
            <w:r>
              <w:rPr>
                <w:sz w:val="17"/>
              </w:rPr>
              <w:t>J+8  Moyenne</w:t>
            </w:r>
          </w:p>
        </w:tc>
        <w:tc>
          <w:tcPr>
            <w:tcW w:type="dxa" w:w="1440"/>
            <w:shd w:fill="FFDCE0" w:val="clear"/>
          </w:tcPr>
          <w:p>
            <w:r>
              <w:rPr>
                <w:sz w:val="17"/>
              </w:rPr>
              <w:t>2026-09-11</w:t>
            </w:r>
          </w:p>
        </w:tc>
        <w:tc>
          <w:tcPr>
            <w:tcW w:type="dxa" w:w="1440"/>
            <w:shd w:fill="FFDCE0" w:val="clear"/>
          </w:tcPr>
          <w:p>
            <w:r>
              <w:rPr>
                <w:sz w:val="17"/>
              </w:rPr>
              <w:t>5,118</w:t>
            </w:r>
          </w:p>
        </w:tc>
        <w:tc>
          <w:tcPr>
            <w:tcW w:type="dxa" w:w="1440"/>
            <w:shd w:fill="FFDCE0" w:val="clear"/>
          </w:tcPr>
          <w:p>
            <w:r>
              <w:rPr>
                <w:b/>
                <w:sz w:val="17"/>
              </w:rPr>
              <w:t>5,599</w:t>
            </w:r>
          </w:p>
        </w:tc>
        <w:tc>
          <w:tcPr>
            <w:tcW w:type="dxa" w:w="1440"/>
            <w:shd w:fill="FFDCE0" w:val="clear"/>
          </w:tcPr>
          <w:p>
            <w:r>
              <w:rPr>
                <w:sz w:val="17"/>
              </w:rPr>
              <w:t>6,079</w:t>
            </w:r>
          </w:p>
        </w:tc>
        <w:tc>
          <w:tcPr>
            <w:tcW w:type="dxa" w:w="1440"/>
            <w:shd w:fill="FFDCE0" w:val="clear"/>
          </w:tcPr>
          <w:p>
            <w:r>
              <w:rPr>
                <w:b/>
                <w:color w:val="C00000"/>
                <w:sz w:val="17"/>
              </w:rPr>
              <w:t>-13.6%</w:t>
            </w:r>
          </w:p>
        </w:tc>
      </w:tr>
      <w:tr>
        <w:tc>
          <w:tcPr>
            <w:tcW w:type="dxa" w:w="1440"/>
            <w:shd w:fill="FFDCE0" w:val="clear"/>
          </w:tcPr>
          <w:p>
            <w:r>
              <w:rPr>
                <w:sz w:val="17"/>
              </w:rPr>
              <w:t>J+9  Moyenne</w:t>
            </w:r>
          </w:p>
        </w:tc>
        <w:tc>
          <w:tcPr>
            <w:tcW w:type="dxa" w:w="1440"/>
            <w:shd w:fill="FFDCE0" w:val="clear"/>
          </w:tcPr>
          <w:p>
            <w:r>
              <w:rPr>
                <w:sz w:val="17"/>
              </w:rPr>
              <w:t>2026-09-14</w:t>
            </w:r>
          </w:p>
        </w:tc>
        <w:tc>
          <w:tcPr>
            <w:tcW w:type="dxa" w:w="1440"/>
            <w:shd w:fill="FFDCE0" w:val="clear"/>
          </w:tcPr>
          <w:p>
            <w:r>
              <w:rPr>
                <w:sz w:val="17"/>
              </w:rPr>
              <w:t>5,021</w:t>
            </w:r>
          </w:p>
        </w:tc>
        <w:tc>
          <w:tcPr>
            <w:tcW w:type="dxa" w:w="1440"/>
            <w:shd w:fill="FFDCE0" w:val="clear"/>
          </w:tcPr>
          <w:p>
            <w:r>
              <w:rPr>
                <w:b/>
                <w:sz w:val="17"/>
              </w:rPr>
              <w:t>5,524</w:t>
            </w:r>
          </w:p>
        </w:tc>
        <w:tc>
          <w:tcPr>
            <w:tcW w:type="dxa" w:w="1440"/>
            <w:shd w:fill="FFDCE0" w:val="clear"/>
          </w:tcPr>
          <w:p>
            <w:r>
              <w:rPr>
                <w:sz w:val="17"/>
              </w:rPr>
              <w:t>6,027</w:t>
            </w:r>
          </w:p>
        </w:tc>
        <w:tc>
          <w:tcPr>
            <w:tcW w:type="dxa" w:w="1440"/>
            <w:shd w:fill="FFDCE0" w:val="clear"/>
          </w:tcPr>
          <w:p>
            <w:r>
              <w:rPr>
                <w:b/>
                <w:color w:val="C00000"/>
                <w:sz w:val="17"/>
              </w:rPr>
              <w:t>-14.8%</w:t>
            </w:r>
          </w:p>
        </w:tc>
      </w:tr>
      <w:tr>
        <w:tc>
          <w:tcPr>
            <w:tcW w:type="dxa" w:w="1440"/>
            <w:shd w:fill="FFDCE0" w:val="clear"/>
          </w:tcPr>
          <w:p>
            <w:r>
              <w:rPr>
                <w:sz w:val="17"/>
              </w:rPr>
              <w:t>J+10  Moyenne</w:t>
            </w:r>
          </w:p>
        </w:tc>
        <w:tc>
          <w:tcPr>
            <w:tcW w:type="dxa" w:w="1440"/>
            <w:shd w:fill="FFDCE0" w:val="clear"/>
          </w:tcPr>
          <w:p>
            <w:r>
              <w:rPr>
                <w:sz w:val="17"/>
              </w:rPr>
              <w:t>2026-09-15</w:t>
            </w:r>
          </w:p>
        </w:tc>
        <w:tc>
          <w:tcPr>
            <w:tcW w:type="dxa" w:w="1440"/>
            <w:shd w:fill="FFDCE0" w:val="clear"/>
          </w:tcPr>
          <w:p>
            <w:r>
              <w:rPr>
                <w:sz w:val="17"/>
              </w:rPr>
              <w:t>4,930</w:t>
            </w:r>
          </w:p>
        </w:tc>
        <w:tc>
          <w:tcPr>
            <w:tcW w:type="dxa" w:w="1440"/>
            <w:shd w:fill="FFDCE0" w:val="clear"/>
          </w:tcPr>
          <w:p>
            <w:r>
              <w:rPr>
                <w:b/>
                <w:sz w:val="17"/>
              </w:rPr>
              <w:t>5,454</w:t>
            </w:r>
          </w:p>
        </w:tc>
        <w:tc>
          <w:tcPr>
            <w:tcW w:type="dxa" w:w="1440"/>
            <w:shd w:fill="FFDCE0" w:val="clear"/>
          </w:tcPr>
          <w:p>
            <w:r>
              <w:rPr>
                <w:sz w:val="17"/>
              </w:rPr>
              <w:t>5,977</w:t>
            </w:r>
          </w:p>
        </w:tc>
        <w:tc>
          <w:tcPr>
            <w:tcW w:type="dxa" w:w="1440"/>
            <w:shd w:fill="FFDCE0" w:val="clear"/>
          </w:tcPr>
          <w:p>
            <w:r>
              <w:rPr>
                <w:b/>
                <w:color w:val="C00000"/>
                <w:sz w:val="17"/>
              </w:rPr>
              <w:t>-15.8%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177,88 milliards FCFA, ce qui la positionne parmi les valeurs moyennes du compartiment bancaire de la BRVM. Avec un BPA de 404 FCFA, le PER de 16,1x se situe nettement au-dessus de la moyenne historique du marché (~8-12x), indiquant que les investisseurs acceptent de payer une prime substantielle pour les bénéfices de la banque, probablement en raison de la forte dynamique de croissance observée. Le P/B de 3,57x confirme cette prime, le marché valorisant le titre bien au-delà de sa valeur comptable, ce qui traduit des attentes de création de valeur future significative. L'EV/EBITDA de 8,5x, dans la fourchette raisonnable de 5-10x, suggère que la valorisation opérationnelle reste mesurée par rapport à la capacité bénéficiaire brute. Cette combinaison de ratios indique que le marché intègre déjà une trajectoire de croissance soutenue, avec une prime qui pourrait se justifier si les performances financières continuent de s'améliorer.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BOAM a enregistré une progression spectaculaire de +41,02%, passant d'un plus bas de 4 425 FCFA à un plus haut de 6 700 FCFA, avec un cours actuel de 6 480 FCFA. La séance de la veille s'est soldée par une stagnation (0,00%), marquant une pause après cette forte ascension. La moyenne du cours sur la période (5 179 FCFA) est nettement supérieure à la médiane (4 952 FCFA), et l'écart positif entre ces deux indicateurs, combiné à un skewness de 0,820, révèle une asymétrie positive : le titre a passé davantage de journées sous sa moyenne, mais les fortes hausses récentes ont tiré la moyenne vers le haut. L'écart-type de 628 FCFA (CV=12,1%) indique une dispersion modérée des prix autour de la moyenne, tandis que le kurtosis de -0,511 (mésokurtique) suggère l'absence de mouvements extrêmes imprévus, avec une distribution proche de la normale. La volatilité annualisée de 32,0% classe le titre dans la catégorie élevée (&gt;30%), reflétant un risque de marché substantiel, cohérent avec l'amplitude de la tendance haussière observée.</w:t>
      </w:r>
    </w:p>
    <w:p>
      <w:pPr>
        <w:spacing w:after="120" w:line="276" w:lineRule="auto" w:before="240"/>
      </w:pPr>
      <w:r>
        <w:rPr>
          <w:b/>
          <w:color w:val="003366"/>
          <w:sz w:val="24"/>
        </w:rPr>
        <w:t>**PARTIE 2 : ANALYSE TECHNIQUE DÉTAILLÉE**</w:t>
      </w:r>
    </w:p>
    <w:p>
      <w:pPr>
        <w:spacing w:after="120" w:line="276" w:lineRule="auto"/>
      </w:pPr>
      <w:r>
        <w:t>**Moyennes Mobiles** : Le cours actuel de 6 480 FCFA évolue nettement au-dessus de la MM20 (6 151,25 FCFA) et de la MM50 (5 649,6 FCFA), confirmant une dynamique haussière solide à court et moyen terme. L'écart croissant entre les deux moyennes mobiles témoigne d'une accélération du mouvement ascendant. La décision d'Achat est justifiée par cette configuration positive, le titre évoluant dans une tendance clairement haussière.</w:t>
      </w:r>
    </w:p>
    <w:p>
      <w:pPr>
        <w:spacing w:after="120" w:line="276" w:lineRule="auto"/>
      </w:pPr>
      <w:r>
        <w:t>**Bandes de Bollinger** : Le prix se situe à 6 480 FCFA, dans la partie supérieure de l'enveloppe délimitée par la borne haute à 6 908 FCFA et la borne basse à 5 394 FCFA. La position du cours proche de la borne supérieure indique une pression acheteuse persistante, mais sans atteindre des niveaux extrêmes de surachat. La décision Neutre reflète un équilibre entre la force de la tendance et le risque de consolidation technique.</w:t>
      </w:r>
    </w:p>
    <w:p>
      <w:pPr>
        <w:spacing w:after="120" w:line="276" w:lineRule="auto"/>
      </w:pPr>
      <w:r>
        <w:t>**MACD** : La valeur du MACD (272,365) est supérieure à sa ligne de signal (264,793), avec un écart positif de 7,57 points. Cette configuration haussière confirme la vigueur du momentum, bien que l'écart relativement modeste suggère une possible stabilisation de la dynamique. La décision d'Achat est cohérente avec la poursuite de la tendance positive à moyen terme.</w:t>
      </w:r>
    </w:p>
    <w:p>
      <w:pPr>
        <w:spacing w:after="120" w:line="276" w:lineRule="auto"/>
      </w:pPr>
      <w:r>
        <w:t>**RSI** : À 76,923, le RSI se trouve en zone de surachat (&gt;70), signalant que le titre a connu une progression trop rapide et qu'un repli technique est probable à court terme. La décision de Vente émise par cet indicateur contraste avec les signaux positifs des moyennes mobiles et du MACD, suggérant une prudence accrue pour les nouveaux achats à ces niveaux de prix.</w:t>
      </w:r>
    </w:p>
    <w:p>
      <w:pPr>
        <w:spacing w:after="120" w:line="276" w:lineRule="auto"/>
      </w:pPr>
      <w:r>
        <w:t>**Stochastique** : Le %K (66,154) est inférieur au %D (73,257), indiquant un croisement baissier potentiel en cours de formation. Cette configuration, bien que les deux lignes restent au-dessus de 50, suggère un affaiblissement du momentum haussier à très court terme. La décision Neutre reflète cette ambiguïté entre la tendance de fond positive et les signaux de retournement naissants.</w:t>
      </w:r>
    </w:p>
    <w:p>
      <w:pPr>
        <w:spacing w:after="120" w:line="276" w:lineRule="auto"/>
      </w:pPr>
      <w:r>
        <w:t>**Conclusion technique** : La tendance de fond reste résolument haussière, portée par des moyennes mobiles orientées à la hausse et un MACD positif. Cependant, la convergence des indicateurs de surachat (RSI à 76,9) et le croisement baissier du stochastique signalent un essoufflement probable à court terme. Un scénario de consolidation horizontale ou de léger repli technique semble le plus probable avant la poursuite éventuelle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BOAM révèlent une banque en excellente santé financière. Le Produit Net Bancaire s'établit à 37,996 milliards FCFA, en croissance de 5,08%, avec un résultat net de 11,081 milliards FCFA, démontrant une forte capacité bénéficiaire. La rentabilité des fonds propres (ROE) atteint 22,24%, un niveau excellent (&gt;15%), et le ROA de 1,87% confirme une utilisation efficace des actifs. Le coefficient d'exploitation de 63,14% reste légèrement au-dessus du seuil d'efficacité de 60%, mais s'améliore progressivement. Le coût du risque, mesuré à 43,39% des charges financières, demeure élevé, indiquant un portefeuille de crédits encore exposé à des défauts, bien que les rapports trimestriels montrent une amélioration notable. Les dépôts clientèle (502,890 milliards FCFA) excèdent largement les créances sur la clientèle (253,648 milliards FCFA), conférant à la banque une position de liquidité confortable. Les rapports trimestriels 2025 confirment cette trajectoire positive : le T1 affiche un résultat net en hausse de 91,18% à 3,021 milliards FCFA, le S1 progresse de 28,8% à 6,21 milliards, et le T3 cumulé atteint 9,16 milliards (+26,2%). Sur la base de ces performances trimestrielles, on estime que le résultat net annuel 2025 pourrait atteindre environ 12 milliards FCFA, dépassant les 11,081 milliards déjà enregistrés dans les données structurées. La banque démontre une résilience remarquable dans un environnement malien difficile, avec une amélioration continue de la qualité de ses actifs et une maîtrise efficace de ses charges opérationnelles.</w:t>
      </w:r>
    </w:p>
    <w:p>
      <w:pPr>
        <w:spacing w:after="120" w:line="276" w:lineRule="auto" w:before="240"/>
      </w:pPr>
      <w:r>
        <w:rPr>
          <w:b/>
          <w:color w:val="003366"/>
          <w:sz w:val="24"/>
        </w:rPr>
        <w:t>**PARTIE 4 : CONCLUSION D'INVESTISSEMENT**</w:t>
      </w:r>
    </w:p>
    <w:p>
      <w:pPr>
        <w:spacing w:after="120" w:line="276" w:lineRule="auto"/>
      </w:pPr>
      <w:r>
        <w:t>La valorisation de BOAM (PER 16,1x, P/B 3,57x) intègre déjà une prime de croissance substantielle, mais les fondamentaux exceptionnels de la banque (ROE de 22,24%, croissance du PNB de 5,08%, résultat net en forte progression) justifient partiellement cette prime. Le comportement du cours sur 100 jours (+41,02%) avec une volatilité élevée (32%) reflète un enthousiasme marqué des investisseurs, mais les statistiques descriptives (skewness positif, kurtosis mésokurtique) suggèrent une distribution des rendements relativement normale, sans risque extrême. Les signaux techniques sont partagés : la tendance de fond reste haussière (MM, MACD), mais les indicateurs de surachat (RSI à 76,9, stochastique en croisement baissier) appellent à la prudence à court terme. Les fondamentaux solides et les perspectives de croissance soutenue, confirmées par les rapports trimestriels 2025, contrastent avec les prédictions IA qui anticipent un repli progressif du cours vers 5 859 FCFA sur 10 séances, suggérant une correction technique après la forte hausse récente. Cette divergence entre les signaux techniques de court terme et les fondamentaux solides justifie une recommandation de **CONSERVER** avec un niveau de confiance **Moyen**. Le risque global est **Élevé** en raison de la volatilité du titre et de l'environnement macroéconomique malien. L'horizon d'investissement optimal serait le **moyen terme (3-12 mois)**, permettant d'absorber une éventuelle correction technique avant de bénéficier de la poursuite de la croissance fondamentale de la banque.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113.46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10,425 titres</w:t>
            </w:r>
          </w:p>
        </w:tc>
        <w:tc>
          <w:tcPr>
            <w:tcW w:type="dxa" w:w="2268"/>
            <w:shd w:fill="FFF2CC" w:val="clear"/>
          </w:tcPr>
          <w:p>
            <w:r>
              <w:rPr>
                <w:b/>
                <w:color w:val="503200"/>
                <w:sz w:val="16"/>
              </w:rPr>
              <w:t xml:space="preserve">Cours actuel : </w:t>
            </w:r>
            <w:r>
              <w:rPr>
                <w:color w:val="000000"/>
                <w:sz w:val="17"/>
              </w:rPr>
              <w:t>5,455 FCFA</w:t>
            </w:r>
          </w:p>
          <w:p>
            <w:r>
              <w:rPr>
                <w:b/>
                <w:color w:val="503200"/>
                <w:sz w:val="16"/>
              </w:rPr>
              <w:t xml:space="preserve">Var. 100 jours : </w:t>
            </w:r>
            <w:r>
              <w:rPr>
                <w:b/>
                <w:color w:val="007800"/>
                <w:sz w:val="17"/>
              </w:rPr>
              <w:t>+94.13%</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39.4%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19.88% (Élevée) — μ=4,205 FCFA, σ=836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β=0.2818 (Défensif) — Cov=0.000010, Var(idx)=0.000037, ρ=0.069,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2026-09-02</w:t>
            </w:r>
          </w:p>
        </w:tc>
        <w:tc>
          <w:tcPr>
            <w:tcW w:type="dxa" w:w="1440"/>
            <w:shd w:fill="FAFAFA" w:val="clear"/>
          </w:tcPr>
          <w:p>
            <w:r>
              <w:rPr>
                <w:sz w:val="17"/>
              </w:rPr>
              <w:t>5,293</w:t>
            </w:r>
          </w:p>
        </w:tc>
        <w:tc>
          <w:tcPr>
            <w:tcW w:type="dxa" w:w="1440"/>
            <w:shd w:fill="FAFAFA" w:val="clear"/>
          </w:tcPr>
          <w:p>
            <w:r>
              <w:rPr>
                <w:b/>
                <w:sz w:val="17"/>
              </w:rPr>
              <w:t>5,452</w:t>
            </w:r>
          </w:p>
        </w:tc>
        <w:tc>
          <w:tcPr>
            <w:tcW w:type="dxa" w:w="1440"/>
            <w:shd w:fill="FAFAFA" w:val="clear"/>
          </w:tcPr>
          <w:p>
            <w:r>
              <w:rPr>
                <w:sz w:val="17"/>
              </w:rPr>
              <w:t>5,611</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2026-09-03</w:t>
            </w:r>
          </w:p>
        </w:tc>
        <w:tc>
          <w:tcPr>
            <w:tcW w:type="dxa" w:w="1440"/>
            <w:shd w:fill="FAFAFA" w:val="clear"/>
          </w:tcPr>
          <w:p>
            <w:r>
              <w:rPr>
                <w:sz w:val="17"/>
              </w:rPr>
              <w:t>5,211</w:t>
            </w:r>
          </w:p>
        </w:tc>
        <w:tc>
          <w:tcPr>
            <w:tcW w:type="dxa" w:w="1440"/>
            <w:shd w:fill="FAFAFA" w:val="clear"/>
          </w:tcPr>
          <w:p>
            <w:r>
              <w:rPr>
                <w:b/>
                <w:sz w:val="17"/>
              </w:rPr>
              <w:t>5,435</w:t>
            </w:r>
          </w:p>
        </w:tc>
        <w:tc>
          <w:tcPr>
            <w:tcW w:type="dxa" w:w="1440"/>
            <w:shd w:fill="FAFAFA" w:val="clear"/>
          </w:tcPr>
          <w:p>
            <w:r>
              <w:rPr>
                <w:sz w:val="17"/>
              </w:rPr>
              <w:t>5,658</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2026-09-04</w:t>
            </w:r>
          </w:p>
        </w:tc>
        <w:tc>
          <w:tcPr>
            <w:tcW w:type="dxa" w:w="1440"/>
            <w:shd w:fill="FAFAFA" w:val="clear"/>
          </w:tcPr>
          <w:p>
            <w:r>
              <w:rPr>
                <w:sz w:val="17"/>
              </w:rPr>
              <w:t>5,147</w:t>
            </w:r>
          </w:p>
        </w:tc>
        <w:tc>
          <w:tcPr>
            <w:tcW w:type="dxa" w:w="1440"/>
            <w:shd w:fill="FAFAFA" w:val="clear"/>
          </w:tcPr>
          <w:p>
            <w:r>
              <w:rPr>
                <w:b/>
                <w:sz w:val="17"/>
              </w:rPr>
              <w:t>5,420</w:t>
            </w:r>
          </w:p>
        </w:tc>
        <w:tc>
          <w:tcPr>
            <w:tcW w:type="dxa" w:w="1440"/>
            <w:shd w:fill="FAFAFA" w:val="clear"/>
          </w:tcPr>
          <w:p>
            <w:r>
              <w:rPr>
                <w:sz w:val="17"/>
              </w:rPr>
              <w:t>5,693</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2026-09-07</w:t>
            </w:r>
          </w:p>
        </w:tc>
        <w:tc>
          <w:tcPr>
            <w:tcW w:type="dxa" w:w="1440"/>
            <w:shd w:fill="FAFAFA" w:val="clear"/>
          </w:tcPr>
          <w:p>
            <w:r>
              <w:rPr>
                <w:sz w:val="17"/>
              </w:rPr>
              <w:t>5,091</w:t>
            </w:r>
          </w:p>
        </w:tc>
        <w:tc>
          <w:tcPr>
            <w:tcW w:type="dxa" w:w="1440"/>
            <w:shd w:fill="FAFAFA" w:val="clear"/>
          </w:tcPr>
          <w:p>
            <w:r>
              <w:rPr>
                <w:b/>
                <w:sz w:val="17"/>
              </w:rPr>
              <w:t>5,406</w:t>
            </w:r>
          </w:p>
        </w:tc>
        <w:tc>
          <w:tcPr>
            <w:tcW w:type="dxa" w:w="1440"/>
            <w:shd w:fill="FAFAFA" w:val="clear"/>
          </w:tcPr>
          <w:p>
            <w:r>
              <w:rPr>
                <w:sz w:val="17"/>
              </w:rPr>
              <w:t>5,721</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2026-09-08</w:t>
            </w:r>
          </w:p>
        </w:tc>
        <w:tc>
          <w:tcPr>
            <w:tcW w:type="dxa" w:w="1440"/>
            <w:shd w:fill="FAFAFA" w:val="clear"/>
          </w:tcPr>
          <w:p>
            <w:r>
              <w:rPr>
                <w:sz w:val="17"/>
              </w:rPr>
              <w:t>5,041</w:t>
            </w:r>
          </w:p>
        </w:tc>
        <w:tc>
          <w:tcPr>
            <w:tcW w:type="dxa" w:w="1440"/>
            <w:shd w:fill="FAFAFA" w:val="clear"/>
          </w:tcPr>
          <w:p>
            <w:r>
              <w:rPr>
                <w:b/>
                <w:sz w:val="17"/>
              </w:rPr>
              <w:t>5,392</w:t>
            </w:r>
          </w:p>
        </w:tc>
        <w:tc>
          <w:tcPr>
            <w:tcW w:type="dxa" w:w="1440"/>
            <w:shd w:fill="FAFAFA" w:val="clear"/>
          </w:tcPr>
          <w:p>
            <w:r>
              <w:rPr>
                <w:sz w:val="17"/>
              </w:rPr>
              <w:t>5,743</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2026-09-09</w:t>
            </w:r>
          </w:p>
        </w:tc>
        <w:tc>
          <w:tcPr>
            <w:tcW w:type="dxa" w:w="1440"/>
            <w:shd w:fill="FAFAFA" w:val="clear"/>
          </w:tcPr>
          <w:p>
            <w:r>
              <w:rPr>
                <w:sz w:val="17"/>
              </w:rPr>
              <w:t>4,995</w:t>
            </w:r>
          </w:p>
        </w:tc>
        <w:tc>
          <w:tcPr>
            <w:tcW w:type="dxa" w:w="1440"/>
            <w:shd w:fill="FAFAFA" w:val="clear"/>
          </w:tcPr>
          <w:p>
            <w:r>
              <w:rPr>
                <w:b/>
                <w:sz w:val="17"/>
              </w:rPr>
              <w:t>5,379</w:t>
            </w:r>
          </w:p>
        </w:tc>
        <w:tc>
          <w:tcPr>
            <w:tcW w:type="dxa" w:w="1440"/>
            <w:shd w:fill="FAFAFA" w:val="clear"/>
          </w:tcPr>
          <w:p>
            <w:r>
              <w:rPr>
                <w:sz w:val="17"/>
              </w:rPr>
              <w:t>5,762</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2026-09-10</w:t>
            </w:r>
          </w:p>
        </w:tc>
        <w:tc>
          <w:tcPr>
            <w:tcW w:type="dxa" w:w="1440"/>
            <w:shd w:fill="FAFAFA" w:val="clear"/>
          </w:tcPr>
          <w:p>
            <w:r>
              <w:rPr>
                <w:sz w:val="17"/>
              </w:rPr>
              <w:t>4,952</w:t>
            </w:r>
          </w:p>
        </w:tc>
        <w:tc>
          <w:tcPr>
            <w:tcW w:type="dxa" w:w="1440"/>
            <w:shd w:fill="FAFAFA" w:val="clear"/>
          </w:tcPr>
          <w:p>
            <w:r>
              <w:rPr>
                <w:b/>
                <w:sz w:val="17"/>
              </w:rPr>
              <w:t>5,365</w:t>
            </w:r>
          </w:p>
        </w:tc>
        <w:tc>
          <w:tcPr>
            <w:tcW w:type="dxa" w:w="1440"/>
            <w:shd w:fill="FAFAFA" w:val="clear"/>
          </w:tcPr>
          <w:p>
            <w:r>
              <w:rPr>
                <w:sz w:val="17"/>
              </w:rPr>
              <w:t>5,778</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2026-09-11</w:t>
            </w:r>
          </w:p>
        </w:tc>
        <w:tc>
          <w:tcPr>
            <w:tcW w:type="dxa" w:w="1440"/>
            <w:shd w:fill="FAFAFA" w:val="clear"/>
          </w:tcPr>
          <w:p>
            <w:r>
              <w:rPr>
                <w:sz w:val="17"/>
              </w:rPr>
              <w:t>4,911</w:t>
            </w:r>
          </w:p>
        </w:tc>
        <w:tc>
          <w:tcPr>
            <w:tcW w:type="dxa" w:w="1440"/>
            <w:shd w:fill="FAFAFA" w:val="clear"/>
          </w:tcPr>
          <w:p>
            <w:r>
              <w:rPr>
                <w:b/>
                <w:sz w:val="17"/>
              </w:rPr>
              <w:t>5,352</w:t>
            </w:r>
          </w:p>
        </w:tc>
        <w:tc>
          <w:tcPr>
            <w:tcW w:type="dxa" w:w="1440"/>
            <w:shd w:fill="FAFAFA" w:val="clear"/>
          </w:tcPr>
          <w:p>
            <w:r>
              <w:rPr>
                <w:sz w:val="17"/>
              </w:rPr>
              <w:t>5,792</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4,872</w:t>
            </w:r>
          </w:p>
        </w:tc>
        <w:tc>
          <w:tcPr>
            <w:tcW w:type="dxa" w:w="1440"/>
            <w:shd w:fill="FFDCE0" w:val="clear"/>
          </w:tcPr>
          <w:p>
            <w:r>
              <w:rPr>
                <w:b/>
                <w:sz w:val="17"/>
              </w:rPr>
              <w:t>5,338</w:t>
            </w:r>
          </w:p>
        </w:tc>
        <w:tc>
          <w:tcPr>
            <w:tcW w:type="dxa" w:w="1440"/>
            <w:shd w:fill="FFDCE0" w:val="clear"/>
          </w:tcPr>
          <w:p>
            <w:r>
              <w:rPr>
                <w:sz w:val="17"/>
              </w:rPr>
              <w:t>5,805</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4,835</w:t>
            </w:r>
          </w:p>
        </w:tc>
        <w:tc>
          <w:tcPr>
            <w:tcW w:type="dxa" w:w="1440"/>
            <w:shd w:fill="FFDCE0" w:val="clear"/>
          </w:tcPr>
          <w:p>
            <w:r>
              <w:rPr>
                <w:b/>
                <w:sz w:val="17"/>
              </w:rPr>
              <w:t>5,325</w:t>
            </w:r>
          </w:p>
        </w:tc>
        <w:tc>
          <w:tcPr>
            <w:tcW w:type="dxa" w:w="1440"/>
            <w:shd w:fill="FFDCE0" w:val="clear"/>
          </w:tcPr>
          <w:p>
            <w:r>
              <w:rPr>
                <w:sz w:val="17"/>
              </w:rPr>
              <w:t>5,816</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113,46 milliards FCFA, un niveau important qui la positionne parmi les valeurs moyennes du marché BRVM. Le BPA de 20 FCFA par action est extrêmement faible, reflet direct de l'effondrement du résultat net 2025. Le PER de 277,4x est considérablement supérieur à la moyenne du marché BRVM (8-12x), indiquant que les investisseurs paient un prix très élevé pour des bénéfices actuels quasi inexistants, ce qui traduit une anticipation de forte reprise future des résultats. Le P/B de 3,15x valorise l'action à plus de trois fois sa valeur comptable, une prime de croissance significative qui semble difficile à justifier au regard des fondamentaux actuels. Enfin, l'EV/EBITDA de 40,9x confirme une valorisation très exigeante, la valeur totale de l'entreprise représentant plus de 40 fois sa capacité opérationnelle brute.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progression spectaculaire de +94,13%, passant d'un plus bas de 2 800 FCFA à un plus haut de 5 645 FCFA, pour clôturer à 5 455 FCFA, avec une légère baisse de -0,46% lors de la dernière séance. Cette tendance fortement haussière traduit un regain d'intérêt marqué des investisseurs pour la valeur. La moyenne du cours sur la période (4 205 FCFA) est supérieure à la médiane (3 805 FCFA), indiquant une distribution légèrement asymétrique avec une concentration des cours vers le haut de la fourchette. L'écart-type de 840 FCFA (CV=20%) révèle une dispersion modérée des prix autour de la moyenne. Le kurtosis négatif (-1,327) indique une distribution platykurtique, avec peu de valeurs extrêmes, tandis que le skewness positif (0,186) confirme une asymétrie légèrement positive. La volatilité annualisée de 39,4% classe le titre dans la catégorie des valeurs à forte volatilité (&gt;30%), ce qui implique un risque élevé mais aussi un potentiel de gains significatifs.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5 455 FCFA se situe nettement au-dessus de la MM20 (5 247,75 FCFA) et de la MM50 (4 928,1 FCFA), confirmant une dynamique haussière solide. La configuration des moyennes mobiles, avec la MM20 au-dessus de la MM50, valide la tendance positive et génère un signal d'achat cohérent avec la progression récente du titre.</w:t>
      </w:r>
    </w:p>
    <w:p>
      <w:pPr>
        <w:spacing w:after="120" w:line="276" w:lineRule="auto"/>
      </w:pPr>
      <w:r>
        <w:t>**Bandes de Bollinger** : Le prix évolue à 5 455 FCFA, proche de la borne supérieure (5 575,20 FCFA) mais dans la partie haute des bandes. Cette position indique une pression acheteuse soutenue, mais le resserrement des bandes suggère une volatilité en diminution. La décision neutre reflète un équilibre précaire entre momentum haussier et risque de correction technique.</w:t>
      </w:r>
    </w:p>
    <w:p>
      <w:pPr>
        <w:spacing w:after="120" w:line="276" w:lineRule="auto"/>
      </w:pPr>
      <w:r>
        <w:t>**MACD** : Le MACD (147,01) est supérieur à sa ligne de signal (140,27), avec un écart positif de 6,74 points. Cette configuration confirme la poursuite du momentum haussier à moyen terme. La décision d'achat est justifiée par la dynamique positive des deux lignes, bien que l'écart relativement faible suggère une possible consolidation à venir.</w:t>
      </w:r>
    </w:p>
    <w:p>
      <w:pPr>
        <w:spacing w:after="120" w:line="276" w:lineRule="auto"/>
      </w:pPr>
      <w:r>
        <w:t>**RSI** : Le RSI à 74,15 dépasse le seuil de surachat (70), signalant que le titre est techniquement surévalué à court terme. Cette situation appelle à la prudence car elle précède souvent une correction ou au minimum une phase de consolidation. La décision de vente est donc cohérente avec cet indicateur de momentum.</w:t>
      </w:r>
    </w:p>
    <w:p>
      <w:pPr>
        <w:spacing w:after="120" w:line="276" w:lineRule="auto"/>
      </w:pPr>
      <w:r>
        <w:t>**Stochastique** : Le %K (65,14) est inférieur à %D (69,42), indiquant une possible inversion baissière en préparation. Bien que les deux lignes restent en zone neutre, le croisement potentiel suggère un affaiblissement du momentum haussier. La décision neutre reflète cette situation ambiguë.</w:t>
      </w:r>
    </w:p>
    <w:p>
      <w:pPr>
        <w:spacing w:after="120" w:line="276" w:lineRule="auto"/>
      </w:pPr>
      <w:r>
        <w:t>**Conclusion technique** : Les indicateurs sont partagés entre signaux d'achat (MM, MACD) et signaux de prudence (RSI en surachat, Stochastique en croisement baissier). La tendance de fond reste haussière, mais les conditions de surachat technique suggèrent une probable consolidation à court terme avant la poursuite éventuelle du mouvement.</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révèlent une situation financière très dégradée pour BOAN. Le Produit Net Bancaire s'établit à 21,125 milliards FCFA, en baisse de 1,2% par rapport à 2024 (21,380 milliards FCFA). Le résultat net s'effondre de 91,8% à seulement 409 millions FCFA (contre 5 002 millions FCFA en 2024), avec une marge nette tombée à 1,94%. Le ROE chute à 1,13% et le ROA à 0,14%, des niveaux très faibles pour une banque. Le coefficient d'exploitation de 74,37% dépasse largement le seuil d'efficacité de 60%, indiquant une mauvaise maîtrise des charges. Le coût du risque de 67,30% est préoccupant, reflétant un portefeuille de crédits de mauvaise qualité avec un taux de créances en souffrance sectoriel de 24%. Les dépôts clientèle (183,28 milliards FCFA) restent supérieurs aux crédits (128,45 milliards FCFA), maintenant une transformation positive. Les rapports trimestriels 2025 confirment la dégradation progressive : T1 avec un PNB en baisse de 16,3%, S1 avec un repli de 4,1%, et 9 mois avec une contraction de 1,8%. Le rapport annuel 2025 (daté du 31 décembre 2025) souligne l'impact des sanctions post-coup d'État et la nécessité d'assainir le portefeuille. **Cependant, le rapport T1 2026 (daté du 31 mars 2026) montre une nette amélioration** : PNB en hausse de 7,9% à 5 170 millions FCFA, résultat net en progression de 28,9% à 1 467 millions FCFA, et coefficient d'exploitation amélioré à 56,2%. Sur cette base, on estime que l'exercice 2026 pourrait voir un PNB autour de 22,3 milliards FCFA et un résultat net potentiel de 7,3 milliards FCFA, conformément au budget 2026 qui vise une multiplication par 6 du résultat avant impôts. La banque démontre une résilience opérationnelle et bénéficie du soutien du groupe BOA, mais les fondamentaux actuels restent fragiles.</w:t>
      </w:r>
    </w:p>
    <w:p>
      <w:pPr>
        <w:spacing w:after="120" w:line="276" w:lineRule="auto"/>
      </w:pPr>
      <w:r>
        <w:t>---</w:t>
      </w:r>
    </w:p>
    <w:p>
      <w:pPr>
        <w:spacing w:after="120" w:line="276" w:lineRule="auto"/>
      </w:pPr>
      <w:r>
        <w:t>### PARTIE 4 : CONCLUSION D'INVESTISSEMENT</w:t>
      </w:r>
    </w:p>
    <w:p>
      <w:pPr>
        <w:spacing w:after="120" w:line="276" w:lineRule="auto"/>
      </w:pPr>
      <w:r>
        <w:t>La valorisation de BOAN (PER de 277,4x, P/B de 3,15x, EV/EBITDA de 40,9x) apparaît extrêmement exigeante au regard des bénéfices actuels, mais intègre un scénario de forte reprise en 2026. Le comportement du cours (+94,13% sur 100 jours) montre un enthousiasme marqué des investisseurs, avec une volatilité élevée (39,4%) et une distribution platykurtique indiquant des mouvements amples mais peu de valeurs extrêmes. Les signaux techniques sont contrastés : les moyennes mobiles et le MACD confirment la tendance haussière, tandis que le RSI en zone de surachat (74,15) et le stochastique en croisement baissier suggèrent une correction technique imminente. Les fondamentaux, bien que très dégradés en 2025 (ROE de 1,13%), montrent des signes d'amélioration nette au T1 2026 avec un résultat net en hausse de 28,9%. Les prédictions IA (5 452 FCFA à J+1, puis 5 392 FCFA à J+10) anticipent une légère consolidation, cohérente avec les signaux techniques de surachat. **Recommandation finale : CONSERVER** — la convergence entre les fondamentaux en amélioration et les perspectives de reprise justifie de maintenir la position, mais la valorisation élevée et les signaux techniques de surachat incitent à la prudence. Niveau de confiance : Moyen. Risque global : Élevé. Horizon d'investissement optimal : moyen terme (3-12 mois), en attendant la confirmation de la reprise sur les résultats semestriels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9,697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+21.32%</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6,685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5.64% (Moyenne) — μ=7,451 FCFA, σ=420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β=0.3114 (Défensif) — Cov=0.000011, Var(idx)=0.000037, ρ=0.121,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9,697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2026-09-02</w:t>
            </w:r>
          </w:p>
        </w:tc>
        <w:tc>
          <w:tcPr>
            <w:tcW w:type="dxa" w:w="1440"/>
            <w:shd w:fill="FFDCE0" w:val="clear"/>
          </w:tcPr>
          <w:p>
            <w:r>
              <w:rPr>
                <w:sz w:val="17"/>
              </w:rPr>
              <w:t>7,820</w:t>
            </w:r>
          </w:p>
        </w:tc>
        <w:tc>
          <w:tcPr>
            <w:tcW w:type="dxa" w:w="1440"/>
            <w:shd w:fill="FFDCE0" w:val="clear"/>
          </w:tcPr>
          <w:p>
            <w:r>
              <w:rPr>
                <w:b/>
                <w:sz w:val="17"/>
              </w:rPr>
              <w:t>8,046</w:t>
            </w:r>
          </w:p>
        </w:tc>
        <w:tc>
          <w:tcPr>
            <w:tcW w:type="dxa" w:w="1440"/>
            <w:shd w:fill="FFDCE0" w:val="clear"/>
          </w:tcPr>
          <w:p>
            <w:r>
              <w:rPr>
                <w:sz w:val="17"/>
              </w:rPr>
              <w:t>8,272</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7,586</w:t>
            </w:r>
          </w:p>
        </w:tc>
        <w:tc>
          <w:tcPr>
            <w:tcW w:type="dxa" w:w="1440"/>
            <w:shd w:fill="FFDCE0" w:val="clear"/>
          </w:tcPr>
          <w:p>
            <w:r>
              <w:rPr>
                <w:b/>
                <w:sz w:val="17"/>
              </w:rPr>
              <w:t>7,900</w:t>
            </w:r>
          </w:p>
        </w:tc>
        <w:tc>
          <w:tcPr>
            <w:tcW w:type="dxa" w:w="1440"/>
            <w:shd w:fill="FFDCE0" w:val="clear"/>
          </w:tcPr>
          <w:p>
            <w:r>
              <w:rPr>
                <w:sz w:val="17"/>
              </w:rPr>
              <w:t>8,214</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7,383</w:t>
            </w:r>
          </w:p>
        </w:tc>
        <w:tc>
          <w:tcPr>
            <w:tcW w:type="dxa" w:w="1440"/>
            <w:shd w:fill="FFDCE0" w:val="clear"/>
          </w:tcPr>
          <w:p>
            <w:r>
              <w:rPr>
                <w:b/>
                <w:sz w:val="17"/>
              </w:rPr>
              <w:t>7,760</w:t>
            </w:r>
          </w:p>
        </w:tc>
        <w:tc>
          <w:tcPr>
            <w:tcW w:type="dxa" w:w="1440"/>
            <w:shd w:fill="FFDCE0" w:val="clear"/>
          </w:tcPr>
          <w:p>
            <w:r>
              <w:rPr>
                <w:sz w:val="17"/>
              </w:rPr>
              <w:t>8,138</w:t>
            </w:r>
          </w:p>
        </w:tc>
        <w:tc>
          <w:tcPr>
            <w:tcW w:type="dxa" w:w="1440"/>
            <w:shd w:fill="FFDCE0" w:val="clear"/>
          </w:tcPr>
          <w:p>
            <w:r>
              <w:rPr>
                <w:b/>
                <w:color w:val="C00000"/>
                <w:sz w:val="17"/>
              </w:rPr>
              <w:t>-5.9%</w:t>
            </w:r>
          </w:p>
        </w:tc>
      </w:tr>
      <w:tr>
        <w:tc>
          <w:tcPr>
            <w:tcW w:type="dxa" w:w="1440"/>
            <w:shd w:fill="FFDCE0" w:val="clear"/>
          </w:tcPr>
          <w:p>
            <w:r>
              <w:rPr>
                <w:sz w:val="17"/>
              </w:rPr>
              <w:t>J+4  Moyenne</w:t>
            </w:r>
          </w:p>
        </w:tc>
        <w:tc>
          <w:tcPr>
            <w:tcW w:type="dxa" w:w="1440"/>
            <w:shd w:fill="FFDCE0" w:val="clear"/>
          </w:tcPr>
          <w:p>
            <w:r>
              <w:rPr>
                <w:sz w:val="17"/>
              </w:rPr>
              <w:t>2026-09-07</w:t>
            </w:r>
          </w:p>
        </w:tc>
        <w:tc>
          <w:tcPr>
            <w:tcW w:type="dxa" w:w="1440"/>
            <w:shd w:fill="FFDCE0" w:val="clear"/>
          </w:tcPr>
          <w:p>
            <w:r>
              <w:rPr>
                <w:sz w:val="17"/>
              </w:rPr>
              <w:t>7,204</w:t>
            </w:r>
          </w:p>
        </w:tc>
        <w:tc>
          <w:tcPr>
            <w:tcW w:type="dxa" w:w="1440"/>
            <w:shd w:fill="FFDCE0" w:val="clear"/>
          </w:tcPr>
          <w:p>
            <w:r>
              <w:rPr>
                <w:b/>
                <w:sz w:val="17"/>
              </w:rPr>
              <w:t>7,632</w:t>
            </w:r>
          </w:p>
        </w:tc>
        <w:tc>
          <w:tcPr>
            <w:tcW w:type="dxa" w:w="1440"/>
            <w:shd w:fill="FFDCE0" w:val="clear"/>
          </w:tcPr>
          <w:p>
            <w:r>
              <w:rPr>
                <w:sz w:val="17"/>
              </w:rPr>
              <w:t>8,061</w:t>
            </w:r>
          </w:p>
        </w:tc>
        <w:tc>
          <w:tcPr>
            <w:tcW w:type="dxa" w:w="1440"/>
            <w:shd w:fill="FFDCE0" w:val="clear"/>
          </w:tcPr>
          <w:p>
            <w:r>
              <w:rPr>
                <w:b/>
                <w:color w:val="C00000"/>
                <w:sz w:val="17"/>
              </w:rPr>
              <w:t>-7.5%</w:t>
            </w:r>
          </w:p>
        </w:tc>
      </w:tr>
      <w:tr>
        <w:tc>
          <w:tcPr>
            <w:tcW w:type="dxa" w:w="1440"/>
            <w:shd w:fill="FFDCE0" w:val="clear"/>
          </w:tcPr>
          <w:p>
            <w:r>
              <w:rPr>
                <w:sz w:val="17"/>
              </w:rPr>
              <w:t>J+5  Moyenne</w:t>
            </w:r>
          </w:p>
        </w:tc>
        <w:tc>
          <w:tcPr>
            <w:tcW w:type="dxa" w:w="1440"/>
            <w:shd w:fill="FFDCE0" w:val="clear"/>
          </w:tcPr>
          <w:p>
            <w:r>
              <w:rPr>
                <w:sz w:val="17"/>
              </w:rPr>
              <w:t>2026-09-08</w:t>
            </w:r>
          </w:p>
        </w:tc>
        <w:tc>
          <w:tcPr>
            <w:tcW w:type="dxa" w:w="1440"/>
            <w:shd w:fill="FFDCE0" w:val="clear"/>
          </w:tcPr>
          <w:p>
            <w:r>
              <w:rPr>
                <w:sz w:val="17"/>
              </w:rPr>
              <w:t>7,041</w:t>
            </w:r>
          </w:p>
        </w:tc>
        <w:tc>
          <w:tcPr>
            <w:tcW w:type="dxa" w:w="1440"/>
            <w:shd w:fill="FFDCE0" w:val="clear"/>
          </w:tcPr>
          <w:p>
            <w:r>
              <w:rPr>
                <w:b/>
                <w:sz w:val="17"/>
              </w:rPr>
              <w:t>7,513</w:t>
            </w:r>
          </w:p>
        </w:tc>
        <w:tc>
          <w:tcPr>
            <w:tcW w:type="dxa" w:w="1440"/>
            <w:shd w:fill="FFDCE0" w:val="clear"/>
          </w:tcPr>
          <w:p>
            <w:r>
              <w:rPr>
                <w:sz w:val="17"/>
              </w:rPr>
              <w:t>7,985</w:t>
            </w:r>
          </w:p>
        </w:tc>
        <w:tc>
          <w:tcPr>
            <w:tcW w:type="dxa" w:w="1440"/>
            <w:shd w:fill="FFDCE0" w:val="clear"/>
          </w:tcPr>
          <w:p>
            <w:r>
              <w:rPr>
                <w:b/>
                <w:color w:val="C00000"/>
                <w:sz w:val="17"/>
              </w:rPr>
              <w:t>-8.9%</w:t>
            </w:r>
          </w:p>
        </w:tc>
      </w:tr>
      <w:tr>
        <w:tc>
          <w:tcPr>
            <w:tcW w:type="dxa" w:w="1440"/>
            <w:shd w:fill="FFDCE0" w:val="clear"/>
          </w:tcPr>
          <w:p>
            <w:r>
              <w:rPr>
                <w:sz w:val="17"/>
              </w:rPr>
              <w:t>J+6  Moyenne</w:t>
            </w:r>
          </w:p>
        </w:tc>
        <w:tc>
          <w:tcPr>
            <w:tcW w:type="dxa" w:w="1440"/>
            <w:shd w:fill="FFDCE0" w:val="clear"/>
          </w:tcPr>
          <w:p>
            <w:r>
              <w:rPr>
                <w:sz w:val="17"/>
              </w:rPr>
              <w:t>2026-09-09</w:t>
            </w:r>
          </w:p>
        </w:tc>
        <w:tc>
          <w:tcPr>
            <w:tcW w:type="dxa" w:w="1440"/>
            <w:shd w:fill="FFDCE0" w:val="clear"/>
          </w:tcPr>
          <w:p>
            <w:r>
              <w:rPr>
                <w:sz w:val="17"/>
              </w:rPr>
              <w:t>6,892</w:t>
            </w:r>
          </w:p>
        </w:tc>
        <w:tc>
          <w:tcPr>
            <w:tcW w:type="dxa" w:w="1440"/>
            <w:shd w:fill="FFDCE0" w:val="clear"/>
          </w:tcPr>
          <w:p>
            <w:r>
              <w:rPr>
                <w:b/>
                <w:sz w:val="17"/>
              </w:rPr>
              <w:t>7,402</w:t>
            </w:r>
          </w:p>
        </w:tc>
        <w:tc>
          <w:tcPr>
            <w:tcW w:type="dxa" w:w="1440"/>
            <w:shd w:fill="FFDCE0" w:val="clear"/>
          </w:tcPr>
          <w:p>
            <w:r>
              <w:rPr>
                <w:sz w:val="17"/>
              </w:rPr>
              <w:t>7,911</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2026-09-10</w:t>
            </w:r>
          </w:p>
        </w:tc>
        <w:tc>
          <w:tcPr>
            <w:tcW w:type="dxa" w:w="1440"/>
            <w:shd w:fill="FFDCE0" w:val="clear"/>
          </w:tcPr>
          <w:p>
            <w:r>
              <w:rPr>
                <w:sz w:val="17"/>
              </w:rPr>
              <w:t>6,754</w:t>
            </w:r>
          </w:p>
        </w:tc>
        <w:tc>
          <w:tcPr>
            <w:tcW w:type="dxa" w:w="1440"/>
            <w:shd w:fill="FFDCE0" w:val="clear"/>
          </w:tcPr>
          <w:p>
            <w:r>
              <w:rPr>
                <w:b/>
                <w:sz w:val="17"/>
              </w:rPr>
              <w:t>7,296</w:t>
            </w:r>
          </w:p>
        </w:tc>
        <w:tc>
          <w:tcPr>
            <w:tcW w:type="dxa" w:w="1440"/>
            <w:shd w:fill="FFDCE0" w:val="clear"/>
          </w:tcPr>
          <w:p>
            <w:r>
              <w:rPr>
                <w:sz w:val="17"/>
              </w:rPr>
              <w:t>7,838</w:t>
            </w:r>
          </w:p>
        </w:tc>
        <w:tc>
          <w:tcPr>
            <w:tcW w:type="dxa" w:w="1440"/>
            <w:shd w:fill="FFDCE0" w:val="clear"/>
          </w:tcPr>
          <w:p>
            <w:r>
              <w:rPr>
                <w:b/>
                <w:color w:val="C00000"/>
                <w:sz w:val="17"/>
              </w:rPr>
              <w:t>-11.6%</w:t>
            </w:r>
          </w:p>
        </w:tc>
      </w:tr>
      <w:tr>
        <w:tc>
          <w:tcPr>
            <w:tcW w:type="dxa" w:w="1440"/>
            <w:shd w:fill="FFDCE0" w:val="clear"/>
          </w:tcPr>
          <w:p>
            <w:r>
              <w:rPr>
                <w:sz w:val="17"/>
              </w:rPr>
              <w:t>J+8  Moyenne</w:t>
            </w:r>
          </w:p>
        </w:tc>
        <w:tc>
          <w:tcPr>
            <w:tcW w:type="dxa" w:w="1440"/>
            <w:shd w:fill="FFDCE0" w:val="clear"/>
          </w:tcPr>
          <w:p>
            <w:r>
              <w:rPr>
                <w:sz w:val="17"/>
              </w:rPr>
              <w:t>2026-09-11</w:t>
            </w:r>
          </w:p>
        </w:tc>
        <w:tc>
          <w:tcPr>
            <w:tcW w:type="dxa" w:w="1440"/>
            <w:shd w:fill="FFDCE0" w:val="clear"/>
          </w:tcPr>
          <w:p>
            <w:r>
              <w:rPr>
                <w:sz w:val="17"/>
              </w:rPr>
              <w:t>6,625</w:t>
            </w:r>
          </w:p>
        </w:tc>
        <w:tc>
          <w:tcPr>
            <w:tcW w:type="dxa" w:w="1440"/>
            <w:shd w:fill="FFDCE0" w:val="clear"/>
          </w:tcPr>
          <w:p>
            <w:r>
              <w:rPr>
                <w:b/>
                <w:sz w:val="17"/>
              </w:rPr>
              <w:t>7,197</w:t>
            </w:r>
          </w:p>
        </w:tc>
        <w:tc>
          <w:tcPr>
            <w:tcW w:type="dxa" w:w="1440"/>
            <w:shd w:fill="FFDCE0" w:val="clear"/>
          </w:tcPr>
          <w:p>
            <w:r>
              <w:rPr>
                <w:sz w:val="17"/>
              </w:rPr>
              <w:t>7,769</w:t>
            </w:r>
          </w:p>
        </w:tc>
        <w:tc>
          <w:tcPr>
            <w:tcW w:type="dxa" w:w="1440"/>
            <w:shd w:fill="FFDCE0" w:val="clear"/>
          </w:tcPr>
          <w:p>
            <w:r>
              <w:rPr>
                <w:b/>
                <w:color w:val="C00000"/>
                <w:sz w:val="17"/>
              </w:rPr>
              <w:t>-12.8%</w:t>
            </w:r>
          </w:p>
        </w:tc>
      </w:tr>
      <w:tr>
        <w:tc>
          <w:tcPr>
            <w:tcW w:type="dxa" w:w="1440"/>
            <w:shd w:fill="FFDCE0" w:val="clear"/>
          </w:tcPr>
          <w:p>
            <w:r>
              <w:rPr>
                <w:sz w:val="17"/>
              </w:rPr>
              <w:t>J+9  Moyenne</w:t>
            </w:r>
          </w:p>
        </w:tc>
        <w:tc>
          <w:tcPr>
            <w:tcW w:type="dxa" w:w="1440"/>
            <w:shd w:fill="FFDCE0" w:val="clear"/>
          </w:tcPr>
          <w:p>
            <w:r>
              <w:rPr>
                <w:sz w:val="17"/>
              </w:rPr>
              <w:t>2026-09-14</w:t>
            </w:r>
          </w:p>
        </w:tc>
        <w:tc>
          <w:tcPr>
            <w:tcW w:type="dxa" w:w="1440"/>
            <w:shd w:fill="FFDCE0" w:val="clear"/>
          </w:tcPr>
          <w:p>
            <w:r>
              <w:rPr>
                <w:sz w:val="17"/>
              </w:rPr>
              <w:t>6,505</w:t>
            </w:r>
          </w:p>
        </w:tc>
        <w:tc>
          <w:tcPr>
            <w:tcW w:type="dxa" w:w="1440"/>
            <w:shd w:fill="FFDCE0" w:val="clear"/>
          </w:tcPr>
          <w:p>
            <w:r>
              <w:rPr>
                <w:b/>
                <w:sz w:val="17"/>
              </w:rPr>
              <w:t>7,103</w:t>
            </w:r>
          </w:p>
        </w:tc>
        <w:tc>
          <w:tcPr>
            <w:tcW w:type="dxa" w:w="1440"/>
            <w:shd w:fill="FFDCE0" w:val="clear"/>
          </w:tcPr>
          <w:p>
            <w:r>
              <w:rPr>
                <w:sz w:val="17"/>
              </w:rPr>
              <w:t>7,702</w:t>
            </w:r>
          </w:p>
        </w:tc>
        <w:tc>
          <w:tcPr>
            <w:tcW w:type="dxa" w:w="1440"/>
            <w:shd w:fill="FFDCE0" w:val="clear"/>
          </w:tcPr>
          <w:p>
            <w:r>
              <w:rPr>
                <w:b/>
                <w:color w:val="C00000"/>
                <w:sz w:val="17"/>
              </w:rPr>
              <w:t>-13.9%</w:t>
            </w:r>
          </w:p>
        </w:tc>
      </w:tr>
      <w:tr>
        <w:tc>
          <w:tcPr>
            <w:tcW w:type="dxa" w:w="1440"/>
            <w:shd w:fill="FFDCE0" w:val="clear"/>
          </w:tcPr>
          <w:p>
            <w:r>
              <w:rPr>
                <w:sz w:val="17"/>
              </w:rPr>
              <w:t>J+10  Moyenne</w:t>
            </w:r>
          </w:p>
        </w:tc>
        <w:tc>
          <w:tcPr>
            <w:tcW w:type="dxa" w:w="1440"/>
            <w:shd w:fill="FFDCE0" w:val="clear"/>
          </w:tcPr>
          <w:p>
            <w:r>
              <w:rPr>
                <w:sz w:val="17"/>
              </w:rPr>
              <w:t>2026-09-15</w:t>
            </w:r>
          </w:p>
        </w:tc>
        <w:tc>
          <w:tcPr>
            <w:tcW w:type="dxa" w:w="1440"/>
            <w:shd w:fill="FFDCE0" w:val="clear"/>
          </w:tcPr>
          <w:p>
            <w:r>
              <w:rPr>
                <w:sz w:val="17"/>
              </w:rPr>
              <w:t>6,391</w:t>
            </w:r>
          </w:p>
        </w:tc>
        <w:tc>
          <w:tcPr>
            <w:tcW w:type="dxa" w:w="1440"/>
            <w:shd w:fill="FFDCE0" w:val="clear"/>
          </w:tcPr>
          <w:p>
            <w:r>
              <w:rPr>
                <w:b/>
                <w:sz w:val="17"/>
              </w:rPr>
              <w:t>7,014</w:t>
            </w:r>
          </w:p>
        </w:tc>
        <w:tc>
          <w:tcPr>
            <w:tcW w:type="dxa" w:w="1440"/>
            <w:shd w:fill="FFDCE0" w:val="clear"/>
          </w:tcPr>
          <w:p>
            <w:r>
              <w:rPr>
                <w:sz w:val="17"/>
              </w:rPr>
              <w:t>7,637</w:t>
            </w:r>
          </w:p>
        </w:tc>
        <w:tc>
          <w:tcPr>
            <w:tcW w:type="dxa" w:w="1440"/>
            <w:shd w:fill="FFDCE0" w:val="clear"/>
          </w:tcPr>
          <w:p>
            <w:r>
              <w:rPr>
                <w:b/>
                <w:color w:val="C00000"/>
                <w:sz w:val="17"/>
              </w:rPr>
              <w:t>-15.0%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297 milliards FCFA, ce qui en fait une valeur de première ligne sur la BRVM, représentant un poids significatif dans l'indice bancaire régional. Le BPA de 608 FCFA indique que chaque action a généré un bénéfice substantiel sur l'exercice 2025. Le PER de 13,6x se situe au-dessus de la moyenne historique de la BRVM (8-12x), ce qui suggère que le marché applique une prime de croissance à la valeur, les investisseurs acceptant de payer plus cher pour la qualité des fondamentaux. Le P/B de 3,08x confirme cette prime, le marché valorisant la banque à plus de trois fois sa valeur comptable, ce qui traduit une forte confiance dans la création de valeur future. Enfin, l'EV/EBITDA de 8,8x reste dans une fourchette raisonnable (5-10x), indiquant une valorisation cohérente avec la capacité opérationnelle de la banque, sans excès majeur.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 enregistré une progression remarquable de +21,32%, passant d'un plus bas de 6 685 FCFA à un plus haut de 8 500 FCFA, avant de se stabiliser à 8 250 FCFA. La légère baisse de -0,54% lors de la dernière séance suggère une consolidation après une forte tendance haussière. Le cours moyen de 7 451 FCFA, très proche de la médiane de 7 410 FCFA, indique une distribution relativement symétrique des prix, confirmée par un skewness de 0,200. L'écart-type de 422 FCFA, avec un coefficient de variation de seulement 5,7%, révèle une dispersion modérée autour de la moyenne, témoignant d'une certaine stabilité dans la progression. Le kurtosis de -0,035, proche de zéro, indique une distribution mésokurtique sans risque de pics extrêmes. La volatilité annualisée de 24,6% classe le titre dans une zone modérée (15-30%), reflétant un équilibre entre potentiel de rendement et maîtrise du risque.</w:t>
      </w:r>
    </w:p>
    <w:p>
      <w:pPr>
        <w:spacing w:after="120" w:line="276" w:lineRule="auto" w:before="240"/>
      </w:pPr>
      <w:r>
        <w:rPr>
          <w:b/>
          <w:color w:val="003366"/>
          <w:sz w:val="24"/>
        </w:rPr>
        <w:t>**PARTIE 2 : ANALYSE TECHNIQUE DÉTAILLÉE**</w:t>
      </w:r>
    </w:p>
    <w:p>
      <w:pPr>
        <w:spacing w:after="120" w:line="276" w:lineRule="auto"/>
      </w:pPr>
      <w:r>
        <w:t>**Moyennes Mobiles :** Le cours actuel de 8 250 FCFA se positionne nettement au-dessus de la MM20 (7 945,75 FCFA) et de la MM50 (7 663,6 FCFA), confirmant une dynamique haussière solide. L'écart positif entre ces deux moyennes mobiles, avec la MM20 au-dessus de la MM50, valide la configuration de "croix dorée" et justifie la décision d'Achat. Cette structure indique que la tendance de fond reste résolument positive.</w:t>
      </w:r>
    </w:p>
    <w:p>
      <w:pPr>
        <w:spacing w:after="120" w:line="276" w:lineRule="auto"/>
      </w:pPr>
      <w:r>
        <w:t>**Bandes de Bollinger :** Le prix évolue dans la partie supérieure du canal, à 8 250 FCFA contre une borne supérieure à 8 572,64 FCFA et une borne inférieure à 7 318,86 FCFA. La position du cours dans la moitié haute des bandes, sans toucher la borne supérieure, suggère une pression acheteuse soutenue mais sans excès de volatilité. La décision Neutre reflète une situation où le titre conserve son potentiel haussier sans être en situation de surachat extrême.</w:t>
      </w:r>
    </w:p>
    <w:p>
      <w:pPr>
        <w:spacing w:after="120" w:line="276" w:lineRule="auto"/>
      </w:pPr>
      <w:r>
        <w:t>**MACD :** Le MACD (196,15) évolue au-dessus de sa ligne de signal (161,53), avec un écart positif de 34,62 points, confirmant un momentum haussier bien établi. L'écart croissant entre les deux lignes indique une accélération de la dynamique positive, justifiant la décision d'Achat. Cette configuration suggère que la tendance haussière conserve sa vigueur.</w:t>
      </w:r>
    </w:p>
    <w:p>
      <w:pPr>
        <w:spacing w:after="120" w:line="276" w:lineRule="auto"/>
      </w:pPr>
      <w:r>
        <w:t>**RSI :** Le RSI à 75,70 dépasse le seuil de surachat de 70, signalant une pression acheteuse excessive à court terme. Cette situation, bien que reflétant une forte dynamique, appelle à la prudence car elle précède souvent une consolidation ou un repli technique. La décision de Vente est donc une alerte de prudence plutôt qu'un signal de retournement majeur.</w:t>
      </w:r>
    </w:p>
    <w:p>
      <w:pPr>
        <w:spacing w:after="120" w:line="276" w:lineRule="auto"/>
      </w:pPr>
      <w:r>
        <w:t>**Stochastique :** Le %K (69,14) est passé sous le %D (73,05), indiquant un croisement baissier potentiel en zone de surachat. Cette configuration suggère un essoufflement du momentum haussier à très court terme. La décision Neutre reflète l'incertitude sur la poursuite immédiate de la hausse, malgré une tendance de fond toujours positive.</w:t>
      </w:r>
    </w:p>
    <w:p>
      <w:pPr>
        <w:spacing w:after="120" w:line="276" w:lineRule="auto"/>
      </w:pPr>
      <w:r>
        <w:t>**Conclusion technique :** La convergence des indicateurs de tendance (MM, MACD) vers une dynamique haussière est contrebalancée par les signaux de surachat (RSI, Stochastique). Cette divergence entre la tendance de fond et les conditions de court terme suggère une probable phase de consolidation avant la poursuite du mouvement haussier. Les investisseurs devraient surveiller un repli vers la zone des 7 900-8 000 FCFA comme point d'entrée potentiel.</w:t>
      </w:r>
    </w:p>
    <w:p>
      <w:pPr>
        <w:spacing w:after="120" w:line="276" w:lineRule="auto" w:before="240"/>
      </w:pPr>
      <w:r>
        <w:rPr>
          <w:b/>
          <w:color w:val="003366"/>
          <w:sz w:val="24"/>
        </w:rPr>
        <w:t>**PARTIE 3 : ANALYSE FONDAMENTALE (SECTION CRITIQUE)**</w:t>
      </w:r>
    </w:p>
    <w:p>
      <w:pPr>
        <w:spacing w:after="120" w:line="276" w:lineRule="auto"/>
      </w:pPr>
      <w:r>
        <w:t>En 2025, BOAS affiche des fondamentaux solides avec un Produit Net Bancaire de 51,926 milliards FCFA et un résultat net de 21,905 milliards FCFA, démontrant une excellente capacité de génération de profits. Le ROE de 22,69% dépasse largement le seuil d'excellence de 15%, tandis que le ROA de 2,62% témoigne d'une gestion efficace des actifs. Le coefficient d'exploitation de 44,02% classe la banque parmi les plus efficaces de la place, largement sous la barre des 60%. Le coût du risque de 23,31% des charges financières, bien qu'élevé, s'améliore nettement comme le confirment les rapports trimestriels 2025 : le T1 montre une contraction du coût du risque de -1,3% à -0,8% du PNB, le S1 de -1,3% à -0,4%, et le T3 de -1,8% à -0,5%. Les dépôts clients de 686,927 milliards FCFA contre des créances de 386,424 milliards FCFA montrent une transformation modérée avec un ratio dépôts/crédits de 56,3%. Les rapports trimestriels 2025 confirment une trajectoire ascendante : PNB en hausse de 2,36% au T1, 6,77% au S1, et 6,71% sur 9 mois, avec un résultat net progressant respectivement de 9,25%, 12,70% et 10,01%. Le rapport T1 2026 (PNB de 12,58 milliards, +6,82%) suggère une poursuite de la dynamique, permettant d'estimer un PNB annuel 2026 autour de 55 milliards FCFA et un résultat net potentiel de 23-24 milliards FCFA, soit une croissance de 5-8%.</w:t>
      </w:r>
    </w:p>
    <w:p>
      <w:pPr>
        <w:spacing w:after="120" w:line="276" w:lineRule="auto" w:before="240"/>
      </w:pPr>
      <w:r>
        <w:rPr>
          <w:b/>
          <w:color w:val="003366"/>
          <w:sz w:val="24"/>
        </w:rPr>
        <w:t>**PARTIE 4 : CONCLUSION D'INVESTISSEMENT**</w:t>
      </w:r>
    </w:p>
    <w:p>
      <w:pPr>
        <w:spacing w:after="120" w:line="276" w:lineRule="auto"/>
      </w:pPr>
      <w:r>
        <w:t>La valorisation de BOAS, avec un PER de 13,6x et un P/B de 3,08x, intègre une prime de croissance justifiée par la qualité des fondamentaux, bien que le titre ne soit pas considéré comme sous-évalué. Le comportement du cours sur 100 jours (+21,32%) démontre une tendance haussière robuste, soutenue par une volatilité modérée de 24,6% et une distribution statistique saine. Les signaux techniques sont partagés : la tendance de fond reste positive (MM, MACD) mais les indicateurs de momentum (RSI à 75,7, Stochastique) signalent un surachat à court terme, suggérant une consolidation probable. Les fondamentaux demeurent excellents avec un ROE de 22,69%, un coefficient d'exploitation de 44,02% et une amélioration continue du coût du risque, confirmée par les rapports trimestriels 2025 et T1 2026. Les prédictions IA projetant un repli progressif vers 7 513 FCFA sur 10 jours semblent cohérentes avec les signaux de surachat technique. La convergence entre la solidité fondamentale, la tendance haussière de fond et la nécessité d'une consolidation technique conduit à une recommandation **CONSERVER**, avec un niveau de confiance **Moyen** et un risque global **Moyen**. L'horizon d'investissement optimal serait le **moyen terme (3-12 mois)**, en attendant un point d'entrée plus favorable autour de 7 800-8 000 FCFA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2,329 titres</w:t>
            </w:r>
          </w:p>
        </w:tc>
        <w:tc>
          <w:tcPr>
            <w:tcW w:type="dxa" w:w="2268"/>
            <w:shd w:fill="FFF2CC" w:val="clear"/>
          </w:tcPr>
          <w:p>
            <w:r>
              <w:rPr>
                <w:b/>
                <w:color w:val="503200"/>
                <w:sz w:val="16"/>
              </w:rPr>
              <w:t xml:space="preserve">Cours actuel : </w:t>
            </w:r>
            <w:r>
              <w:rPr>
                <w:color w:val="000000"/>
                <w:sz w:val="17"/>
              </w:rPr>
              <w:t>3,495 FCFA</w:t>
            </w:r>
          </w:p>
          <w:p>
            <w:r>
              <w:rPr>
                <w:b/>
                <w:color w:val="503200"/>
                <w:sz w:val="16"/>
              </w:rPr>
              <w:t xml:space="preserve">Var. 100 jours : </w:t>
            </w:r>
            <w:r>
              <w:rPr>
                <w:b/>
                <w:color w:val="B40000"/>
                <w:sz w:val="17"/>
              </w:rPr>
              <w:t>-17.57%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7.63% (Moyenne) — μ=3,764 FCFA, σ=287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β=0.1333 (Défensif) — Cov=0.000005, Var(idx)=0.000037, ρ=0.025,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2026-09-02</w:t>
            </w:r>
          </w:p>
        </w:tc>
        <w:tc>
          <w:tcPr>
            <w:tcW w:type="dxa" w:w="1440"/>
            <w:shd w:fill="C6EFCE" w:val="clear"/>
          </w:tcPr>
          <w:p>
            <w:r>
              <w:rPr>
                <w:sz w:val="17"/>
              </w:rPr>
              <w:t>3,505</w:t>
            </w:r>
          </w:p>
        </w:tc>
        <w:tc>
          <w:tcPr>
            <w:tcW w:type="dxa" w:w="1440"/>
            <w:shd w:fill="C6EFCE" w:val="clear"/>
          </w:tcPr>
          <w:p>
            <w:r>
              <w:rPr>
                <w:b/>
                <w:sz w:val="17"/>
              </w:rPr>
              <w:t>3,652</w:t>
            </w:r>
          </w:p>
        </w:tc>
        <w:tc>
          <w:tcPr>
            <w:tcW w:type="dxa" w:w="1440"/>
            <w:shd w:fill="C6EFCE" w:val="clear"/>
          </w:tcPr>
          <w:p>
            <w:r>
              <w:rPr>
                <w:sz w:val="17"/>
              </w:rPr>
              <w:t>3,798</w:t>
            </w:r>
          </w:p>
        </w:tc>
        <w:tc>
          <w:tcPr>
            <w:tcW w:type="dxa" w:w="1440"/>
            <w:shd w:fill="C6EFCE" w:val="clear"/>
          </w:tcPr>
          <w:p>
            <w:r>
              <w:rPr>
                <w:b/>
                <w:color w:val="008000"/>
                <w:sz w:val="17"/>
              </w:rPr>
              <w:t>+4.5%</w:t>
            </w:r>
          </w:p>
        </w:tc>
      </w:tr>
      <w:tr>
        <w:tc>
          <w:tcPr>
            <w:tcW w:type="dxa" w:w="1440"/>
            <w:shd w:fill="C6EFCE" w:val="clear"/>
          </w:tcPr>
          <w:p>
            <w:r>
              <w:rPr>
                <w:sz w:val="17"/>
              </w:rPr>
              <w:t>J+2  Moyenne</w:t>
            </w:r>
          </w:p>
        </w:tc>
        <w:tc>
          <w:tcPr>
            <w:tcW w:type="dxa" w:w="1440"/>
            <w:shd w:fill="C6EFCE" w:val="clear"/>
          </w:tcPr>
          <w:p>
            <w:r>
              <w:rPr>
                <w:sz w:val="17"/>
              </w:rPr>
              <w:t>2026-09-03</w:t>
            </w:r>
          </w:p>
        </w:tc>
        <w:tc>
          <w:tcPr>
            <w:tcW w:type="dxa" w:w="1440"/>
            <w:shd w:fill="C6EFCE" w:val="clear"/>
          </w:tcPr>
          <w:p>
            <w:r>
              <w:rPr>
                <w:sz w:val="17"/>
              </w:rPr>
              <w:t>3,588</w:t>
            </w:r>
          </w:p>
        </w:tc>
        <w:tc>
          <w:tcPr>
            <w:tcW w:type="dxa" w:w="1440"/>
            <w:shd w:fill="C6EFCE" w:val="clear"/>
          </w:tcPr>
          <w:p>
            <w:r>
              <w:rPr>
                <w:b/>
                <w:sz w:val="17"/>
              </w:rPr>
              <w:t>3,805</w:t>
            </w:r>
          </w:p>
        </w:tc>
        <w:tc>
          <w:tcPr>
            <w:tcW w:type="dxa" w:w="1440"/>
            <w:shd w:fill="C6EFCE" w:val="clear"/>
          </w:tcPr>
          <w:p>
            <w:r>
              <w:rPr>
                <w:sz w:val="17"/>
              </w:rPr>
              <w:t>4,021</w:t>
            </w:r>
          </w:p>
        </w:tc>
        <w:tc>
          <w:tcPr>
            <w:tcW w:type="dxa" w:w="1440"/>
            <w:shd w:fill="C6EFCE" w:val="clear"/>
          </w:tcPr>
          <w:p>
            <w:r>
              <w:rPr>
                <w:b/>
                <w:color w:val="008000"/>
                <w:sz w:val="17"/>
              </w:rPr>
              <w:t>+8.9%</w:t>
            </w:r>
          </w:p>
        </w:tc>
      </w:tr>
      <w:tr>
        <w:tc>
          <w:tcPr>
            <w:tcW w:type="dxa" w:w="1440"/>
            <w:shd w:fill="C6EFCE" w:val="clear"/>
          </w:tcPr>
          <w:p>
            <w:r>
              <w:rPr>
                <w:sz w:val="17"/>
              </w:rPr>
              <w:t>J+3  Moyenne</w:t>
            </w:r>
          </w:p>
        </w:tc>
        <w:tc>
          <w:tcPr>
            <w:tcW w:type="dxa" w:w="1440"/>
            <w:shd w:fill="C6EFCE" w:val="clear"/>
          </w:tcPr>
          <w:p>
            <w:r>
              <w:rPr>
                <w:sz w:val="17"/>
              </w:rPr>
              <w:t>2026-09-04</w:t>
            </w:r>
          </w:p>
        </w:tc>
        <w:tc>
          <w:tcPr>
            <w:tcW w:type="dxa" w:w="1440"/>
            <w:shd w:fill="C6EFCE" w:val="clear"/>
          </w:tcPr>
          <w:p>
            <w:r>
              <w:rPr>
                <w:sz w:val="17"/>
              </w:rPr>
              <w:t>3,710</w:t>
            </w:r>
          </w:p>
        </w:tc>
        <w:tc>
          <w:tcPr>
            <w:tcW w:type="dxa" w:w="1440"/>
            <w:shd w:fill="C6EFCE" w:val="clear"/>
          </w:tcPr>
          <w:p>
            <w:r>
              <w:rPr>
                <w:b/>
                <w:sz w:val="17"/>
              </w:rPr>
              <w:t>3,988</w:t>
            </w:r>
          </w:p>
        </w:tc>
        <w:tc>
          <w:tcPr>
            <w:tcW w:type="dxa" w:w="1440"/>
            <w:shd w:fill="C6EFCE" w:val="clear"/>
          </w:tcPr>
          <w:p>
            <w:r>
              <w:rPr>
                <w:sz w:val="17"/>
              </w:rPr>
              <w:t>4,266</w:t>
            </w:r>
          </w:p>
        </w:tc>
        <w:tc>
          <w:tcPr>
            <w:tcW w:type="dxa" w:w="1440"/>
            <w:shd w:fill="C6EFCE" w:val="clear"/>
          </w:tcPr>
          <w:p>
            <w:r>
              <w:rPr>
                <w:b/>
                <w:color w:val="008000"/>
                <w:sz w:val="17"/>
              </w:rPr>
              <w:t>+14.1%</w:t>
            </w:r>
          </w:p>
        </w:tc>
      </w:tr>
      <w:tr>
        <w:tc>
          <w:tcPr>
            <w:tcW w:type="dxa" w:w="1440"/>
            <w:shd w:fill="C6EFCE" w:val="clear"/>
          </w:tcPr>
          <w:p>
            <w:r>
              <w:rPr>
                <w:sz w:val="17"/>
              </w:rPr>
              <w:t>J+4  ⭐</w:t>
            </w:r>
          </w:p>
        </w:tc>
        <w:tc>
          <w:tcPr>
            <w:tcW w:type="dxa" w:w="1440"/>
            <w:shd w:fill="C6EFCE" w:val="clear"/>
          </w:tcPr>
          <w:p>
            <w:r>
              <w:rPr>
                <w:sz w:val="17"/>
              </w:rPr>
              <w:t>2026-09-07</w:t>
            </w:r>
          </w:p>
        </w:tc>
        <w:tc>
          <w:tcPr>
            <w:tcW w:type="dxa" w:w="1440"/>
            <w:shd w:fill="C6EFCE" w:val="clear"/>
          </w:tcPr>
          <w:p>
            <w:r>
              <w:rPr>
                <w:sz w:val="17"/>
              </w:rPr>
              <w:t>3,858</w:t>
            </w:r>
          </w:p>
        </w:tc>
        <w:tc>
          <w:tcPr>
            <w:tcW w:type="dxa" w:w="1440"/>
            <w:shd w:fill="C6EFCE" w:val="clear"/>
          </w:tcPr>
          <w:p>
            <w:r>
              <w:rPr>
                <w:b/>
                <w:sz w:val="17"/>
              </w:rPr>
              <w:t>4,195</w:t>
            </w:r>
          </w:p>
        </w:tc>
        <w:tc>
          <w:tcPr>
            <w:tcW w:type="dxa" w:w="1440"/>
            <w:shd w:fill="C6EFCE" w:val="clear"/>
          </w:tcPr>
          <w:p>
            <w:r>
              <w:rPr>
                <w:sz w:val="17"/>
              </w:rPr>
              <w:t>4,533</w:t>
            </w:r>
          </w:p>
        </w:tc>
        <w:tc>
          <w:tcPr>
            <w:tcW w:type="dxa" w:w="1440"/>
            <w:shd w:fill="C6EFCE" w:val="clear"/>
          </w:tcPr>
          <w:p>
            <w:r>
              <w:rPr>
                <w:b/>
                <w:color w:val="008000"/>
                <w:sz w:val="17"/>
              </w:rPr>
              <w:t>+20.0%</w:t>
            </w:r>
          </w:p>
        </w:tc>
      </w:tr>
      <w:tr>
        <w:tc>
          <w:tcPr>
            <w:tcW w:type="dxa" w:w="1440"/>
            <w:shd w:fill="C6EFCE" w:val="clear"/>
          </w:tcPr>
          <w:p>
            <w:r>
              <w:rPr>
                <w:sz w:val="17"/>
              </w:rPr>
              <w:t>J+5  ⭐</w:t>
            </w:r>
          </w:p>
        </w:tc>
        <w:tc>
          <w:tcPr>
            <w:tcW w:type="dxa" w:w="1440"/>
            <w:shd w:fill="C6EFCE" w:val="clear"/>
          </w:tcPr>
          <w:p>
            <w:r>
              <w:rPr>
                <w:sz w:val="17"/>
              </w:rPr>
              <w:t>2026-09-08</w:t>
            </w:r>
          </w:p>
        </w:tc>
        <w:tc>
          <w:tcPr>
            <w:tcW w:type="dxa" w:w="1440"/>
            <w:shd w:fill="C6EFCE" w:val="clear"/>
          </w:tcPr>
          <w:p>
            <w:r>
              <w:rPr>
                <w:sz w:val="17"/>
              </w:rPr>
              <w:t>4,029</w:t>
            </w:r>
          </w:p>
        </w:tc>
        <w:tc>
          <w:tcPr>
            <w:tcW w:type="dxa" w:w="1440"/>
            <w:shd w:fill="C6EFCE" w:val="clear"/>
          </w:tcPr>
          <w:p>
            <w:r>
              <w:rPr>
                <w:b/>
                <w:sz w:val="17"/>
              </w:rPr>
              <w:t>4,428</w:t>
            </w:r>
          </w:p>
        </w:tc>
        <w:tc>
          <w:tcPr>
            <w:tcW w:type="dxa" w:w="1440"/>
            <w:shd w:fill="C6EFCE" w:val="clear"/>
          </w:tcPr>
          <w:p>
            <w:r>
              <w:rPr>
                <w:sz w:val="17"/>
              </w:rPr>
              <w:t>4,826</w:t>
            </w:r>
          </w:p>
        </w:tc>
        <w:tc>
          <w:tcPr>
            <w:tcW w:type="dxa" w:w="1440"/>
            <w:shd w:fill="C6EFCE" w:val="clear"/>
          </w:tcPr>
          <w:p>
            <w:r>
              <w:rPr>
                <w:b/>
                <w:color w:val="008000"/>
                <w:sz w:val="17"/>
              </w:rPr>
              <w:t>+26.7%</w:t>
            </w:r>
          </w:p>
        </w:tc>
      </w:tr>
      <w:tr>
        <w:tc>
          <w:tcPr>
            <w:tcW w:type="dxa" w:w="1440"/>
            <w:shd w:fill="C6EFCE" w:val="clear"/>
          </w:tcPr>
          <w:p>
            <w:r>
              <w:rPr>
                <w:sz w:val="17"/>
              </w:rPr>
              <w:t>J+6  ⭐</w:t>
            </w:r>
          </w:p>
        </w:tc>
        <w:tc>
          <w:tcPr>
            <w:tcW w:type="dxa" w:w="1440"/>
            <w:shd w:fill="C6EFCE" w:val="clear"/>
          </w:tcPr>
          <w:p>
            <w:r>
              <w:rPr>
                <w:sz w:val="17"/>
              </w:rPr>
              <w:t>2026-09-09</w:t>
            </w:r>
          </w:p>
        </w:tc>
        <w:tc>
          <w:tcPr>
            <w:tcW w:type="dxa" w:w="1440"/>
            <w:shd w:fill="C6EFCE" w:val="clear"/>
          </w:tcPr>
          <w:p>
            <w:r>
              <w:rPr>
                <w:sz w:val="17"/>
              </w:rPr>
              <w:t>4,228</w:t>
            </w:r>
          </w:p>
        </w:tc>
        <w:tc>
          <w:tcPr>
            <w:tcW w:type="dxa" w:w="1440"/>
            <w:shd w:fill="C6EFCE" w:val="clear"/>
          </w:tcPr>
          <w:p>
            <w:r>
              <w:rPr>
                <w:b/>
                <w:sz w:val="17"/>
              </w:rPr>
              <w:t>4,690</w:t>
            </w:r>
          </w:p>
        </w:tc>
        <w:tc>
          <w:tcPr>
            <w:tcW w:type="dxa" w:w="1440"/>
            <w:shd w:fill="C6EFCE" w:val="clear"/>
          </w:tcPr>
          <w:p>
            <w:r>
              <w:rPr>
                <w:sz w:val="17"/>
              </w:rPr>
              <w:t>5,152</w:t>
            </w:r>
          </w:p>
        </w:tc>
        <w:tc>
          <w:tcPr>
            <w:tcW w:type="dxa" w:w="1440"/>
            <w:shd w:fill="C6EFCE" w:val="clear"/>
          </w:tcPr>
          <w:p>
            <w:r>
              <w:rPr>
                <w:b/>
                <w:color w:val="008000"/>
                <w:sz w:val="17"/>
              </w:rPr>
              <w:t>+34.2%</w:t>
            </w:r>
          </w:p>
        </w:tc>
      </w:tr>
      <w:tr>
        <w:tc>
          <w:tcPr>
            <w:tcW w:type="dxa" w:w="1440"/>
            <w:shd w:fill="C6EFCE" w:val="clear"/>
          </w:tcPr>
          <w:p>
            <w:r>
              <w:rPr>
                <w:sz w:val="17"/>
              </w:rPr>
              <w:t>J+7  ⭐</w:t>
            </w:r>
          </w:p>
        </w:tc>
        <w:tc>
          <w:tcPr>
            <w:tcW w:type="dxa" w:w="1440"/>
            <w:shd w:fill="C6EFCE" w:val="clear"/>
          </w:tcPr>
          <w:p>
            <w:r>
              <w:rPr>
                <w:sz w:val="17"/>
              </w:rPr>
              <w:t>2026-09-10</w:t>
            </w:r>
          </w:p>
        </w:tc>
        <w:tc>
          <w:tcPr>
            <w:tcW w:type="dxa" w:w="1440"/>
            <w:shd w:fill="C6EFCE" w:val="clear"/>
          </w:tcPr>
          <w:p>
            <w:r>
              <w:rPr>
                <w:sz w:val="17"/>
              </w:rPr>
              <w:t>4,461</w:t>
            </w:r>
          </w:p>
        </w:tc>
        <w:tc>
          <w:tcPr>
            <w:tcW w:type="dxa" w:w="1440"/>
            <w:shd w:fill="C6EFCE" w:val="clear"/>
          </w:tcPr>
          <w:p>
            <w:r>
              <w:rPr>
                <w:b/>
                <w:sz w:val="17"/>
              </w:rPr>
              <w:t>4,993</w:t>
            </w:r>
          </w:p>
        </w:tc>
        <w:tc>
          <w:tcPr>
            <w:tcW w:type="dxa" w:w="1440"/>
            <w:shd w:fill="C6EFCE" w:val="clear"/>
          </w:tcPr>
          <w:p>
            <w:r>
              <w:rPr>
                <w:sz w:val="17"/>
              </w:rPr>
              <w:t>5,524</w:t>
            </w:r>
          </w:p>
        </w:tc>
        <w:tc>
          <w:tcPr>
            <w:tcW w:type="dxa" w:w="1440"/>
            <w:shd w:fill="C6EFCE" w:val="clear"/>
          </w:tcPr>
          <w:p>
            <w:r>
              <w:rPr>
                <w:b/>
                <w:color w:val="008000"/>
                <w:sz w:val="17"/>
              </w:rPr>
              <w:t>+42.9%</w:t>
            </w:r>
          </w:p>
        </w:tc>
      </w:tr>
      <w:tr>
        <w:tc>
          <w:tcPr>
            <w:tcW w:type="dxa" w:w="1440"/>
            <w:shd w:fill="C6EFCE" w:val="clear"/>
          </w:tcPr>
          <w:p>
            <w:r>
              <w:rPr>
                <w:sz w:val="17"/>
              </w:rPr>
              <w:t>J+8  ⭐</w:t>
            </w:r>
          </w:p>
        </w:tc>
        <w:tc>
          <w:tcPr>
            <w:tcW w:type="dxa" w:w="1440"/>
            <w:shd w:fill="C6EFCE" w:val="clear"/>
          </w:tcPr>
          <w:p>
            <w:r>
              <w:rPr>
                <w:sz w:val="17"/>
              </w:rPr>
              <w:t>2026-09-11</w:t>
            </w:r>
          </w:p>
        </w:tc>
        <w:tc>
          <w:tcPr>
            <w:tcW w:type="dxa" w:w="1440"/>
            <w:shd w:fill="C6EFCE" w:val="clear"/>
          </w:tcPr>
          <w:p>
            <w:r>
              <w:rPr>
                <w:sz w:val="17"/>
              </w:rPr>
              <w:t>4,740</w:t>
            </w:r>
          </w:p>
        </w:tc>
        <w:tc>
          <w:tcPr>
            <w:tcW w:type="dxa" w:w="1440"/>
            <w:shd w:fill="C6EFCE" w:val="clear"/>
          </w:tcPr>
          <w:p>
            <w:r>
              <w:rPr>
                <w:b/>
                <w:sz w:val="17"/>
              </w:rPr>
              <w:t>5,349</w:t>
            </w:r>
          </w:p>
        </w:tc>
        <w:tc>
          <w:tcPr>
            <w:tcW w:type="dxa" w:w="1440"/>
            <w:shd w:fill="C6EFCE" w:val="clear"/>
          </w:tcPr>
          <w:p>
            <w:r>
              <w:rPr>
                <w:sz w:val="17"/>
              </w:rPr>
              <w:t>5,957</w:t>
            </w:r>
          </w:p>
        </w:tc>
        <w:tc>
          <w:tcPr>
            <w:tcW w:type="dxa" w:w="1440"/>
            <w:shd w:fill="C6EFCE" w:val="clear"/>
          </w:tcPr>
          <w:p>
            <w:r>
              <w:rPr>
                <w:b/>
                <w:color w:val="008000"/>
                <w:sz w:val="17"/>
              </w:rPr>
              <w:t>+53.0%</w:t>
            </w:r>
          </w:p>
        </w:tc>
      </w:tr>
      <w:tr>
        <w:tc>
          <w:tcPr>
            <w:tcW w:type="dxa" w:w="1440"/>
            <w:shd w:fill="C6EFCE" w:val="clear"/>
          </w:tcPr>
          <w:p>
            <w:r>
              <w:rPr>
                <w:sz w:val="17"/>
              </w:rPr>
              <w:t>J+9  ⭐</w:t>
            </w:r>
          </w:p>
        </w:tc>
        <w:tc>
          <w:tcPr>
            <w:tcW w:type="dxa" w:w="1440"/>
            <w:shd w:fill="C6EFCE" w:val="clear"/>
          </w:tcPr>
          <w:p>
            <w:r>
              <w:rPr>
                <w:sz w:val="17"/>
              </w:rPr>
              <w:t>2026-09-14</w:t>
            </w:r>
          </w:p>
        </w:tc>
        <w:tc>
          <w:tcPr>
            <w:tcW w:type="dxa" w:w="1440"/>
            <w:shd w:fill="C6EFCE" w:val="clear"/>
          </w:tcPr>
          <w:p>
            <w:r>
              <w:rPr>
                <w:sz w:val="17"/>
              </w:rPr>
              <w:t>5,056</w:t>
            </w:r>
          </w:p>
        </w:tc>
        <w:tc>
          <w:tcPr>
            <w:tcW w:type="dxa" w:w="1440"/>
            <w:shd w:fill="C6EFCE" w:val="clear"/>
          </w:tcPr>
          <w:p>
            <w:r>
              <w:rPr>
                <w:b/>
                <w:sz w:val="17"/>
              </w:rPr>
              <w:t>5,750</w:t>
            </w:r>
          </w:p>
        </w:tc>
        <w:tc>
          <w:tcPr>
            <w:tcW w:type="dxa" w:w="1440"/>
            <w:shd w:fill="C6EFCE" w:val="clear"/>
          </w:tcPr>
          <w:p>
            <w:r>
              <w:rPr>
                <w:sz w:val="17"/>
              </w:rPr>
              <w:t>6,444</w:t>
            </w:r>
          </w:p>
        </w:tc>
        <w:tc>
          <w:tcPr>
            <w:tcW w:type="dxa" w:w="1440"/>
            <w:shd w:fill="C6EFCE" w:val="clear"/>
          </w:tcPr>
          <w:p>
            <w:r>
              <w:rPr>
                <w:b/>
                <w:color w:val="008000"/>
                <w:sz w:val="17"/>
              </w:rPr>
              <w:t>+64.5%</w:t>
            </w:r>
          </w:p>
        </w:tc>
      </w:tr>
      <w:tr>
        <w:tc>
          <w:tcPr>
            <w:tcW w:type="dxa" w:w="1440"/>
            <w:shd w:fill="C6EFCE" w:val="clear"/>
          </w:tcPr>
          <w:p>
            <w:r>
              <w:rPr>
                <w:sz w:val="17"/>
              </w:rPr>
              <w:t>J+10  ⭐</w:t>
            </w:r>
          </w:p>
        </w:tc>
        <w:tc>
          <w:tcPr>
            <w:tcW w:type="dxa" w:w="1440"/>
            <w:shd w:fill="C6EFCE" w:val="clear"/>
          </w:tcPr>
          <w:p>
            <w:r>
              <w:rPr>
                <w:sz w:val="17"/>
              </w:rPr>
              <w:t>2026-09-15</w:t>
            </w:r>
          </w:p>
        </w:tc>
        <w:tc>
          <w:tcPr>
            <w:tcW w:type="dxa" w:w="1440"/>
            <w:shd w:fill="C6EFCE" w:val="clear"/>
          </w:tcPr>
          <w:p>
            <w:r>
              <w:rPr>
                <w:sz w:val="17"/>
              </w:rPr>
              <w:t>5,395</w:t>
            </w:r>
          </w:p>
        </w:tc>
        <w:tc>
          <w:tcPr>
            <w:tcW w:type="dxa" w:w="1440"/>
            <w:shd w:fill="C6EFCE" w:val="clear"/>
          </w:tcPr>
          <w:p>
            <w:r>
              <w:rPr>
                <w:b/>
                <w:sz w:val="17"/>
              </w:rPr>
              <w:t>6,181</w:t>
            </w:r>
          </w:p>
        </w:tc>
        <w:tc>
          <w:tcPr>
            <w:tcW w:type="dxa" w:w="1440"/>
            <w:shd w:fill="C6EFCE" w:val="clear"/>
          </w:tcPr>
          <w:p>
            <w:r>
              <w:rPr>
                <w:sz w:val="17"/>
              </w:rPr>
              <w:t>6,967</w:t>
            </w:r>
          </w:p>
        </w:tc>
        <w:tc>
          <w:tcPr>
            <w:tcW w:type="dxa" w:w="1440"/>
            <w:shd w:fill="C6EFCE" w:val="clear"/>
          </w:tcPr>
          <w:p>
            <w:r>
              <w:rPr>
                <w:b/>
                <w:color w:val="008000"/>
                <w:sz w:val="17"/>
              </w:rPr>
              <w:t>+76.9%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1er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20,69 milliards FCFA, un niveau modeste qui la classe parmi les valeurs de taille moyenne sur la BRVM. Avec un BPA de 243 FCFA, le titre se négocie à un PER de 14,4x, ce qui est supérieur à la moyenne historique du marché (8-12x). Les investisseurs paient donc une prime, probablement justifiée par les perspectives de croissance du secteur des infrastructures. Le P/B de 2,21x indique que le marché valorise la société à plus du double de sa valeur comptable, signe d'une anticipation de croissance future. Enfin, l'EV/EBITDA de 7,3x se situe dans une fourchette raisonnable (5-10x), suggérant que la valorisation de l'entreprise par rapport à sa capacité opérationnelle n'est pas excessive, malgré un PER élevé.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subi une forte correction de -17,57%, passant de ses plus hauts à proximité de ses plus bas. Le cours actuel de 3 495 FCFA se situe près du point le plus bas de la période (3 350 FCFA), tandis que le plus haut a atteint 4 500 FCFA. La moyenne du cours sur la période est de 3 764 FCFA, supérieure à la médiane (3 698 FCFA), ce qui, combiné à un skewness positif de 0,794, confirme une asymétrie avec des journées plus nombreuses sous la moyenne, tirant le cours vers le bas. L'écart-type de 289 FCFA (CV=7,7%) indique une dispersion modérée autour de la moyenne. Le kurtosis proche de zéro (-0,098) suggère une distribution normale sans risque de variations extrêmes. La volatilité annualisée de 51,8% est très élevée (&gt;30%), reflétant un risque de marché important pour ce titre.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(3 495 FCFA) est inférieur à la MM20 (3 550 FCFA) et nettement sous la MM50 (3 783,7 FCFA). Cette configuration en pente descendante est un signal baissier classique, confirmant la tendance négative de moyen terme. La décision de "Vente" est justifiée par cette dynamique défavorable.</w:t>
      </w:r>
    </w:p>
    <w:p>
      <w:pPr>
        <w:spacing w:after="120" w:line="276" w:lineRule="auto"/>
      </w:pPr>
      <w:r>
        <w:t>**Bandes de Bollinger** : Le prix se situe à 3 495 FCFA, entre la borne inférieure (3 400,3 FCFA) et la borne supérieure (3 699,7 FCFA). La position proche de la borne inférieure, sans la toucher, indique une pression vendeuse persistante mais sans condition de survente extrême. La décision "Neutre" est cohérente, le titre évoluant dans un canal sans signal directionnel fort.</w:t>
      </w:r>
    </w:p>
    <w:p>
      <w:pPr>
        <w:spacing w:after="120" w:line="276" w:lineRule="auto"/>
      </w:pPr>
      <w:r>
        <w:t>**MACD** : La valeur du MACD (-59,16) est négative mais légèrement supérieure à sa ligne de signal (-62,68). Ce croisement haussier, bien que marginal, suggère un ralentissement du momentum baissier. La décision "Achat" est un signal précoce de possible retournement, mais il doit être confirmé par d'autres indicateurs.</w:t>
      </w:r>
    </w:p>
    <w:p>
      <w:pPr>
        <w:spacing w:after="120" w:line="276" w:lineRule="auto"/>
      </w:pPr>
      <w:r>
        <w:t>**RSI** : Avec une valeur de 49,43, le RSI se situe en zone neutre (30-70), indiquant un équilibre entre les forces acheteuses et vendeuses. Il n'y a pas de condition de surachat ou de survente. La décision "Neutre" est appropriée, le titre n'étant ni surévalué ni sous-évalué à court terme.</w:t>
      </w:r>
    </w:p>
    <w:p>
      <w:pPr>
        <w:spacing w:after="120" w:line="276" w:lineRule="auto"/>
      </w:pPr>
      <w:r>
        <w:t>**Stochastique** : Les valeurs de %K et %D sont très basses (2,33), ce qui place le titre en zone de survente extrême. Ce niveau signale que le mouvement baissier est probablement épuisé à court terme, ouvrant la voie à un rebond technique. La décision "Achat" est justifiée par cette condition de survente sévère.</w:t>
      </w:r>
    </w:p>
    <w:p>
      <w:pPr>
        <w:spacing w:after="120" w:line="276" w:lineRule="auto"/>
      </w:pPr>
      <w:r>
        <w:t>**Conclusion technique** : Les indicateurs sont mitigés. Les moyennes mobiles confirment la tendance baissière de fond, tandis que le MACD et le Stochastique, en zone de survente, suggèrent un potentiel de rebond technique à court terme. Le RSI neutre et les Bandes de Bollinger ne fournissent pas de signal clair. Globalement, le titre est dans une phase de stabilisation après une forte baisse, avec des signaux contradictoires entre la tendance de moyen terme et les conditions de court terme.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CABC a réalisé un chiffre d'affaires de 21,263 milliards FCFA, en croissance de +11,2% par rapport à 2024 (19,125 Mds FCFA). Le résultat net s'établit à 1,439 milliard FCFA, contre une perte de 1,225 milliard en 2024, marquant un retour spectaculaire à la profitabilité. Cette performance est confirmée par un ROE de 15,4% et un ROA de 6,1%, signes d'une bonne rentabilité des fonds propres et des actifs. La marge nette s'améliore à 6,8%. Cependant, la structure financière révèle des points de vigilance : le BFR est élevé à 7,186 milliards FCFA, avec des délais de paiement clients très longs (144,7 jours) et une durée de stockage de 152 jours, immobilisant une part importante du capital. Les flux de trésorerie opérationnels sont négatifs (-819,7 millions FCFA), et le free cash-flow est également négatif (-982,7 millions FCFA). Les rapports narratifs de Mistral (datés du 15 mars 2026) sur l'exercice 2025 et 2024 divergent sur l'interprétation des pertes, mais les données structurées de 2025 montrent un bénéfice net. Les rapports semestriels et du 3ème trimestre 2025 confirment cette dynamique positive, avec un résultat net de 851,5 millions FCFA au S1 (+55,3%) et de 1 329,5 millions sur 9 mois (+26%). Sur la base de ces rapports trimestriels, on estime que la tendance positive s'est poursuivie, avec une croissance du CA portée par le négoce et les services. La société a également versé un dividende de 758 millions FCFA en 2025 (taux de distribution de 52,7%), ce qui est un signal fort de confiance de la direction, malgré une trésorerie en baisse à 5,139 milliards FCFA. En conclusion, les fondamentaux de CABC se sont nettement améliorés en 2025, avec un retour à la rentabilité, mais la gestion du BFR et des flux de trésorerie reste un défi majeur.</w:t>
      </w:r>
    </w:p>
    <w:p>
      <w:pPr>
        <w:spacing w:after="120" w:line="276" w:lineRule="auto"/>
      </w:pPr>
      <w:r>
        <w:t>---</w:t>
      </w:r>
    </w:p>
    <w:p>
      <w:pPr>
        <w:spacing w:after="120" w:line="276" w:lineRule="auto"/>
      </w:pPr>
      <w:r>
        <w:t>### PARTIE 4 : CONCLUSION D'INVESTISSEMENT</w:t>
      </w:r>
    </w:p>
    <w:p>
      <w:pPr>
        <w:spacing w:after="120" w:line="276" w:lineRule="auto"/>
      </w:pPr>
      <w:r>
        <w:t>La valorisation de CABC (PER 14,4x, P/B 2,21x) est exigeante, intégrant une forte croissance future. Le comportement du cours sur 100 jours est baissier (-17,6%), avec une volatilité très élevée (51,8%) et une asymétrie négative, ce qui est préoccupant. Les signaux techniques sont mitigés : la tendance de fond est baissière (MM), mais des signaux de rebond technique apparaissent (MACD, Stochastique en survente). Les fondamentaux, eux, sont en nette amélioration, avec un retour à un bénéfice net substantiel en 2025 et des perspectives de croissance soutenues par les rapports trimestriels. Les prédictions IA pour les 10 prochains jours anticipent une forte hausse du cours (de 3 652 à 4 428 FCFA), ce qui contredit la tendance récente mais est cohérent avec les signaux de survente technique. En synthèse, la convergence entre l'amélioration fondamentale et le potentiel de rebond technique est forte, mais la valorisation élevée et la volatilité passée incitent à la prudence. **Recommandation finale : ACHAT** pour les investisseurs ayant un horizon de moyen terme (3-12 mois), avec un niveau de confiance **Moyen** et un risque global **Élevé**. Il est conseillé de surveiller la gestion du BFR et la capacité de la société à maintenir sa rentabilité.</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979.36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1,455 titres</w:t>
            </w:r>
          </w:p>
        </w:tc>
        <w:tc>
          <w:tcPr>
            <w:tcW w:type="dxa" w:w="2268"/>
            <w:shd w:fill="FFF2CC" w:val="clear"/>
          </w:tcPr>
          <w:p>
            <w:r>
              <w:rPr>
                <w:b/>
                <w:color w:val="503200"/>
                <w:sz w:val="16"/>
              </w:rPr>
              <w:t xml:space="preserve">Cours actuel : </w:t>
            </w:r>
            <w:r>
              <w:rPr>
                <w:color w:val="000000"/>
                <w:sz w:val="17"/>
              </w:rPr>
              <w:t>30,605 FCFA</w:t>
            </w:r>
          </w:p>
          <w:p>
            <w:r>
              <w:rPr>
                <w:b/>
                <w:color w:val="503200"/>
                <w:sz w:val="16"/>
              </w:rPr>
              <w:t xml:space="preserve">Var. 100 jours : </w:t>
            </w:r>
            <w:r>
              <w:rPr>
                <w:b/>
                <w:color w:val="007800"/>
                <w:sz w:val="17"/>
              </w:rPr>
              <w:t>+104.03%</w:t>
            </w:r>
          </w:p>
          <w:p>
            <w:r>
              <w:rPr>
                <w:b/>
                <w:color w:val="503200"/>
                <w:sz w:val="16"/>
              </w:rPr>
              <w:t xml:space="preserve">Plus haut 100j : </w:t>
            </w:r>
            <w:r>
              <w:rPr>
                <w:color w:val="000000"/>
                <w:sz w:val="17"/>
              </w:rPr>
              <w:t>30,605 FCFA</w:t>
            </w:r>
          </w:p>
          <w:p>
            <w:r>
              <w:rPr>
                <w:b/>
                <w:color w:val="503200"/>
                <w:sz w:val="16"/>
              </w:rPr>
              <w:t xml:space="preserve">Plus bas 100j : </w:t>
            </w:r>
            <w:r>
              <w:rPr>
                <w:color w:val="000000"/>
                <w:sz w:val="17"/>
              </w:rPr>
              <w:t>15,000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21.80% (Élevée) — μ=22,974 FCFA, σ=5,007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β=0.8112 (Neutre (suit le marché)) — Cov=0.000030, Var(idx)=0.000037, ρ=0.187,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598627"/>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2026-09-02</w:t>
            </w:r>
          </w:p>
        </w:tc>
        <w:tc>
          <w:tcPr>
            <w:tcW w:type="dxa" w:w="1440"/>
            <w:shd w:fill="FFDCE0" w:val="clear"/>
          </w:tcPr>
          <w:p>
            <w:r>
              <w:rPr>
                <w:sz w:val="17"/>
              </w:rPr>
              <w:t>27,473</w:t>
            </w:r>
          </w:p>
        </w:tc>
        <w:tc>
          <w:tcPr>
            <w:tcW w:type="dxa" w:w="1440"/>
            <w:shd w:fill="FFDCE0" w:val="clear"/>
          </w:tcPr>
          <w:p>
            <w:r>
              <w:rPr>
                <w:b/>
                <w:sz w:val="17"/>
              </w:rPr>
              <w:t>28,310</w:t>
            </w:r>
          </w:p>
        </w:tc>
        <w:tc>
          <w:tcPr>
            <w:tcW w:type="dxa" w:w="1440"/>
            <w:shd w:fill="FFDCE0" w:val="clear"/>
          </w:tcPr>
          <w:p>
            <w:r>
              <w:rPr>
                <w:sz w:val="17"/>
              </w:rPr>
              <w:t>29,146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25,093</w:t>
            </w:r>
          </w:p>
        </w:tc>
        <w:tc>
          <w:tcPr>
            <w:tcW w:type="dxa" w:w="1440"/>
            <w:shd w:fill="FFDCE0" w:val="clear"/>
          </w:tcPr>
          <w:p>
            <w:r>
              <w:rPr>
                <w:b/>
                <w:sz w:val="17"/>
              </w:rPr>
              <w:t>26,186</w:t>
            </w:r>
          </w:p>
        </w:tc>
        <w:tc>
          <w:tcPr>
            <w:tcW w:type="dxa" w:w="1440"/>
            <w:shd w:fill="FFDCE0" w:val="clear"/>
          </w:tcPr>
          <w:p>
            <w:r>
              <w:rPr>
                <w:sz w:val="17"/>
              </w:rPr>
              <w:t>27,280</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22,983</w:t>
            </w:r>
          </w:p>
        </w:tc>
        <w:tc>
          <w:tcPr>
            <w:tcW w:type="dxa" w:w="1440"/>
            <w:shd w:fill="FFDCE0" w:val="clear"/>
          </w:tcPr>
          <w:p>
            <w:r>
              <w:rPr>
                <w:b/>
                <w:sz w:val="17"/>
              </w:rPr>
              <w:t>24,222</w:t>
            </w:r>
          </w:p>
        </w:tc>
        <w:tc>
          <w:tcPr>
            <w:tcW w:type="dxa" w:w="1440"/>
            <w:shd w:fill="FFDCE0" w:val="clear"/>
          </w:tcPr>
          <w:p>
            <w:r>
              <w:rPr>
                <w:sz w:val="17"/>
              </w:rPr>
              <w:t>25,462</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2026-09-07</w:t>
            </w:r>
          </w:p>
        </w:tc>
        <w:tc>
          <w:tcPr>
            <w:tcW w:type="dxa" w:w="1440"/>
            <w:shd w:fill="FFDCE0" w:val="clear"/>
          </w:tcPr>
          <w:p>
            <w:r>
              <w:rPr>
                <w:sz w:val="17"/>
              </w:rPr>
              <w:t>21,082</w:t>
            </w:r>
          </w:p>
        </w:tc>
        <w:tc>
          <w:tcPr>
            <w:tcW w:type="dxa" w:w="1440"/>
            <w:shd w:fill="FFDCE0" w:val="clear"/>
          </w:tcPr>
          <w:p>
            <w:r>
              <w:rPr>
                <w:b/>
                <w:sz w:val="17"/>
              </w:rPr>
              <w:t>22,406</w:t>
            </w:r>
          </w:p>
        </w:tc>
        <w:tc>
          <w:tcPr>
            <w:tcW w:type="dxa" w:w="1440"/>
            <w:shd w:fill="FFDCE0" w:val="clear"/>
          </w:tcPr>
          <w:p>
            <w:r>
              <w:rPr>
                <w:sz w:val="17"/>
              </w:rPr>
              <w:t>23,729</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2026-09-08</w:t>
            </w:r>
          </w:p>
        </w:tc>
        <w:tc>
          <w:tcPr>
            <w:tcW w:type="dxa" w:w="1440"/>
            <w:shd w:fill="FFDCE0" w:val="clear"/>
          </w:tcPr>
          <w:p>
            <w:r>
              <w:rPr>
                <w:sz w:val="17"/>
              </w:rPr>
              <w:t>19,356</w:t>
            </w:r>
          </w:p>
        </w:tc>
        <w:tc>
          <w:tcPr>
            <w:tcW w:type="dxa" w:w="1440"/>
            <w:shd w:fill="FFDCE0" w:val="clear"/>
          </w:tcPr>
          <w:p>
            <w:r>
              <w:rPr>
                <w:b/>
                <w:sz w:val="17"/>
              </w:rPr>
              <w:t>20,725</w:t>
            </w:r>
          </w:p>
        </w:tc>
        <w:tc>
          <w:tcPr>
            <w:tcW w:type="dxa" w:w="1440"/>
            <w:shd w:fill="FFDCE0" w:val="clear"/>
          </w:tcPr>
          <w:p>
            <w:r>
              <w:rPr>
                <w:sz w:val="17"/>
              </w:rPr>
              <w:t>22,094</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2026-09-09</w:t>
            </w:r>
          </w:p>
        </w:tc>
        <w:tc>
          <w:tcPr>
            <w:tcW w:type="dxa" w:w="1440"/>
            <w:shd w:fill="FFDCE0" w:val="clear"/>
          </w:tcPr>
          <w:p>
            <w:r>
              <w:rPr>
                <w:sz w:val="17"/>
              </w:rPr>
              <w:t>17,883</w:t>
            </w:r>
          </w:p>
        </w:tc>
        <w:tc>
          <w:tcPr>
            <w:tcW w:type="dxa" w:w="1440"/>
            <w:shd w:fill="FFDCE0" w:val="clear"/>
          </w:tcPr>
          <w:p>
            <w:r>
              <w:rPr>
                <w:b/>
                <w:sz w:val="17"/>
              </w:rPr>
              <w:t>19,278</w:t>
            </w:r>
          </w:p>
        </w:tc>
        <w:tc>
          <w:tcPr>
            <w:tcW w:type="dxa" w:w="1440"/>
            <w:shd w:fill="FFDCE0" w:val="clear"/>
          </w:tcPr>
          <w:p>
            <w:r>
              <w:rPr>
                <w:sz w:val="17"/>
              </w:rPr>
              <w:t>20,673</w:t>
            </w:r>
          </w:p>
        </w:tc>
        <w:tc>
          <w:tcPr>
            <w:tcW w:type="dxa" w:w="1440"/>
            <w:shd w:fill="FFDCE0" w:val="clear"/>
          </w:tcPr>
          <w:p>
            <w:r>
              <w:rPr>
                <w:b/>
                <w:color w:val="C00000"/>
                <w:sz w:val="17"/>
              </w:rPr>
              <w:t>-37.0%</w:t>
            </w:r>
          </w:p>
        </w:tc>
      </w:tr>
      <w:tr>
        <w:tc>
          <w:tcPr>
            <w:tcW w:type="dxa" w:w="1440"/>
            <w:shd w:fill="FFDCE0" w:val="clear"/>
          </w:tcPr>
          <w:p>
            <w:r>
              <w:rPr>
                <w:sz w:val="17"/>
              </w:rPr>
              <w:t>J+7  Moyenne</w:t>
            </w:r>
          </w:p>
        </w:tc>
        <w:tc>
          <w:tcPr>
            <w:tcW w:type="dxa" w:w="1440"/>
            <w:shd w:fill="FFDCE0" w:val="clear"/>
          </w:tcPr>
          <w:p>
            <w:r>
              <w:rPr>
                <w:sz w:val="17"/>
              </w:rPr>
              <w:t>2026-09-10</w:t>
            </w:r>
          </w:p>
        </w:tc>
        <w:tc>
          <w:tcPr>
            <w:tcW w:type="dxa" w:w="1440"/>
            <w:shd w:fill="FFDCE0" w:val="clear"/>
          </w:tcPr>
          <w:p>
            <w:r>
              <w:rPr>
                <w:sz w:val="17"/>
              </w:rPr>
              <w:t>17,305</w:t>
            </w:r>
          </w:p>
        </w:tc>
        <w:tc>
          <w:tcPr>
            <w:tcW w:type="dxa" w:w="1440"/>
            <w:shd w:fill="FFDCE0" w:val="clear"/>
          </w:tcPr>
          <w:p>
            <w:r>
              <w:rPr>
                <w:b/>
                <w:sz w:val="17"/>
              </w:rPr>
              <w:t>18,772</w:t>
            </w:r>
          </w:p>
        </w:tc>
        <w:tc>
          <w:tcPr>
            <w:tcW w:type="dxa" w:w="1440"/>
            <w:shd w:fill="FFDCE0" w:val="clear"/>
          </w:tcPr>
          <w:p>
            <w:r>
              <w:rPr>
                <w:sz w:val="17"/>
              </w:rPr>
              <w:t>20,239</w:t>
            </w:r>
          </w:p>
        </w:tc>
        <w:tc>
          <w:tcPr>
            <w:tcW w:type="dxa" w:w="1440"/>
            <w:shd w:fill="FFDCE0" w:val="clear"/>
          </w:tcPr>
          <w:p>
            <w:r>
              <w:rPr>
                <w:b/>
                <w:color w:val="C00000"/>
                <w:sz w:val="17"/>
              </w:rPr>
              <w:t>-38.7%</w:t>
            </w:r>
          </w:p>
        </w:tc>
      </w:tr>
      <w:tr>
        <w:tc>
          <w:tcPr>
            <w:tcW w:type="dxa" w:w="1440"/>
            <w:shd w:fill="FFDCE0" w:val="clear"/>
          </w:tcPr>
          <w:p>
            <w:r>
              <w:rPr>
                <w:sz w:val="17"/>
              </w:rPr>
              <w:t>J+8  Moyenne</w:t>
            </w:r>
          </w:p>
        </w:tc>
        <w:tc>
          <w:tcPr>
            <w:tcW w:type="dxa" w:w="1440"/>
            <w:shd w:fill="FFDCE0" w:val="clear"/>
          </w:tcPr>
          <w:p>
            <w:r>
              <w:rPr>
                <w:sz w:val="17"/>
              </w:rPr>
              <w:t>2026-09-11</w:t>
            </w:r>
          </w:p>
        </w:tc>
        <w:tc>
          <w:tcPr>
            <w:tcW w:type="dxa" w:w="1440"/>
            <w:shd w:fill="FFDCE0" w:val="clear"/>
          </w:tcPr>
          <w:p>
            <w:r>
              <w:rPr>
                <w:sz w:val="17"/>
              </w:rPr>
              <w:t>16,791</w:t>
            </w:r>
          </w:p>
        </w:tc>
        <w:tc>
          <w:tcPr>
            <w:tcW w:type="dxa" w:w="1440"/>
            <w:shd w:fill="FFDCE0" w:val="clear"/>
          </w:tcPr>
          <w:p>
            <w:r>
              <w:rPr>
                <w:b/>
                <w:sz w:val="17"/>
              </w:rPr>
              <w:t>18,322</w:t>
            </w:r>
          </w:p>
        </w:tc>
        <w:tc>
          <w:tcPr>
            <w:tcW w:type="dxa" w:w="1440"/>
            <w:shd w:fill="FFDCE0" w:val="clear"/>
          </w:tcPr>
          <w:p>
            <w:r>
              <w:rPr>
                <w:sz w:val="17"/>
              </w:rPr>
              <w:t>19,852</w:t>
            </w:r>
          </w:p>
        </w:tc>
        <w:tc>
          <w:tcPr>
            <w:tcW w:type="dxa" w:w="1440"/>
            <w:shd w:fill="FFDCE0" w:val="clear"/>
          </w:tcPr>
          <w:p>
            <w:r>
              <w:rPr>
                <w:b/>
                <w:color w:val="C00000"/>
                <w:sz w:val="17"/>
              </w:rPr>
              <w:t>-40.1%</w:t>
            </w:r>
          </w:p>
        </w:tc>
      </w:tr>
      <w:tr>
        <w:tc>
          <w:tcPr>
            <w:tcW w:type="dxa" w:w="1440"/>
            <w:shd w:fill="FFDCE0" w:val="clear"/>
          </w:tcPr>
          <w:p>
            <w:r>
              <w:rPr>
                <w:sz w:val="17"/>
              </w:rPr>
              <w:t>J+9  Moyenne</w:t>
            </w:r>
          </w:p>
        </w:tc>
        <w:tc>
          <w:tcPr>
            <w:tcW w:type="dxa" w:w="1440"/>
            <w:shd w:fill="FFDCE0" w:val="clear"/>
          </w:tcPr>
          <w:p>
            <w:r>
              <w:rPr>
                <w:sz w:val="17"/>
              </w:rPr>
              <w:t>2026-09-14</w:t>
            </w:r>
          </w:p>
        </w:tc>
        <w:tc>
          <w:tcPr>
            <w:tcW w:type="dxa" w:w="1440"/>
            <w:shd w:fill="FFDCE0" w:val="clear"/>
          </w:tcPr>
          <w:p>
            <w:r>
              <w:rPr>
                <w:sz w:val="17"/>
              </w:rPr>
              <w:t>16,329</w:t>
            </w:r>
          </w:p>
        </w:tc>
        <w:tc>
          <w:tcPr>
            <w:tcW w:type="dxa" w:w="1440"/>
            <w:shd w:fill="FFDCE0" w:val="clear"/>
          </w:tcPr>
          <w:p>
            <w:r>
              <w:rPr>
                <w:b/>
                <w:sz w:val="17"/>
              </w:rPr>
              <w:t>17,916</w:t>
            </w:r>
          </w:p>
        </w:tc>
        <w:tc>
          <w:tcPr>
            <w:tcW w:type="dxa" w:w="1440"/>
            <w:shd w:fill="FFDCE0" w:val="clear"/>
          </w:tcPr>
          <w:p>
            <w:r>
              <w:rPr>
                <w:sz w:val="17"/>
              </w:rPr>
              <w:t>19,504</w:t>
            </w:r>
          </w:p>
        </w:tc>
        <w:tc>
          <w:tcPr>
            <w:tcW w:type="dxa" w:w="1440"/>
            <w:shd w:fill="FFDCE0" w:val="clear"/>
          </w:tcPr>
          <w:p>
            <w:r>
              <w:rPr>
                <w:b/>
                <w:color w:val="C00000"/>
                <w:sz w:val="17"/>
              </w:rPr>
              <w:t>-41.5%</w:t>
            </w:r>
          </w:p>
        </w:tc>
      </w:tr>
      <w:tr>
        <w:tc>
          <w:tcPr>
            <w:tcW w:type="dxa" w:w="1440"/>
            <w:shd w:fill="FFDCE0" w:val="clear"/>
          </w:tcPr>
          <w:p>
            <w:r>
              <w:rPr>
                <w:sz w:val="17"/>
              </w:rPr>
              <w:t>J+10  Moyenne</w:t>
            </w:r>
          </w:p>
        </w:tc>
        <w:tc>
          <w:tcPr>
            <w:tcW w:type="dxa" w:w="1440"/>
            <w:shd w:fill="FFDCE0" w:val="clear"/>
          </w:tcPr>
          <w:p>
            <w:r>
              <w:rPr>
                <w:sz w:val="17"/>
              </w:rPr>
              <w:t>2026-09-15</w:t>
            </w:r>
          </w:p>
        </w:tc>
        <w:tc>
          <w:tcPr>
            <w:tcW w:type="dxa" w:w="1440"/>
            <w:shd w:fill="FFDCE0" w:val="clear"/>
          </w:tcPr>
          <w:p>
            <w:r>
              <w:rPr>
                <w:sz w:val="17"/>
              </w:rPr>
              <w:t>15,909</w:t>
            </w:r>
          </w:p>
        </w:tc>
        <w:tc>
          <w:tcPr>
            <w:tcW w:type="dxa" w:w="1440"/>
            <w:shd w:fill="FFDCE0" w:val="clear"/>
          </w:tcPr>
          <w:p>
            <w:r>
              <w:rPr>
                <w:b/>
                <w:sz w:val="17"/>
              </w:rPr>
              <w:t>17,548</w:t>
            </w:r>
          </w:p>
        </w:tc>
        <w:tc>
          <w:tcPr>
            <w:tcW w:type="dxa" w:w="1440"/>
            <w:shd w:fill="FFDCE0" w:val="clear"/>
          </w:tcPr>
          <w:p>
            <w:r>
              <w:rPr>
                <w:sz w:val="17"/>
              </w:rPr>
              <w:t>19,187</w:t>
            </w:r>
          </w:p>
        </w:tc>
        <w:tc>
          <w:tcPr>
            <w:tcW w:type="dxa" w:w="1440"/>
            <w:shd w:fill="FFDCE0" w:val="clear"/>
          </w:tcPr>
          <w:p>
            <w:r>
              <w:rPr>
                <w:b/>
                <w:color w:val="C00000"/>
                <w:sz w:val="17"/>
              </w:rPr>
              <w:t>-42.7%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01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979,36 milliards FCFA, un niveau qui la positionne parmi les poids lourds de la BRVM, reflétant la confiance des investisseurs dans ce leader bancaire régional. Avec un BPA de 2 047 FCFA, chaque action génère un bénéfice substantiel, ce qui justifie un PER de 15,0x. Ce ratio est supérieur à la moyenne historique de la BRVM (8-12x), indiquant que le marché valorise déjà généreusement les bénéfices de la banque, intégrant des perspectives de croissance future. L'EV/EBITDA de 11,1x, bien que dans une fourchette de valorisation élevée, confirme que les investisseurs sont prêts à payer une prime pour la capacité opérationnelle de l'entreprise. Le ratio P/B n'est pas disponible dans les données fournies, mais l'ensemble des autres indicateurs suggère une valorisation qui a rattrapé, voire dépassé, les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connu une progression spectaculaire de +104,03%, passant d'un plus bas de 15 000 FCFA à un plus haut historique de 30 605 FCFA, avec une dernière séance en hausse de +3,29%. Cette tendance est fortement haussière. Les statistiques descriptives montrent une moyenne de 22 974 FCFA et une médiane de 22 000 FCFA, indiquant une distribution relativement symétrique, ce que confirme le skewness de -0,099. L'écart-type de 5 033 FCFA (CV=21,9%) révèle une dispersion modérée des prix autour de la moyenne. Le kurtosis en excès de -1,356 (platykurtique) suggère une distribution aplatie avec moins de valeurs extrêmes que la normale, indiquant un risque de "pics" de prix plus faible. La volatilité annualisée de 41,6% est élevée (&gt;30%), signe d'un titre très dynamique mais également risqué à court terme, ce qui est cohérent avec sa forte appréciation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(30 605 FCFA) est nettement au-dessus de la MM20 (28 945,25 FCFA) et de la MM50 (27 233,6 FCFA). Cette configuration haussière, où les moyennes sont orientées à la hausse, confirme la vigueur de la tendance et justifie la décision d'**Achat**.</w:t>
      </w:r>
    </w:p>
    <w:p>
      <w:pPr>
        <w:spacing w:after="120" w:line="276" w:lineRule="auto"/>
      </w:pPr>
      <w:r>
        <w:t>**Bandes de Bollinger :** Le prix a franchi la borne supérieure (30 233,33 FCFA), ce qui signale une condition de surachat extrême à très court terme. Historiquement, un tel dépassement est souvent suivi d'une consolidation ou d'un repli technique, d'où la décision de **Vente** pour un horizon immédiat.</w:t>
      </w:r>
    </w:p>
    <w:p>
      <w:pPr>
        <w:spacing w:after="120" w:line="276" w:lineRule="auto"/>
      </w:pPr>
      <w:r>
        <w:t>**MACD :** Le MACD (743,895) est nettement au-dessus de sa ligne de signal (710,106), avec les deux indicateurs en territoire positif. Cette configuration classique de croisement haussier indique un momentum positif persistant, justifiant la décision d'**Achat**.</w:t>
      </w:r>
    </w:p>
    <w:p>
      <w:pPr>
        <w:spacing w:after="120" w:line="276" w:lineRule="auto"/>
      </w:pPr>
      <w:r>
        <w:t>**RSI :** Le RSI à 66,13 est en zone neutre, mais proche de la zone de surachat (70). Cela indique que la pression acheteuse est forte mais pas encore excessive, laissant une marge de progression avant une potentielle correction. La décision est **Neutre**.</w:t>
      </w:r>
    </w:p>
    <w:p>
      <w:pPr>
        <w:spacing w:after="120" w:line="276" w:lineRule="auto"/>
      </w:pPr>
      <w:r>
        <w:t>**Stochastique :** Le %K (100,0) est extrêmement suracheté et nettement au-dessus de son %D (84,768). Ce croisement en zone de surachat extrême est un signal puissant de **Vente** à court terme, suggérant un épuisement probable des acheteurs.</w:t>
      </w:r>
    </w:p>
    <w:p>
      <w:pPr>
        <w:spacing w:after="120" w:line="276" w:lineRule="auto"/>
      </w:pPr>
      <w:r>
        <w:t>**Conclusion technique :** Les indicateurs de tendance (MM, MACD) sont résolument haussiers, mais les oscillateurs de momentum (Stochastique, Bandes de Bollinger) crient à la surachat. La tendance de fond est positive, mais un repli technique est très probable à court terme pour "respirer" après une hausse aussi rapide.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pour l'exercice 2025 confirment la solidité du modèle de banque commerciale de CBIBF. Le Produit Net Bancaire (PNB) s'établit à 138,986 milliards FCFA, en croissance de +6,1%, générant un Résultat Net de 65,495 milliards FCFA, soit une progression remarquable de +36,6% par rapport à 2024. Cette performance est portée par une excellente maîtrise des coûts, avec un coefficient d'exploitation de 36,4%, bien en deçà du seuil d'excellence de 50%. La banque affiche une marge nette de 47,1% et un ROA de 2,18%, démontrant une forte capacité à rentabiliser ses actifs. Le coût du risque, qui avait grevé les résultats 2024 (+72,5%), s'est significativement amélioré en 2025 (-59,3%), traduisant une meilleure qualité du portefeuille de crédits. Les dépôts clients (2 015,3 Mds FCFA) progressent de +14,9%, finançant un portefeuille de crédits en hausse de +5,4% (1 327 Mds FCFA), ce qui illustre une transformation saine. Les rapports trimestriels de 2025 (T1, S1, T3) confirment cette trajectoire ascendante. Sur la base du rapport T1 2026, qui fait état d'un PNB en hausse de +28,5% et d'un résultat net en progression de +22,2%, on estime que l'exercice 2026 pourrait dépasser les performances de 2025, consolidant la position de leader de la banque au Burkina Faso.</w:t>
      </w:r>
    </w:p>
    <w:p>
      <w:pPr>
        <w:spacing w:after="120" w:line="276" w:lineRule="auto"/>
      </w:pPr>
      <w:r>
        <w:t>---</w:t>
      </w:r>
    </w:p>
    <w:p>
      <w:pPr>
        <w:spacing w:after="120" w:line="276" w:lineRule="auto"/>
      </w:pPr>
      <w:r>
        <w:t>### PARTIE 4 : CONCLUSION D'INVESTISSEMENT</w:t>
      </w:r>
    </w:p>
    <w:p>
      <w:pPr>
        <w:spacing w:after="120" w:line="276" w:lineRule="auto"/>
      </w:pPr>
      <w:r>
        <w:t>La valorisation de CBIBF (PER 15x) est exigeante et intègre déjà des attentes élevées, tandis que la tendance du cours est extrêmement haussière mais techniquement surachetée à court terme. Les fondamentaux sont excellents, avec une croissance solide et une rentabilité en forte amélioration, soutenus par des rapports trimestriels très positifs. Les prédictions IA pour les 10 prochains jours (chute de 30 605 à 20 725 FCFA) suggèrent une correction brutale, contredisant fortement le momentum actuel et confirmant les signaux de surachat technique. Cette divergence entre les fondamentaux solides et les signaux techniques/IA à court terme est cruciale. La recommandation est de **CONSERVER** le titre pour les investisseurs existants, mais de ne pas initier de nouvelle position à ces niveaux de prix. Un niveau de confiance **Moyen** est attribué, car la correction prédite pourrait être moins sévère si les fondamentaux continuent de surprendre positivement. Le risque global est **Élevé** en raison de la volatilité extrême et de la surachat technique. L'horizon d'investissement optimal serait à **moyen terme (3-12 mois)**, attendant une consolidation du cours pour renforcer les positions sur ce solide dossier.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304.70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3,728 titres</w:t>
            </w:r>
          </w:p>
        </w:tc>
        <w:tc>
          <w:tcPr>
            <w:tcW w:type="dxa" w:w="2268"/>
            <w:shd w:fill="FFF2CC" w:val="clear"/>
          </w:tcPr>
          <w:p>
            <w:r>
              <w:rPr>
                <w:b/>
                <w:color w:val="503200"/>
                <w:sz w:val="16"/>
              </w:rPr>
              <w:t xml:space="preserve">Cours actuel : </w:t>
            </w:r>
            <w:r>
              <w:rPr>
                <w:color w:val="000000"/>
                <w:sz w:val="17"/>
              </w:rPr>
              <w:t>1,680 FCFA</w:t>
            </w:r>
          </w:p>
          <w:p>
            <w:r>
              <w:rPr>
                <w:b/>
                <w:color w:val="503200"/>
                <w:sz w:val="16"/>
              </w:rPr>
              <w:t xml:space="preserve">Var. 100 jours : </w:t>
            </w:r>
            <w:r>
              <w:rPr>
                <w:b/>
                <w:color w:val="007800"/>
                <w:sz w:val="17"/>
              </w:rPr>
              <w:t>+2.75%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6.51% (Moyenne) — μ=1,611 FCFA, σ=105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β=0.9801 (Neutre (suit le marché)) — Cov=0.000036, Var(idx)=0.000037, ρ=0.192,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2026-09-02</w:t>
            </w:r>
          </w:p>
        </w:tc>
        <w:tc>
          <w:tcPr>
            <w:tcW w:type="dxa" w:w="1440"/>
            <w:shd w:fill="FAFAFA" w:val="clear"/>
          </w:tcPr>
          <w:p>
            <w:r>
              <w:rPr>
                <w:sz w:val="17"/>
              </w:rPr>
              <w:t>1,592</w:t>
            </w:r>
          </w:p>
        </w:tc>
        <w:tc>
          <w:tcPr>
            <w:tcW w:type="dxa" w:w="1440"/>
            <w:shd w:fill="FAFAFA" w:val="clear"/>
          </w:tcPr>
          <w:p>
            <w:r>
              <w:rPr>
                <w:b/>
                <w:sz w:val="17"/>
              </w:rPr>
              <w:t>1,665</w:t>
            </w:r>
          </w:p>
        </w:tc>
        <w:tc>
          <w:tcPr>
            <w:tcW w:type="dxa" w:w="1440"/>
            <w:shd w:fill="FAFAFA" w:val="clear"/>
          </w:tcPr>
          <w:p>
            <w:r>
              <w:rPr>
                <w:sz w:val="17"/>
              </w:rPr>
              <w:t>1,738</w:t>
            </w:r>
          </w:p>
        </w:tc>
        <w:tc>
          <w:tcPr>
            <w:tcW w:type="dxa" w:w="1440"/>
            <w:shd w:fill="FAFAFA" w:val="clear"/>
          </w:tcPr>
          <w:p>
            <w:r>
              <w:rPr>
                <w:b/>
                <w:color w:val="C00000"/>
                <w:sz w:val="17"/>
              </w:rPr>
              <w:t>-0.9%</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1,537</w:t>
            </w:r>
          </w:p>
        </w:tc>
        <w:tc>
          <w:tcPr>
            <w:tcW w:type="dxa" w:w="1440"/>
            <w:shd w:fill="FFDCE0" w:val="clear"/>
          </w:tcPr>
          <w:p>
            <w:r>
              <w:rPr>
                <w:b/>
                <w:sz w:val="17"/>
              </w:rPr>
              <w:t>1,639</w:t>
            </w:r>
          </w:p>
        </w:tc>
        <w:tc>
          <w:tcPr>
            <w:tcW w:type="dxa" w:w="1440"/>
            <w:shd w:fill="FFDCE0" w:val="clear"/>
          </w:tcPr>
          <w:p>
            <w:r>
              <w:rPr>
                <w:sz w:val="17"/>
              </w:rPr>
              <w:t>1,741</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1,492</w:t>
            </w:r>
          </w:p>
        </w:tc>
        <w:tc>
          <w:tcPr>
            <w:tcW w:type="dxa" w:w="1440"/>
            <w:shd w:fill="FFDCE0" w:val="clear"/>
          </w:tcPr>
          <w:p>
            <w:r>
              <w:rPr>
                <w:b/>
                <w:sz w:val="17"/>
              </w:rPr>
              <w:t>1,615</w:t>
            </w:r>
          </w:p>
        </w:tc>
        <w:tc>
          <w:tcPr>
            <w:tcW w:type="dxa" w:w="1440"/>
            <w:shd w:fill="FFDCE0" w:val="clear"/>
          </w:tcPr>
          <w:p>
            <w:r>
              <w:rPr>
                <w:sz w:val="17"/>
              </w:rPr>
              <w:t>1,738</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1,451</w:t>
            </w:r>
          </w:p>
        </w:tc>
        <w:tc>
          <w:tcPr>
            <w:tcW w:type="dxa" w:w="1440"/>
            <w:shd w:fill="FFDCE0" w:val="clear"/>
          </w:tcPr>
          <w:p>
            <w:r>
              <w:rPr>
                <w:b/>
                <w:sz w:val="17"/>
              </w:rPr>
              <w:t>1,591</w:t>
            </w:r>
          </w:p>
        </w:tc>
        <w:tc>
          <w:tcPr>
            <w:tcW w:type="dxa" w:w="1440"/>
            <w:shd w:fill="FFDCE0" w:val="clear"/>
          </w:tcPr>
          <w:p>
            <w:r>
              <w:rPr>
                <w:sz w:val="17"/>
              </w:rPr>
              <w:t>1,731</w:t>
            </w:r>
          </w:p>
        </w:tc>
        <w:tc>
          <w:tcPr>
            <w:tcW w:type="dxa" w:w="1440"/>
            <w:shd w:fill="FFDCE0" w:val="clear"/>
          </w:tcPr>
          <w:p>
            <w:r>
              <w:rPr>
                <w:b/>
                <w:color w:val="C00000"/>
                <w:sz w:val="17"/>
              </w:rPr>
              <w:t>-5.3%</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1,413</w:t>
            </w:r>
          </w:p>
        </w:tc>
        <w:tc>
          <w:tcPr>
            <w:tcW w:type="dxa" w:w="1440"/>
            <w:shd w:fill="FFDCE0" w:val="clear"/>
          </w:tcPr>
          <w:p>
            <w:r>
              <w:rPr>
                <w:b/>
                <w:sz w:val="17"/>
              </w:rPr>
              <w:t>1,567</w:t>
            </w:r>
          </w:p>
        </w:tc>
        <w:tc>
          <w:tcPr>
            <w:tcW w:type="dxa" w:w="1440"/>
            <w:shd w:fill="FFDCE0" w:val="clear"/>
          </w:tcPr>
          <w:p>
            <w:r>
              <w:rPr>
                <w:sz w:val="17"/>
              </w:rPr>
              <w:t>1,722</w:t>
            </w:r>
          </w:p>
        </w:tc>
        <w:tc>
          <w:tcPr>
            <w:tcW w:type="dxa" w:w="1440"/>
            <w:shd w:fill="FFDCE0" w:val="clear"/>
          </w:tcPr>
          <w:p>
            <w:r>
              <w:rPr>
                <w:b/>
                <w:color w:val="C00000"/>
                <w:sz w:val="17"/>
              </w:rPr>
              <w:t>-6.7%</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1,378</w:t>
            </w:r>
          </w:p>
        </w:tc>
        <w:tc>
          <w:tcPr>
            <w:tcW w:type="dxa" w:w="1440"/>
            <w:shd w:fill="FFDCE0" w:val="clear"/>
          </w:tcPr>
          <w:p>
            <w:r>
              <w:rPr>
                <w:b/>
                <w:sz w:val="17"/>
              </w:rPr>
              <w:t>1,544</w:t>
            </w:r>
          </w:p>
        </w:tc>
        <w:tc>
          <w:tcPr>
            <w:tcW w:type="dxa" w:w="1440"/>
            <w:shd w:fill="FFDCE0" w:val="clear"/>
          </w:tcPr>
          <w:p>
            <w:r>
              <w:rPr>
                <w:sz w:val="17"/>
              </w:rPr>
              <w:t>1,711</w:t>
            </w:r>
          </w:p>
        </w:tc>
        <w:tc>
          <w:tcPr>
            <w:tcW w:type="dxa" w:w="1440"/>
            <w:shd w:fill="FFDCE0" w:val="clear"/>
          </w:tcPr>
          <w:p>
            <w:r>
              <w:rPr>
                <w:b/>
                <w:color w:val="C00000"/>
                <w:sz w:val="17"/>
              </w:rPr>
              <w:t>-8.1%</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1,345</w:t>
            </w:r>
          </w:p>
        </w:tc>
        <w:tc>
          <w:tcPr>
            <w:tcW w:type="dxa" w:w="1440"/>
            <w:shd w:fill="FFDCE0" w:val="clear"/>
          </w:tcPr>
          <w:p>
            <w:r>
              <w:rPr>
                <w:b/>
                <w:sz w:val="17"/>
              </w:rPr>
              <w:t>1,522</w:t>
            </w:r>
          </w:p>
        </w:tc>
        <w:tc>
          <w:tcPr>
            <w:tcW w:type="dxa" w:w="1440"/>
            <w:shd w:fill="FFDCE0" w:val="clear"/>
          </w:tcPr>
          <w:p>
            <w:r>
              <w:rPr>
                <w:sz w:val="17"/>
              </w:rPr>
              <w:t>1,699</w:t>
            </w:r>
          </w:p>
        </w:tc>
        <w:tc>
          <w:tcPr>
            <w:tcW w:type="dxa" w:w="1440"/>
            <w:shd w:fill="FFDCE0" w:val="clear"/>
          </w:tcPr>
          <w:p>
            <w:r>
              <w:rPr>
                <w:b/>
                <w:color w:val="C00000"/>
                <w:sz w:val="17"/>
              </w:rPr>
              <w:t>-9.4%</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1,313</w:t>
            </w:r>
          </w:p>
        </w:tc>
        <w:tc>
          <w:tcPr>
            <w:tcW w:type="dxa" w:w="1440"/>
            <w:shd w:fill="FFDCE0" w:val="clear"/>
          </w:tcPr>
          <w:p>
            <w:r>
              <w:rPr>
                <w:b/>
                <w:sz w:val="17"/>
              </w:rPr>
              <w:t>1,500</w:t>
            </w:r>
          </w:p>
        </w:tc>
        <w:tc>
          <w:tcPr>
            <w:tcW w:type="dxa" w:w="1440"/>
            <w:shd w:fill="FFDCE0" w:val="clear"/>
          </w:tcPr>
          <w:p>
            <w:r>
              <w:rPr>
                <w:sz w:val="17"/>
              </w:rPr>
              <w:t>1,687</w:t>
            </w:r>
          </w:p>
        </w:tc>
        <w:tc>
          <w:tcPr>
            <w:tcW w:type="dxa" w:w="1440"/>
            <w:shd w:fill="FFDCE0" w:val="clear"/>
          </w:tcPr>
          <w:p>
            <w:r>
              <w:rPr>
                <w:b/>
                <w:color w:val="C00000"/>
                <w:sz w:val="17"/>
              </w:rPr>
              <w:t>-10.7%</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1,284</w:t>
            </w:r>
          </w:p>
        </w:tc>
        <w:tc>
          <w:tcPr>
            <w:tcW w:type="dxa" w:w="1440"/>
            <w:shd w:fill="FFDCE0" w:val="clear"/>
          </w:tcPr>
          <w:p>
            <w:r>
              <w:rPr>
                <w:b/>
                <w:sz w:val="17"/>
              </w:rPr>
              <w:t>1,479</w:t>
            </w:r>
          </w:p>
        </w:tc>
        <w:tc>
          <w:tcPr>
            <w:tcW w:type="dxa" w:w="1440"/>
            <w:shd w:fill="FFDCE0" w:val="clear"/>
          </w:tcPr>
          <w:p>
            <w:r>
              <w:rPr>
                <w:sz w:val="17"/>
              </w:rPr>
              <w:t>1,674</w:t>
            </w:r>
          </w:p>
        </w:tc>
        <w:tc>
          <w:tcPr>
            <w:tcW w:type="dxa" w:w="1440"/>
            <w:shd w:fill="FFDCE0" w:val="clear"/>
          </w:tcPr>
          <w:p>
            <w:r>
              <w:rPr>
                <w:b/>
                <w:color w:val="C00000"/>
                <w:sz w:val="17"/>
              </w:rPr>
              <w:t>-12.0%</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1,255</w:t>
            </w:r>
          </w:p>
        </w:tc>
        <w:tc>
          <w:tcPr>
            <w:tcW w:type="dxa" w:w="1440"/>
            <w:shd w:fill="FFDCE0" w:val="clear"/>
          </w:tcPr>
          <w:p>
            <w:r>
              <w:rPr>
                <w:b/>
                <w:sz w:val="17"/>
              </w:rPr>
              <w:t>1,458</w:t>
            </w:r>
          </w:p>
        </w:tc>
        <w:tc>
          <w:tcPr>
            <w:tcW w:type="dxa" w:w="1440"/>
            <w:shd w:fill="FFDCE0" w:val="clear"/>
          </w:tcPr>
          <w:p>
            <w:r>
              <w:rPr>
                <w:sz w:val="17"/>
              </w:rPr>
              <w:t>1,661</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304,70 milliards FCFA positionne CFAC comme une valeur de premier plan sur la BRVM, reflétant sa domination sur le marché automobile ivoirien. Avec un BPA de 26 FCFA, le PER de 64,9x est extrêmement élevé, très supérieur à la moyenne historique de la BRVM (8-12x), indiquant que les investisseurs paient une prime considérable pour chaque franc de bénéfice. Le P/B de 15,66x confirme cette surévaluation relative, le marché valorisant l'actif net comptable plus de 15 fois sa valeur, un niveau qui traduit des attentes de croissance très ambitieuses. L'EV/EBITDA de 33,1x renforce ce constat d'une valorisation exigeante, la valeur d'entreprise représentant plus de 33 fois la capacité opérationnelle. Ces ratios suggèrent que le marché intègre déjà une forte anticipation de redressement, ce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modeste de +2,75%, mais la dernière séance enregistre un recul marqué de -3,45%, signalant une possible inflexion à court terme. Le cours a évolué dans un range de 500 FCFA, entre un plus bas de 1 325 FCFA et un plus haut de 1 825 FCFA, démontrant une amplitude de trading significative. La moyenne (1 611 FCFA) et la médiane (1 602 FCFA) étant très proches, la distribution des prix est relativement symétrique, ce que confirme le skewness de -0,391, indiquant une légère asymétrie négative sans déséquilibre majeur. L'écart-type de 105 FCFA (CV=6,5%) révèle une dispersion modérée autour de la moyenne, tandis que le kurtosis de -0,246 (mésokurtique) suggère l'absence de risques extrêmes de pics ou de queues épaisses. La volatilité annualisée de 49,1% est élevée (&gt;30%), traduisant un titre particulièrement nerveux et risqué pour les investisseurs, malgré une tendance générale qui demeure incertaine entre soutien et résistance.</w:t>
      </w:r>
    </w:p>
    <w:p>
      <w:pPr>
        <w:spacing w:after="120" w:line="276" w:lineRule="auto" w:before="240"/>
      </w:pPr>
      <w:r>
        <w:rPr>
          <w:b/>
          <w:color w:val="003366"/>
          <w:sz w:val="24"/>
        </w:rPr>
        <w:t>**PARTIE 2 : ANALYSE TECHNIQUE DÉTAILLÉE**</w:t>
      </w:r>
    </w:p>
    <w:p>
      <w:pPr>
        <w:spacing w:after="120" w:line="276" w:lineRule="auto"/>
      </w:pPr>
      <w:r>
        <w:t>Les Moyennes Mobiles (MM20 à 1 690,25 et MM50 à 1 672,3) indiquent une dynamique positive, le cours actuel de 1 680 FCFA se situant au-dessus de la MM50 mais légèrement sous la MM20. Cette configuration suggère une consolidation après une phase haussière, la décision d'achat étant justifiée par la tendance de fond qui reste orientée à la hausse.</w:t>
      </w:r>
    </w:p>
    <w:p>
      <w:pPr>
        <w:spacing w:after="120" w:line="276" w:lineRule="auto"/>
      </w:pPr>
      <w:r>
        <w:t>Les Bandes de Bollinger montrent un cours positionné entre la borne supérieure (1 786,14) et la borne inférieure (1 594,36), proche de la zone médiane. Cette position neutre indique une volatilité modérée sans excès, le marché n'étant ni suracheté ni survendu, laissant place à une évolution directionnelle à venir.</w:t>
      </w:r>
    </w:p>
    <w:p>
      <w:pPr>
        <w:spacing w:after="120" w:line="276" w:lineRule="auto"/>
      </w:pPr>
      <w:r>
        <w:t>Le MACD affiche une valeur de 19,23 au-dessus de son signal (16,017), confirmant un momentum haussier en cours. Cette divergence positive, bien que modérée, soutient la décision d'achat et suggère que la pression acheteuse demeure présente malgré le repli récent de la dernière séance.</w:t>
      </w:r>
    </w:p>
    <w:p>
      <w:pPr>
        <w:spacing w:after="120" w:line="276" w:lineRule="auto"/>
      </w:pPr>
      <w:r>
        <w:t>Le RSI à 48,42 se situe en zone neutre, entre 30 et 70, indiquant un équilibre entre forces acheteuses et vendeuses. Cette valeur ne signale ni surachat ni survente, laissant aux investisseurs une marge de manœuvre pour une évolution dans les deux sens.</w:t>
      </w:r>
    </w:p>
    <w:p>
      <w:pPr>
        <w:spacing w:after="120" w:line="276" w:lineRule="auto"/>
      </w:pPr>
      <w:r>
        <w:t>Le Stochastique présente un %K (48,49) inférieur au %D (72,73), suggérant un croisement baissier potentiel à court terme. Cette configuration, bien que neutre, mérite une attention particulière car elle pourrait précéder une correction si la tendance se confirme.</w:t>
      </w:r>
    </w:p>
    <w:p>
      <w:pPr>
        <w:spacing w:after="120" w:line="276" w:lineRule="auto"/>
      </w:pPr>
      <w:r>
        <w:t>La conclusion technique est mitigée : les indicateurs de tendance (MM, MACD) restent positifs, mais les oscillateurs (RSI, Stochastique) et la position dans les bandes de Bollinger suggèrent une phase de consolidation. Le signal global penche vers un maintien des positions existantes plutôt qu'un nouvel achat, la prudence étant de mise à court terme.</w:t>
      </w:r>
    </w:p>
    <w:p>
      <w:pPr>
        <w:spacing w:after="120" w:line="276" w:lineRule="auto" w:before="240"/>
      </w:pPr>
      <w:r>
        <w:rPr>
          <w:b/>
          <w:color w:val="003366"/>
          <w:sz w:val="24"/>
        </w:rPr>
        <w:t>**PARTIE 3 : ANALYSE FONDAMENTALE (SECTION CRITIQUE)**</w:t>
      </w:r>
    </w:p>
    <w:p>
      <w:pPr>
        <w:spacing w:after="120" w:line="276" w:lineRule="auto"/>
      </w:pPr>
      <w:r>
        <w:t>En 2024, CFAC a réalisé un chiffre d'affaires de 158,313 milliards FCFA, en baisse de -12,1% par rapport à 2023 (180,162 milliards), avec un résultat net de 4,693 milliards FCFA, en recul de -26,7%. Le ROE reste excellent à 24,13% et le ROA à 5,52%, démontrant une rentabilité solide malgré le contexte difficile. La marge nette s'établit à 2,96% et la marge opérationnelle à 4,96%. Le BFR négatif de -3,482 milliards FCFA est favorable, indiquant une gestion efficace du cycle d'exploitation, avec des délais clients de 36,64 jours et fournisseurs de 81,75 jours. Cependant, la trésorerie nette est négative à -624,2 millions FCFA, conséquence d'investissements massifs (-8,741 milliards) et de versements de dividendes (3,2 milliards). Les rapports trimestriels 2025 montrent un redressement spectaculaire : au T1 2025, le CA atteint 46,161 milliards (+14,5%) avec un résultat net de 3,836 milliards (+279,7%), et au S1 2025, le CA progresse à 91,182 milliards (+18,4%) avec un résultat net de 5,420 milliards (+152,7%). Le T3 2025 confirme avec un CA de 43,580 milliards (+18,3%) et un résultat net de 1,489 milliard (+38,1%). Sur la base de ces performances, on estime que l'exercice 2025 devrait dépasser significativement 2024, avec un CA projeté autour de 180 milliards et un résultat net potentiel de 8 à 9 milliards, soit un BPA estimé entre 44 et 50 FCFA, ce qui justifierait partiellement la valorisation actuelle si la tendance se maintient.</w:t>
      </w:r>
    </w:p>
    <w:p>
      <w:pPr>
        <w:spacing w:after="120" w:line="276" w:lineRule="auto" w:before="240"/>
      </w:pPr>
      <w:r>
        <w:rPr>
          <w:b/>
          <w:color w:val="003366"/>
          <w:sz w:val="24"/>
        </w:rPr>
        <w:t>**PARTIE 4 : CONCLUSION D'INVESTISSEMENT**</w:t>
      </w:r>
    </w:p>
    <w:p>
      <w:pPr>
        <w:spacing w:after="120" w:line="276" w:lineRule="auto"/>
      </w:pPr>
      <w:r>
        <w:t>La valorisation de CFAC apparaît extrêmement exigeante avec un PER de 64,9x et un P/B de 15,66x, intégrant des attentes de croissance très optimistes. Le comportement du cours sur 100 jours montre une progression modeste (+2,75%) avec une volatilité élevée (49,1%), tandis que les statistiques descriptives révèlent une distribution relativement normale sans risque extrême. Les signaux techniques sont mitigés : les indicateurs de tendance restent positifs (MM, MACD) mais les oscillateurs (RSI, Stochastique) suggèrent une consolidation, avec une dernière séance en baisse de -3,45%. Les fondamentaux, bien qu'en amélioration spectaculaire en 2025 (résultat net S1 en hausse de +152,7%), doivent confirmer cette trajectoire sur l'ensemble de l'exercice. Les prédictions IA indiquent une baisse progressive du cours vers 1 567 FCFA sur 10 jours, contredisant les signaux techniques positifs et suggérant une correction à court terme. La convergence entre une valorisation excessive, des signaux techniques mixtes et des prédictions baissières conduit à une recommandation **CONSERVER**, avec un niveau de confiance **Moyen** et un risque global **Élevé**. L'horizon d'investissement optimal serait le **moyen terme (3-12 mois)**, en attendant une confirmation de la croissance fondamentale et une correction potentielle du cours pour établir une position plus avantageuse.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369.60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6,154 titres</w:t>
            </w:r>
          </w:p>
        </w:tc>
        <w:tc>
          <w:tcPr>
            <w:tcW w:type="dxa" w:w="2268"/>
            <w:shd w:fill="FFF2CC" w:val="clear"/>
          </w:tcPr>
          <w:p>
            <w:r>
              <w:rPr>
                <w:b/>
                <w:color w:val="503200"/>
                <w:sz w:val="16"/>
              </w:rPr>
              <w:t xml:space="preserve">Cours actuel : </w:t>
            </w:r>
            <w:r>
              <w:rPr>
                <w:color w:val="000000"/>
                <w:sz w:val="17"/>
              </w:rPr>
              <w:t>6,600 FCFA</w:t>
            </w:r>
          </w:p>
          <w:p>
            <w:r>
              <w:rPr>
                <w:b/>
                <w:color w:val="503200"/>
                <w:sz w:val="16"/>
              </w:rPr>
              <w:t xml:space="preserve">Var. 100 jours : </w:t>
            </w:r>
            <w:r>
              <w:rPr>
                <w:b/>
                <w:color w:val="007800"/>
                <w:sz w:val="17"/>
              </w:rPr>
              <w:t>+97.01%</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24.28% (Élevée) — μ=4,671 FCFA, σ=1,134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β=0.9218 (Neutre (suit le marché)) — Cov=0.000034, Var(idx)=0.000037, ρ=0.177,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6,154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5,778</w:t>
            </w:r>
          </w:p>
        </w:tc>
        <w:tc>
          <w:tcPr>
            <w:tcW w:type="dxa" w:w="1440"/>
            <w:shd w:fill="FFDCE0" w:val="clear"/>
          </w:tcPr>
          <w:p>
            <w:r>
              <w:rPr>
                <w:b/>
                <w:sz w:val="17"/>
              </w:rPr>
              <w:t>6,105</w:t>
            </w:r>
          </w:p>
        </w:tc>
        <w:tc>
          <w:tcPr>
            <w:tcW w:type="dxa" w:w="1440"/>
            <w:shd w:fill="FFDCE0" w:val="clear"/>
          </w:tcPr>
          <w:p>
            <w:r>
              <w:rPr>
                <w:sz w:val="17"/>
              </w:rPr>
              <w:t>6,432</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5,220</w:t>
            </w:r>
          </w:p>
        </w:tc>
        <w:tc>
          <w:tcPr>
            <w:tcW w:type="dxa" w:w="1440"/>
            <w:shd w:fill="FFDCE0" w:val="clear"/>
          </w:tcPr>
          <w:p>
            <w:r>
              <w:rPr>
                <w:b/>
                <w:sz w:val="17"/>
              </w:rPr>
              <w:t>5,647</w:t>
            </w:r>
          </w:p>
        </w:tc>
        <w:tc>
          <w:tcPr>
            <w:tcW w:type="dxa" w:w="1440"/>
            <w:shd w:fill="FFDCE0" w:val="clear"/>
          </w:tcPr>
          <w:p>
            <w:r>
              <w:rPr>
                <w:sz w:val="17"/>
              </w:rPr>
              <w:t>6,075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4,739</w:t>
            </w:r>
          </w:p>
        </w:tc>
        <w:tc>
          <w:tcPr>
            <w:tcW w:type="dxa" w:w="1440"/>
            <w:shd w:fill="FFDCE0" w:val="clear"/>
          </w:tcPr>
          <w:p>
            <w:r>
              <w:rPr>
                <w:b/>
                <w:sz w:val="17"/>
              </w:rPr>
              <w:t>5,224</w:t>
            </w:r>
          </w:p>
        </w:tc>
        <w:tc>
          <w:tcPr>
            <w:tcW w:type="dxa" w:w="1440"/>
            <w:shd w:fill="FFDCE0" w:val="clear"/>
          </w:tcPr>
          <w:p>
            <w:r>
              <w:rPr>
                <w:sz w:val="17"/>
              </w:rPr>
              <w:t>5,708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4,314</w:t>
            </w:r>
          </w:p>
        </w:tc>
        <w:tc>
          <w:tcPr>
            <w:tcW w:type="dxa" w:w="1440"/>
            <w:shd w:fill="FFDCE0" w:val="clear"/>
          </w:tcPr>
          <w:p>
            <w:r>
              <w:rPr>
                <w:b/>
                <w:sz w:val="17"/>
              </w:rPr>
              <w:t>4,832</w:t>
            </w:r>
          </w:p>
        </w:tc>
        <w:tc>
          <w:tcPr>
            <w:tcW w:type="dxa" w:w="1440"/>
            <w:shd w:fill="FFDCE0" w:val="clear"/>
          </w:tcPr>
          <w:p>
            <w:r>
              <w:rPr>
                <w:sz w:val="17"/>
              </w:rPr>
              <w:t>5,349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3,934</w:t>
            </w:r>
          </w:p>
        </w:tc>
        <w:tc>
          <w:tcPr>
            <w:tcW w:type="dxa" w:w="1440"/>
            <w:shd w:fill="FFDCE0" w:val="clear"/>
          </w:tcPr>
          <w:p>
            <w:r>
              <w:rPr>
                <w:b/>
                <w:sz w:val="17"/>
              </w:rPr>
              <w:t>4,469</w:t>
            </w:r>
          </w:p>
        </w:tc>
        <w:tc>
          <w:tcPr>
            <w:tcW w:type="dxa" w:w="1440"/>
            <w:shd w:fill="FFDCE0" w:val="clear"/>
          </w:tcPr>
          <w:p>
            <w:r>
              <w:rPr>
                <w:sz w:val="17"/>
              </w:rPr>
              <w:t>5,004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3,592</w:t>
            </w:r>
          </w:p>
        </w:tc>
        <w:tc>
          <w:tcPr>
            <w:tcW w:type="dxa" w:w="1440"/>
            <w:shd w:fill="FFDCE0" w:val="clear"/>
          </w:tcPr>
          <w:p>
            <w:r>
              <w:rPr>
                <w:b/>
                <w:sz w:val="17"/>
              </w:rPr>
              <w:t>4,134</w:t>
            </w:r>
          </w:p>
        </w:tc>
        <w:tc>
          <w:tcPr>
            <w:tcW w:type="dxa" w:w="1440"/>
            <w:shd w:fill="FFDCE0" w:val="clear"/>
          </w:tcPr>
          <w:p>
            <w:r>
              <w:rPr>
                <w:sz w:val="17"/>
              </w:rPr>
              <w:t>4,676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3,282</w:t>
            </w:r>
          </w:p>
        </w:tc>
        <w:tc>
          <w:tcPr>
            <w:tcW w:type="dxa" w:w="1440"/>
            <w:shd w:fill="FFDCE0" w:val="clear"/>
          </w:tcPr>
          <w:p>
            <w:r>
              <w:rPr>
                <w:b/>
                <w:sz w:val="17"/>
              </w:rPr>
              <w:t>3,824</w:t>
            </w:r>
          </w:p>
        </w:tc>
        <w:tc>
          <w:tcPr>
            <w:tcW w:type="dxa" w:w="1440"/>
            <w:shd w:fill="FFDCE0" w:val="clear"/>
          </w:tcPr>
          <w:p>
            <w:r>
              <w:rPr>
                <w:sz w:val="17"/>
              </w:rPr>
              <w:t>4,366</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3,002</w:t>
            </w:r>
          </w:p>
        </w:tc>
        <w:tc>
          <w:tcPr>
            <w:tcW w:type="dxa" w:w="1440"/>
            <w:shd w:fill="FFDCE0" w:val="clear"/>
          </w:tcPr>
          <w:p>
            <w:r>
              <w:rPr>
                <w:b/>
                <w:sz w:val="17"/>
              </w:rPr>
              <w:t>3,537</w:t>
            </w:r>
          </w:p>
        </w:tc>
        <w:tc>
          <w:tcPr>
            <w:tcW w:type="dxa" w:w="1440"/>
            <w:shd w:fill="FFDCE0" w:val="clear"/>
          </w:tcPr>
          <w:p>
            <w:r>
              <w:rPr>
                <w:sz w:val="17"/>
              </w:rPr>
              <w:t>4,073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2,793</w:t>
            </w:r>
          </w:p>
        </w:tc>
        <w:tc>
          <w:tcPr>
            <w:tcW w:type="dxa" w:w="1440"/>
            <w:shd w:fill="FFDCE0" w:val="clear"/>
          </w:tcPr>
          <w:p>
            <w:r>
              <w:rPr>
                <w:b/>
                <w:sz w:val="17"/>
              </w:rPr>
              <w:t>3,328</w:t>
            </w:r>
          </w:p>
        </w:tc>
        <w:tc>
          <w:tcPr>
            <w:tcW w:type="dxa" w:w="1440"/>
            <w:shd w:fill="FFDCE0" w:val="clear"/>
          </w:tcPr>
          <w:p>
            <w:r>
              <w:rPr>
                <w:sz w:val="17"/>
              </w:rPr>
              <w:t>3,862</w:t>
            </w:r>
          </w:p>
        </w:tc>
        <w:tc>
          <w:tcPr>
            <w:tcW w:type="dxa" w:w="1440"/>
            <w:shd w:fill="FFDCE0" w:val="clear"/>
          </w:tcPr>
          <w:p>
            <w:r>
              <w:rPr>
                <w:b/>
                <w:color w:val="C00000"/>
                <w:sz w:val="17"/>
              </w:rPr>
              <w:t>-49.6%</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2,697</w:t>
            </w:r>
          </w:p>
        </w:tc>
        <w:tc>
          <w:tcPr>
            <w:tcW w:type="dxa" w:w="1440"/>
            <w:shd w:fill="FFDCE0" w:val="clear"/>
          </w:tcPr>
          <w:p>
            <w:r>
              <w:rPr>
                <w:b/>
                <w:sz w:val="17"/>
              </w:rPr>
              <w:t>3,247</w:t>
            </w:r>
          </w:p>
        </w:tc>
        <w:tc>
          <w:tcPr>
            <w:tcW w:type="dxa" w:w="1440"/>
            <w:shd w:fill="FFDCE0" w:val="clear"/>
          </w:tcPr>
          <w:p>
            <w:r>
              <w:rPr>
                <w:sz w:val="17"/>
              </w:rPr>
              <w:t>3,797</w:t>
            </w:r>
          </w:p>
        </w:tc>
        <w:tc>
          <w:tcPr>
            <w:tcW w:type="dxa" w:w="1440"/>
            <w:shd w:fill="FFDCE0" w:val="clear"/>
          </w:tcPr>
          <w:p>
            <w:r>
              <w:rPr>
                <w:b/>
                <w:color w:val="C00000"/>
                <w:sz w:val="17"/>
              </w:rPr>
              <w:t>-50.8%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structuré et professionnel sur l'action CIEC,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369,60 milliards FCFA, ce qui en fait une valeur de poids sur le compartiment A de la BRVM. Avec un BPA de 234 FCFA, le titre se négocie à un PER de 28,2x, un niveau très élevé comparé à la moyenne historique du marché (8-12x), signifiant que les investisseurs paient une prime substantielle pour la croissance attendue. Cette prime est confirmée par un P/B de 10,28x, indiquant que le marché valorise l'action à plus de dix fois sa valeur comptable, un niveau extrêmement exigeant. Enfin, un EV/EBITDA de 15,0x, bien que dans la fourchette haute, reflète une valorisation qui intègre déjà une solide performance opérationnelle future. Ces ratios suggèrent que le marché a des attentes de croissance très élevées, rendant le titre sensible à toute déception.</w:t>
      </w:r>
    </w:p>
    <w:p>
      <w:pPr>
        <w:spacing w:after="120" w:line="276" w:lineRule="auto"/>
      </w:pPr>
      <w:r>
        <w:t>### **PARTIE 1 : ANALYSE DU COURS — STATISTIQUES ET ÉVOLUTION (100 derniers jours)**</w:t>
      </w:r>
    </w:p>
    <w:p>
      <w:pPr>
        <w:spacing w:after="120" w:line="276" w:lineRule="auto"/>
      </w:pPr>
      <w:r>
        <w:t>Sur les 100 derniers jours, l'action CIEC a connu une progression spectaculaire de +97,01%, passant d'un plus bas de 3,000 FCFA à un plus haut de 7,190 FCFA, avant de clôturer à 6,600 FCFA. La légère baisse de -1,35% lors de la dernière séance pourrait marquer une prise de bénéfices après une telle ascension. La moyenne du cours sur la période (4,671 FCFA) est inférieure à la médiane (4,998 FCFA), ce qui, combiné à un skewness proche de zéro (0.073), indique une distribution relativement symétrique mais avec une queue de distribution vers les valeurs hautes. L'écart-type de 1,140 FCFA (CV=24.4%) montre une dispersion modérée des prix autour de la moyenne. Le kurtosis négatif (-0.773) suggère une distribution mésokurtique, avec un risque de mouvements extrêmes plus faible qu'une distribution normale. La volatilité annualisée de 50,1% est très élevée, classant le titre comme spéculatif et à risque, mais offrant un potentiel de rendement important.</w:t>
      </w:r>
    </w:p>
    <w:p>
      <w:pPr>
        <w:spacing w:after="120" w:line="276" w:lineRule="auto"/>
      </w:pPr>
      <w:r>
        <w:t>### **PARTIE 2 : ANALYSE TECHNIQUE DÉTAILLÉE**</w:t>
      </w:r>
    </w:p>
    <w:p>
      <w:pPr>
        <w:spacing w:after="120" w:line="276" w:lineRule="auto"/>
      </w:pPr>
      <w:r>
        <w:t>**Moyennes Mobiles**: Le cours actuel (6,600 FCFA) est nettement au-dessus de sa MM20 (6,035.25 FCFA) et de sa MM50 (5,545.8 FCFA), confirmant une tendance haussière de court et moyen terme. La pente positive des deux moyennes renforce ce signal. La décision d'**Achat** est justifiée par cette configuration haussière.</w:t>
      </w:r>
    </w:p>
    <w:p>
      <w:pPr>
        <w:spacing w:after="120" w:line="276" w:lineRule="auto"/>
      </w:pPr>
      <w:r>
        <w:t>**Bandes de Bollinger**: Le prix se situe sous la borne supérieure (7,671.29 FCFA) mais au-dessus de la borne inférieure (4,399.21 FCFA), avec des bandes qui se sont élargies en raison de la forte volatilité. Le cours, proche de la borne supérieure, indique une pression acheteuse soutenue, mais la décision **Neutre** suggère que le marché attend un catalyseur pour une sortie de ce canal ou une consolidation.</w:t>
      </w:r>
    </w:p>
    <w:p>
      <w:pPr>
        <w:spacing w:after="120" w:line="276" w:lineRule="auto"/>
      </w:pPr>
      <w:r>
        <w:t>**MACD**: La valeur du MACD (427.49) est supérieure à son signal (393.62), indiquant un momentum haussier positif. La divergence positive entre les deux lignes suggère que la dynamique d'achat est toujours en place. La décision d'**Achat** est cohérente avec cette lecture.</w:t>
      </w:r>
    </w:p>
    <w:p>
      <w:pPr>
        <w:spacing w:after="120" w:line="276" w:lineRule="auto"/>
      </w:pPr>
      <w:r>
        <w:t>**RSI**: Le RSI à 74.34 est en zone de surachat (&gt;70). Cela signale que le titre est potentiellement surévalué à court terme et qu'un repli technique est possible. La décision de **Vente** est un signal de prudence pour les investisseurs à court terme.</w:t>
      </w:r>
    </w:p>
    <w:p>
      <w:pPr>
        <w:spacing w:after="120" w:line="276" w:lineRule="auto"/>
      </w:pPr>
      <w:r>
        <w:t>**Stochastique**: Les valeurs de %K (66.09) et %D (71.83) sont élevées mais ne sont pas encore en zone de surachat extrême. Le fait que %K soit inférieur à %D pourrait indiquer un début de retournement baissier. La décision **Neutre** est donc appropriée, car le signal est ambigu.</w:t>
      </w:r>
    </w:p>
    <w:p>
      <w:pPr>
        <w:spacing w:after="120" w:line="276" w:lineRule="auto"/>
      </w:pPr>
      <w:r>
        <w:t>**Conclusion technique**: Les indicateurs de tendance (MM, MACD) sont clairement haussiers, mais les oscillateurs (RSI, Stochastique) signalent une condition de surachat. Cette divergence suggère que la tendance de fond reste positive, mais qu'un repli ou une consolidation à court terme est probable avant la poursuite de la hausse. La prudence est donc de mise pour les nouveaux achats à ces niveaux.</w:t>
      </w:r>
    </w:p>
    <w:p>
      <w:pPr>
        <w:spacing w:after="120" w:line="276" w:lineRule="auto"/>
      </w:pPr>
      <w:r>
        <w:t>### **PARTIE 3 : ANALYSE FONDAMENTALE (SECTION CRITIQUE)**</w:t>
      </w:r>
    </w:p>
    <w:p>
      <w:pPr>
        <w:spacing w:after="120" w:line="276" w:lineRule="auto"/>
      </w:pPr>
      <w:r>
        <w:t>En 2025, la CIEC a réalisé un chiffre d'affaires de 302,320 milliards FCFA, en hausse de 14,8% par rapport à 2024, et un résultat net de 13,127 milliards FCFA. Cette performance se traduit par un ROE exceptionnel de 36,5%, démontrant une excellente rentabilité des capitaux propres. Cependant, le ROA de 0,65% est faible, ce qui s'explique par un total de bilan très élevé (2 018,446 Mds FCFA) en raison de la gestion des actifs de la concession pour le compte de l'État. En tant qu'entreprise, l'analyse du BFR est cruciale : il est négatif à -90,244 milliards FCFA, ce qui est une situation très favorable, signifiant que l'entreprise est financée par ses fournisseurs. Le délai de paiement des clients est très long (164 jours), un risque de trésorerie, mais il est plus que compensé par un délai de paiement des fournisseurs extrêmement long (970 jours). Le rapport annuel 2025 (daté du 31/12/2025) confirme la solidité et recommande d'**acheter** le titre. Sur la base du rapport du 1er semestre 2025, qui montre une croissance du CA de 18,85% et du résultat net de 13,4%, on estime que la dynamique de croissance s'est poursuivie sur le second semestre. La politique de dividende est très généreuse, avec un taux de distribution de près de 100% du résultat net, soit 234 FCFA par action, ce qui est un attrait majeur pour les investisseurs en quête de revenus. La principale faiblesse réside dans la structure financière, avec un ratio d'endettement de 612,9% et une autonomie financière très faible (1,78%), rendant l'entreprise dépendante de ses créanciers et du cadre réglementaire de la concession.</w:t>
      </w:r>
    </w:p>
    <w:p>
      <w:pPr>
        <w:spacing w:after="120" w:line="276" w:lineRule="auto"/>
      </w:pPr>
      <w:r>
        <w:t>### **PARTIE 4 : CONCLUSION D'INVESTISSEMENT**</w:t>
      </w:r>
    </w:p>
    <w:p>
      <w:pPr>
        <w:spacing w:after="120" w:line="276" w:lineRule="auto"/>
      </w:pPr>
      <w:r>
        <w:t>La valorisation de la CIEC (PER 28,2x, P/B 10,28x) est extrêmement exigeante, indiquant une possible surévaluation par rapport aux fondamentaux actuels, bien que la forte croissance et la rentabilité (ROE 36,5%) la justifient en partie. Le comportement du cours, avec une hausse de +97% en 100 jours et une volatilité de 50%, montre un enthousiasme marqué, mais les statistiques (kurtosis, skewness) suggèrent un risque de retournement. Les signaux techniques sont mitigés : la tendance est haussière (MM, MACD), mais les indicateurs de momentum (RSI) crient à la surachat, annonçant une possible correction. Les fondamentaux sont solides, avec une croissance soutenue, une politique de dividende attractive, mais une structure financière fragile et un risque de crédit client élevé. Les prédictions IA pour les 10 prochains jours (chute de 6,600 à 4,469 FCFA) confirment fortement le signal de surachat technique et suggèrent une correction brutale. En synthèse, la convergence entre les signaux techniques de surachat, la valorisation extrêmement élevée et les prédictions IA baissières l'emporte sur les fondamentaux positifs à long terme. Par conséquent, nous recommandons une position de **VENTE** à court terme pour réaliser les gains, avec un niveau de confiance **Élevé** et un risque global **Élevé**. L'horizon d'investissement optimal serait de moyen à long terme (&gt; 6 mois) pour profiter d'un point d'entrée plus favorable après la correction anticipée.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935.86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3,862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+3.98%</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2.30% (Faible) — μ=16,341 FCFA, σ=376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β=0.4114 (Défensif) — Cov=0.000015, Var(idx)=0.000037, ρ=0.140,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16,324</w:t>
            </w:r>
          </w:p>
        </w:tc>
        <w:tc>
          <w:tcPr>
            <w:tcW w:type="dxa" w:w="1440"/>
            <w:shd w:fill="FAFAFA" w:val="clear"/>
          </w:tcPr>
          <w:p>
            <w:r>
              <w:rPr>
                <w:b/>
                <w:sz w:val="17"/>
              </w:rPr>
              <w:t>16,739</w:t>
            </w:r>
          </w:p>
        </w:tc>
        <w:tc>
          <w:tcPr>
            <w:tcW w:type="dxa" w:w="1440"/>
            <w:shd w:fill="FAFAFA" w:val="clear"/>
          </w:tcPr>
          <w:p>
            <w:r>
              <w:rPr>
                <w:sz w:val="17"/>
              </w:rPr>
              <w:t>17,155</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2026-09-03</w:t>
            </w:r>
          </w:p>
        </w:tc>
        <w:tc>
          <w:tcPr>
            <w:tcW w:type="dxa" w:w="1440"/>
            <w:shd w:fill="FAFAFA" w:val="clear"/>
          </w:tcPr>
          <w:p>
            <w:r>
              <w:rPr>
                <w:sz w:val="17"/>
              </w:rPr>
              <w:t>16,149</w:t>
            </w:r>
          </w:p>
        </w:tc>
        <w:tc>
          <w:tcPr>
            <w:tcW w:type="dxa" w:w="1440"/>
            <w:shd w:fill="FAFAFA" w:val="clear"/>
          </w:tcPr>
          <w:p>
            <w:r>
              <w:rPr>
                <w:b/>
                <w:sz w:val="17"/>
              </w:rPr>
              <w:t>16,736</w:t>
            </w:r>
          </w:p>
        </w:tc>
        <w:tc>
          <w:tcPr>
            <w:tcW w:type="dxa" w:w="1440"/>
            <w:shd w:fill="FAFAFA" w:val="clear"/>
          </w:tcPr>
          <w:p>
            <w:r>
              <w:rPr>
                <w:sz w:val="17"/>
              </w:rPr>
              <w:t>17,324</w:t>
            </w:r>
          </w:p>
        </w:tc>
        <w:tc>
          <w:tcPr>
            <w:tcW w:type="dxa" w:w="1440"/>
            <w:shd w:fill="FAFAFA" w:val="clear"/>
          </w:tcPr>
          <w:p>
            <w:r>
              <w:rPr>
                <w:b/>
                <w:color w:val="C00000"/>
                <w:sz w:val="17"/>
              </w:rPr>
              <w:t>-1.6%</w:t>
            </w:r>
          </w:p>
        </w:tc>
      </w:tr>
      <w:tr>
        <w:tc>
          <w:tcPr>
            <w:tcW w:type="dxa" w:w="1440"/>
            <w:shd w:fill="FAFAFA" w:val="clear"/>
          </w:tcPr>
          <w:p>
            <w:r>
              <w:rPr>
                <w:sz w:val="17"/>
              </w:rPr>
              <w:t>J+3  ⭐⭐⭐</w:t>
            </w:r>
          </w:p>
        </w:tc>
        <w:tc>
          <w:tcPr>
            <w:tcW w:type="dxa" w:w="1440"/>
            <w:shd w:fill="FAFAFA" w:val="clear"/>
          </w:tcPr>
          <w:p>
            <w:r>
              <w:rPr>
                <w:sz w:val="17"/>
              </w:rPr>
              <w:t>2026-09-04</w:t>
            </w:r>
          </w:p>
        </w:tc>
        <w:tc>
          <w:tcPr>
            <w:tcW w:type="dxa" w:w="1440"/>
            <w:shd w:fill="FAFAFA" w:val="clear"/>
          </w:tcPr>
          <w:p>
            <w:r>
              <w:rPr>
                <w:sz w:val="17"/>
              </w:rPr>
              <w:t>15,996</w:t>
            </w:r>
          </w:p>
        </w:tc>
        <w:tc>
          <w:tcPr>
            <w:tcW w:type="dxa" w:w="1440"/>
            <w:shd w:fill="FAFAFA" w:val="clear"/>
          </w:tcPr>
          <w:p>
            <w:r>
              <w:rPr>
                <w:b/>
                <w:sz w:val="17"/>
              </w:rPr>
              <w:t>16,714</w:t>
            </w:r>
          </w:p>
        </w:tc>
        <w:tc>
          <w:tcPr>
            <w:tcW w:type="dxa" w:w="1440"/>
            <w:shd w:fill="FAFAFA" w:val="clear"/>
          </w:tcPr>
          <w:p>
            <w:r>
              <w:rPr>
                <w:sz w:val="17"/>
              </w:rPr>
              <w:t>17,433</w:t>
            </w:r>
          </w:p>
        </w:tc>
        <w:tc>
          <w:tcPr>
            <w:tcW w:type="dxa" w:w="1440"/>
            <w:shd w:fill="FAFAFA" w:val="clear"/>
          </w:tcPr>
          <w:p>
            <w:r>
              <w:rPr>
                <w:b/>
                <w:color w:val="C00000"/>
                <w:sz w:val="17"/>
              </w:rPr>
              <w:t>-1.7%</w:t>
            </w:r>
          </w:p>
        </w:tc>
      </w:tr>
      <w:tr>
        <w:tc>
          <w:tcPr>
            <w:tcW w:type="dxa" w:w="1440"/>
            <w:shd w:fill="FAFAFA" w:val="clear"/>
          </w:tcPr>
          <w:p>
            <w:r>
              <w:rPr>
                <w:sz w:val="17"/>
              </w:rPr>
              <w:t>J+4  Moyenne</w:t>
            </w:r>
          </w:p>
        </w:tc>
        <w:tc>
          <w:tcPr>
            <w:tcW w:type="dxa" w:w="1440"/>
            <w:shd w:fill="FAFAFA" w:val="clear"/>
          </w:tcPr>
          <w:p>
            <w:r>
              <w:rPr>
                <w:sz w:val="17"/>
              </w:rPr>
              <w:t>2026-09-07</w:t>
            </w:r>
          </w:p>
        </w:tc>
        <w:tc>
          <w:tcPr>
            <w:tcW w:type="dxa" w:w="1440"/>
            <w:shd w:fill="FAFAFA" w:val="clear"/>
          </w:tcPr>
          <w:p>
            <w:r>
              <w:rPr>
                <w:sz w:val="17"/>
              </w:rPr>
              <w:t>15,865</w:t>
            </w:r>
          </w:p>
        </w:tc>
        <w:tc>
          <w:tcPr>
            <w:tcW w:type="dxa" w:w="1440"/>
            <w:shd w:fill="FAFAFA" w:val="clear"/>
          </w:tcPr>
          <w:p>
            <w:r>
              <w:rPr>
                <w:b/>
                <w:sz w:val="17"/>
              </w:rPr>
              <w:t>16,694</w:t>
            </w:r>
          </w:p>
        </w:tc>
        <w:tc>
          <w:tcPr>
            <w:tcW w:type="dxa" w:w="1440"/>
            <w:shd w:fill="FAFAFA" w:val="clear"/>
          </w:tcPr>
          <w:p>
            <w:r>
              <w:rPr>
                <w:sz w:val="17"/>
              </w:rPr>
              <w:t>17,522</w:t>
            </w:r>
          </w:p>
        </w:tc>
        <w:tc>
          <w:tcPr>
            <w:tcW w:type="dxa" w:w="1440"/>
            <w:shd w:fill="FAFAFA" w:val="clear"/>
          </w:tcPr>
          <w:p>
            <w:r>
              <w:rPr>
                <w:b/>
                <w:color w:val="C00000"/>
                <w:sz w:val="17"/>
              </w:rPr>
              <w:t>-1.8%</w:t>
            </w:r>
          </w:p>
        </w:tc>
      </w:tr>
      <w:tr>
        <w:tc>
          <w:tcPr>
            <w:tcW w:type="dxa" w:w="1440"/>
            <w:shd w:fill="FAFAFA" w:val="clear"/>
          </w:tcPr>
          <w:p>
            <w:r>
              <w:rPr>
                <w:sz w:val="17"/>
              </w:rPr>
              <w:t>J+5  Moyenne</w:t>
            </w:r>
          </w:p>
        </w:tc>
        <w:tc>
          <w:tcPr>
            <w:tcW w:type="dxa" w:w="1440"/>
            <w:shd w:fill="FAFAFA" w:val="clear"/>
          </w:tcPr>
          <w:p>
            <w:r>
              <w:rPr>
                <w:sz w:val="17"/>
              </w:rPr>
              <w:t>2026-09-08</w:t>
            </w:r>
          </w:p>
        </w:tc>
        <w:tc>
          <w:tcPr>
            <w:tcW w:type="dxa" w:w="1440"/>
            <w:shd w:fill="FAFAFA" w:val="clear"/>
          </w:tcPr>
          <w:p>
            <w:r>
              <w:rPr>
                <w:sz w:val="17"/>
              </w:rPr>
              <w:t>15,749</w:t>
            </w:r>
          </w:p>
        </w:tc>
        <w:tc>
          <w:tcPr>
            <w:tcW w:type="dxa" w:w="1440"/>
            <w:shd w:fill="FAFAFA" w:val="clear"/>
          </w:tcPr>
          <w:p>
            <w:r>
              <w:rPr>
                <w:b/>
                <w:sz w:val="17"/>
              </w:rPr>
              <w:t>16,674</w:t>
            </w:r>
          </w:p>
        </w:tc>
        <w:tc>
          <w:tcPr>
            <w:tcW w:type="dxa" w:w="1440"/>
            <w:shd w:fill="FAFAFA" w:val="clear"/>
          </w:tcPr>
          <w:p>
            <w:r>
              <w:rPr>
                <w:sz w:val="17"/>
              </w:rPr>
              <w:t>17,600</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2026-09-09</w:t>
            </w:r>
          </w:p>
        </w:tc>
        <w:tc>
          <w:tcPr>
            <w:tcW w:type="dxa" w:w="1440"/>
            <w:shd w:fill="FFDCE0" w:val="clear"/>
          </w:tcPr>
          <w:p>
            <w:r>
              <w:rPr>
                <w:sz w:val="17"/>
              </w:rPr>
              <w:t>15,643</w:t>
            </w:r>
          </w:p>
        </w:tc>
        <w:tc>
          <w:tcPr>
            <w:tcW w:type="dxa" w:w="1440"/>
            <w:shd w:fill="FFDCE0" w:val="clear"/>
          </w:tcPr>
          <w:p>
            <w:r>
              <w:rPr>
                <w:b/>
                <w:sz w:val="17"/>
              </w:rPr>
              <w:t>16,656</w:t>
            </w:r>
          </w:p>
        </w:tc>
        <w:tc>
          <w:tcPr>
            <w:tcW w:type="dxa" w:w="1440"/>
            <w:shd w:fill="FFDCE0" w:val="clear"/>
          </w:tcPr>
          <w:p>
            <w:r>
              <w:rPr>
                <w:sz w:val="17"/>
              </w:rPr>
              <w:t>17,669</w:t>
            </w:r>
          </w:p>
        </w:tc>
        <w:tc>
          <w:tcPr>
            <w:tcW w:type="dxa" w:w="1440"/>
            <w:shd w:fill="FFDCE0" w:val="clear"/>
          </w:tcPr>
          <w:p>
            <w:r>
              <w:rPr>
                <w:b/>
                <w:color w:val="C00000"/>
                <w:sz w:val="17"/>
              </w:rPr>
              <w:t>-2.0%</w:t>
            </w:r>
          </w:p>
        </w:tc>
      </w:tr>
      <w:tr>
        <w:tc>
          <w:tcPr>
            <w:tcW w:type="dxa" w:w="1440"/>
            <w:shd w:fill="FFDCE0" w:val="clear"/>
          </w:tcPr>
          <w:p>
            <w:r>
              <w:rPr>
                <w:sz w:val="17"/>
              </w:rPr>
              <w:t>J+7  Moyenne</w:t>
            </w:r>
          </w:p>
        </w:tc>
        <w:tc>
          <w:tcPr>
            <w:tcW w:type="dxa" w:w="1440"/>
            <w:shd w:fill="FFDCE0" w:val="clear"/>
          </w:tcPr>
          <w:p>
            <w:r>
              <w:rPr>
                <w:sz w:val="17"/>
              </w:rPr>
              <w:t>2026-09-10</w:t>
            </w:r>
          </w:p>
        </w:tc>
        <w:tc>
          <w:tcPr>
            <w:tcW w:type="dxa" w:w="1440"/>
            <w:shd w:fill="FFDCE0" w:val="clear"/>
          </w:tcPr>
          <w:p>
            <w:r>
              <w:rPr>
                <w:sz w:val="17"/>
              </w:rPr>
              <w:t>15,545</w:t>
            </w:r>
          </w:p>
        </w:tc>
        <w:tc>
          <w:tcPr>
            <w:tcW w:type="dxa" w:w="1440"/>
            <w:shd w:fill="FFDCE0" w:val="clear"/>
          </w:tcPr>
          <w:p>
            <w:r>
              <w:rPr>
                <w:b/>
                <w:sz w:val="17"/>
              </w:rPr>
              <w:t>16,638</w:t>
            </w:r>
          </w:p>
        </w:tc>
        <w:tc>
          <w:tcPr>
            <w:tcW w:type="dxa" w:w="1440"/>
            <w:shd w:fill="FFDCE0" w:val="clear"/>
          </w:tcPr>
          <w:p>
            <w:r>
              <w:rPr>
                <w:sz w:val="17"/>
              </w:rPr>
              <w:t>17,730</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2026-09-11</w:t>
            </w:r>
          </w:p>
        </w:tc>
        <w:tc>
          <w:tcPr>
            <w:tcW w:type="dxa" w:w="1440"/>
            <w:shd w:fill="FFDCE0" w:val="clear"/>
          </w:tcPr>
          <w:p>
            <w:r>
              <w:rPr>
                <w:sz w:val="17"/>
              </w:rPr>
              <w:t>15,453</w:t>
            </w:r>
          </w:p>
        </w:tc>
        <w:tc>
          <w:tcPr>
            <w:tcW w:type="dxa" w:w="1440"/>
            <w:shd w:fill="FFDCE0" w:val="clear"/>
          </w:tcPr>
          <w:p>
            <w:r>
              <w:rPr>
                <w:b/>
                <w:sz w:val="17"/>
              </w:rPr>
              <w:t>16,620</w:t>
            </w:r>
          </w:p>
        </w:tc>
        <w:tc>
          <w:tcPr>
            <w:tcW w:type="dxa" w:w="1440"/>
            <w:shd w:fill="FFDCE0" w:val="clear"/>
          </w:tcPr>
          <w:p>
            <w:r>
              <w:rPr>
                <w:sz w:val="17"/>
              </w:rPr>
              <w:t>17,787</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2026-09-14</w:t>
            </w:r>
          </w:p>
        </w:tc>
        <w:tc>
          <w:tcPr>
            <w:tcW w:type="dxa" w:w="1440"/>
            <w:shd w:fill="FFDCE0" w:val="clear"/>
          </w:tcPr>
          <w:p>
            <w:r>
              <w:rPr>
                <w:sz w:val="17"/>
              </w:rPr>
              <w:t>15,366</w:t>
            </w:r>
          </w:p>
        </w:tc>
        <w:tc>
          <w:tcPr>
            <w:tcW w:type="dxa" w:w="1440"/>
            <w:shd w:fill="FFDCE0" w:val="clear"/>
          </w:tcPr>
          <w:p>
            <w:r>
              <w:rPr>
                <w:b/>
                <w:sz w:val="17"/>
              </w:rPr>
              <w:t>16,602</w:t>
            </w:r>
          </w:p>
        </w:tc>
        <w:tc>
          <w:tcPr>
            <w:tcW w:type="dxa" w:w="1440"/>
            <w:shd w:fill="FFDCE0" w:val="clear"/>
          </w:tcPr>
          <w:p>
            <w:r>
              <w:rPr>
                <w:sz w:val="17"/>
              </w:rPr>
              <w:t>17,838</w:t>
            </w:r>
          </w:p>
        </w:tc>
        <w:tc>
          <w:tcPr>
            <w:tcW w:type="dxa" w:w="1440"/>
            <w:shd w:fill="FFDCE0" w:val="clear"/>
          </w:tcPr>
          <w:p>
            <w:r>
              <w:rPr>
                <w:b/>
                <w:color w:val="C00000"/>
                <w:sz w:val="17"/>
              </w:rPr>
              <w:t>-2.3%</w:t>
            </w:r>
          </w:p>
        </w:tc>
      </w:tr>
      <w:tr>
        <w:tc>
          <w:tcPr>
            <w:tcW w:type="dxa" w:w="1440"/>
            <w:shd w:fill="FFDCE0" w:val="clear"/>
          </w:tcPr>
          <w:p>
            <w:r>
              <w:rPr>
                <w:sz w:val="17"/>
              </w:rPr>
              <w:t>J+10  Moyenne</w:t>
            </w:r>
          </w:p>
        </w:tc>
        <w:tc>
          <w:tcPr>
            <w:tcW w:type="dxa" w:w="1440"/>
            <w:shd w:fill="FFDCE0" w:val="clear"/>
          </w:tcPr>
          <w:p>
            <w:r>
              <w:rPr>
                <w:sz w:val="17"/>
              </w:rPr>
              <w:t>2026-09-15</w:t>
            </w:r>
          </w:p>
        </w:tc>
        <w:tc>
          <w:tcPr>
            <w:tcW w:type="dxa" w:w="1440"/>
            <w:shd w:fill="FFDCE0" w:val="clear"/>
          </w:tcPr>
          <w:p>
            <w:r>
              <w:rPr>
                <w:sz w:val="17"/>
              </w:rPr>
              <w:t>15,283</w:t>
            </w:r>
          </w:p>
        </w:tc>
        <w:tc>
          <w:tcPr>
            <w:tcW w:type="dxa" w:w="1440"/>
            <w:shd w:fill="FFDCE0" w:val="clear"/>
          </w:tcPr>
          <w:p>
            <w:r>
              <w:rPr>
                <w:b/>
                <w:sz w:val="17"/>
              </w:rPr>
              <w:t>16,584</w:t>
            </w:r>
          </w:p>
        </w:tc>
        <w:tc>
          <w:tcPr>
            <w:tcW w:type="dxa" w:w="1440"/>
            <w:shd w:fill="FFDCE0" w:val="clear"/>
          </w:tcPr>
          <w:p>
            <w:r>
              <w:rPr>
                <w:sz w:val="17"/>
              </w:rPr>
              <w:t>17,886</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1er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935,86 milliards FCFA, ce qui en fait l'une des plus importantes capitalisations de la BRVM, reflétant son statut de leader bancaire régional. Avec un BPA de 1 153 FCFA, le PER de 14,7x se situe nettement au-dessus de la moyenne historique de la BRVM (8-12x), indiquant que le marché valorise déjà une prime de croissance et de qualité pour ce titre. Le P/B de 4,28x confirme cette prime, le marché payant plus de 4 fois la valeur comptable de l'action, ce qui est exigeant et reflète une forte confiance dans la capacité de la banque à générer de la valeur. Enfin, l'EV/EBITDA de 14,4x, dans la fourchette haute, suggère que la valorisation actuelle intègre des hypothèses de performance opérationnelle soutenue, laissant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progression modérée de +3,98%, avec une accélération notable lors de la dernière séance (+2,97%), portant le cours à 17 000 FCFA. Le titre a évolué dans un range de 1 750 FCFA, entre un plus bas de 15 520 FCFA et un plus haut de 17 270 FCFA, démontrant une tendance globalement haussière sur la période. Les statistiques descriptives révèlent une distribution très resserrée des prix autour de la moyenne de 16 341 FCFA, avec une médiane et un mode quasi identiques (16 300 FCFA), indiquant une stabilité du cours. L'écart-type de 378 FCFA (CV=2,3%) confirme une dispersion très faible, signe d'un titre peu spéculatif. Le kurtosis négatif (-0.360) suggère une distribution mésokurtique, sans risque de mouvements extrêmes, tandis que le skewness positif (0.183) indique une légère asymétrie vers les hausses. La volatilité annualisée de 28,2% classe le titre dans une zone de volatilité modérée à élevée, à surveiller pour les investisseurs prudents.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(17 000 FCFA) se positionne nettement au-dessus des MM20 (16 423,5 FCFA) et MM50 (16 426,2 FCFA), qui sont pratiquement confondues. Cette configuration signale une dynamique haussière récente, mais la décision de "Vente" suggère que le marché pourrait considérer le titre comme temporairement suracheté après cette remontée rapide, ou que la tendance de fond n'est pas encore confirmée par ces moyennes.</w:t>
      </w:r>
    </w:p>
    <w:p>
      <w:pPr>
        <w:spacing w:after="120" w:line="276" w:lineRule="auto"/>
      </w:pPr>
      <w:r>
        <w:t>**Bandes de Bollinger** : Le prix évolue près de la borne supérieure (17 192 FCFA), indiquant une pression acheteuse soutenue. La décision "Neutre" suggère que malgré cette proximité avec la borne haute, la volatilité n'est pas considérée comme excessive et le titre n'est pas encore en zone de surachat extrême, laissant une possibilité de poursuite du mouvement avant un éventuel retour vers la moyenne.</w:t>
      </w:r>
    </w:p>
    <w:p>
      <w:pPr>
        <w:spacing w:after="120" w:line="276" w:lineRule="auto"/>
      </w:pPr>
      <w:r>
        <w:t>**MACD** : Le MACD (157,23) est nettement supérieur à son signal (100,805), avec un écart positif important. Cette configuration est un signal d'achat classique, indiquant un momentum haussier fort et une accélération de la tendance. La décision "Achat" est cohérente avec la dynamique positive du titre.</w:t>
      </w:r>
    </w:p>
    <w:p>
      <w:pPr>
        <w:spacing w:after="120" w:line="276" w:lineRule="auto"/>
      </w:pPr>
      <w:r>
        <w:t>**RSI** : À 67,73, le RSI se situe en zone neutre-haute, proche du seuil de surachat (70). La décision "Neutre" est justifiée car le titre n'est pas encore en zone de surachat extrême, mais il est prudent de surveiller une éventuelle poursuite de la hausse qui pourrait mener à une correction technique.</w:t>
      </w:r>
    </w:p>
    <w:p>
      <w:pPr>
        <w:spacing w:after="120" w:line="276" w:lineRule="auto"/>
      </w:pPr>
      <w:r>
        <w:t>**Stochastique** : Le %K à 100,0 et le %D à 84,369 indiquent une situation de surachat extrême. La décision "Vente" est cohérente avec cette configuration, signalant un risque élevé de retournement ou de consolidation à court terme.</w:t>
      </w:r>
    </w:p>
    <w:p>
      <w:pPr>
        <w:spacing w:after="120" w:line="276" w:lineRule="auto"/>
      </w:pPr>
      <w:r>
        <w:t>**Conclusion technique** : Les indicateurs sont mitigés : le MACD et la position du cours au-dessus des MM suggèrent une tendance haussière, mais le RSI proche du surachat et surtout le Stochastique en zone extrême signalent un risque de correction. La prudence est de mise à court terme, avec une possible consolidation avant la poursuite de la tendance haussière de fond.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Ecobank Côte d'Ivoire affiche des performances financières exceptionnelles, avec un Produit Net Bancaire de 132,725 milliards FCFA, en croissance de 8,5% par rapport à 2024. Le résultat net atteint 63,482 milliards FCFA, en hausse de 10,4% vs 2024, démontrant une création de valeur soutenue. La rentabilité est remarquable avec un ROE de 29,04% et un ROA de 3,09%, témoignant d'une utilisation très efficace des capitaux propres et des actifs. Le coefficient d'exploitation de 42,89% est excellent, indiquant une maîtrise rigoureuse des coûts. La banque maintient une qualité de crédit saine avec un coût du risque modéré à 1,36%. Les dépôts clientèle (1 626,223 Mds FCFA) dépassent largement les créances (1 050,803 Mds FCFA), assurant une liquidité confortable. Les rapports trimestriels 2025 confirment cette dynamique : le T3 2025 (PNB 96,4 Mds FCFA, +11,3%) et le S1 2025 (PNB 62,8 Mds FCFA, +6,9%) montrent une accélération. Le rapport T1 2026 (PNB 30,8 Mds FCFA, +3,7%) indique une poursuite de la croissance, malgré un léger repli du résultat net (-1,6%). Sur la base de ces tendances, on estime que l'exercice 2026 devrait confirmer la solidité du modèle, avec un PNB annuel potentiellement autour de 137-140 milliards FCFA. La banque propose un dividende de 888 FCFA par action pour 2025, offrant un rendement attractif.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d'ECOC (PER 14,7x, P/B 4,28x) est exigeante, intégrant une prime de qualité pour ce leader bancaire, mais elle est justifiée par des fondamentaux exceptionnels (ROE &gt;29%, croissance soutenue). Le comportement du cours sur 100 jours montre une tendance haussière stable avec une volatilité modérée, et des statistiques saines sans risque de mouvements extrêmes. Les signaux techniques sont mitigés à court terme, avec un Stochastique surachat suggérant une possible consolidation, mais le MACD et la tendance de fond restent positifs. Les fondamentaux sont extrêmement solides, avec une croissance continue du PNB et du résultat net, une excellente maîtrise des coûts et une qualité de crédit préservée. Les prédictions IA (J+1 à J+10) prévoient une légère baisse vers 16 674-16 739 FCFA, suggérant une consolidation à court terme, cohérente avec les signaux techniques de surachat. En synthèse, la convergence entre des fondamentaux excellents et une tendance de fond haussière, malgré une valorisation exigeante et des signaux techniques de court terme mitigés, conduit à une recommandation **CONSERVER** pour les investisseurs existants, avec un niveau de confiance **Moyen** et un risque global **Moyen**. L'horizon d'investissement optimal est le **moyen terme (3-12 mois)**, en attendant une éventuelle correction pour renforcer les positions, ou une confirmation de la poursuite de la hausse au-delà des 17 270 FCFA.</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1229.72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1,470,816 titres</w:t>
            </w:r>
          </w:p>
        </w:tc>
        <w:tc>
          <w:tcPr>
            <w:tcW w:type="dxa" w:w="2268"/>
            <w:shd w:fill="FFF2CC" w:val="clear"/>
          </w:tcPr>
          <w:p>
            <w:r>
              <w:rPr>
                <w:b/>
                <w:color w:val="503200"/>
                <w:sz w:val="16"/>
              </w:rPr>
              <w:t xml:space="preserve">Cours actuel : </w:t>
            </w:r>
            <w:r>
              <w:rPr>
                <w:color w:val="000000"/>
                <w:sz w:val="17"/>
              </w:rPr>
              <w:t>68 FCFA</w:t>
            </w:r>
          </w:p>
          <w:p>
            <w:r>
              <w:rPr>
                <w:b/>
                <w:color w:val="503200"/>
                <w:sz w:val="16"/>
              </w:rPr>
              <w:t xml:space="preserve">Var. 100 jours : </w:t>
            </w:r>
            <w:r>
              <w:rPr>
                <w:b/>
                <w:color w:val="007800"/>
                <w:sz w:val="17"/>
              </w:rPr>
              <w:t>+100.00%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38.05% (Élevée) — μ=46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β=2.6769 (Très agressif) — Cov=0.000098, Var(idx)=0.000037, ρ=0.393,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1,470,816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σ_j=4.12%/j (Modérée) — Vol. annualisée≈65.4%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782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782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58</w:t>
            </w:r>
          </w:p>
        </w:tc>
        <w:tc>
          <w:tcPr>
            <w:tcW w:type="dxa" w:w="1440"/>
            <w:shd w:fill="FFDCE0" w:val="clear"/>
          </w:tcPr>
          <w:p>
            <w:r>
              <w:rPr>
                <w:b/>
                <w:sz w:val="17"/>
              </w:rPr>
              <w:t>63</w:t>
            </w:r>
          </w:p>
        </w:tc>
        <w:tc>
          <w:tcPr>
            <w:tcW w:type="dxa" w:w="1440"/>
            <w:shd w:fill="FFDCE0" w:val="clear"/>
          </w:tcPr>
          <w:p>
            <w:r>
              <w:rPr>
                <w:sz w:val="17"/>
              </w:rPr>
              <w:t>67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52</w:t>
            </w:r>
          </w:p>
        </w:tc>
        <w:tc>
          <w:tcPr>
            <w:tcW w:type="dxa" w:w="1440"/>
            <w:shd w:fill="FFDCE0" w:val="clear"/>
          </w:tcPr>
          <w:p>
            <w:r>
              <w:rPr>
                <w:b/>
                <w:sz w:val="17"/>
              </w:rPr>
              <w:t>58</w:t>
            </w:r>
          </w:p>
        </w:tc>
        <w:tc>
          <w:tcPr>
            <w:tcW w:type="dxa" w:w="1440"/>
            <w:shd w:fill="FFDCE0" w:val="clear"/>
          </w:tcPr>
          <w:p>
            <w:r>
              <w:rPr>
                <w:sz w:val="17"/>
              </w:rPr>
              <w:t>64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47</w:t>
            </w:r>
          </w:p>
        </w:tc>
        <w:tc>
          <w:tcPr>
            <w:tcW w:type="dxa" w:w="1440"/>
            <w:shd w:fill="FFDCE0" w:val="clear"/>
          </w:tcPr>
          <w:p>
            <w:r>
              <w:rPr>
                <w:b/>
                <w:sz w:val="17"/>
              </w:rPr>
              <w:t>54</w:t>
            </w:r>
          </w:p>
        </w:tc>
        <w:tc>
          <w:tcPr>
            <w:tcW w:type="dxa" w:w="1440"/>
            <w:shd w:fill="FFDCE0" w:val="clear"/>
          </w:tcPr>
          <w:p>
            <w:r>
              <w:rPr>
                <w:sz w:val="17"/>
              </w:rPr>
              <w:t>60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43</w:t>
            </w:r>
          </w:p>
        </w:tc>
        <w:tc>
          <w:tcPr>
            <w:tcW w:type="dxa" w:w="1440"/>
            <w:shd w:fill="FFDCE0" w:val="clear"/>
          </w:tcPr>
          <w:p>
            <w:r>
              <w:rPr>
                <w:b/>
                <w:sz w:val="17"/>
              </w:rPr>
              <w:t>50</w:t>
            </w:r>
          </w:p>
        </w:tc>
        <w:tc>
          <w:tcPr>
            <w:tcW w:type="dxa" w:w="1440"/>
            <w:shd w:fill="FFDCE0" w:val="clear"/>
          </w:tcPr>
          <w:p>
            <w:r>
              <w:rPr>
                <w:sz w:val="17"/>
              </w:rPr>
              <w:t>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39</w:t>
            </w:r>
          </w:p>
        </w:tc>
        <w:tc>
          <w:tcPr>
            <w:tcW w:type="dxa" w:w="1440"/>
            <w:shd w:fill="FFDCE0" w:val="clear"/>
          </w:tcPr>
          <w:p>
            <w:r>
              <w:rPr>
                <w:b/>
                <w:sz w:val="17"/>
              </w:rPr>
              <w:t>46</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35</w:t>
            </w:r>
          </w:p>
        </w:tc>
        <w:tc>
          <w:tcPr>
            <w:tcW w:type="dxa" w:w="1440"/>
            <w:shd w:fill="FFDCE0" w:val="clear"/>
          </w:tcPr>
          <w:p>
            <w:r>
              <w:rPr>
                <w:b/>
                <w:sz w:val="17"/>
              </w:rPr>
              <w:t>43</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32</w:t>
            </w:r>
          </w:p>
        </w:tc>
        <w:tc>
          <w:tcPr>
            <w:tcW w:type="dxa" w:w="1440"/>
            <w:shd w:fill="FFDCE0" w:val="clear"/>
          </w:tcPr>
          <w:p>
            <w:r>
              <w:rPr>
                <w:b/>
                <w:sz w:val="17"/>
              </w:rPr>
              <w:t>39</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29</w:t>
            </w:r>
          </w:p>
        </w:tc>
        <w:tc>
          <w:tcPr>
            <w:tcW w:type="dxa" w:w="1440"/>
            <w:shd w:fill="FFDCE0" w:val="clear"/>
          </w:tcPr>
          <w:p>
            <w:r>
              <w:rPr>
                <w:b/>
                <w:sz w:val="17"/>
              </w:rPr>
              <w:t>36</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27</w:t>
            </w:r>
          </w:p>
        </w:tc>
        <w:tc>
          <w:tcPr>
            <w:tcW w:type="dxa" w:w="1440"/>
            <w:shd w:fill="FFDCE0" w:val="clear"/>
          </w:tcPr>
          <w:p>
            <w:r>
              <w:rPr>
                <w:b/>
                <w:sz w:val="17"/>
              </w:rPr>
              <w:t>34</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24</w:t>
            </w:r>
          </w:p>
        </w:tc>
        <w:tc>
          <w:tcPr>
            <w:tcW w:type="dxa" w:w="1440"/>
            <w:shd w:fill="FFDCE0" w:val="clear"/>
          </w:tcPr>
          <w:p>
            <w:r>
              <w:rPr>
                <w:b/>
                <w:sz w:val="17"/>
              </w:rPr>
              <w:t>31</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1 229,72 milliards FCFA, ce qui en fait l'une des plus importantes de la BRVM, reflétant son statut de leader panafricain. Avec un BPA de 19 FCFA, le titre se négocie à un PER de 3,6x, très inférieur à la moyenne du marché BRVM (8-12x), signalant une sous-évaluation potentielle. Le P/B de 0,77x indique que le marché valorise le titre sous sa valeur comptable, offrant une décote de 23% sur l'actif net, situation souvent associée à une opportunité d'achat. Enfin, l'EV/EBITDA de 5,0x se situe dans la fourchette raisonnable (5-10x), suggérant que la valeur totale de l'entreprise reste modérée par rapport à sa capacité opérationnelle. Ces ratios combinés plaident en faveur d'une valorisation attractive.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performance spectaculaire de +100%, passant d'un plus bas de 26 FCFA à un plus haut de 78 FCFA, avec un cours actuel de 68 FCFA et une progression de +1,49% lors de la dernière séance. La moyenne de 46 FCFA et la médiane de 34 FCFA révèlent une asymétrie positive, confirmée par un skewness de 0,42, indiquant que les fortes hausses récentes tirent la moyenne vers le haut. L'écart-type de 18 FCFA (CV=38,2%) témoigne d'une dispersion significative des prix. Le kurtosis de -1,626 (platykurtique) suggère une distribution aplatie avec peu de valeurs extrêmes, tandis que la volatilité annualisée de 65,4% classe le titre comme extrêmement volatil, bien au-dessus du seuil de 30%. Cette configuration traduit un marché en pleine effervescence, avec un momentum haussier puissant mais risqué.</w:t>
      </w:r>
    </w:p>
    <w:p>
      <w:pPr>
        <w:spacing w:after="120" w:line="276" w:lineRule="auto" w:before="240"/>
      </w:pPr>
      <w:r>
        <w:rPr>
          <w:b/>
          <w:color w:val="003366"/>
          <w:sz w:val="24"/>
        </w:rPr>
        <w:t>**PARTIE 2 : ANALYSE TECHNIQUE DÉTAILLÉE**</w:t>
      </w:r>
    </w:p>
    <w:p>
      <w:pPr>
        <w:spacing w:after="120" w:line="276" w:lineRule="auto"/>
      </w:pPr>
      <w:r>
        <w:t>**Moyennes Mobiles** : Le cours actuel de 68 FCFA se positionne au-dessus de la MM20 (66,5 FCFA) et de la MM50 (61,1 FCFA), confirmant une tendance haussière solide. La configuration des moyennes mobiles, avec la MM20 au-dessus de la MM50, valide la dynamique positive et justifie la décision d'achat.</w:t>
      </w:r>
    </w:p>
    <w:p>
      <w:pPr>
        <w:spacing w:after="120" w:line="276" w:lineRule="auto"/>
      </w:pPr>
      <w:r>
        <w:t>**Bandes de Bollinger** : Le prix évolue près de la borne supérieure (69,6 FCFA), indiquant une pression acheteuse soutenue. L'écart entre les bornes (63,4 à 69,6 FCFA) reflète une volatilité modérée. La position du cours dans la partie haute des bandes suggère une force relative, mais la décision neutre indique une possible consolidation à ces niveaux.</w:t>
      </w:r>
    </w:p>
    <w:p>
      <w:pPr>
        <w:spacing w:after="120" w:line="276" w:lineRule="auto"/>
      </w:pPr>
      <w:r>
        <w:t>**MACD** : Le MACD (1,272) est inférieur à son signal (1,789), indiquant un momentum baissier à court terme malgré la tendance haussière de fond. Cette divergence négative suggère un essoufflement potentiel de la dynamique haussière, justifiant la décision de vente.</w:t>
      </w:r>
    </w:p>
    <w:p>
      <w:pPr>
        <w:spacing w:after="120" w:line="276" w:lineRule="auto"/>
      </w:pPr>
      <w:r>
        <w:t>**RSI** : À 48,0, le RSI se situe en zone neutre, indiquant un équilibre entre pressions acheteuses et vendeuses. Cette valeur suggère que le titre n'est ni suracheté ni survendu, laissant place à une évolution directionnelle sans contrainte technique majeure.</w:t>
      </w:r>
    </w:p>
    <w:p>
      <w:pPr>
        <w:spacing w:after="120" w:line="276" w:lineRule="auto"/>
      </w:pPr>
      <w:r>
        <w:t>**Stochastique** : Le %K à 100,0 contre un %D à 50,0 montre un croisement baissier potentiel, signalant une possible correction après une phase de surachat extrême. Cette configuration justifie la décision de vente, car elle indique un épuisement probable de la dynamique haussière à court terme.</w:t>
      </w:r>
    </w:p>
    <w:p>
      <w:pPr>
        <w:spacing w:after="120" w:line="276" w:lineRule="auto"/>
      </w:pPr>
      <w:r>
        <w:t>**Conclusion technique** : La convergence des indicateurs est mitigée. Les moyennes mobiles confirment la tendance haussière de fond, mais le MACD, le Stochastique et la position dans les bandes de Bollinger suggèrent un risque de consolidation ou de correction à court terme. Le RSI neutre n'apporte pas de signal clair. Globalement, la tendance reste positive mais avec des signaux d'essoufflement technique.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d'ETIT révèlent un Produit Net Bancaire (PNB) de 1 424,261 milliards FCFA, en croissance de 12,45%, avec un résultat net de 345,523 milliards FCFA. La banque affiche un ROE exceptionnel de 21,62% et un ROA de 1,80%, démontrant une excellente rentabilité. Le coefficient d'exploitation de 27,35% est remarquablement bas, indiquant une efficacité opérationnelle supérieure aux normes sectorielles (&lt;60%). Le coût du risque de 18,97% reste élevé, signalant un risque de crédit significatif. Le ratio dépôts/crédits (14 120 milliards FCFA de dépôts contre 6 570 milliards FCFA de crédits) montre une transformation prudente. Les rapports semestriels 2026 (DeepSeek, juillet 2026) confirment la dynamique positive avec un PNB en hausse de 15% à 721,3 milliards FCFA et un résultat net de 166,7 milliards FCFA, malgré un coût du risque en hausse de 40%. Le rapport T1 2026 (PNB +23%) suggère une accélération. On estime que l'exercice 2026 pourrait dépasser les performances 2025, avec un PNB projeté autour de 1 500 milliards FCFA. La solidité financière, la croissance soutenue et la gestion efficace des coûts positionnent ETIT comme un investissement fondamentalement solide, malgré les risques liés au coût du risque et à l'environnement macroéconomique africain.</w:t>
      </w:r>
    </w:p>
    <w:p>
      <w:pPr>
        <w:spacing w:after="120" w:line="276" w:lineRule="auto" w:before="240"/>
      </w:pPr>
      <w:r>
        <w:rPr>
          <w:b/>
          <w:color w:val="003366"/>
          <w:sz w:val="24"/>
        </w:rPr>
        <w:t>**PARTIE 4 : CONCLUSION D'INVESTISSEMENT**</w:t>
      </w:r>
    </w:p>
    <w:p>
      <w:pPr>
        <w:spacing w:after="120" w:line="276" w:lineRule="auto"/>
      </w:pPr>
      <w:r>
        <w:t>La valorisation d'ETIT (PER 3,6x, P/B 0,77x) indique une nette sous-évaluation par rapport aux fondamentaux solides de la banque. Le comportement du cours (+100% en 100 jours) montre une dynamique haussière spectaculaire, mais la volatilité extrême (65,4%) et les statistiques (kurtosis platykurtique) suggèrent un risque élevé de corrections brutales. Les signaux techniques sont mitigés : la tendance de fond reste positive (MM), mais les indicateurs de momentum (MACD, Stochastique) signalent un essoufflement à court terme. Les fondamentaux sont excellents avec un ROE de 21,6%, un coefficient d'exploitation de 27,3% et une croissance soutenue du PNB. Les prédictions IA (63 à 46 FCFA sur 10 jours) confirment le risque de correction technique, contredisant la tendance haussière récente. La divergence entre la sous-évaluation fondamentale et les signaux techniques de surachat justifie une recommandation **CONSERVER**, avec un niveau de confiance Moyen et un risque global Élevé. L'horizon d'investissement optimal serait le moyen terme (3-12 mois), permettant d'absorber une éventuelle correction technique avant de bénéficier du potentiel de revalorisation fondamental.</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3,997 titres</w:t>
            </w:r>
          </w:p>
        </w:tc>
        <w:tc>
          <w:tcPr>
            <w:tcW w:type="dxa" w:w="2268"/>
            <w:shd w:fill="FFF2CC" w:val="clear"/>
          </w:tcPr>
          <w:p>
            <w:r>
              <w:rPr>
                <w:b/>
                <w:color w:val="503200"/>
                <w:sz w:val="16"/>
              </w:rPr>
              <w:t xml:space="preserve">Cours actuel : </w:t>
            </w:r>
            <w:r>
              <w:rPr>
                <w:color w:val="000000"/>
                <w:sz w:val="17"/>
              </w:rPr>
              <w:t>2,090 FCFA</w:t>
            </w:r>
          </w:p>
          <w:p>
            <w:r>
              <w:rPr>
                <w:b/>
                <w:color w:val="503200"/>
                <w:sz w:val="16"/>
              </w:rPr>
              <w:t xml:space="preserve">Var. 100 jours : </w:t>
            </w:r>
            <w:r>
              <w:rPr>
                <w:b/>
                <w:color w:val="B40000"/>
                <w:sz w:val="17"/>
              </w:rPr>
              <w:t>-9.33%</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6.20% (Moyenne) — μ=2,149 FCFA, σ=133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β=0.6205 (Défensif) — Cov=0.000023, Var(idx)=0.000037, ρ=0.169,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2,038</w:t>
            </w:r>
          </w:p>
        </w:tc>
        <w:tc>
          <w:tcPr>
            <w:tcW w:type="dxa" w:w="1440"/>
            <w:shd w:fill="FAFAFA" w:val="clear"/>
          </w:tcPr>
          <w:p>
            <w:r>
              <w:rPr>
                <w:b/>
                <w:sz w:val="17"/>
              </w:rPr>
              <w:t>2,106</w:t>
            </w:r>
          </w:p>
        </w:tc>
        <w:tc>
          <w:tcPr>
            <w:tcW w:type="dxa" w:w="1440"/>
            <w:shd w:fill="FAFAFA" w:val="clear"/>
          </w:tcPr>
          <w:p>
            <w:r>
              <w:rPr>
                <w:sz w:val="17"/>
              </w:rPr>
              <w:t>2,174</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2026-09-03</w:t>
            </w:r>
          </w:p>
        </w:tc>
        <w:tc>
          <w:tcPr>
            <w:tcW w:type="dxa" w:w="1440"/>
            <w:shd w:fill="FAFAFA" w:val="clear"/>
          </w:tcPr>
          <w:p>
            <w:r>
              <w:rPr>
                <w:sz w:val="17"/>
              </w:rPr>
              <w:t>2,019</w:t>
            </w:r>
          </w:p>
        </w:tc>
        <w:tc>
          <w:tcPr>
            <w:tcW w:type="dxa" w:w="1440"/>
            <w:shd w:fill="FAFAFA" w:val="clear"/>
          </w:tcPr>
          <w:p>
            <w:r>
              <w:rPr>
                <w:b/>
                <w:sz w:val="17"/>
              </w:rPr>
              <w:t>2,115</w:t>
            </w:r>
          </w:p>
        </w:tc>
        <w:tc>
          <w:tcPr>
            <w:tcW w:type="dxa" w:w="1440"/>
            <w:shd w:fill="FAFAFA" w:val="clear"/>
          </w:tcPr>
          <w:p>
            <w:r>
              <w:rPr>
                <w:sz w:val="17"/>
              </w:rPr>
              <w:t>2,211</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2026-09-04</w:t>
            </w:r>
          </w:p>
        </w:tc>
        <w:tc>
          <w:tcPr>
            <w:tcW w:type="dxa" w:w="1440"/>
            <w:shd w:fill="FAFAFA" w:val="clear"/>
          </w:tcPr>
          <w:p>
            <w:r>
              <w:rPr>
                <w:sz w:val="17"/>
              </w:rPr>
              <w:t>2,007</w:t>
            </w:r>
          </w:p>
        </w:tc>
        <w:tc>
          <w:tcPr>
            <w:tcW w:type="dxa" w:w="1440"/>
            <w:shd w:fill="FAFAFA" w:val="clear"/>
          </w:tcPr>
          <w:p>
            <w:r>
              <w:rPr>
                <w:b/>
                <w:sz w:val="17"/>
              </w:rPr>
              <w:t>2,126</w:t>
            </w:r>
          </w:p>
        </w:tc>
        <w:tc>
          <w:tcPr>
            <w:tcW w:type="dxa" w:w="1440"/>
            <w:shd w:fill="FAFAFA" w:val="clear"/>
          </w:tcPr>
          <w:p>
            <w:r>
              <w:rPr>
                <w:sz w:val="17"/>
              </w:rPr>
              <w:t>2,245</w:t>
            </w:r>
          </w:p>
        </w:tc>
        <w:tc>
          <w:tcPr>
            <w:tcW w:type="dxa" w:w="1440"/>
            <w:shd w:fill="FAFAFA" w:val="clear"/>
          </w:tcPr>
          <w:p>
            <w:r>
              <w:rPr>
                <w:b/>
                <w:color w:val="008000"/>
                <w:sz w:val="17"/>
              </w:rPr>
              <w:t>+1.7%</w:t>
            </w:r>
          </w:p>
        </w:tc>
      </w:tr>
      <w:tr>
        <w:tc>
          <w:tcPr>
            <w:tcW w:type="dxa" w:w="1440"/>
            <w:shd w:fill="C6EFCE" w:val="clear"/>
          </w:tcPr>
          <w:p>
            <w:r>
              <w:rPr>
                <w:sz w:val="17"/>
              </w:rPr>
              <w:t>J+4  Moyenne</w:t>
            </w:r>
          </w:p>
        </w:tc>
        <w:tc>
          <w:tcPr>
            <w:tcW w:type="dxa" w:w="1440"/>
            <w:shd w:fill="C6EFCE" w:val="clear"/>
          </w:tcPr>
          <w:p>
            <w:r>
              <w:rPr>
                <w:sz w:val="17"/>
              </w:rPr>
              <w:t>2026-09-07</w:t>
            </w:r>
          </w:p>
        </w:tc>
        <w:tc>
          <w:tcPr>
            <w:tcW w:type="dxa" w:w="1440"/>
            <w:shd w:fill="C6EFCE" w:val="clear"/>
          </w:tcPr>
          <w:p>
            <w:r>
              <w:rPr>
                <w:sz w:val="17"/>
              </w:rPr>
              <w:t>1,999</w:t>
            </w:r>
          </w:p>
        </w:tc>
        <w:tc>
          <w:tcPr>
            <w:tcW w:type="dxa" w:w="1440"/>
            <w:shd w:fill="C6EFCE" w:val="clear"/>
          </w:tcPr>
          <w:p>
            <w:r>
              <w:rPr>
                <w:b/>
                <w:sz w:val="17"/>
              </w:rPr>
              <w:t>2,137</w:t>
            </w:r>
          </w:p>
        </w:tc>
        <w:tc>
          <w:tcPr>
            <w:tcW w:type="dxa" w:w="1440"/>
            <w:shd w:fill="C6EFCE" w:val="clear"/>
          </w:tcPr>
          <w:p>
            <w:r>
              <w:rPr>
                <w:sz w:val="17"/>
              </w:rPr>
              <w:t>2,274</w:t>
            </w:r>
          </w:p>
        </w:tc>
        <w:tc>
          <w:tcPr>
            <w:tcW w:type="dxa" w:w="1440"/>
            <w:shd w:fill="C6EFCE" w:val="clear"/>
          </w:tcPr>
          <w:p>
            <w:r>
              <w:rPr>
                <w:b/>
                <w:color w:val="008000"/>
                <w:sz w:val="17"/>
              </w:rPr>
              <w:t>+2.2%</w:t>
            </w:r>
          </w:p>
        </w:tc>
      </w:tr>
      <w:tr>
        <w:tc>
          <w:tcPr>
            <w:tcW w:type="dxa" w:w="1440"/>
            <w:shd w:fill="C6EFCE" w:val="clear"/>
          </w:tcPr>
          <w:p>
            <w:r>
              <w:rPr>
                <w:sz w:val="17"/>
              </w:rPr>
              <w:t>J+5  Moyenne</w:t>
            </w:r>
          </w:p>
        </w:tc>
        <w:tc>
          <w:tcPr>
            <w:tcW w:type="dxa" w:w="1440"/>
            <w:shd w:fill="C6EFCE" w:val="clear"/>
          </w:tcPr>
          <w:p>
            <w:r>
              <w:rPr>
                <w:sz w:val="17"/>
              </w:rPr>
              <w:t>2026-09-08</w:t>
            </w:r>
          </w:p>
        </w:tc>
        <w:tc>
          <w:tcPr>
            <w:tcW w:type="dxa" w:w="1440"/>
            <w:shd w:fill="C6EFCE" w:val="clear"/>
          </w:tcPr>
          <w:p>
            <w:r>
              <w:rPr>
                <w:sz w:val="17"/>
              </w:rPr>
              <w:t>1,992</w:t>
            </w:r>
          </w:p>
        </w:tc>
        <w:tc>
          <w:tcPr>
            <w:tcW w:type="dxa" w:w="1440"/>
            <w:shd w:fill="C6EFCE" w:val="clear"/>
          </w:tcPr>
          <w:p>
            <w:r>
              <w:rPr>
                <w:b/>
                <w:sz w:val="17"/>
              </w:rPr>
              <w:t>2,146</w:t>
            </w:r>
          </w:p>
        </w:tc>
        <w:tc>
          <w:tcPr>
            <w:tcW w:type="dxa" w:w="1440"/>
            <w:shd w:fill="C6EFCE" w:val="clear"/>
          </w:tcPr>
          <w:p>
            <w:r>
              <w:rPr>
                <w:sz w:val="17"/>
              </w:rPr>
              <w:t>2,301</w:t>
            </w:r>
          </w:p>
        </w:tc>
        <w:tc>
          <w:tcPr>
            <w:tcW w:type="dxa" w:w="1440"/>
            <w:shd w:fill="C6EFCE" w:val="clear"/>
          </w:tcPr>
          <w:p>
            <w:r>
              <w:rPr>
                <w:b/>
                <w:color w:val="008000"/>
                <w:sz w:val="17"/>
              </w:rPr>
              <w:t>+2.7%</w:t>
            </w:r>
          </w:p>
        </w:tc>
      </w:tr>
      <w:tr>
        <w:tc>
          <w:tcPr>
            <w:tcW w:type="dxa" w:w="1440"/>
            <w:shd w:fill="C6EFCE" w:val="clear"/>
          </w:tcPr>
          <w:p>
            <w:r>
              <w:rPr>
                <w:sz w:val="17"/>
              </w:rPr>
              <w:t>J+6  Moyenne</w:t>
            </w:r>
          </w:p>
        </w:tc>
        <w:tc>
          <w:tcPr>
            <w:tcW w:type="dxa" w:w="1440"/>
            <w:shd w:fill="C6EFCE" w:val="clear"/>
          </w:tcPr>
          <w:p>
            <w:r>
              <w:rPr>
                <w:sz w:val="17"/>
              </w:rPr>
              <w:t>2026-09-09</w:t>
            </w:r>
          </w:p>
        </w:tc>
        <w:tc>
          <w:tcPr>
            <w:tcW w:type="dxa" w:w="1440"/>
            <w:shd w:fill="C6EFCE" w:val="clear"/>
          </w:tcPr>
          <w:p>
            <w:r>
              <w:rPr>
                <w:sz w:val="17"/>
              </w:rPr>
              <w:t>1,986</w:t>
            </w:r>
          </w:p>
        </w:tc>
        <w:tc>
          <w:tcPr>
            <w:tcW w:type="dxa" w:w="1440"/>
            <w:shd w:fill="C6EFCE" w:val="clear"/>
          </w:tcPr>
          <w:p>
            <w:r>
              <w:rPr>
                <w:b/>
                <w:sz w:val="17"/>
              </w:rPr>
              <w:t>2,156</w:t>
            </w:r>
          </w:p>
        </w:tc>
        <w:tc>
          <w:tcPr>
            <w:tcW w:type="dxa" w:w="1440"/>
            <w:shd w:fill="C6EFCE" w:val="clear"/>
          </w:tcPr>
          <w:p>
            <w:r>
              <w:rPr>
                <w:sz w:val="17"/>
              </w:rPr>
              <w:t>2,326</w:t>
            </w:r>
          </w:p>
        </w:tc>
        <w:tc>
          <w:tcPr>
            <w:tcW w:type="dxa" w:w="1440"/>
            <w:shd w:fill="C6EFCE" w:val="clear"/>
          </w:tcPr>
          <w:p>
            <w:r>
              <w:rPr>
                <w:b/>
                <w:color w:val="008000"/>
                <w:sz w:val="17"/>
              </w:rPr>
              <w:t>+3.2%</w:t>
            </w:r>
          </w:p>
        </w:tc>
      </w:tr>
      <w:tr>
        <w:tc>
          <w:tcPr>
            <w:tcW w:type="dxa" w:w="1440"/>
            <w:shd w:fill="C6EFCE" w:val="clear"/>
          </w:tcPr>
          <w:p>
            <w:r>
              <w:rPr>
                <w:sz w:val="17"/>
              </w:rPr>
              <w:t>J+7  Moyenne</w:t>
            </w:r>
          </w:p>
        </w:tc>
        <w:tc>
          <w:tcPr>
            <w:tcW w:type="dxa" w:w="1440"/>
            <w:shd w:fill="C6EFCE" w:val="clear"/>
          </w:tcPr>
          <w:p>
            <w:r>
              <w:rPr>
                <w:sz w:val="17"/>
              </w:rPr>
              <w:t>2026-09-10</w:t>
            </w:r>
          </w:p>
        </w:tc>
        <w:tc>
          <w:tcPr>
            <w:tcW w:type="dxa" w:w="1440"/>
            <w:shd w:fill="C6EFCE" w:val="clear"/>
          </w:tcPr>
          <w:p>
            <w:r>
              <w:rPr>
                <w:sz w:val="17"/>
              </w:rPr>
              <w:t>1,981</w:t>
            </w:r>
          </w:p>
        </w:tc>
        <w:tc>
          <w:tcPr>
            <w:tcW w:type="dxa" w:w="1440"/>
            <w:shd w:fill="C6EFCE" w:val="clear"/>
          </w:tcPr>
          <w:p>
            <w:r>
              <w:rPr>
                <w:b/>
                <w:sz w:val="17"/>
              </w:rPr>
              <w:t>2,166</w:t>
            </w:r>
          </w:p>
        </w:tc>
        <w:tc>
          <w:tcPr>
            <w:tcW w:type="dxa" w:w="1440"/>
            <w:shd w:fill="C6EFCE" w:val="clear"/>
          </w:tcPr>
          <w:p>
            <w:r>
              <w:rPr>
                <w:sz w:val="17"/>
              </w:rPr>
              <w:t>2,350</w:t>
            </w:r>
          </w:p>
        </w:tc>
        <w:tc>
          <w:tcPr>
            <w:tcW w:type="dxa" w:w="1440"/>
            <w:shd w:fill="C6EFCE" w:val="clear"/>
          </w:tcPr>
          <w:p>
            <w:r>
              <w:rPr>
                <w:b/>
                <w:color w:val="008000"/>
                <w:sz w:val="17"/>
              </w:rPr>
              <w:t>+3.6%</w:t>
            </w:r>
          </w:p>
        </w:tc>
      </w:tr>
      <w:tr>
        <w:tc>
          <w:tcPr>
            <w:tcW w:type="dxa" w:w="1440"/>
            <w:shd w:fill="C6EFCE" w:val="clear"/>
          </w:tcPr>
          <w:p>
            <w:r>
              <w:rPr>
                <w:sz w:val="17"/>
              </w:rPr>
              <w:t>J+8  Moyenne</w:t>
            </w:r>
          </w:p>
        </w:tc>
        <w:tc>
          <w:tcPr>
            <w:tcW w:type="dxa" w:w="1440"/>
            <w:shd w:fill="C6EFCE" w:val="clear"/>
          </w:tcPr>
          <w:p>
            <w:r>
              <w:rPr>
                <w:sz w:val="17"/>
              </w:rPr>
              <w:t>2026-09-11</w:t>
            </w:r>
          </w:p>
        </w:tc>
        <w:tc>
          <w:tcPr>
            <w:tcW w:type="dxa" w:w="1440"/>
            <w:shd w:fill="C6EFCE" w:val="clear"/>
          </w:tcPr>
          <w:p>
            <w:r>
              <w:rPr>
                <w:sz w:val="17"/>
              </w:rPr>
              <w:t>1,977</w:t>
            </w:r>
          </w:p>
        </w:tc>
        <w:tc>
          <w:tcPr>
            <w:tcW w:type="dxa" w:w="1440"/>
            <w:shd w:fill="C6EFCE" w:val="clear"/>
          </w:tcPr>
          <w:p>
            <w:r>
              <w:rPr>
                <w:b/>
                <w:sz w:val="17"/>
              </w:rPr>
              <w:t>2,175</w:t>
            </w:r>
          </w:p>
        </w:tc>
        <w:tc>
          <w:tcPr>
            <w:tcW w:type="dxa" w:w="1440"/>
            <w:shd w:fill="C6EFCE" w:val="clear"/>
          </w:tcPr>
          <w:p>
            <w:r>
              <w:rPr>
                <w:sz w:val="17"/>
              </w:rPr>
              <w:t>2,373</w:t>
            </w:r>
          </w:p>
        </w:tc>
        <w:tc>
          <w:tcPr>
            <w:tcW w:type="dxa" w:w="1440"/>
            <w:shd w:fill="C6EFCE" w:val="clear"/>
          </w:tcPr>
          <w:p>
            <w:r>
              <w:rPr>
                <w:b/>
                <w:color w:val="008000"/>
                <w:sz w:val="17"/>
              </w:rPr>
              <w:t>+4.1%</w:t>
            </w:r>
          </w:p>
        </w:tc>
      </w:tr>
      <w:tr>
        <w:tc>
          <w:tcPr>
            <w:tcW w:type="dxa" w:w="1440"/>
            <w:shd w:fill="C6EFCE" w:val="clear"/>
          </w:tcPr>
          <w:p>
            <w:r>
              <w:rPr>
                <w:sz w:val="17"/>
              </w:rPr>
              <w:t>J+9  Moyenne</w:t>
            </w:r>
          </w:p>
        </w:tc>
        <w:tc>
          <w:tcPr>
            <w:tcW w:type="dxa" w:w="1440"/>
            <w:shd w:fill="C6EFCE" w:val="clear"/>
          </w:tcPr>
          <w:p>
            <w:r>
              <w:rPr>
                <w:sz w:val="17"/>
              </w:rPr>
              <w:t>2026-09-14</w:t>
            </w:r>
          </w:p>
        </w:tc>
        <w:tc>
          <w:tcPr>
            <w:tcW w:type="dxa" w:w="1440"/>
            <w:shd w:fill="C6EFCE" w:val="clear"/>
          </w:tcPr>
          <w:p>
            <w:r>
              <w:rPr>
                <w:sz w:val="17"/>
              </w:rPr>
              <w:t>1,973</w:t>
            </w:r>
          </w:p>
        </w:tc>
        <w:tc>
          <w:tcPr>
            <w:tcW w:type="dxa" w:w="1440"/>
            <w:shd w:fill="C6EFCE" w:val="clear"/>
          </w:tcPr>
          <w:p>
            <w:r>
              <w:rPr>
                <w:b/>
                <w:sz w:val="17"/>
              </w:rPr>
              <w:t>2,184</w:t>
            </w:r>
          </w:p>
        </w:tc>
        <w:tc>
          <w:tcPr>
            <w:tcW w:type="dxa" w:w="1440"/>
            <w:shd w:fill="C6EFCE" w:val="clear"/>
          </w:tcPr>
          <w:p>
            <w:r>
              <w:rPr>
                <w:sz w:val="17"/>
              </w:rPr>
              <w:t>2,395</w:t>
            </w:r>
          </w:p>
        </w:tc>
        <w:tc>
          <w:tcPr>
            <w:tcW w:type="dxa" w:w="1440"/>
            <w:shd w:fill="C6EFCE" w:val="clear"/>
          </w:tcPr>
          <w:p>
            <w:r>
              <w:rPr>
                <w:b/>
                <w:color w:val="008000"/>
                <w:sz w:val="17"/>
              </w:rPr>
              <w:t>+4.5%</w:t>
            </w:r>
          </w:p>
        </w:tc>
      </w:tr>
      <w:tr>
        <w:tc>
          <w:tcPr>
            <w:tcW w:type="dxa" w:w="1440"/>
            <w:shd w:fill="C6EFCE" w:val="clear"/>
          </w:tcPr>
          <w:p>
            <w:r>
              <w:rPr>
                <w:sz w:val="17"/>
              </w:rPr>
              <w:t>J+10  Moyenne</w:t>
            </w:r>
          </w:p>
        </w:tc>
        <w:tc>
          <w:tcPr>
            <w:tcW w:type="dxa" w:w="1440"/>
            <w:shd w:fill="C6EFCE" w:val="clear"/>
          </w:tcPr>
          <w:p>
            <w:r>
              <w:rPr>
                <w:sz w:val="17"/>
              </w:rPr>
              <w:t>2026-09-15</w:t>
            </w:r>
          </w:p>
        </w:tc>
        <w:tc>
          <w:tcPr>
            <w:tcW w:type="dxa" w:w="1440"/>
            <w:shd w:fill="C6EFCE" w:val="clear"/>
          </w:tcPr>
          <w:p>
            <w:r>
              <w:rPr>
                <w:sz w:val="17"/>
              </w:rPr>
              <w:t>1,970</w:t>
            </w:r>
          </w:p>
        </w:tc>
        <w:tc>
          <w:tcPr>
            <w:tcW w:type="dxa" w:w="1440"/>
            <w:shd w:fill="C6EFCE" w:val="clear"/>
          </w:tcPr>
          <w:p>
            <w:r>
              <w:rPr>
                <w:b/>
                <w:sz w:val="17"/>
              </w:rPr>
              <w:t>2,194</w:t>
            </w:r>
          </w:p>
        </w:tc>
        <w:tc>
          <w:tcPr>
            <w:tcW w:type="dxa" w:w="1440"/>
            <w:shd w:fill="C6EFCE" w:val="clear"/>
          </w:tcPr>
          <w:p>
            <w:r>
              <w:rPr>
                <w:sz w:val="17"/>
              </w:rPr>
              <w:t>2,417</w:t>
            </w:r>
          </w:p>
        </w:tc>
        <w:tc>
          <w:tcPr>
            <w:tcW w:type="dxa" w:w="1440"/>
            <w:shd w:fill="C6EFCE" w:val="clear"/>
          </w:tcPr>
          <w:p>
            <w:r>
              <w:rPr>
                <w:b/>
                <w:color w:val="008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de l'analyse : 1er septembre 2026**</w:t>
        <w:br/>
        <w:t>**Cours de référence : 2 090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29,48 milliards FCFA, un niveau modeste qui la classe parmi les valeurs de taille moyenne sur la BRVM. Avec un BPA de 33 FCFA, le titre se paie 63,3 fois ses bénéfices, un PER extrêmement élevé comparé à la moyenne du marché qui se situe entre 8 et 12 fois. Ce ratio indique une surévaluation flagrante, les investisseurs payant un prix très supérieur aux bénéfices générés. Le P/B de 1,88x reste dans une zone de valorisation raisonnable (1 à 2x), le marché valorisant les actifs nets à un niveau acceptable. Enfin, l'EV/EBITDA de 37,5x est très exigeant, signifiant que la valeur totale de l'entreprise (dette incluse) représente plus de 37 fois sa capacité opérationnelle brute, ce qui reflète une rentabilité opérationnelle faible et une valorisation difficile à justifier sur les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 enregistré une baisse de 9,33%, avec une chute de 3,02% lors de la dernière séance, montrant une pression vendeuse persistante. Le cours a évolué dans un range de 1 910 à 2 430 FCFA, avec un prix actuel de 2 090 FCFA, proche du plus bas de la période. La moyenne (2 149 FCFA) est inférieure à la médiane (2 180 FCFA), indiquant une distribution légèrement asymétrique avec des épisodes de faiblesse plus marqués. L'écart-type de 134 FCFA (CV=6,2%) révèle une dispersion modérée des prix autour de la moyenne. Le kurtosis négatif (-1,064) signale une distribution platykurtique, c'est-à-dire sans pics extrêmes, tandis que le skewness proche de zéro (-0,074) confirme une symétrie relative. La volatilité annualisée de 35,3% classe le titre comme très volatil, un niveau élevé qui implique des fluctuations de prix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(2 090 FCFA) se situe au-dessus de la MM50 (2 042,2 FCFA) mais en dessous de la MM20 (2 120 FCFA). La configuration où le prix est sous la MM20 mais au-dessus de la MM50 suggère une tendance de fond positive à moyen terme, mais un repli à court terme. La décision "Achat" est justifiée par la position relative du titre par rapport à la MM50 qui agit comme un support dynamique.</w:t>
      </w:r>
    </w:p>
    <w:p>
      <w:pPr>
        <w:spacing w:after="120" w:line="276" w:lineRule="auto"/>
      </w:pPr>
      <w:r>
        <w:t>**Bandes de Bollinger** : Le prix (2 090 FCFA) se positionne dans la partie médiane-basse du canal, entre la borne inférieure (1 952,8 FCFA) et la moyenne mobile. L'écart entre les bornes (334 points) indique une volatilité modérée. La décision "Neutre" est cohérente avec un prix qui n'a pas encore atteint les extrêmes du canal, laissant place à une évolution directionnelle incertaine.</w:t>
      </w:r>
    </w:p>
    <w:p>
      <w:pPr>
        <w:spacing w:after="120" w:line="276" w:lineRule="auto"/>
      </w:pPr>
      <w:r>
        <w:t>**MACD** : La valeur du MACD (27,9) est inférieure à son signal (32,6), formant une divergence baissière qui indique un ralentissement du momentum haussier. La décision "Vente" est justifiée par ce croisement négatif, signalant une perte de dynamique et un risque de poursuite de la baisse à court terme.</w:t>
      </w:r>
    </w:p>
    <w:p>
      <w:pPr>
        <w:spacing w:after="120" w:line="276" w:lineRule="auto"/>
      </w:pPr>
      <w:r>
        <w:t>**RSI** : À 30,6, le RSI se trouve à la limite inférieure de la zone neutre, proche du seuil de survente (30). Cette valeur indique que le titre est proche d'une zone de surachat technique, mais sans signal extrême. La décision "Neutre" est appropriée, le marché n'étant pas encore dans une configuration de retournement claire.</w:t>
      </w:r>
    </w:p>
    <w:p>
      <w:pPr>
        <w:spacing w:after="120" w:line="276" w:lineRule="auto"/>
      </w:pPr>
      <w:r>
        <w:t>**Stochastique** : Le %K à 0,0 et le %D à 35,7 montrent un croisement haussier potentiel, le %K étant nettement sous le %D. Cette configuration suggère une possible reprise technique après une phase de survente sévère. La décision "Achat" est justifiée par ce signal de retournement potentiel.</w:t>
      </w:r>
    </w:p>
    <w:p>
      <w:pPr>
        <w:spacing w:after="120" w:line="276" w:lineRule="auto"/>
      </w:pPr>
      <w:r>
        <w:t>**Conclusion technique** : Les indicateurs sont mitigés avec une prédominance de signaux baissiers à court terme (MACD vendeur, prix sous MM20) mais des signaux de retournement potentiel (RSI proche de survente, Stochastique en croisement haussier). La tendance de fond reste positive grâce au maintien au-dessus de la MM50. L'évolution des prochaines séances sera déterminante pour confirmer ou infirmer un rebond technique.</w:t>
      </w:r>
    </w:p>
    <w:p>
      <w:pPr>
        <w:spacing w:after="120" w:line="276" w:lineRule="auto"/>
      </w:pPr>
      <w:r>
        <w:t>---</w:t>
      </w:r>
    </w:p>
    <w:p>
      <w:pPr>
        <w:spacing w:after="120" w:line="276" w:lineRule="auto"/>
      </w:pPr>
      <w:r>
        <w:t>### PARTIE 3 : ANALYSE FONDAMENTALE (SECTION CRITIQUE)</w:t>
      </w:r>
    </w:p>
    <w:p>
      <w:pPr>
        <w:spacing w:after="120" w:line="276" w:lineRule="auto"/>
      </w:pPr>
      <w:r>
        <w:t>En 2025, FILTISAC CI a réalisé un chiffre d'affaires de 32,109 milliards FCFA, en hausse de 5% par rapport à 2024 (30,695 milliards FCFA). Cependant, le résultat net s'effondre à 466 millions FCFA contre 18,6 milliards en 2024, une chute spectaculaire de 97,5% due à l'absence de produits exceptionnels de cession de filiales. La marge nette chute à 1,45% et le ROE à 2,97%, bien en dessous du seuil de 15% considéré comme excellent. Le ROA est faible à 1,19%. La structure financière montre une autonomie financière correcte (40,1% de capitaux propres) mais la trésorerie nette est fortement négative à -11,5 milliards FCFA, suite au versement de dividendes massifs en 2024. Le BFR de 11,5 milliards FCFA, avec un délai clients de 213 jours et une durée de stockage de 214 jours, révèle des tensions de trésorerie importantes. Les rapports trimestriels 2025 montrent une amélioration progressive : le T1 2025 affichait un CA de 5,745 milliards (+7%), le S1 2025 un CA de 13,406 milliards (+11%) avec un résultat net de 105 millions, et le T3 2025 un CA de 18,371 milliards (-1%). Le rapport T1 2026 (publié en 2026) indique un CA de 8,901 milliards FCFA, en hausse de 55%, avec un résultat d'exploitation positif de 75 millions FCFA mais un résultat net encore déficitaire de -154 millions FCFA. La société reste dépendante de la campagne cacaoyère et fait face à des risques d'approvisionnement en jute (interdiction d'exportation du Bangladesh). Les perspectives 2026 sont incertaines, avec une amélioration opérationnelle mais une rentabilité nette encore fragile.</w:t>
      </w:r>
    </w:p>
    <w:p>
      <w:pPr>
        <w:spacing w:after="120" w:line="276" w:lineRule="auto"/>
      </w:pPr>
      <w:r>
        <w:t>---</w:t>
      </w:r>
    </w:p>
    <w:p>
      <w:pPr>
        <w:spacing w:after="120" w:line="276" w:lineRule="auto"/>
      </w:pPr>
      <w:r>
        <w:t>### PARTIE 4 : CONCLUSION D'INVESTISSEMENT</w:t>
      </w:r>
    </w:p>
    <w:p>
      <w:pPr>
        <w:spacing w:after="120" w:line="276" w:lineRule="auto"/>
      </w:pPr>
      <w:r>
        <w:t>La valorisation de FTSC est clairement surévaluée avec un PER de 63,3x et un EV/EBITDA de 37,5x, très supérieurs aux moyennes du marché, tandis que le P/B de 1,88x reste modéré. Le comportement du cours sur 100 jours montre une tendance baissière de -9,33% avec une volatilité élevée de 35,3%, des statistiques reflétant une distribution symétrique mais sans concentration des variations. Les signaux techniques sont mitigés : les moyennes mobiles indiquent un achat à moyen terme, mais le MACD est vendeur et le RSI neutre, avec un potentiel de rebond suggéré par le stochastique. Fondamentalement, l'entreprise montre des signes d'amélioration opérationnelle (CA en hausse de 55% au T1 2026) mais une rentabilité nette encore négative et une trésorerie fortement dégradée. Les prédictions IA (2 106 à 2 146 FCFA sur 10 jours) suggèrent un léger rebond, contredisant partiellement la tendance baissière récente. La convergence entre la surévaluation boursière, la faiblesse des fondamentaux et les risques opérationnels l'emporte sur les signaux techniques de rebond. **Recommandation finale : VENTE** avec un niveau de confiance **Moyen** et un risque global **Élevé**. L'horizon d'investissement optimal serait le **court terme (&lt; 3 mois)** pour les investisseurs cherchant à réduire leur exposition, en attendant une amélioration durable de la rentabilité et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4,005 titres</w:t>
            </w:r>
          </w:p>
        </w:tc>
        <w:tc>
          <w:tcPr>
            <w:tcW w:type="dxa" w:w="2268"/>
            <w:shd w:fill="FFF2CC" w:val="clear"/>
          </w:tcPr>
          <w:p>
            <w:r>
              <w:rPr>
                <w:b/>
                <w:color w:val="503200"/>
                <w:sz w:val="16"/>
              </w:rPr>
              <w:t xml:space="preserve">Cours actuel : </w:t>
            </w:r>
            <w:r>
              <w:rPr>
                <w:color w:val="000000"/>
                <w:sz w:val="17"/>
              </w:rPr>
              <w:t>4,005 FCFA</w:t>
            </w:r>
          </w:p>
          <w:p>
            <w:r>
              <w:rPr>
                <w:b/>
                <w:color w:val="503200"/>
                <w:sz w:val="16"/>
              </w:rPr>
              <w:t xml:space="preserve">Var. 100 jours : </w:t>
            </w:r>
            <w:r>
              <w:rPr>
                <w:b/>
                <w:color w:val="007800"/>
                <w:sz w:val="17"/>
              </w:rPr>
              <w:t>+2.30%</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4.94% (Faible) — μ=4,056 FCFA, σ=200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β=0.0288 (Défensif) — Cov=0.000001, Var(idx)=0.000037, ρ=0.008,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2026-09-02</w:t>
            </w:r>
          </w:p>
        </w:tc>
        <w:tc>
          <w:tcPr>
            <w:tcW w:type="dxa" w:w="1440"/>
            <w:shd w:fill="FAFAFA" w:val="clear"/>
          </w:tcPr>
          <w:p>
            <w:r>
              <w:rPr>
                <w:sz w:val="17"/>
              </w:rPr>
              <w:t>3,800</w:t>
            </w:r>
          </w:p>
        </w:tc>
        <w:tc>
          <w:tcPr>
            <w:tcW w:type="dxa" w:w="1440"/>
            <w:shd w:fill="FAFAFA" w:val="clear"/>
          </w:tcPr>
          <w:p>
            <w:r>
              <w:rPr>
                <w:b/>
                <w:sz w:val="17"/>
              </w:rPr>
              <w:t>3,971</w:t>
            </w:r>
          </w:p>
        </w:tc>
        <w:tc>
          <w:tcPr>
            <w:tcW w:type="dxa" w:w="1440"/>
            <w:shd w:fill="FAFAFA" w:val="clear"/>
          </w:tcPr>
          <w:p>
            <w:r>
              <w:rPr>
                <w:sz w:val="17"/>
              </w:rPr>
              <w:t>4,143</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2026-09-03</w:t>
            </w:r>
          </w:p>
        </w:tc>
        <w:tc>
          <w:tcPr>
            <w:tcW w:type="dxa" w:w="1440"/>
            <w:shd w:fill="FAFAFA" w:val="clear"/>
          </w:tcPr>
          <w:p>
            <w:r>
              <w:rPr>
                <w:sz w:val="17"/>
              </w:rPr>
              <w:t>3,722</w:t>
            </w:r>
          </w:p>
        </w:tc>
        <w:tc>
          <w:tcPr>
            <w:tcW w:type="dxa" w:w="1440"/>
            <w:shd w:fill="FAFAFA" w:val="clear"/>
          </w:tcPr>
          <w:p>
            <w:r>
              <w:rPr>
                <w:b/>
                <w:sz w:val="17"/>
              </w:rPr>
              <w:t>3,964</w:t>
            </w:r>
          </w:p>
        </w:tc>
        <w:tc>
          <w:tcPr>
            <w:tcW w:type="dxa" w:w="1440"/>
            <w:shd w:fill="FAFAFA" w:val="clear"/>
          </w:tcPr>
          <w:p>
            <w:r>
              <w:rPr>
                <w:sz w:val="17"/>
              </w:rPr>
              <w:t>4,206</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2026-09-04</w:t>
            </w:r>
          </w:p>
        </w:tc>
        <w:tc>
          <w:tcPr>
            <w:tcW w:type="dxa" w:w="1440"/>
            <w:shd w:fill="FAFAFA" w:val="clear"/>
          </w:tcPr>
          <w:p>
            <w:r>
              <w:rPr>
                <w:sz w:val="17"/>
              </w:rPr>
              <w:t>3,663</w:t>
            </w:r>
          </w:p>
        </w:tc>
        <w:tc>
          <w:tcPr>
            <w:tcW w:type="dxa" w:w="1440"/>
            <w:shd w:fill="FAFAFA" w:val="clear"/>
          </w:tcPr>
          <w:p>
            <w:r>
              <w:rPr>
                <w:b/>
                <w:sz w:val="17"/>
              </w:rPr>
              <w:t>3,959</w:t>
            </w:r>
          </w:p>
        </w:tc>
        <w:tc>
          <w:tcPr>
            <w:tcW w:type="dxa" w:w="1440"/>
            <w:shd w:fill="FAFAFA" w:val="clear"/>
          </w:tcPr>
          <w:p>
            <w:r>
              <w:rPr>
                <w:sz w:val="17"/>
              </w:rPr>
              <w:t>4,255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2026-09-07</w:t>
            </w:r>
          </w:p>
        </w:tc>
        <w:tc>
          <w:tcPr>
            <w:tcW w:type="dxa" w:w="1440"/>
            <w:shd w:fill="FAFAFA" w:val="clear"/>
          </w:tcPr>
          <w:p>
            <w:r>
              <w:rPr>
                <w:sz w:val="17"/>
              </w:rPr>
              <w:t>3,617</w:t>
            </w:r>
          </w:p>
        </w:tc>
        <w:tc>
          <w:tcPr>
            <w:tcW w:type="dxa" w:w="1440"/>
            <w:shd w:fill="FAFAFA" w:val="clear"/>
          </w:tcPr>
          <w:p>
            <w:r>
              <w:rPr>
                <w:b/>
                <w:sz w:val="17"/>
              </w:rPr>
              <w:t>3,958</w:t>
            </w:r>
          </w:p>
        </w:tc>
        <w:tc>
          <w:tcPr>
            <w:tcW w:type="dxa" w:w="1440"/>
            <w:shd w:fill="FAFAFA" w:val="clear"/>
          </w:tcPr>
          <w:p>
            <w:r>
              <w:rPr>
                <w:sz w:val="17"/>
              </w:rPr>
              <w:t>4,300</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2026-09-08</w:t>
            </w:r>
          </w:p>
        </w:tc>
        <w:tc>
          <w:tcPr>
            <w:tcW w:type="dxa" w:w="1440"/>
            <w:shd w:fill="FAFAFA" w:val="clear"/>
          </w:tcPr>
          <w:p>
            <w:r>
              <w:rPr>
                <w:sz w:val="17"/>
              </w:rPr>
              <w:t>3,579</w:t>
            </w:r>
          </w:p>
        </w:tc>
        <w:tc>
          <w:tcPr>
            <w:tcW w:type="dxa" w:w="1440"/>
            <w:shd w:fill="FAFAFA" w:val="clear"/>
          </w:tcPr>
          <w:p>
            <w:r>
              <w:rPr>
                <w:b/>
                <w:sz w:val="17"/>
              </w:rPr>
              <w:t>3,962</w:t>
            </w:r>
          </w:p>
        </w:tc>
        <w:tc>
          <w:tcPr>
            <w:tcW w:type="dxa" w:w="1440"/>
            <w:shd w:fill="FAFAFA" w:val="clear"/>
          </w:tcPr>
          <w:p>
            <w:r>
              <w:rPr>
                <w:sz w:val="17"/>
              </w:rPr>
              <w:t>4,344</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2026-09-09</w:t>
            </w:r>
          </w:p>
        </w:tc>
        <w:tc>
          <w:tcPr>
            <w:tcW w:type="dxa" w:w="1440"/>
            <w:shd w:fill="FAFAFA" w:val="clear"/>
          </w:tcPr>
          <w:p>
            <w:r>
              <w:rPr>
                <w:sz w:val="17"/>
              </w:rPr>
              <w:t>3,551</w:t>
            </w:r>
          </w:p>
        </w:tc>
        <w:tc>
          <w:tcPr>
            <w:tcW w:type="dxa" w:w="1440"/>
            <w:shd w:fill="FAFAFA" w:val="clear"/>
          </w:tcPr>
          <w:p>
            <w:r>
              <w:rPr>
                <w:b/>
                <w:sz w:val="17"/>
              </w:rPr>
              <w:t>3,971</w:t>
            </w:r>
          </w:p>
        </w:tc>
        <w:tc>
          <w:tcPr>
            <w:tcW w:type="dxa" w:w="1440"/>
            <w:shd w:fill="FAFAFA" w:val="clear"/>
          </w:tcPr>
          <w:p>
            <w:r>
              <w:rPr>
                <w:sz w:val="17"/>
              </w:rPr>
              <w:t>4,391</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2026-09-10</w:t>
            </w:r>
          </w:p>
        </w:tc>
        <w:tc>
          <w:tcPr>
            <w:tcW w:type="dxa" w:w="1440"/>
            <w:shd w:fill="FAFAFA" w:val="clear"/>
          </w:tcPr>
          <w:p>
            <w:r>
              <w:rPr>
                <w:sz w:val="17"/>
              </w:rPr>
              <w:t>3,530</w:t>
            </w:r>
          </w:p>
        </w:tc>
        <w:tc>
          <w:tcPr>
            <w:tcW w:type="dxa" w:w="1440"/>
            <w:shd w:fill="FAFAFA" w:val="clear"/>
          </w:tcPr>
          <w:p>
            <w:r>
              <w:rPr>
                <w:b/>
                <w:sz w:val="17"/>
              </w:rPr>
              <w:t>3,985</w:t>
            </w:r>
          </w:p>
        </w:tc>
        <w:tc>
          <w:tcPr>
            <w:tcW w:type="dxa" w:w="1440"/>
            <w:shd w:fill="FAFAFA" w:val="clear"/>
          </w:tcPr>
          <w:p>
            <w:r>
              <w:rPr>
                <w:sz w:val="17"/>
              </w:rPr>
              <w:t>4,440</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2026-09-11</w:t>
            </w:r>
          </w:p>
        </w:tc>
        <w:tc>
          <w:tcPr>
            <w:tcW w:type="dxa" w:w="1440"/>
            <w:shd w:fill="FAFAFA" w:val="clear"/>
          </w:tcPr>
          <w:p>
            <w:r>
              <w:rPr>
                <w:sz w:val="17"/>
              </w:rPr>
              <w:t>3,512</w:t>
            </w:r>
          </w:p>
        </w:tc>
        <w:tc>
          <w:tcPr>
            <w:tcW w:type="dxa" w:w="1440"/>
            <w:shd w:fill="FAFAFA" w:val="clear"/>
          </w:tcPr>
          <w:p>
            <w:r>
              <w:rPr>
                <w:b/>
                <w:sz w:val="17"/>
              </w:rPr>
              <w:t>4,001</w:t>
            </w:r>
          </w:p>
        </w:tc>
        <w:tc>
          <w:tcPr>
            <w:tcW w:type="dxa" w:w="1440"/>
            <w:shd w:fill="FAFAFA" w:val="clear"/>
          </w:tcPr>
          <w:p>
            <w:r>
              <w:rPr>
                <w:sz w:val="17"/>
              </w:rPr>
              <w:t>4,489</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2026-09-14</w:t>
            </w:r>
          </w:p>
        </w:tc>
        <w:tc>
          <w:tcPr>
            <w:tcW w:type="dxa" w:w="1440"/>
            <w:shd w:fill="FAFAFA" w:val="clear"/>
          </w:tcPr>
          <w:p>
            <w:r>
              <w:rPr>
                <w:sz w:val="17"/>
              </w:rPr>
              <w:t>3,493</w:t>
            </w:r>
          </w:p>
        </w:tc>
        <w:tc>
          <w:tcPr>
            <w:tcW w:type="dxa" w:w="1440"/>
            <w:shd w:fill="FAFAFA" w:val="clear"/>
          </w:tcPr>
          <w:p>
            <w:r>
              <w:rPr>
                <w:b/>
                <w:sz w:val="17"/>
              </w:rPr>
              <w:t>4,012</w:t>
            </w:r>
          </w:p>
        </w:tc>
        <w:tc>
          <w:tcPr>
            <w:tcW w:type="dxa" w:w="1440"/>
            <w:shd w:fill="FAFAFA" w:val="clear"/>
          </w:tcPr>
          <w:p>
            <w:r>
              <w:rPr>
                <w:sz w:val="17"/>
              </w:rPr>
              <w:t>4,532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2026-09-15</w:t>
            </w:r>
          </w:p>
        </w:tc>
        <w:tc>
          <w:tcPr>
            <w:tcW w:type="dxa" w:w="1440"/>
            <w:shd w:fill="FAFAFA" w:val="clear"/>
          </w:tcPr>
          <w:p>
            <w:r>
              <w:rPr>
                <w:sz w:val="17"/>
              </w:rPr>
              <w:t>3,468</w:t>
            </w:r>
          </w:p>
        </w:tc>
        <w:tc>
          <w:tcPr>
            <w:tcW w:type="dxa" w:w="1440"/>
            <w:shd w:fill="FAFAFA" w:val="clear"/>
          </w:tcPr>
          <w:p>
            <w:r>
              <w:rPr>
                <w:b/>
                <w:sz w:val="17"/>
              </w:rPr>
              <w:t>4,016</w:t>
            </w:r>
          </w:p>
        </w:tc>
        <w:tc>
          <w:tcPr>
            <w:tcW w:type="dxa" w:w="1440"/>
            <w:shd w:fill="FAFAFA" w:val="clear"/>
          </w:tcPr>
          <w:p>
            <w:r>
              <w:rPr>
                <w:sz w:val="17"/>
              </w:rPr>
              <w:t>4,564</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80,10 milliards FCFA, un niveau significatif qui en fait une valeur de premier plan sur la BRVM. Avec un BPA de 231 FCFA, le titre se négocie à un PER de 17,3x, nettement supérieur à la moyenne historique de la place (~8-12x), indiquant que les investisseurs paient une prime substantielle pour la croissance anticipée. Le P/B de 3,65x confirme cette prime, le marché valorisant le titre bien au-dessus de sa valeur comptable (21,95 Mds FCFA). L'EV/EBITDA de 10,1x, bien que dans la fourchette haute, reste dans une zone de valorisation élevée mais justifiable pour une entreprise disposant d'une trésorerie nette massive de 7,98 Mds FCFA. Cette valorisation reflète un optimisme certain sur la capacité de la société à redresser sa rentabilité.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LNBB affiche une variation totale positive de +2,30%, avec une dernière séance en légère hausse de +0,12% à 4 005 FCFA. Le titre a évolué dans un range de 735 FCFA, entre un plus bas de 3 825 FCFA et un plus haut de 4 560 FCFA, démontrant une amplitude de trading non négligeable. La moyenne (4 056 FCFA) est supérieure à la médiane (4 000 FCFA), et le skewness positif de 0,603 indique une asymétrie avec des journées plus fréquentes sous la moyenne, mais des mouvements haussiers ponctuels plus amples. L'écart-type de 201 FCFA (CV=5,0%) révèle une dispersion modérée autour de la moyenne, tandis que le kurtosis de -0,936 (mésokurtique) suggère l'absence de risques extrêmes de pics ou de krachs soudains. La volatilité annualisée de 36,2% classe le titre comme très volatil (&gt;30%), un niveau élevé qui reflète les incertitudes sectorielles et les phases de transition traversées par la société.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(4 005 FCFA) se situe nettement sous la MM20 (4 159,5 FCFA) et la MM50 (4 219,8 FCFA), configuration typique d'une tendance baissière de moyen terme. La décision de "Vente" est justifiée, le titre évoluant dans une dynamique négative depuis plusieurs semaines.</w:t>
      </w:r>
    </w:p>
    <w:p>
      <w:pPr>
        <w:spacing w:after="120" w:line="276" w:lineRule="auto"/>
      </w:pPr>
      <w:r>
        <w:t>**Bandes de Bollinger :** Le prix se positionne dans la moitié inférieure du canal, proche de la borne inférieure à 3 851,97 FCFA. La décision "Neutre" s'explique par une volatilité modérée, le cours n'ayant pas encore touché la borne extrême, laissant présager une possible poursuite de la baisse ou un rebond technique.</w:t>
      </w:r>
    </w:p>
    <w:p>
      <w:pPr>
        <w:spacing w:after="120" w:line="276" w:lineRule="auto"/>
      </w:pPr>
      <w:r>
        <w:t>**MACD :** La valeur négative de -63,96 et un signal à -45,48 confirment un momentum baissier persistant. La divergence négative entre le MACD et son signal indique que la pression vendeuse reste dominante, justifiant la décision de "Vente".</w:t>
      </w:r>
    </w:p>
    <w:p>
      <w:pPr>
        <w:spacing w:after="120" w:line="276" w:lineRule="auto"/>
      </w:pPr>
      <w:r>
        <w:t>**RSI :** À 33,78, le RSI se trouve en zone neutre, mais proche du seuil de survente (30). La décision "Neutre" suggère que le titre n'est pas encore oversold, mais la faiblesse du niveau indique un intérêt acheteur limité.</w:t>
      </w:r>
    </w:p>
    <w:p>
      <w:pPr>
        <w:spacing w:after="120" w:line="276" w:lineRule="auto"/>
      </w:pPr>
      <w:r>
        <w:t>**Stochastique :** Avec un %K à 2,04 et un %D à 0,68, l'indicateur est en zone de survente extrême. La décision "Achat" est justifiée par un croisement haussier potentiel imminent, signalant un possible rebond technique à court terme.</w:t>
      </w:r>
    </w:p>
    <w:p>
      <w:pPr>
        <w:spacing w:after="120" w:line="276" w:lineRule="auto"/>
      </w:pPr>
      <w:r>
        <w:t>**Conclusion technique :** Les indicateurs sont globalement baissiers à court terme (MM, MACD), mais les oscillateurs de survente (Stochastique, RSI proche de 30) suggèrent un potentiel de rebond technique. La configuration est donc mitigée, avec un biais négatif dominant mais des signaux de retournement possibles.</w:t>
      </w:r>
    </w:p>
    <w:p>
      <w:pPr>
        <w:spacing w:after="120" w:line="276" w:lineRule="auto"/>
      </w:pPr>
      <w:r>
        <w:t>---</w:t>
      </w:r>
    </w:p>
    <w:p>
      <w:pPr>
        <w:spacing w:after="120" w:line="276" w:lineRule="auto"/>
      </w:pPr>
      <w:r>
        <w:t>### PARTIE 3 : ANALYSE FONDAMENTALE (SECTION CRITIQUE)</w:t>
      </w:r>
    </w:p>
    <w:p>
      <w:pPr>
        <w:spacing w:after="120" w:line="276" w:lineRule="auto"/>
      </w:pPr>
      <w:r>
        <w:t>En 2025, la Loterie Nationale du Bénin a réalisé un chiffre d'affaires de 98,598 milliards FCFA, en baisse de -3,85% par rapport à 2024 (102,544 Mds FCFA). Le résultat net s'établit à 4,622 milliards FCFA, en recul de -35,6% (vs 7,176 Mds FCFA en 2024), principalement en raison de la concurrence déloyale et de l'absence de produits exceptionnels. La marge nette ressort à 4,69%, tandis que le ROE est excellent à 21,05% et le ROA à 14,17%, démontrant une utilisation très efficace des capitaux propres et des actifs. La structure financière est robuste avec une autonomie financière de 67,32% et une trésorerie nette de 7,979 milliards FCFA. Le BFR est négatif (-217,45 M FCFA), signe d'une gestion saine du cycle d'exploitation. Les rapports trimestriels 2025 montrent une dégradation progressive (T1 : RN +5% à 1,573 Mds ; S1 : RN -77% à 841 M ; T3 : RN -81% à 1,034 Mds), mais le T1 2026 confirme une reprise du CA (+6% à 25,521 Mds FCFA) malgré un RN en baisse de -46% à 848 M FCFA. Le S1 2026 est plus encourageant avec un CA en hausse de +4% à 49,937 Mds FCFA et un résultat net en progression de +60%, grâce à la maîtrise des charges et aux revenus de partenariats. La société a proposé un dividende de 173 FCFA brut par action pour 2025, payable en août 2026. Les fondamentaux restent solides, avec une capacité à générer des revenus digitaux en croissance (+18% en 2025), mais la pression sur les marges demeure un défi majeur.</w:t>
      </w:r>
    </w:p>
    <w:p>
      <w:pPr>
        <w:spacing w:after="120" w:line="276" w:lineRule="auto"/>
      </w:pPr>
      <w:r>
        <w:t>---</w:t>
      </w:r>
    </w:p>
    <w:p>
      <w:pPr>
        <w:spacing w:after="120" w:line="276" w:lineRule="auto"/>
      </w:pPr>
      <w:r>
        <w:t>### PARTIE 4 : CONCLUSION D'INVESTISSEMENT</w:t>
      </w:r>
    </w:p>
    <w:p>
      <w:pPr>
        <w:spacing w:after="120" w:line="276" w:lineRule="auto"/>
      </w:pPr>
      <w:r>
        <w:t>La valorisation de LNBB (PER 17,3x, P/B 3,65x) apparaît exigeante, intégrant des perspectives de redressement qui ne se matérialisent que progressivement. Le comportement du cours sur 100 jours montre une relative stabilité (+2,3%) mais avec une volatilité élevée (36,2%) et une tendance technique baissière (cours sous MM20 et MM50, MACD négatif). Les signaux techniques sont mitigés, avec un potentiel de rebond à court terme suggéré par le Stochastique en survente extrême. Les fondamentaux, bien qu'en amélioration au S1 2026 (RN +60%), restent marqués par la faiblesse des marges et la concurrence illégale. Les prédictions IA (3 971 à 3 958 FCFA sur J+1 à J+10) confirment une légère érosion du cours, en ligne avec les signaux techniques baissiers. La convergence entre la valorisation élevée, la tendance technique négative et les fondamentaux en phase de transition suggère une position d'attente. **Recommandation : CONSERVER**, avec un niveau de confiance **Moyen**, un risque global **Élevé** (volatilité, concurrence), et un horizon d'investissement optimal à **moyen terme (3-12 mois)** pour capitaliser sur le redressement attendu au S2 2026 et au-delà.</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5,300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+117.39%</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17.53% (Élevée) — μ=2,062 FCFA, σ=362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β=-0.1813 (Contre-cyclique) — Cov=-0.000007, Var(idx)=0.000037, ρ=-0.033,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5,300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319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2,630</w:t>
            </w:r>
          </w:p>
        </w:tc>
        <w:tc>
          <w:tcPr>
            <w:tcW w:type="dxa" w:w="1440"/>
            <w:shd w:fill="FFDCE0" w:val="clear"/>
          </w:tcPr>
          <w:p>
            <w:r>
              <w:rPr>
                <w:b/>
                <w:sz w:val="17"/>
              </w:rPr>
              <w:t>2,775</w:t>
            </w:r>
          </w:p>
        </w:tc>
        <w:tc>
          <w:tcPr>
            <w:tcW w:type="dxa" w:w="1440"/>
            <w:shd w:fill="FFDCE0" w:val="clear"/>
          </w:tcPr>
          <w:p>
            <w:r>
              <w:rPr>
                <w:sz w:val="17"/>
              </w:rPr>
              <w:t>2,920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2,377</w:t>
            </w:r>
          </w:p>
        </w:tc>
        <w:tc>
          <w:tcPr>
            <w:tcW w:type="dxa" w:w="1440"/>
            <w:shd w:fill="FFDCE0" w:val="clear"/>
          </w:tcPr>
          <w:p>
            <w:r>
              <w:rPr>
                <w:b/>
                <w:sz w:val="17"/>
              </w:rPr>
              <w:t>2,567</w:t>
            </w:r>
          </w:p>
        </w:tc>
        <w:tc>
          <w:tcPr>
            <w:tcW w:type="dxa" w:w="1440"/>
            <w:shd w:fill="FFDCE0" w:val="clear"/>
          </w:tcPr>
          <w:p>
            <w:r>
              <w:rPr>
                <w:sz w:val="17"/>
              </w:rPr>
              <w:t>2,757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2,159</w:t>
            </w:r>
          </w:p>
        </w:tc>
        <w:tc>
          <w:tcPr>
            <w:tcW w:type="dxa" w:w="1440"/>
            <w:shd w:fill="FFDCE0" w:val="clear"/>
          </w:tcPr>
          <w:p>
            <w:r>
              <w:rPr>
                <w:b/>
                <w:sz w:val="17"/>
              </w:rPr>
              <w:t>2,374</w:t>
            </w:r>
          </w:p>
        </w:tc>
        <w:tc>
          <w:tcPr>
            <w:tcW w:type="dxa" w:w="1440"/>
            <w:shd w:fill="FFDCE0" w:val="clear"/>
          </w:tcPr>
          <w:p>
            <w:r>
              <w:rPr>
                <w:sz w:val="17"/>
              </w:rPr>
              <w:t>2,589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1,967</w:t>
            </w:r>
          </w:p>
        </w:tc>
        <w:tc>
          <w:tcPr>
            <w:tcW w:type="dxa" w:w="1440"/>
            <w:shd w:fill="FFDCE0" w:val="clear"/>
          </w:tcPr>
          <w:p>
            <w:r>
              <w:rPr>
                <w:b/>
                <w:sz w:val="17"/>
              </w:rPr>
              <w:t>2,196</w:t>
            </w:r>
          </w:p>
        </w:tc>
        <w:tc>
          <w:tcPr>
            <w:tcW w:type="dxa" w:w="1440"/>
            <w:shd w:fill="FFDCE0" w:val="clear"/>
          </w:tcPr>
          <w:p>
            <w:r>
              <w:rPr>
                <w:sz w:val="17"/>
              </w:rPr>
              <w:t>2,426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1,794</w:t>
            </w:r>
          </w:p>
        </w:tc>
        <w:tc>
          <w:tcPr>
            <w:tcW w:type="dxa" w:w="1440"/>
            <w:shd w:fill="FFDCE0" w:val="clear"/>
          </w:tcPr>
          <w:p>
            <w:r>
              <w:rPr>
                <w:b/>
                <w:sz w:val="17"/>
              </w:rPr>
              <w:t>2,032</w:t>
            </w:r>
          </w:p>
        </w:tc>
        <w:tc>
          <w:tcPr>
            <w:tcW w:type="dxa" w:w="1440"/>
            <w:shd w:fill="FFDCE0" w:val="clear"/>
          </w:tcPr>
          <w:p>
            <w:r>
              <w:rPr>
                <w:sz w:val="17"/>
              </w:rPr>
              <w:t>2,269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1,639</w:t>
            </w:r>
          </w:p>
        </w:tc>
        <w:tc>
          <w:tcPr>
            <w:tcW w:type="dxa" w:w="1440"/>
            <w:shd w:fill="FFDCE0" w:val="clear"/>
          </w:tcPr>
          <w:p>
            <w:r>
              <w:rPr>
                <w:b/>
                <w:sz w:val="17"/>
              </w:rPr>
              <w:t>1,879</w:t>
            </w:r>
          </w:p>
        </w:tc>
        <w:tc>
          <w:tcPr>
            <w:tcW w:type="dxa" w:w="1440"/>
            <w:shd w:fill="FFDCE0" w:val="clear"/>
          </w:tcPr>
          <w:p>
            <w:r>
              <w:rPr>
                <w:sz w:val="17"/>
              </w:rPr>
              <w:t>2,120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1,498</w:t>
            </w:r>
          </w:p>
        </w:tc>
        <w:tc>
          <w:tcPr>
            <w:tcW w:type="dxa" w:w="1440"/>
            <w:shd w:fill="FFDCE0" w:val="clear"/>
          </w:tcPr>
          <w:p>
            <w:r>
              <w:rPr>
                <w:b/>
                <w:sz w:val="17"/>
              </w:rPr>
              <w:t>1,738</w:t>
            </w:r>
          </w:p>
        </w:tc>
        <w:tc>
          <w:tcPr>
            <w:tcW w:type="dxa" w:w="1440"/>
            <w:shd w:fill="FFDCE0" w:val="clear"/>
          </w:tcPr>
          <w:p>
            <w:r>
              <w:rPr>
                <w:sz w:val="17"/>
              </w:rPr>
              <w:t>1,979</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1,378</w:t>
            </w:r>
          </w:p>
        </w:tc>
        <w:tc>
          <w:tcPr>
            <w:tcW w:type="dxa" w:w="1440"/>
            <w:shd w:fill="FFDCE0" w:val="clear"/>
          </w:tcPr>
          <w:p>
            <w:r>
              <w:rPr>
                <w:b/>
                <w:sz w:val="17"/>
              </w:rPr>
              <w:t>1,617</w:t>
            </w:r>
          </w:p>
        </w:tc>
        <w:tc>
          <w:tcPr>
            <w:tcW w:type="dxa" w:w="1440"/>
            <w:shd w:fill="FFDCE0" w:val="clear"/>
          </w:tcPr>
          <w:p>
            <w:r>
              <w:rPr>
                <w:sz w:val="17"/>
              </w:rPr>
              <w:t>1,856</w:t>
            </w:r>
          </w:p>
        </w:tc>
        <w:tc>
          <w:tcPr>
            <w:tcW w:type="dxa" w:w="1440"/>
            <w:shd w:fill="FFDCE0" w:val="clear"/>
          </w:tcPr>
          <w:p>
            <w:r>
              <w:rPr>
                <w:b/>
                <w:color w:val="C00000"/>
                <w:sz w:val="17"/>
              </w:rPr>
              <w:t>-46.1%</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1,314</w:t>
            </w:r>
          </w:p>
        </w:tc>
        <w:tc>
          <w:tcPr>
            <w:tcW w:type="dxa" w:w="1440"/>
            <w:shd w:fill="FFDCE0" w:val="clear"/>
          </w:tcPr>
          <w:p>
            <w:r>
              <w:rPr>
                <w:b/>
                <w:sz w:val="17"/>
              </w:rPr>
              <w:t>1,558</w:t>
            </w:r>
          </w:p>
        </w:tc>
        <w:tc>
          <w:tcPr>
            <w:tcW w:type="dxa" w:w="1440"/>
            <w:shd w:fill="FFDCE0" w:val="clear"/>
          </w:tcPr>
          <w:p>
            <w:r>
              <w:rPr>
                <w:sz w:val="17"/>
              </w:rPr>
              <w:t>1,802</w:t>
            </w:r>
          </w:p>
        </w:tc>
        <w:tc>
          <w:tcPr>
            <w:tcW w:type="dxa" w:w="1440"/>
            <w:shd w:fill="FFDCE0" w:val="clear"/>
          </w:tcPr>
          <w:p>
            <w:r>
              <w:rPr>
                <w:b/>
                <w:color w:val="C00000"/>
                <w:sz w:val="17"/>
              </w:rPr>
              <w:t>-48.1%</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1,256</w:t>
            </w:r>
          </w:p>
        </w:tc>
        <w:tc>
          <w:tcPr>
            <w:tcW w:type="dxa" w:w="1440"/>
            <w:shd w:fill="FFDCE0" w:val="clear"/>
          </w:tcPr>
          <w:p>
            <w:r>
              <w:rPr>
                <w:b/>
                <w:sz w:val="17"/>
              </w:rPr>
              <w:t>1,505</w:t>
            </w:r>
          </w:p>
        </w:tc>
        <w:tc>
          <w:tcPr>
            <w:tcW w:type="dxa" w:w="1440"/>
            <w:shd w:fill="FFDCE0" w:val="clear"/>
          </w:tcPr>
          <w:p>
            <w:r>
              <w:rPr>
                <w:sz w:val="17"/>
              </w:rPr>
              <w:t>1,753</w:t>
            </w:r>
          </w:p>
        </w:tc>
        <w:tc>
          <w:tcPr>
            <w:tcW w:type="dxa" w:w="1440"/>
            <w:shd w:fill="FFDCE0" w:val="clear"/>
          </w:tcPr>
          <w:p>
            <w:r>
              <w:rPr>
                <w:b/>
                <w:color w:val="C00000"/>
                <w:sz w:val="17"/>
              </w:rPr>
              <w:t>-49.8%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38,30 milliards FCFA, un niveau modeste qui la positionne comme une valeur de petite capitalisation sur la BRVM. Avec un BPA de 160 FCFA, le titre se négocie à un PER de 18,8x, nettement supérieur à la moyenne historique du marché (~8-12x), indiquant que les investisseurs paient une prime substantielle pour les bénéfices actuels. Le P/B de 6,65x confirme cette lecture : le marché valorise l'action plus de six fois sa valeur comptable, signe d'attentes de croissance très élevées. L'EV/EBITDA de 28,5x renforce cette perception d'une valorisation exigeante, la valeur d'entreprise représentant près de 29 fois la capacité opérationnelle brute. Ces ratios traduisent un optimisme marqué des investisseurs, probablement nourri par la performance exceptionnelle de 2025, mais ils laissent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NEIC a enregistré une progression spectaculaire de +117,39%, passant d'un plus bas de 1 365 FCFA à un plus haut de 3 000 FCFA, niveau actuel du cours. La variation de +0,33% sur la dernière séance suggère une stabilisation après cette ascension fulgurante. La moyenne du cours sur la période (2 062 FCFA) est inférieure à la médiane (2 150 FCFA), indiquant une distribution légèrement asymétrique avec une concentration des valeurs vers le haut de la fourchette. L'écart-type de 363 FCFA, soit un coefficient de variation de 17,6%, reflète une dispersion modérée autour de la moyenne. Le kurtosis de 0,368 (mésokurtique) indique une distribution proche de la normale, sans risque excessif de mouvements extrêmes, tandis que le skewness de -0,150 confirme une symétrie relative. La volatilité annualisée de 53,3% classe NEIC comme un titre à très haute volatilité, caractéristique des valeurs en phase de rattrapage rapide, ce qui implique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sur 20 jours (2 418,5 FCFA) et sur 50 jours (2 315,8 FCFA) sont toutes deux nettement inférieures au cours actuel de 3 000 FCFA, confirmant une tendance haussière solide. La configuration en « alignement haussier » (cours &gt; MM20 &gt; MM50) génère un signal d'achat, la dynamique positive étant soutenue par la progression continue du titre.</w:t>
      </w:r>
    </w:p>
    <w:p>
      <w:pPr>
        <w:spacing w:after="120" w:line="276" w:lineRule="auto"/>
      </w:pPr>
      <w:r>
        <w:t>Le cours se positionne à 3 000 FCFA, très proche de la borne supérieure des bandes de Bollinger (3 021,2 FCFA), tandis que la borne inférieure s'établit à 1 815,8 FCFA. Cette proximité avec la borne haute indique une pression acheteuse intense, mais signale également une zone de surachat potentiel. La décision « Neutre » suggère que le marché pourrait connaître une consolidation avant de poursuivre sa progression.</w:t>
      </w:r>
    </w:p>
    <w:p>
      <w:pPr>
        <w:spacing w:after="120" w:line="276" w:lineRule="auto"/>
      </w:pPr>
      <w:r>
        <w:t>Le MACD affiche une valeur de 182,772, nettement supérieure à sa ligne de signal (98,856), confirmant un momentum haussier puissant. L'écart positif et croissant entre les deux lignes indique que la dynamique acheteuse s'accélère, justifiant la décision d'achat. Cette configuration technique valide la tendance de fond tout en suggérant une possible correction technique à court terme.</w:t>
      </w:r>
    </w:p>
    <w:p>
      <w:pPr>
        <w:spacing w:after="120" w:line="276" w:lineRule="auto"/>
      </w:pPr>
      <w:r>
        <w:t>Le RSI à 89,785 est extrêmement élevé, bien au-delà du seuil de surachat de 70. Cette valeur indique que le titre est massivement suracheté, les acheteurs ayant poussé le cours à des niveaux insoutenables à court terme. La décision de vente qui en découle est un signal d'alerte majeur, suggérant un risque élevé de retournement ou au minimum de consolidation sévère.</w:t>
      </w:r>
    </w:p>
    <w:p>
      <w:pPr>
        <w:spacing w:after="120" w:line="276" w:lineRule="auto"/>
      </w:pPr>
      <w:r>
        <w:t>L'oscillateur stochastique affiche des valeurs extrêmes avec %K à 100 et %D à 99,596, confirmant un état de surachat extrême. Le titre est au plus haut de sa fourchette de négociation sur la période, sans aucun signe de faiblesse apparent. La décision de vente reflète la probabilité statistique élevée d'un repli technique après une telle extension haussière.</w:t>
      </w:r>
    </w:p>
    <w:p>
      <w:pPr>
        <w:spacing w:after="120" w:line="276" w:lineRule="auto"/>
      </w:pPr>
      <w:r>
        <w:t>La convergence des indicateurs de surachat (RSI, Stochastique, position par rapport aux bandes de Bollinger) contraste avec la persistance du signal d'achat des moyennes mobiles et du MACD. Cette configuration paradoxale suggère que la tendance de fond reste haussière, mais qu'une correction technique est hautement probable à très court terme. Les investisseurs devraient surveiller un éventuel repli vers la zone des 2 600-2 700 FCFA comme point d'entrée potentiel.</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performance financière remarquable pour NEIC, entreprise du secteur de l'édition. Le chiffre d'affaires s'établit à 5,139 milliards FCFA, en recul de 23,8% par rapport à l'exercice précédent, mais le résultat net atteint 2,037 milliards FCFA, porté par des éléments exceptionnels. La marge nette de 39,6% est exceptionnellement élevée, tout comme le ROE de 35,4% et le ROA de 27,3%, témoignant d'une excellente rentabilité des capitaux propres et des actifs. La structure financière est très saine avec une autonomie financière de 77%, une solvabilité générale de 435% et une trésorerie nette positive de 4,196 milliards FCFA. Cependant, le délai clients de 154,7 jours constitue un point de vigilance majeur pour la trésorerie, tandis que le BFR de 1,498 milliard FCFA et le free cash-flow négatif de -565,9 millions FCFA indiquent des besoins de financement. Le rapport du 3ème trimestre 2025 (publié en 2026) confirme la baisse du CA (-35% à 3,406 milliards) mais le bénéfice net de 1,596 milliard FCFA provient essentiellement d'une reprise de provision pour redressement fiscal, masquant une performance opérationnelle en retrait. Le rapport T1 2026 montre un CA de 115,1 millions FCFA (+137%) mais une perte nette persistante de -168,9 millions FCFA. Le rapport annuel 2025 (publié en 2026) indique un CA de 6,74 milliards FCFA (+29%) et un résultat net de 2,04 milliards FCFA (+169%), avec un dividende proposé de 2,04 milliards FCFA (100% du résultat). Les états financiers certifiés 2024 faisaient état d'une perte de 759 millions FCFA, illustrant la forte volatilité des résultats. La solidité financière est réelle, mais la dépendance aux éléments exceptionnels et la saisonnalité marquée de l'activité constituent des risques structurels.</w:t>
      </w:r>
    </w:p>
    <w:p>
      <w:pPr>
        <w:spacing w:after="120" w:line="276" w:lineRule="auto" w:before="240"/>
      </w:pPr>
      <w:r>
        <w:rPr>
          <w:b/>
          <w:color w:val="003366"/>
          <w:sz w:val="24"/>
        </w:rPr>
        <w:t>**PARTIE 4 : CONCLUSION D'INVESTISSEMENT**</w:t>
      </w:r>
    </w:p>
    <w:p>
      <w:pPr>
        <w:spacing w:after="120" w:line="276" w:lineRule="auto"/>
      </w:pPr>
      <w:r>
        <w:t>La valorisation de NEIC apparaît clairement surévaluée avec un PER de 18,8x, un P/B de 6,65x et un EV/EBITDA de 28,5x, nettement supérieurs aux moyennes du marché BRVM, ce qui intègre des attentes de croissance très optimistes. Le comportement du cours (+117% en 100 jours) avec une volatilité annualisée de 53,3% témoigne d'un emballement spéculatif, les statistiques descriptives (kurtosis mésokurtique, skewness symétrique) indiquant néanmoins une distribution relativement normale des rendements. Les signaux techniques sont contradictoires : les moyennes mobiles et le MACD restent positifs, mais le RSI à 89,8 et le stochastique à 100 signalent un surachat extrême, annonçant une correction technique probable. Les fondamentaux de 2025 sont solides (ROE de 35,4%, trésorerie de 4,196 milliards FCFA), mais la performance repose largement sur des éléments exceptionnels et le CA réel est en déclin structurel (-23,8% en 2025, -35% au T3 2025). Les prédictions IA projetant un repli à 2 032 FCFA d'ici 10 jours (-32%) confirment l'analyse technique de surachat. La convergence des signaux de valorisation, technique et prédictif vers une correction contraste avec la solidité bilancielle. Recommandation : **VENTE** à court terme avec un niveau de confiance **Élevé**, risque global **Élevé**, et un horizon d'investissement optimal à **moyen terme (3-12 mois)** pour réintégrer le titre après correction, idéalement sous les 2 200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568.90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2,123 titres</w:t>
            </w:r>
          </w:p>
        </w:tc>
        <w:tc>
          <w:tcPr>
            <w:tcW w:type="dxa" w:w="2268"/>
            <w:shd w:fill="FFF2CC" w:val="clear"/>
          </w:tcPr>
          <w:p>
            <w:r>
              <w:rPr>
                <w:b/>
                <w:color w:val="503200"/>
                <w:sz w:val="16"/>
              </w:rPr>
              <w:t xml:space="preserve">Cours actuel : </w:t>
            </w:r>
            <w:r>
              <w:rPr>
                <w:color w:val="000000"/>
                <w:sz w:val="17"/>
              </w:rPr>
              <w:t>23,000 FCFA</w:t>
            </w:r>
          </w:p>
          <w:p>
            <w:r>
              <w:rPr>
                <w:b/>
                <w:color w:val="503200"/>
                <w:sz w:val="16"/>
              </w:rPr>
              <w:t xml:space="preserve">Var. 100 jours : </w:t>
            </w:r>
            <w:r>
              <w:rPr>
                <w:b/>
                <w:color w:val="007800"/>
                <w:sz w:val="17"/>
              </w:rPr>
              <w:t>+60.90%</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18.63% (Élevée) — μ=19,132 FCFA, σ=3,565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β=1.1958 (Neutre (suit le marché)) — Cov=0.000044, Var(idx)=0.000037, ρ=0.303,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2,123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98627"/>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2026-09-02</w:t>
            </w:r>
          </w:p>
        </w:tc>
        <w:tc>
          <w:tcPr>
            <w:tcW w:type="dxa" w:w="1440"/>
            <w:shd w:fill="C6EFCE" w:val="clear"/>
          </w:tcPr>
          <w:p>
            <w:r>
              <w:rPr>
                <w:sz w:val="17"/>
              </w:rPr>
              <w:t>22,901</w:t>
            </w:r>
          </w:p>
        </w:tc>
        <w:tc>
          <w:tcPr>
            <w:tcW w:type="dxa" w:w="1440"/>
            <w:shd w:fill="C6EFCE" w:val="clear"/>
          </w:tcPr>
          <w:p>
            <w:r>
              <w:rPr>
                <w:b/>
                <w:sz w:val="17"/>
              </w:rPr>
              <w:t>23,510</w:t>
            </w:r>
          </w:p>
        </w:tc>
        <w:tc>
          <w:tcPr>
            <w:tcW w:type="dxa" w:w="1440"/>
            <w:shd w:fill="C6EFCE" w:val="clear"/>
          </w:tcPr>
          <w:p>
            <w:r>
              <w:rPr>
                <w:sz w:val="17"/>
              </w:rPr>
              <w:t>24,118</w:t>
            </w:r>
          </w:p>
        </w:tc>
        <w:tc>
          <w:tcPr>
            <w:tcW w:type="dxa" w:w="1440"/>
            <w:shd w:fill="C6EFCE" w:val="clear"/>
          </w:tcPr>
          <w:p>
            <w:r>
              <w:rPr>
                <w:b/>
                <w:color w:val="008000"/>
                <w:sz w:val="17"/>
              </w:rPr>
              <w:t>+2.2%</w:t>
            </w:r>
          </w:p>
        </w:tc>
      </w:tr>
      <w:tr>
        <w:tc>
          <w:tcPr>
            <w:tcW w:type="dxa" w:w="1440"/>
            <w:shd w:fill="C6EFCE" w:val="clear"/>
          </w:tcPr>
          <w:p>
            <w:r>
              <w:rPr>
                <w:sz w:val="17"/>
              </w:rPr>
              <w:t>J+2  ⭐⭐⭐</w:t>
            </w:r>
          </w:p>
        </w:tc>
        <w:tc>
          <w:tcPr>
            <w:tcW w:type="dxa" w:w="1440"/>
            <w:shd w:fill="C6EFCE" w:val="clear"/>
          </w:tcPr>
          <w:p>
            <w:r>
              <w:rPr>
                <w:sz w:val="17"/>
              </w:rPr>
              <w:t>2026-09-03</w:t>
            </w:r>
          </w:p>
        </w:tc>
        <w:tc>
          <w:tcPr>
            <w:tcW w:type="dxa" w:w="1440"/>
            <w:shd w:fill="C6EFCE" w:val="clear"/>
          </w:tcPr>
          <w:p>
            <w:r>
              <w:rPr>
                <w:sz w:val="17"/>
              </w:rPr>
              <w:t>23,032</w:t>
            </w:r>
          </w:p>
        </w:tc>
        <w:tc>
          <w:tcPr>
            <w:tcW w:type="dxa" w:w="1440"/>
            <w:shd w:fill="C6EFCE" w:val="clear"/>
          </w:tcPr>
          <w:p>
            <w:r>
              <w:rPr>
                <w:b/>
                <w:sz w:val="17"/>
              </w:rPr>
              <w:t>23,907</w:t>
            </w:r>
          </w:p>
        </w:tc>
        <w:tc>
          <w:tcPr>
            <w:tcW w:type="dxa" w:w="1440"/>
            <w:shd w:fill="C6EFCE" w:val="clear"/>
          </w:tcPr>
          <w:p>
            <w:r>
              <w:rPr>
                <w:sz w:val="17"/>
              </w:rPr>
              <w:t>24,783</w:t>
            </w:r>
          </w:p>
        </w:tc>
        <w:tc>
          <w:tcPr>
            <w:tcW w:type="dxa" w:w="1440"/>
            <w:shd w:fill="C6EFCE" w:val="clear"/>
          </w:tcPr>
          <w:p>
            <w:r>
              <w:rPr>
                <w:b/>
                <w:color w:val="008000"/>
                <w:sz w:val="17"/>
              </w:rPr>
              <w:t>+3.9%</w:t>
            </w:r>
          </w:p>
        </w:tc>
      </w:tr>
      <w:tr>
        <w:tc>
          <w:tcPr>
            <w:tcW w:type="dxa" w:w="1440"/>
            <w:shd w:fill="C6EFCE" w:val="clear"/>
          </w:tcPr>
          <w:p>
            <w:r>
              <w:rPr>
                <w:sz w:val="17"/>
              </w:rPr>
              <w:t>J+3  ⭐⭐⭐</w:t>
            </w:r>
          </w:p>
        </w:tc>
        <w:tc>
          <w:tcPr>
            <w:tcW w:type="dxa" w:w="1440"/>
            <w:shd w:fill="C6EFCE" w:val="clear"/>
          </w:tcPr>
          <w:p>
            <w:r>
              <w:rPr>
                <w:sz w:val="17"/>
              </w:rPr>
              <w:t>2026-09-04</w:t>
            </w:r>
          </w:p>
        </w:tc>
        <w:tc>
          <w:tcPr>
            <w:tcW w:type="dxa" w:w="1440"/>
            <w:shd w:fill="C6EFCE" w:val="clear"/>
          </w:tcPr>
          <w:p>
            <w:r>
              <w:rPr>
                <w:sz w:val="17"/>
              </w:rPr>
              <w:t>23,212</w:t>
            </w:r>
          </w:p>
        </w:tc>
        <w:tc>
          <w:tcPr>
            <w:tcW w:type="dxa" w:w="1440"/>
            <w:shd w:fill="C6EFCE" w:val="clear"/>
          </w:tcPr>
          <w:p>
            <w:r>
              <w:rPr>
                <w:b/>
                <w:sz w:val="17"/>
              </w:rPr>
              <w:t>24,302</w:t>
            </w:r>
          </w:p>
        </w:tc>
        <w:tc>
          <w:tcPr>
            <w:tcW w:type="dxa" w:w="1440"/>
            <w:shd w:fill="C6EFCE" w:val="clear"/>
          </w:tcPr>
          <w:p>
            <w:r>
              <w:rPr>
                <w:sz w:val="17"/>
              </w:rPr>
              <w:t>25,392</w:t>
            </w:r>
          </w:p>
        </w:tc>
        <w:tc>
          <w:tcPr>
            <w:tcW w:type="dxa" w:w="1440"/>
            <w:shd w:fill="C6EFCE" w:val="clear"/>
          </w:tcPr>
          <w:p>
            <w:r>
              <w:rPr>
                <w:b/>
                <w:color w:val="008000"/>
                <w:sz w:val="17"/>
              </w:rPr>
              <w:t>+5.7%</w:t>
            </w:r>
          </w:p>
        </w:tc>
      </w:tr>
      <w:tr>
        <w:tc>
          <w:tcPr>
            <w:tcW w:type="dxa" w:w="1440"/>
            <w:shd w:fill="C6EFCE" w:val="clear"/>
          </w:tcPr>
          <w:p>
            <w:r>
              <w:rPr>
                <w:sz w:val="17"/>
              </w:rPr>
              <w:t>J+4  Moyenne</w:t>
            </w:r>
          </w:p>
        </w:tc>
        <w:tc>
          <w:tcPr>
            <w:tcW w:type="dxa" w:w="1440"/>
            <w:shd w:fill="C6EFCE" w:val="clear"/>
          </w:tcPr>
          <w:p>
            <w:r>
              <w:rPr>
                <w:sz w:val="17"/>
              </w:rPr>
              <w:t>2026-09-07</w:t>
            </w:r>
          </w:p>
        </w:tc>
        <w:tc>
          <w:tcPr>
            <w:tcW w:type="dxa" w:w="1440"/>
            <w:shd w:fill="C6EFCE" w:val="clear"/>
          </w:tcPr>
          <w:p>
            <w:r>
              <w:rPr>
                <w:sz w:val="17"/>
              </w:rPr>
              <w:t>23,409</w:t>
            </w:r>
          </w:p>
        </w:tc>
        <w:tc>
          <w:tcPr>
            <w:tcW w:type="dxa" w:w="1440"/>
            <w:shd w:fill="C6EFCE" w:val="clear"/>
          </w:tcPr>
          <w:p>
            <w:r>
              <w:rPr>
                <w:b/>
                <w:sz w:val="17"/>
              </w:rPr>
              <w:t>24,688</w:t>
            </w:r>
          </w:p>
        </w:tc>
        <w:tc>
          <w:tcPr>
            <w:tcW w:type="dxa" w:w="1440"/>
            <w:shd w:fill="C6EFCE" w:val="clear"/>
          </w:tcPr>
          <w:p>
            <w:r>
              <w:rPr>
                <w:sz w:val="17"/>
              </w:rPr>
              <w:t>25,967</w:t>
            </w:r>
          </w:p>
        </w:tc>
        <w:tc>
          <w:tcPr>
            <w:tcW w:type="dxa" w:w="1440"/>
            <w:shd w:fill="C6EFCE" w:val="clear"/>
          </w:tcPr>
          <w:p>
            <w:r>
              <w:rPr>
                <w:b/>
                <w:color w:val="008000"/>
                <w:sz w:val="17"/>
              </w:rPr>
              <w:t>+7.3%</w:t>
            </w:r>
          </w:p>
        </w:tc>
      </w:tr>
      <w:tr>
        <w:tc>
          <w:tcPr>
            <w:tcW w:type="dxa" w:w="1440"/>
            <w:shd w:fill="C6EFCE" w:val="clear"/>
          </w:tcPr>
          <w:p>
            <w:r>
              <w:rPr>
                <w:sz w:val="17"/>
              </w:rPr>
              <w:t>J+5  Moyenne</w:t>
            </w:r>
          </w:p>
        </w:tc>
        <w:tc>
          <w:tcPr>
            <w:tcW w:type="dxa" w:w="1440"/>
            <w:shd w:fill="C6EFCE" w:val="clear"/>
          </w:tcPr>
          <w:p>
            <w:r>
              <w:rPr>
                <w:sz w:val="17"/>
              </w:rPr>
              <w:t>2026-09-08</w:t>
            </w:r>
          </w:p>
        </w:tc>
        <w:tc>
          <w:tcPr>
            <w:tcW w:type="dxa" w:w="1440"/>
            <w:shd w:fill="C6EFCE" w:val="clear"/>
          </w:tcPr>
          <w:p>
            <w:r>
              <w:rPr>
                <w:sz w:val="17"/>
              </w:rPr>
              <w:t>23,620</w:t>
            </w:r>
          </w:p>
        </w:tc>
        <w:tc>
          <w:tcPr>
            <w:tcW w:type="dxa" w:w="1440"/>
            <w:shd w:fill="C6EFCE" w:val="clear"/>
          </w:tcPr>
          <w:p>
            <w:r>
              <w:rPr>
                <w:b/>
                <w:sz w:val="17"/>
              </w:rPr>
              <w:t>25,072</w:t>
            </w:r>
          </w:p>
        </w:tc>
        <w:tc>
          <w:tcPr>
            <w:tcW w:type="dxa" w:w="1440"/>
            <w:shd w:fill="C6EFCE" w:val="clear"/>
          </w:tcPr>
          <w:p>
            <w:r>
              <w:rPr>
                <w:sz w:val="17"/>
              </w:rPr>
              <w:t>26,524</w:t>
            </w:r>
          </w:p>
        </w:tc>
        <w:tc>
          <w:tcPr>
            <w:tcW w:type="dxa" w:w="1440"/>
            <w:shd w:fill="C6EFCE" w:val="clear"/>
          </w:tcPr>
          <w:p>
            <w:r>
              <w:rPr>
                <w:b/>
                <w:color w:val="008000"/>
                <w:sz w:val="17"/>
              </w:rPr>
              <w:t>+9.0%</w:t>
            </w:r>
          </w:p>
        </w:tc>
      </w:tr>
      <w:tr>
        <w:tc>
          <w:tcPr>
            <w:tcW w:type="dxa" w:w="1440"/>
            <w:shd w:fill="C6EFCE" w:val="clear"/>
          </w:tcPr>
          <w:p>
            <w:r>
              <w:rPr>
                <w:sz w:val="17"/>
              </w:rPr>
              <w:t>J+6  Moyenne</w:t>
            </w:r>
          </w:p>
        </w:tc>
        <w:tc>
          <w:tcPr>
            <w:tcW w:type="dxa" w:w="1440"/>
            <w:shd w:fill="C6EFCE" w:val="clear"/>
          </w:tcPr>
          <w:p>
            <w:r>
              <w:rPr>
                <w:sz w:val="17"/>
              </w:rPr>
              <w:t>2026-09-09</w:t>
            </w:r>
          </w:p>
        </w:tc>
        <w:tc>
          <w:tcPr>
            <w:tcW w:type="dxa" w:w="1440"/>
            <w:shd w:fill="C6EFCE" w:val="clear"/>
          </w:tcPr>
          <w:p>
            <w:r>
              <w:rPr>
                <w:sz w:val="17"/>
              </w:rPr>
              <w:t>23,842</w:t>
            </w:r>
          </w:p>
        </w:tc>
        <w:tc>
          <w:tcPr>
            <w:tcW w:type="dxa" w:w="1440"/>
            <w:shd w:fill="C6EFCE" w:val="clear"/>
          </w:tcPr>
          <w:p>
            <w:r>
              <w:rPr>
                <w:b/>
                <w:sz w:val="17"/>
              </w:rPr>
              <w:t>25,457</w:t>
            </w:r>
          </w:p>
        </w:tc>
        <w:tc>
          <w:tcPr>
            <w:tcW w:type="dxa" w:w="1440"/>
            <w:shd w:fill="C6EFCE" w:val="clear"/>
          </w:tcPr>
          <w:p>
            <w:r>
              <w:rPr>
                <w:sz w:val="17"/>
              </w:rPr>
              <w:t>27,071</w:t>
            </w:r>
          </w:p>
        </w:tc>
        <w:tc>
          <w:tcPr>
            <w:tcW w:type="dxa" w:w="1440"/>
            <w:shd w:fill="C6EFCE" w:val="clear"/>
          </w:tcPr>
          <w:p>
            <w:r>
              <w:rPr>
                <w:b/>
                <w:color w:val="008000"/>
                <w:sz w:val="17"/>
              </w:rPr>
              <w:t>+10.7%</w:t>
            </w:r>
          </w:p>
        </w:tc>
      </w:tr>
      <w:tr>
        <w:tc>
          <w:tcPr>
            <w:tcW w:type="dxa" w:w="1440"/>
            <w:shd w:fill="C6EFCE" w:val="clear"/>
          </w:tcPr>
          <w:p>
            <w:r>
              <w:rPr>
                <w:sz w:val="17"/>
              </w:rPr>
              <w:t>J+7  Moyenne</w:t>
            </w:r>
          </w:p>
        </w:tc>
        <w:tc>
          <w:tcPr>
            <w:tcW w:type="dxa" w:w="1440"/>
            <w:shd w:fill="C6EFCE" w:val="clear"/>
          </w:tcPr>
          <w:p>
            <w:r>
              <w:rPr>
                <w:sz w:val="17"/>
              </w:rPr>
              <w:t>2026-09-10</w:t>
            </w:r>
          </w:p>
        </w:tc>
        <w:tc>
          <w:tcPr>
            <w:tcW w:type="dxa" w:w="1440"/>
            <w:shd w:fill="C6EFCE" w:val="clear"/>
          </w:tcPr>
          <w:p>
            <w:r>
              <w:rPr>
                <w:sz w:val="17"/>
              </w:rPr>
              <w:t>24,070</w:t>
            </w:r>
          </w:p>
        </w:tc>
        <w:tc>
          <w:tcPr>
            <w:tcW w:type="dxa" w:w="1440"/>
            <w:shd w:fill="C6EFCE" w:val="clear"/>
          </w:tcPr>
          <w:p>
            <w:r>
              <w:rPr>
                <w:b/>
                <w:sz w:val="17"/>
              </w:rPr>
              <w:t>25,841</w:t>
            </w:r>
          </w:p>
        </w:tc>
        <w:tc>
          <w:tcPr>
            <w:tcW w:type="dxa" w:w="1440"/>
            <w:shd w:fill="C6EFCE" w:val="clear"/>
          </w:tcPr>
          <w:p>
            <w:r>
              <w:rPr>
                <w:sz w:val="17"/>
              </w:rPr>
              <w:t>27,611</w:t>
            </w:r>
          </w:p>
        </w:tc>
        <w:tc>
          <w:tcPr>
            <w:tcW w:type="dxa" w:w="1440"/>
            <w:shd w:fill="C6EFCE" w:val="clear"/>
          </w:tcPr>
          <w:p>
            <w:r>
              <w:rPr>
                <w:b/>
                <w:color w:val="008000"/>
                <w:sz w:val="17"/>
              </w:rPr>
              <w:t>+12.4%</w:t>
            </w:r>
          </w:p>
        </w:tc>
      </w:tr>
      <w:tr>
        <w:tc>
          <w:tcPr>
            <w:tcW w:type="dxa" w:w="1440"/>
            <w:shd w:fill="C6EFCE" w:val="clear"/>
          </w:tcPr>
          <w:p>
            <w:r>
              <w:rPr>
                <w:sz w:val="17"/>
              </w:rPr>
              <w:t>J+8  Moyenne</w:t>
            </w:r>
          </w:p>
        </w:tc>
        <w:tc>
          <w:tcPr>
            <w:tcW w:type="dxa" w:w="1440"/>
            <w:shd w:fill="C6EFCE" w:val="clear"/>
          </w:tcPr>
          <w:p>
            <w:r>
              <w:rPr>
                <w:sz w:val="17"/>
              </w:rPr>
              <w:t>2026-09-11</w:t>
            </w:r>
          </w:p>
        </w:tc>
        <w:tc>
          <w:tcPr>
            <w:tcW w:type="dxa" w:w="1440"/>
            <w:shd w:fill="C6EFCE" w:val="clear"/>
          </w:tcPr>
          <w:p>
            <w:r>
              <w:rPr>
                <w:sz w:val="17"/>
              </w:rPr>
              <w:t>24,304</w:t>
            </w:r>
          </w:p>
        </w:tc>
        <w:tc>
          <w:tcPr>
            <w:tcW w:type="dxa" w:w="1440"/>
            <w:shd w:fill="C6EFCE" w:val="clear"/>
          </w:tcPr>
          <w:p>
            <w:r>
              <w:rPr>
                <w:b/>
                <w:sz w:val="17"/>
              </w:rPr>
              <w:t>26,225</w:t>
            </w:r>
          </w:p>
        </w:tc>
        <w:tc>
          <w:tcPr>
            <w:tcW w:type="dxa" w:w="1440"/>
            <w:shd w:fill="C6EFCE" w:val="clear"/>
          </w:tcPr>
          <w:p>
            <w:r>
              <w:rPr>
                <w:sz w:val="17"/>
              </w:rPr>
              <w:t>28,146</w:t>
            </w:r>
          </w:p>
        </w:tc>
        <w:tc>
          <w:tcPr>
            <w:tcW w:type="dxa" w:w="1440"/>
            <w:shd w:fill="C6EFCE" w:val="clear"/>
          </w:tcPr>
          <w:p>
            <w:r>
              <w:rPr>
                <w:b/>
                <w:color w:val="008000"/>
                <w:sz w:val="17"/>
              </w:rPr>
              <w:t>+14.0%</w:t>
            </w:r>
          </w:p>
        </w:tc>
      </w:tr>
      <w:tr>
        <w:tc>
          <w:tcPr>
            <w:tcW w:type="dxa" w:w="1440"/>
            <w:shd w:fill="C6EFCE" w:val="clear"/>
          </w:tcPr>
          <w:p>
            <w:r>
              <w:rPr>
                <w:sz w:val="17"/>
              </w:rPr>
              <w:t>J+9  Moyenne</w:t>
            </w:r>
          </w:p>
        </w:tc>
        <w:tc>
          <w:tcPr>
            <w:tcW w:type="dxa" w:w="1440"/>
            <w:shd w:fill="C6EFCE" w:val="clear"/>
          </w:tcPr>
          <w:p>
            <w:r>
              <w:rPr>
                <w:sz w:val="17"/>
              </w:rPr>
              <w:t>2026-09-14</w:t>
            </w:r>
          </w:p>
        </w:tc>
        <w:tc>
          <w:tcPr>
            <w:tcW w:type="dxa" w:w="1440"/>
            <w:shd w:fill="C6EFCE" w:val="clear"/>
          </w:tcPr>
          <w:p>
            <w:r>
              <w:rPr>
                <w:sz w:val="17"/>
              </w:rPr>
              <w:t>24,541</w:t>
            </w:r>
          </w:p>
        </w:tc>
        <w:tc>
          <w:tcPr>
            <w:tcW w:type="dxa" w:w="1440"/>
            <w:shd w:fill="C6EFCE" w:val="clear"/>
          </w:tcPr>
          <w:p>
            <w:r>
              <w:rPr>
                <w:b/>
                <w:sz w:val="17"/>
              </w:rPr>
              <w:t>26,609</w:t>
            </w:r>
          </w:p>
        </w:tc>
        <w:tc>
          <w:tcPr>
            <w:tcW w:type="dxa" w:w="1440"/>
            <w:shd w:fill="C6EFCE" w:val="clear"/>
          </w:tcPr>
          <w:p>
            <w:r>
              <w:rPr>
                <w:sz w:val="17"/>
              </w:rPr>
              <w:t>28,676</w:t>
            </w:r>
          </w:p>
        </w:tc>
        <w:tc>
          <w:tcPr>
            <w:tcW w:type="dxa" w:w="1440"/>
            <w:shd w:fill="C6EFCE" w:val="clear"/>
          </w:tcPr>
          <w:p>
            <w:r>
              <w:rPr>
                <w:b/>
                <w:color w:val="008000"/>
                <w:sz w:val="17"/>
              </w:rPr>
              <w:t>+15.7%</w:t>
            </w:r>
          </w:p>
        </w:tc>
      </w:tr>
      <w:tr>
        <w:tc>
          <w:tcPr>
            <w:tcW w:type="dxa" w:w="1440"/>
            <w:shd w:fill="C6EFCE" w:val="clear"/>
          </w:tcPr>
          <w:p>
            <w:r>
              <w:rPr>
                <w:sz w:val="17"/>
              </w:rPr>
              <w:t>J+10  Moyenne</w:t>
            </w:r>
          </w:p>
        </w:tc>
        <w:tc>
          <w:tcPr>
            <w:tcW w:type="dxa" w:w="1440"/>
            <w:shd w:fill="C6EFCE" w:val="clear"/>
          </w:tcPr>
          <w:p>
            <w:r>
              <w:rPr>
                <w:sz w:val="17"/>
              </w:rPr>
              <w:t>2026-09-15</w:t>
            </w:r>
          </w:p>
        </w:tc>
        <w:tc>
          <w:tcPr>
            <w:tcW w:type="dxa" w:w="1440"/>
            <w:shd w:fill="C6EFCE" w:val="clear"/>
          </w:tcPr>
          <w:p>
            <w:r>
              <w:rPr>
                <w:sz w:val="17"/>
              </w:rPr>
              <w:t>24,781</w:t>
            </w:r>
          </w:p>
        </w:tc>
        <w:tc>
          <w:tcPr>
            <w:tcW w:type="dxa" w:w="1440"/>
            <w:shd w:fill="C6EFCE" w:val="clear"/>
          </w:tcPr>
          <w:p>
            <w:r>
              <w:rPr>
                <w:b/>
                <w:sz w:val="17"/>
              </w:rPr>
              <w:t>26,991</w:t>
            </w:r>
          </w:p>
        </w:tc>
        <w:tc>
          <w:tcPr>
            <w:tcW w:type="dxa" w:w="1440"/>
            <w:shd w:fill="C6EFCE" w:val="clear"/>
          </w:tcPr>
          <w:p>
            <w:r>
              <w:rPr>
                <w:sz w:val="17"/>
              </w:rPr>
              <w:t>29,202</w:t>
            </w:r>
          </w:p>
        </w:tc>
        <w:tc>
          <w:tcPr>
            <w:tcW w:type="dxa" w:w="1440"/>
            <w:shd w:fill="C6EFCE" w:val="clear"/>
          </w:tcPr>
          <w:p>
            <w:r>
              <w:rPr>
                <w:b/>
                <w:color w:val="008000"/>
                <w:sz w:val="17"/>
              </w:rPr>
              <w:t>+17.4%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568,90 milliards FCFA, un niveau qui la positionne parmi les valeurs bancaires majeures de la BRVM, reflétant une liquidité et une visibilité institutionnelle importantes. Le BPA de 1 646 FCFA indique que chaque action génère un bénéfice substantiel, justifiant un PER de 14,0x. Ce ratio est supérieur à la moyenne historique de la BRVM (8-12x), signifiant que les investisseurs acceptent de payer une prime pour la qualité de la banque et ses perspectives de croissance. Le P/B de 2,44x confirme cette prime, le marché valorisant la société à plus de deux fois ses capitaux propres, ce qui traduit une confiance dans la création de valeur future. Enfin, l'EV/EBITDA de 21,5x est un indicateur exigeant, signalant que la valeur totale de l'entreprise est élevée par rapport à sa capacité opérationnelle, ce qui peut refléter des attentes de performance soutenue, mais aussi une marge de sécurité plus mince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+60,90%, avec une dernière séance quasi stable (+0,02%), suggérant une phase de consolidation après un fort mouvement haussier. Le cours a évolué dans une fourchette très large, entre un plus bas de 13 810 FCFA et un plus haut de 24 020 FCFA, démontrant une dynamique de rattrapage significative. La moyenne du cours sur la période (19 132 FCFA) est inférieure à la médiane (19 350 FCFA) et au mode (13 900 FCFA), indiquant une distribution légèrement asymétrique où les valeurs extrêmes hautes ont tiré la moyenne vers le haut. L'écart-type de 3 583 FCFA, avec un coefficient de variation de 18,7%, révèle une dispersion modérée du cours autour de sa moyenne. Le kurtosis négatif (-1.346) signale une distribution platykurtique, avec une faible concentration des variations autour de la moyenne, tandis que le skewness de -0.287 indique une symétrie relative. Enfin, la volatilité annualisée de 37,8% classe le titre comme très volatil, ce qui implique un risque de marché élevé mais aussi un potentiel de rendement accru.</w:t>
      </w:r>
    </w:p>
    <w:p>
      <w:pPr>
        <w:spacing w:after="120" w:line="276" w:lineRule="auto" w:before="240"/>
      </w:pPr>
      <w:r>
        <w:rPr>
          <w:b/>
          <w:color w:val="003366"/>
          <w:sz w:val="24"/>
        </w:rPr>
        <w:t>**PARTIE 2 : ANALYSE TECHNIQUE DÉTAILLÉE**</w:t>
      </w:r>
    </w:p>
    <w:p>
      <w:pPr>
        <w:spacing w:after="120" w:line="276" w:lineRule="auto"/>
      </w:pPr>
      <w:r>
        <w:t>Les **Moyennes Mobiles** (MM20 à 23 191,5 FCFA et MM50 à 22 136,5 FCFA) sont toutes deux inférieures au cours actuel de 23 000 FCFA, avec une MM20 au-dessus de la MM50, formant une configuration haussière. Cette structure positive justifie la décision d'**Achat**, car elle confirme la tendance ascendante à court et moyen terme.</w:t>
      </w:r>
    </w:p>
    <w:p>
      <w:pPr>
        <w:spacing w:after="120" w:line="276" w:lineRule="auto"/>
      </w:pPr>
      <w:r>
        <w:t>Les **Bandes de Bollinger** montrent un cours à 23 000 FCFA, positionné entre la borne supérieure (24 123 FCFA) et la borne inférieure (22 259 FCFA), proche de la moyenne. Cette position centrale indique une volatilité normale sans condition de surachat ou de survente, d'où la décision **Neutre**, le titre n'étant pas en phase d'expansion ou de contraction extrême.</w:t>
      </w:r>
    </w:p>
    <w:p>
      <w:pPr>
        <w:spacing w:after="120" w:line="276" w:lineRule="auto"/>
      </w:pPr>
      <w:r>
        <w:t>Le **MACD** affiche une valeur de 113,704 inférieure à son signal (243,109), ce qui constitue une divergence baissière. Ce croisement indique un ralentissement du momentum haussier, justifiant la décision de **Vente** à court terme, bien que la valeur reste positive, suggérant que la tendance de fond demeure haussière.</w:t>
      </w:r>
    </w:p>
    <w:p>
      <w:pPr>
        <w:spacing w:after="120" w:line="276" w:lineRule="auto"/>
      </w:pPr>
      <w:r>
        <w:t>Le **RSI** à 34,3 se situe dans la zone neutre (30-70), mais proche de la zone de survente (&lt;30). Cette valeur indique que le titre n'est ni suracheté ni survendu, avec une pression vendeuse modérée, d'où la décision **Neutre**, laissant place à une possible reprise technique.</w:t>
      </w:r>
    </w:p>
    <w:p>
      <w:pPr>
        <w:spacing w:after="120" w:line="276" w:lineRule="auto"/>
      </w:pPr>
      <w:r>
        <w:t>Le **Stochastique** avec %K à 45,872 et %D à 29,638 montre que %K est au-dessus de %D, suggérant un croisement haussier potentiel. Cependant, les deux lignes étant en zone neutre, la décision est **Neutre**, indiquant une absence de signal directionnel fort.</w:t>
      </w:r>
    </w:p>
    <w:p>
      <w:pPr>
        <w:spacing w:after="120" w:line="276" w:lineRule="auto"/>
      </w:pPr>
      <w:r>
        <w:t>En conclusion, la tendance de fond reste haussière (MM), mais les indicateurs de momentum (MACD, RSI) montrent une faiblesse à court terme. Le titre semble en phase de consolidation après une forte hausse, avec un potentiel de reprise si les supports actuels tiennent. La divergence entre la tendance (positive) et le momentum (négatif) suggère une prudence à court terme.</w:t>
      </w:r>
    </w:p>
    <w:p>
      <w:pPr>
        <w:spacing w:after="120" w:line="276" w:lineRule="auto" w:before="240"/>
      </w:pPr>
      <w:r>
        <w:rPr>
          <w:b/>
          <w:color w:val="003366"/>
          <w:sz w:val="24"/>
        </w:rPr>
        <w:t>**PARTIE 3 : ANALYSE FONDAMENTALE (SECTION CRITIQUE)**</w:t>
      </w:r>
    </w:p>
    <w:p>
      <w:pPr>
        <w:spacing w:after="120" w:line="276" w:lineRule="auto"/>
      </w:pPr>
      <w:r>
        <w:t>En 2025, NSBC affiche des données financières solides, avec un Produit Net Bancaire (PNB) de 112,928 milliards FCFA et un résultat net de 40,712 milliards FCFA, démontrant une excellente capacité de génération de profits. La rentabilité des fonds propres (ROE) de 17,45% est remarquable, dépassant le seuil de 15% jugé excellent, tandis que le ROA de 1,32% reste sain pour une banque. Le coefficient d'exploitation de 54,59% témoigne d'une gestion efficace, sous la barre des 60%. Cependant, le coût du risque de 7,54% est un point de vigilance, indiquant un risque de crédit significatif. Les dépôts clientèle (2 242,218 Mds FCFA) dépassent largement les créances sur la clientèle (1 818,671 Mds FCFA), assurant une transformation solide. Les rapports trimestriels de 2025 confirment cette trajectoire : le S1 2025 (PNB +10,6%, résultat net +12,3%) et le T3 2025 (PNB +7%, résultat net +6%) montrent une croissance régulière. Sur la base du rapport T1 2026 (PNB +28%, résultat net +53%), on estime que l'exercice 2026 devrait être exceptionnel, avec un résultat net potentiel dépassant 50 milliards FCFA, porté par l'activité titres et la maîtrise du coût du risque. La banque est donc fondamentalement solide, avec une croissance soutenue, mais le coût du risque et la dépendance aux revenus de titres sont des risques à surveiller.</w:t>
      </w:r>
    </w:p>
    <w:p>
      <w:pPr>
        <w:spacing w:after="120" w:line="276" w:lineRule="auto" w:before="240"/>
      </w:pPr>
      <w:r>
        <w:rPr>
          <w:b/>
          <w:color w:val="003366"/>
          <w:sz w:val="24"/>
        </w:rPr>
        <w:t>**PARTIE 4 : CONCLUSION D'INVESTISSEMENT**</w:t>
      </w:r>
    </w:p>
    <w:p>
      <w:pPr>
        <w:spacing w:after="120" w:line="276" w:lineRule="auto"/>
      </w:pPr>
      <w:r>
        <w:t>La valorisation de NSBC (PER 14,0x, P/B 2,44x, EV/EBITDA 21,5x) est exigeante, mais justifiée par la qualité des fondamentaux et les perspectives de croissance. Le comportement du cours (+60,9% sur 100 jours) montre une tendance haussière forte, mais la volatilité élevée (37,8%) et la distribution platykurtique indiquent un risque de fluctuations importantes. Les signaux techniques sont mitigés : les moyennes mobiles sont haussières, mais le MACD et le RSI suggèrent une consolidation à court terme. Les fondamentaux sont excellents, avec un ROE de 17,45%, une croissance du PNB de 15,4% en 2025 et des estimations très favorables pour 2026 basées sur le T1 (+53% de résultat net). Les prédictions IA (23 510 à 25 072 FCFA sur 10 jours) confirment une poursuite de la hausse, en ligne avec la tendance de fond. En synthèse, la convergence entre la solidité fondamentale, la tendance haussière et les prédictions IA est forte, malgré une valorisation élevée et des signaux techniques de court terme mitigés. La recommandation finale est **ACHAT**, avec un niveau de confiance **Élevé**, un risque global **Moyen** (volatilité et coût du risque), et un horizon d'investissement optimal à **moyen terme (3-12 mois)** pour bénéficier de la croissance attendue en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357.54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1,515 titres</w:t>
            </w:r>
          </w:p>
        </w:tc>
        <w:tc>
          <w:tcPr>
            <w:tcW w:type="dxa" w:w="2268"/>
            <w:shd w:fill="FFF2CC" w:val="clear"/>
          </w:tcPr>
          <w:p>
            <w:r>
              <w:rPr>
                <w:b/>
                <w:color w:val="503200"/>
                <w:sz w:val="16"/>
              </w:rPr>
              <w:t xml:space="preserve">Cours actuel : </w:t>
            </w:r>
            <w:r>
              <w:rPr>
                <w:color w:val="000000"/>
                <w:sz w:val="17"/>
              </w:rPr>
              <w:t>16,200 FCFA</w:t>
            </w:r>
          </w:p>
          <w:p>
            <w:r>
              <w:rPr>
                <w:b/>
                <w:color w:val="503200"/>
                <w:sz w:val="16"/>
              </w:rPr>
              <w:t xml:space="preserve">Var. 100 jours : </w:t>
            </w:r>
            <w:r>
              <w:rPr>
                <w:b/>
                <w:color w:val="007800"/>
                <w:sz w:val="17"/>
              </w:rPr>
              <w:t>+31.71%</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13.93% (Moyenne) — μ=14,548 FCFA, σ=2,027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β=-0.0370 (Contre-cyclique) — Cov=-0.000001, Var(idx)=0.000037, ρ=-0.010,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2026-09-02</w:t>
            </w:r>
          </w:p>
        </w:tc>
        <w:tc>
          <w:tcPr>
            <w:tcW w:type="dxa" w:w="1440"/>
            <w:shd w:fill="FAFAFA" w:val="clear"/>
          </w:tcPr>
          <w:p>
            <w:r>
              <w:rPr>
                <w:sz w:val="17"/>
              </w:rPr>
              <w:t>15,884</w:t>
            </w:r>
          </w:p>
        </w:tc>
        <w:tc>
          <w:tcPr>
            <w:tcW w:type="dxa" w:w="1440"/>
            <w:shd w:fill="FAFAFA" w:val="clear"/>
          </w:tcPr>
          <w:p>
            <w:r>
              <w:rPr>
                <w:b/>
                <w:sz w:val="17"/>
              </w:rPr>
              <w:t>16,383</w:t>
            </w:r>
          </w:p>
        </w:tc>
        <w:tc>
          <w:tcPr>
            <w:tcW w:type="dxa" w:w="1440"/>
            <w:shd w:fill="FAFAFA" w:val="clear"/>
          </w:tcPr>
          <w:p>
            <w:r>
              <w:rPr>
                <w:sz w:val="17"/>
              </w:rPr>
              <w:t>16,882</w:t>
            </w:r>
          </w:p>
        </w:tc>
        <w:tc>
          <w:tcPr>
            <w:tcW w:type="dxa" w:w="1440"/>
            <w:shd w:fill="FAFAFA" w:val="clear"/>
          </w:tcPr>
          <w:p>
            <w:r>
              <w:rPr>
                <w:b/>
                <w:color w:val="008000"/>
                <w:sz w:val="17"/>
              </w:rPr>
              <w:t>+1.1%</w:t>
            </w:r>
          </w:p>
        </w:tc>
      </w:tr>
      <w:tr>
        <w:tc>
          <w:tcPr>
            <w:tcW w:type="dxa" w:w="1440"/>
            <w:shd w:fill="FAFAFA" w:val="clear"/>
          </w:tcPr>
          <w:p>
            <w:r>
              <w:rPr>
                <w:sz w:val="17"/>
              </w:rPr>
              <w:t>J+2  Moyenne</w:t>
            </w:r>
          </w:p>
        </w:tc>
        <w:tc>
          <w:tcPr>
            <w:tcW w:type="dxa" w:w="1440"/>
            <w:shd w:fill="FAFAFA" w:val="clear"/>
          </w:tcPr>
          <w:p>
            <w:r>
              <w:rPr>
                <w:sz w:val="17"/>
              </w:rPr>
              <w:t>2026-09-03</w:t>
            </w:r>
          </w:p>
        </w:tc>
        <w:tc>
          <w:tcPr>
            <w:tcW w:type="dxa" w:w="1440"/>
            <w:shd w:fill="FAFAFA" w:val="clear"/>
          </w:tcPr>
          <w:p>
            <w:r>
              <w:rPr>
                <w:sz w:val="17"/>
              </w:rPr>
              <w:t>15,617</w:t>
            </w:r>
          </w:p>
        </w:tc>
        <w:tc>
          <w:tcPr>
            <w:tcW w:type="dxa" w:w="1440"/>
            <w:shd w:fill="FAFAFA" w:val="clear"/>
          </w:tcPr>
          <w:p>
            <w:r>
              <w:rPr>
                <w:b/>
                <w:sz w:val="17"/>
              </w:rPr>
              <w:t>16,319</w:t>
            </w:r>
          </w:p>
        </w:tc>
        <w:tc>
          <w:tcPr>
            <w:tcW w:type="dxa" w:w="1440"/>
            <w:shd w:fill="FAFAFA" w:val="clear"/>
          </w:tcPr>
          <w:p>
            <w:r>
              <w:rPr>
                <w:sz w:val="17"/>
              </w:rPr>
              <w:t>17,022</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2026-09-04</w:t>
            </w:r>
          </w:p>
        </w:tc>
        <w:tc>
          <w:tcPr>
            <w:tcW w:type="dxa" w:w="1440"/>
            <w:shd w:fill="FAFAFA" w:val="clear"/>
          </w:tcPr>
          <w:p>
            <w:r>
              <w:rPr>
                <w:sz w:val="17"/>
              </w:rPr>
              <w:t>15,413</w:t>
            </w:r>
          </w:p>
        </w:tc>
        <w:tc>
          <w:tcPr>
            <w:tcW w:type="dxa" w:w="1440"/>
            <w:shd w:fill="FAFAFA" w:val="clear"/>
          </w:tcPr>
          <w:p>
            <w:r>
              <w:rPr>
                <w:b/>
                <w:sz w:val="17"/>
              </w:rPr>
              <w:t>16,271</w:t>
            </w:r>
          </w:p>
        </w:tc>
        <w:tc>
          <w:tcPr>
            <w:tcW w:type="dxa" w:w="1440"/>
            <w:shd w:fill="FAFAFA" w:val="clear"/>
          </w:tcPr>
          <w:p>
            <w:r>
              <w:rPr>
                <w:sz w:val="17"/>
              </w:rPr>
              <w:t>17,129</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2026-09-07</w:t>
            </w:r>
          </w:p>
        </w:tc>
        <w:tc>
          <w:tcPr>
            <w:tcW w:type="dxa" w:w="1440"/>
            <w:shd w:fill="FAFAFA" w:val="clear"/>
          </w:tcPr>
          <w:p>
            <w:r>
              <w:rPr>
                <w:sz w:val="17"/>
              </w:rPr>
              <w:t>15,239</w:t>
            </w:r>
          </w:p>
        </w:tc>
        <w:tc>
          <w:tcPr>
            <w:tcW w:type="dxa" w:w="1440"/>
            <w:shd w:fill="FAFAFA" w:val="clear"/>
          </w:tcPr>
          <w:p>
            <w:r>
              <w:rPr>
                <w:b/>
                <w:sz w:val="17"/>
              </w:rPr>
              <w:t>16,227</w:t>
            </w:r>
          </w:p>
        </w:tc>
        <w:tc>
          <w:tcPr>
            <w:tcW w:type="dxa" w:w="1440"/>
            <w:shd w:fill="FAFAFA" w:val="clear"/>
          </w:tcPr>
          <w:p>
            <w:r>
              <w:rPr>
                <w:sz w:val="17"/>
              </w:rPr>
              <w:t>17,216</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2026-09-08</w:t>
            </w:r>
          </w:p>
        </w:tc>
        <w:tc>
          <w:tcPr>
            <w:tcW w:type="dxa" w:w="1440"/>
            <w:shd w:fill="FAFAFA" w:val="clear"/>
          </w:tcPr>
          <w:p>
            <w:r>
              <w:rPr>
                <w:sz w:val="17"/>
              </w:rPr>
              <w:t>15,083</w:t>
            </w:r>
          </w:p>
        </w:tc>
        <w:tc>
          <w:tcPr>
            <w:tcW w:type="dxa" w:w="1440"/>
            <w:shd w:fill="FAFAFA" w:val="clear"/>
          </w:tcPr>
          <w:p>
            <w:r>
              <w:rPr>
                <w:b/>
                <w:sz w:val="17"/>
              </w:rPr>
              <w:t>16,185</w:t>
            </w:r>
          </w:p>
        </w:tc>
        <w:tc>
          <w:tcPr>
            <w:tcW w:type="dxa" w:w="1440"/>
            <w:shd w:fill="FAFAFA" w:val="clear"/>
          </w:tcPr>
          <w:p>
            <w:r>
              <w:rPr>
                <w:sz w:val="17"/>
              </w:rPr>
              <w:t>17,287</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2026-09-09</w:t>
            </w:r>
          </w:p>
        </w:tc>
        <w:tc>
          <w:tcPr>
            <w:tcW w:type="dxa" w:w="1440"/>
            <w:shd w:fill="FAFAFA" w:val="clear"/>
          </w:tcPr>
          <w:p>
            <w:r>
              <w:rPr>
                <w:sz w:val="17"/>
              </w:rPr>
              <w:t>14,938</w:t>
            </w:r>
          </w:p>
        </w:tc>
        <w:tc>
          <w:tcPr>
            <w:tcW w:type="dxa" w:w="1440"/>
            <w:shd w:fill="FAFAFA" w:val="clear"/>
          </w:tcPr>
          <w:p>
            <w:r>
              <w:rPr>
                <w:b/>
                <w:sz w:val="17"/>
              </w:rPr>
              <w:t>16,142</w:t>
            </w:r>
          </w:p>
        </w:tc>
        <w:tc>
          <w:tcPr>
            <w:tcW w:type="dxa" w:w="1440"/>
            <w:shd w:fill="FAFAFA" w:val="clear"/>
          </w:tcPr>
          <w:p>
            <w:r>
              <w:rPr>
                <w:sz w:val="17"/>
              </w:rPr>
              <w:t>17,346</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2026-09-10</w:t>
            </w:r>
          </w:p>
        </w:tc>
        <w:tc>
          <w:tcPr>
            <w:tcW w:type="dxa" w:w="1440"/>
            <w:shd w:fill="FAFAFA" w:val="clear"/>
          </w:tcPr>
          <w:p>
            <w:r>
              <w:rPr>
                <w:sz w:val="17"/>
              </w:rPr>
              <w:t>14,803</w:t>
            </w:r>
          </w:p>
        </w:tc>
        <w:tc>
          <w:tcPr>
            <w:tcW w:type="dxa" w:w="1440"/>
            <w:shd w:fill="FAFAFA" w:val="clear"/>
          </w:tcPr>
          <w:p>
            <w:r>
              <w:rPr>
                <w:b/>
                <w:sz w:val="17"/>
              </w:rPr>
              <w:t>16,100</w:t>
            </w:r>
          </w:p>
        </w:tc>
        <w:tc>
          <w:tcPr>
            <w:tcW w:type="dxa" w:w="1440"/>
            <w:shd w:fill="FAFAFA" w:val="clear"/>
          </w:tcPr>
          <w:p>
            <w:r>
              <w:rPr>
                <w:sz w:val="17"/>
              </w:rPr>
              <w:t>17,398</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2026-09-11</w:t>
            </w:r>
          </w:p>
        </w:tc>
        <w:tc>
          <w:tcPr>
            <w:tcW w:type="dxa" w:w="1440"/>
            <w:shd w:fill="FAFAFA" w:val="clear"/>
          </w:tcPr>
          <w:p>
            <w:r>
              <w:rPr>
                <w:sz w:val="17"/>
              </w:rPr>
              <w:t>14,676</w:t>
            </w:r>
          </w:p>
        </w:tc>
        <w:tc>
          <w:tcPr>
            <w:tcW w:type="dxa" w:w="1440"/>
            <w:shd w:fill="FAFAFA" w:val="clear"/>
          </w:tcPr>
          <w:p>
            <w:r>
              <w:rPr>
                <w:b/>
                <w:sz w:val="17"/>
              </w:rPr>
              <w:t>16,059</w:t>
            </w:r>
          </w:p>
        </w:tc>
        <w:tc>
          <w:tcPr>
            <w:tcW w:type="dxa" w:w="1440"/>
            <w:shd w:fill="FAFAFA" w:val="clear"/>
          </w:tcPr>
          <w:p>
            <w:r>
              <w:rPr>
                <w:sz w:val="17"/>
              </w:rPr>
              <w:t>17,442</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2026-09-14</w:t>
            </w:r>
          </w:p>
        </w:tc>
        <w:tc>
          <w:tcPr>
            <w:tcW w:type="dxa" w:w="1440"/>
            <w:shd w:fill="FAFAFA" w:val="clear"/>
          </w:tcPr>
          <w:p>
            <w:r>
              <w:rPr>
                <w:sz w:val="17"/>
              </w:rPr>
              <w:t>14,555</w:t>
            </w:r>
          </w:p>
        </w:tc>
        <w:tc>
          <w:tcPr>
            <w:tcW w:type="dxa" w:w="1440"/>
            <w:shd w:fill="FAFAFA" w:val="clear"/>
          </w:tcPr>
          <w:p>
            <w:r>
              <w:rPr>
                <w:b/>
                <w:sz w:val="17"/>
              </w:rPr>
              <w:t>16,018</w:t>
            </w:r>
          </w:p>
        </w:tc>
        <w:tc>
          <w:tcPr>
            <w:tcW w:type="dxa" w:w="1440"/>
            <w:shd w:fill="FAFAFA" w:val="clear"/>
          </w:tcPr>
          <w:p>
            <w:r>
              <w:rPr>
                <w:sz w:val="17"/>
              </w:rPr>
              <w:t>17,481</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2026-09-15</w:t>
            </w:r>
          </w:p>
        </w:tc>
        <w:tc>
          <w:tcPr>
            <w:tcW w:type="dxa" w:w="1440"/>
            <w:shd w:fill="FAFAFA" w:val="clear"/>
          </w:tcPr>
          <w:p>
            <w:r>
              <w:rPr>
                <w:sz w:val="17"/>
              </w:rPr>
              <w:t>14,439</w:t>
            </w:r>
          </w:p>
        </w:tc>
        <w:tc>
          <w:tcPr>
            <w:tcW w:type="dxa" w:w="1440"/>
            <w:shd w:fill="FAFAFA" w:val="clear"/>
          </w:tcPr>
          <w:p>
            <w:r>
              <w:rPr>
                <w:b/>
                <w:sz w:val="17"/>
              </w:rPr>
              <w:t>15,978</w:t>
            </w:r>
          </w:p>
        </w:tc>
        <w:tc>
          <w:tcPr>
            <w:tcW w:type="dxa" w:w="1440"/>
            <w:shd w:fill="FAFAFA" w:val="clear"/>
          </w:tcPr>
          <w:p>
            <w:r>
              <w:rPr>
                <w:sz w:val="17"/>
              </w:rPr>
              <w:t>17,516</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357,54 milliards FCFA, ce qui en fait l'une des plus importantes capitalisations de la BRVM, reflétant la position dominante de Nestlé dans l'industrie agroalimentaire de l'UEMOA. Le BPA de 835 FCFA indique que chaque action a généré un bénéfice substantiel sur l'exercice 2025. Le PER de 19,4x est nettement supérieur à la moyenne historique de la BRVM (8-12x), ce qui signifie que les investisseurs paient une prime significative pour la qualité perçue et la liquidité du titre. Le P/B de 12,08x est particulièrement élevé, traduisant une valorisation très exigeante par rapport aux capitaux propres comptables, bien que cela soit courant pour les entreprises à forte rentabilité. Enfin, l'EV/EBITDA de 9,6x se situe dans une fourchette raisonnable, indiquant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 enregistré une performance remarquable avec une variation totale de +31,71%, passant d'un plus bas de 11 150 FCFA à un plus haut de 17 450 FCFA, avant de clôturer à 16 200 FCFA. La dernière séance montre un recul de -3,28%, suggérant une prise de bénéfices après une forte progression. La moyenne du cours sur la période (14 548 FCFA) est inférieure à la médiane (15 050 FCFA), indiquant une asymétrie positive avec des épisodes de hausse marqués. L'écart-type de 2 037 FCFA (CV=14%) révèle une dispersion modérée des prix autour de la moyenne. Le kurtosis négatif (-1,594) signale une distribution aplatie, avec peu de valeurs extrêmes, tandis que le skewness légèrement négatif (-0,183) suggère une distribution quasi symétrique. La volatilité annualisée de 36,3% classe le titre dans la catégorie des valeurs à forte volatilité, ce qui implique un risque élevé mais aussi un potentiel de rendement important pour les investisseurs actifs.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(16 200 FCFA) se situe en dessous de la MM20 (16 888 FCFA) mais au-dessus de la MM50 (16 345,6 FCFA). Cette configuration indique un récent repli après une tendance haussière soutenue. La décision "Achat" suggère que la tendance de fond reste positive, la MM50 servant de support dynamique. Le croisement potentiel de la MM20 sous la MM50 serait un signal baissier à surveiller.</w:t>
      </w:r>
    </w:p>
    <w:p>
      <w:pPr>
        <w:spacing w:after="120" w:line="276" w:lineRule="auto"/>
      </w:pPr>
      <w:r>
        <w:t>**Bandes de Bollinger :** Le prix évolue près de la borne inférieure (16 059,7 FCFA), après avoir touché la borne supérieure (17 716,3 FCFA) lors du pic récent. Cette position indique une correction en cours dans un canal de volatilité relativement large. La décision "Neutre" est cohérente avec une phase de consolidation après un mouvement haussier significatif.</w:t>
      </w:r>
    </w:p>
    <w:p>
      <w:pPr>
        <w:spacing w:after="120" w:line="276" w:lineRule="auto"/>
      </w:pPr>
      <w:r>
        <w:t>**MACD :** La valeur du MACD (61,1) est nettement inférieure à son signal (210,7), confirmant un momentum baissier à court terme. Cette divergence négative, bien que récente, suggère une perte de vitesse du mouvement haussier. La décision "Vente" est justifiée par cette configuration, mais il faut noter que le MACD reste positif, indiquant que la tendance de fond demeure haussière.</w:t>
      </w:r>
    </w:p>
    <w:p>
      <w:pPr>
        <w:spacing w:after="120" w:line="276" w:lineRule="auto"/>
      </w:pPr>
      <w:r>
        <w:t>**RSI :** À 40,0, le RSI se situe en zone neutre, sans signal de surachat ni de survente. Cette valeur indique que le titre dispose d'une marge de manœuvre avant d'atteindre des zones extrêmes. La décision "Neutre" est appropriée, le marché attendant probablement un catalyseur pour déterminer la prochaine direction.</w:t>
      </w:r>
    </w:p>
    <w:p>
      <w:pPr>
        <w:spacing w:after="120" w:line="276" w:lineRule="auto"/>
      </w:pPr>
      <w:r>
        <w:t>**Stochastique :** Le %K (19,4) est inférieur au %D (24,7), tous deux en zone de survente (&lt;20 pour %K). Cette configuration suggère un potentiel de rebond technique à court terme. La décision "Achat" est justifiée par cette situation de survente, qui pourrait attirer les investisseurs cherchant des points d'entrée.</w:t>
      </w:r>
    </w:p>
    <w:p>
      <w:pPr>
        <w:spacing w:after="120" w:line="276" w:lineRule="auto"/>
      </w:pPr>
      <w:r>
        <w:t>**Conclusion technique :** Les indicateurs sont mitigés, avec un MACD baissier mais un stochastique en survente suggérant un possible rebond. La tendance de fond reste haussière (MM50 au-dessus du cours initial), mais la correction récente nécessite une vigilance. Le titre semble chercher un support solide avant de poursuivre son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en croissance de 5,97% par rapport à 2024 (220,11 milliards FCFA). Le résultat net s'établit à 18,43 milliards FCFA, en légère progression de 1,53% par rapport à 2024 (18,15 milliards FCFA). La marge nette ressort à 7,90%, en léger repli par rapport aux 8,25% de 2024, tandis que le ROE est exceptionnel à 62,28% et le ROA à 9,70%. Le BFR de 22,63 milliards FCFA est positif, indiquant un besoin de financement du cycle d'exploitation, avec un délai clients de 74,3 jours et une durée de stockage de 59,4 jours. L'endettement total représente 135,85% des capitaux propres, un niveau élevé mais gérable compte tenu de la couverture des intérêts à 473,63%. Les rapports trimestriels 2025 montrent une année contrastée : le T1 2025 affichait une baisse de CA de -11% mais une hausse du résultat net de +19%, tandis que le S1 2025 montrait une stagnation du CA et une baisse du résultat net de -23,5%. Cependant, le rapport T1 2026 (publié en mai 2026) révèle une accélération spectaculaire avec un CA en hausse de +31% à 70,82 milliards FCFA et un résultat net en progression de +37% à 7,53 milliards FCFA, soit une marge nette de 10,6%. Sur cette base, on estime que l'exercice 2026 pourrait dépasser 260 milliards FCFA de CA et 22 milliards FCFA de résultat net, avec une marge nette en amélioration. La politique de dividende 2025 a été réduite à 9,27 milliards FCFA (payout de 50,3%), contre 18,10 milliards en 2024 (payout de 99,7%), signalant une stratégie de réinvestissement. La société démontre une solidité financière remarquable avec un ROE parmi les meilleurs de la place, mais fait face à des défis de marges opérationnelles et de coûts des matières premières.</w:t>
      </w:r>
    </w:p>
    <w:p>
      <w:pPr>
        <w:spacing w:after="120" w:line="276" w:lineRule="auto"/>
      </w:pPr>
      <w:r>
        <w:t>---</w:t>
      </w:r>
    </w:p>
    <w:p>
      <w:pPr>
        <w:spacing w:after="120" w:line="276" w:lineRule="auto"/>
      </w:pPr>
      <w:r>
        <w:t>### PARTIE 4 : CONCLUSION D'INVESTISSEMENT</w:t>
      </w:r>
    </w:p>
    <w:p>
      <w:pPr>
        <w:spacing w:after="120" w:line="276" w:lineRule="auto"/>
      </w:pPr>
      <w:r>
        <w:t>La valorisation de NTLC (PER 19,4x, P/B 12,08x) apparaît exigeante par rapport aux standards BRVM, mais se justifie par la qualité exceptionnelle de la rentabilité (ROE &gt;62%) et la position de leader. Le comportement du cours sur 100 jours (+31,71%) démontre une forte dynamique haussière, bien que la volatilité élevée (36,3%) et le récent repli (-3,28%) appellent à la prudence. Les signaux techniques sont mitigés : tendance de fond positive (MM50) mais momentum baissier à court terme (MACD), avec un stochastique en survente suggérant un rebond technique possible. Les fondamentaux sont solides avec une croissance soutenue du CA (+5,97% en 2025) et une accélération spectaculaire au T1 2026 (+31% CA, +37% résultat net), laissant présager une année 2026 exceptionnelle. Les prédictions IA (16 383 à 16 185 FCFA sur 10 jours) suggèrent une stabilisation autour des niveaux actuels avec une légère tendance baissière, confirmant la phase de consolidation technique. La convergence entre la dynamique fondamentale positive et la correction technique offre un point d'entrée potentiellement intéressant. **Recommandation finale : ACHAT** pour les investisseurs à moyen-long terme (6-12 mois), avec un niveau de confiance **Moyen** et un risque global **Moyen-Élevé** compte tenu de la volatilité et de la valorisation exigeante. Les investisseurs à court terme pourraient attendre un signal de retournement technique plus affirmé avant d'entrer.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5,006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+1.75%</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3.02% (Faible) — μ=2,821 FCFA, σ=85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β=0.2909 (Défensif) — Cov=0.000011, Var(idx)=0.000037, ρ=0.092,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2,801</w:t>
            </w:r>
          </w:p>
        </w:tc>
        <w:tc>
          <w:tcPr>
            <w:tcW w:type="dxa" w:w="1440"/>
            <w:shd w:fill="FAFAFA" w:val="clear"/>
          </w:tcPr>
          <w:p>
            <w:r>
              <w:rPr>
                <w:b/>
                <w:sz w:val="17"/>
              </w:rPr>
              <w:t>2,887</w:t>
            </w:r>
          </w:p>
        </w:tc>
        <w:tc>
          <w:tcPr>
            <w:tcW w:type="dxa" w:w="1440"/>
            <w:shd w:fill="FAFAFA" w:val="clear"/>
          </w:tcPr>
          <w:p>
            <w:r>
              <w:rPr>
                <w:sz w:val="17"/>
              </w:rPr>
              <w:t>2,974</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2026-09-03</w:t>
            </w:r>
          </w:p>
        </w:tc>
        <w:tc>
          <w:tcPr>
            <w:tcW w:type="dxa" w:w="1440"/>
            <w:shd w:fill="FAFAFA" w:val="clear"/>
          </w:tcPr>
          <w:p>
            <w:r>
              <w:rPr>
                <w:sz w:val="17"/>
              </w:rPr>
              <w:t>2,761</w:t>
            </w:r>
          </w:p>
        </w:tc>
        <w:tc>
          <w:tcPr>
            <w:tcW w:type="dxa" w:w="1440"/>
            <w:shd w:fill="FAFAFA" w:val="clear"/>
          </w:tcPr>
          <w:p>
            <w:r>
              <w:rPr>
                <w:b/>
                <w:sz w:val="17"/>
              </w:rPr>
              <w:t>2,882</w:t>
            </w:r>
          </w:p>
        </w:tc>
        <w:tc>
          <w:tcPr>
            <w:tcW w:type="dxa" w:w="1440"/>
            <w:shd w:fill="FAFAFA" w:val="clear"/>
          </w:tcPr>
          <w:p>
            <w:r>
              <w:rPr>
                <w:sz w:val="17"/>
              </w:rPr>
              <w:t>3,004</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2026-09-04</w:t>
            </w:r>
          </w:p>
        </w:tc>
        <w:tc>
          <w:tcPr>
            <w:tcW w:type="dxa" w:w="1440"/>
            <w:shd w:fill="FAFAFA" w:val="clear"/>
          </w:tcPr>
          <w:p>
            <w:r>
              <w:rPr>
                <w:sz w:val="17"/>
              </w:rPr>
              <w:t>2,728</w:t>
            </w:r>
          </w:p>
        </w:tc>
        <w:tc>
          <w:tcPr>
            <w:tcW w:type="dxa" w:w="1440"/>
            <w:shd w:fill="FAFAFA" w:val="clear"/>
          </w:tcPr>
          <w:p>
            <w:r>
              <w:rPr>
                <w:b/>
                <w:sz w:val="17"/>
              </w:rPr>
              <w:t>2,877</w:t>
            </w:r>
          </w:p>
        </w:tc>
        <w:tc>
          <w:tcPr>
            <w:tcW w:type="dxa" w:w="1440"/>
            <w:shd w:fill="FAFAFA" w:val="clear"/>
          </w:tcPr>
          <w:p>
            <w:r>
              <w:rPr>
                <w:sz w:val="17"/>
              </w:rPr>
              <w:t>3,026</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2026-09-07</w:t>
            </w:r>
          </w:p>
        </w:tc>
        <w:tc>
          <w:tcPr>
            <w:tcW w:type="dxa" w:w="1440"/>
            <w:shd w:fill="FAFAFA" w:val="clear"/>
          </w:tcPr>
          <w:p>
            <w:r>
              <w:rPr>
                <w:sz w:val="17"/>
              </w:rPr>
              <w:t>2,699</w:t>
            </w:r>
          </w:p>
        </w:tc>
        <w:tc>
          <w:tcPr>
            <w:tcW w:type="dxa" w:w="1440"/>
            <w:shd w:fill="FAFAFA" w:val="clear"/>
          </w:tcPr>
          <w:p>
            <w:r>
              <w:rPr>
                <w:b/>
                <w:sz w:val="17"/>
              </w:rPr>
              <w:t>2,871</w:t>
            </w:r>
          </w:p>
        </w:tc>
        <w:tc>
          <w:tcPr>
            <w:tcW w:type="dxa" w:w="1440"/>
            <w:shd w:fill="FAFAFA" w:val="clear"/>
          </w:tcPr>
          <w:p>
            <w:r>
              <w:rPr>
                <w:sz w:val="17"/>
              </w:rPr>
              <w:t>3,042</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2026-09-08</w:t>
            </w:r>
          </w:p>
        </w:tc>
        <w:tc>
          <w:tcPr>
            <w:tcW w:type="dxa" w:w="1440"/>
            <w:shd w:fill="FAFAFA" w:val="clear"/>
          </w:tcPr>
          <w:p>
            <w:r>
              <w:rPr>
                <w:sz w:val="17"/>
              </w:rPr>
              <w:t>2,674</w:t>
            </w:r>
          </w:p>
        </w:tc>
        <w:tc>
          <w:tcPr>
            <w:tcW w:type="dxa" w:w="1440"/>
            <w:shd w:fill="FAFAFA" w:val="clear"/>
          </w:tcPr>
          <w:p>
            <w:r>
              <w:rPr>
                <w:b/>
                <w:sz w:val="17"/>
              </w:rPr>
              <w:t>2,865</w:t>
            </w:r>
          </w:p>
        </w:tc>
        <w:tc>
          <w:tcPr>
            <w:tcW w:type="dxa" w:w="1440"/>
            <w:shd w:fill="FAFAFA" w:val="clear"/>
          </w:tcPr>
          <w:p>
            <w:r>
              <w:rPr>
                <w:sz w:val="17"/>
              </w:rPr>
              <w:t>3,057</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2026-09-09</w:t>
            </w:r>
          </w:p>
        </w:tc>
        <w:tc>
          <w:tcPr>
            <w:tcW w:type="dxa" w:w="1440"/>
            <w:shd w:fill="FAFAFA" w:val="clear"/>
          </w:tcPr>
          <w:p>
            <w:r>
              <w:rPr>
                <w:sz w:val="17"/>
              </w:rPr>
              <w:t>2,650</w:t>
            </w:r>
          </w:p>
        </w:tc>
        <w:tc>
          <w:tcPr>
            <w:tcW w:type="dxa" w:w="1440"/>
            <w:shd w:fill="FAFAFA" w:val="clear"/>
          </w:tcPr>
          <w:p>
            <w:r>
              <w:rPr>
                <w:b/>
                <w:sz w:val="17"/>
              </w:rPr>
              <w:t>2,859</w:t>
            </w:r>
          </w:p>
        </w:tc>
        <w:tc>
          <w:tcPr>
            <w:tcW w:type="dxa" w:w="1440"/>
            <w:shd w:fill="FAFAFA" w:val="clear"/>
          </w:tcPr>
          <w:p>
            <w:r>
              <w:rPr>
                <w:sz w:val="17"/>
              </w:rPr>
              <w:t>3,069</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2026-09-10</w:t>
            </w:r>
          </w:p>
        </w:tc>
        <w:tc>
          <w:tcPr>
            <w:tcW w:type="dxa" w:w="1440"/>
            <w:shd w:fill="FAFAFA" w:val="clear"/>
          </w:tcPr>
          <w:p>
            <w:r>
              <w:rPr>
                <w:sz w:val="17"/>
              </w:rPr>
              <w:t>2,628</w:t>
            </w:r>
          </w:p>
        </w:tc>
        <w:tc>
          <w:tcPr>
            <w:tcW w:type="dxa" w:w="1440"/>
            <w:shd w:fill="FAFAFA" w:val="clear"/>
          </w:tcPr>
          <w:p>
            <w:r>
              <w:rPr>
                <w:b/>
                <w:sz w:val="17"/>
              </w:rPr>
              <w:t>2,854</w:t>
            </w:r>
          </w:p>
        </w:tc>
        <w:tc>
          <w:tcPr>
            <w:tcW w:type="dxa" w:w="1440"/>
            <w:shd w:fill="FAFAFA" w:val="clear"/>
          </w:tcPr>
          <w:p>
            <w:r>
              <w:rPr>
                <w:sz w:val="17"/>
              </w:rPr>
              <w:t>3,080</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2026-09-11</w:t>
            </w:r>
          </w:p>
        </w:tc>
        <w:tc>
          <w:tcPr>
            <w:tcW w:type="dxa" w:w="1440"/>
            <w:shd w:fill="FAFAFA" w:val="clear"/>
          </w:tcPr>
          <w:p>
            <w:r>
              <w:rPr>
                <w:sz w:val="17"/>
              </w:rPr>
              <w:t>2,607</w:t>
            </w:r>
          </w:p>
        </w:tc>
        <w:tc>
          <w:tcPr>
            <w:tcW w:type="dxa" w:w="1440"/>
            <w:shd w:fill="FAFAFA" w:val="clear"/>
          </w:tcPr>
          <w:p>
            <w:r>
              <w:rPr>
                <w:b/>
                <w:sz w:val="17"/>
              </w:rPr>
              <w:t>2,848</w:t>
            </w:r>
          </w:p>
        </w:tc>
        <w:tc>
          <w:tcPr>
            <w:tcW w:type="dxa" w:w="1440"/>
            <w:shd w:fill="FAFAFA" w:val="clear"/>
          </w:tcPr>
          <w:p>
            <w:r>
              <w:rPr>
                <w:sz w:val="17"/>
              </w:rPr>
              <w:t>3,089</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2026-09-14</w:t>
            </w:r>
          </w:p>
        </w:tc>
        <w:tc>
          <w:tcPr>
            <w:tcW w:type="dxa" w:w="1440"/>
            <w:shd w:fill="FAFAFA" w:val="clear"/>
          </w:tcPr>
          <w:p>
            <w:r>
              <w:rPr>
                <w:sz w:val="17"/>
              </w:rPr>
              <w:t>2,588</w:t>
            </w:r>
          </w:p>
        </w:tc>
        <w:tc>
          <w:tcPr>
            <w:tcW w:type="dxa" w:w="1440"/>
            <w:shd w:fill="FAFAFA" w:val="clear"/>
          </w:tcPr>
          <w:p>
            <w:r>
              <w:rPr>
                <w:b/>
                <w:sz w:val="17"/>
              </w:rPr>
              <w:t>2,843</w:t>
            </w:r>
          </w:p>
        </w:tc>
        <w:tc>
          <w:tcPr>
            <w:tcW w:type="dxa" w:w="1440"/>
            <w:shd w:fill="FAFAFA" w:val="clear"/>
          </w:tcPr>
          <w:p>
            <w:r>
              <w:rPr>
                <w:sz w:val="17"/>
              </w:rPr>
              <w:t>3,098</w:t>
            </w:r>
          </w:p>
        </w:tc>
        <w:tc>
          <w:tcPr>
            <w:tcW w:type="dxa" w:w="1440"/>
            <w:shd w:fill="FAFAFA"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2026-09-15</w:t>
            </w:r>
          </w:p>
        </w:tc>
        <w:tc>
          <w:tcPr>
            <w:tcW w:type="dxa" w:w="1440"/>
            <w:shd w:fill="FFDCE0" w:val="clear"/>
          </w:tcPr>
          <w:p>
            <w:r>
              <w:rPr>
                <w:sz w:val="17"/>
              </w:rPr>
              <w:t>2,569</w:t>
            </w:r>
          </w:p>
        </w:tc>
        <w:tc>
          <w:tcPr>
            <w:tcW w:type="dxa" w:w="1440"/>
            <w:shd w:fill="FFDCE0" w:val="clear"/>
          </w:tcPr>
          <w:p>
            <w:r>
              <w:rPr>
                <w:b/>
                <w:sz w:val="17"/>
              </w:rPr>
              <w:t>2,837</w:t>
            </w:r>
          </w:p>
        </w:tc>
        <w:tc>
          <w:tcPr>
            <w:tcW w:type="dxa" w:w="1440"/>
            <w:shd w:fill="FFDCE0" w:val="clear"/>
          </w:tcPr>
          <w:p>
            <w:r>
              <w:rPr>
                <w:sz w:val="17"/>
              </w:rPr>
              <w:t>3,106</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basé sur l'ensemble des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197,20 milliards FCFA, ce qui en fait l'une des valeurs les plus significatives de la BRVM, lui conférant un poids important dans les indices régionaux. Avec un BPA de 234 FCFA, le titre se négocie à un PER de 12,4x, légèrement au-dessus de la moyenne historique de la place (~8-12x), ce qui suggère que le marché intègre déjà une prime de croissance ou une certaine résilience dans ses bénéfices. Le P/B de 3,43x indique que les investisseurs valorisent l'actif net de la société bien au-delà de sa valeur comptable, signe d'une confiance dans la création de valeur future. Enfin, un EV/EBITDA de 5,2x est particulièrement attractif, car il signale que la valeur totale de l'entreprise (dette incluse) reste raisonnable par rapport à sa capacité opérationnelle de génération de cash (EBITDA). L'ensemble de ces ratios dessine le profil d'une entreprise solide, dont la valorisation, sans être décotée, offre un équilibre entre croissance et rentabilité.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progression modeste de +1,75%, avec une dernière séance en légère hausse de +0,35% à 2 900 FCFA. Le titre a évolué dans un range de trading de 460 FCFA, entre un plus bas de 2 610 FCFA et un plus haut de 3 070 FCFA, démontrant une certaine amplitude de mouvement. La moyenne (2 821 FCFA) et la médiane (2 802 FCFA) sont très proches, indiquant une distribution des prix relativement symétrique, ce que confirme le skewness de 0.212. L'écart-type de 86 FCFA (CV de 3,0%) révèle une dispersion très faible autour de la moyenne, signe d'un cours stable. Le kurtosis négatif (-0.148) suggère l'absence de mouvements extrêmes ou de "pics" de prix, avec une distribution proche de la normale. Cependant, la volatilité annualisée de 30,4% classe le titre dans la catégorie "élevée" (&gt;30%), ce qui nuance la stabilité observée à court terme et indique un risque de fluctuation important sur une base annuelle.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(2 900 FCFA) se situe au-dessus de sa moyenne mobile à 50 jours (MM50 à 2 833,6 FCFA) mais en dessous de sa moyenne mobile à 20 jours (MM20 à 2 905,25 FCFA). Cette configuration, où le prix est sous la MM20 mais au-dessus de la MM50, suggère une consolidation à court terme dans une tendance de fond haussière. Le signal global est un "Achat", car la tendance moyen terme (MM50) reste orientée à la hausse et sert de support dynamique.</w:t>
      </w:r>
    </w:p>
    <w:p>
      <w:pPr>
        <w:spacing w:after="120" w:line="276" w:lineRule="auto"/>
      </w:pPr>
      <w:r>
        <w:t>**Bandes de Bollinger:** Le prix (2 900 FCFA) se négocie confortablement à l'intérieur des bandes, entre la borne supérieure (2 999,7 FCFA) et la borne inférieure (2 810,8 FCFA). La largeur des bandes indique une volatilité modérée. La position du prix, proche de la moyenne de la bande, suggère un équilibre entre acheteurs et vendeurs, justifiant une décision "Neutre". Un mouvement vers l'une des bornes pourrait signaler la prochaine tendance.</w:t>
      </w:r>
    </w:p>
    <w:p>
      <w:pPr>
        <w:spacing w:after="120" w:line="276" w:lineRule="auto"/>
      </w:pPr>
      <w:r>
        <w:t>**MACD:** Le MACD (16,231) est passé sous sa ligne de signal (20,179), ce qui constitue un croisement baissier à court terme. Bien que les deux indicateurs restent en territoire positif, cette configuration signale un ralentissement du momentum haussier. La décision associée est "Vente", indiquant une possible correction ou une phase de consolidation à venir.</w:t>
      </w:r>
    </w:p>
    <w:p>
      <w:pPr>
        <w:spacing w:after="120" w:line="276" w:lineRule="auto"/>
      </w:pPr>
      <w:r>
        <w:t>**RSI:** Avec une valeur de 49,296, le RSI se situe exactement dans la zone neutre (30-70). Il n'y a ni surachat ni survente, ce qui indique que le marché est équilibré et qu'aucune pression directionnelle forte ne se manifeste. La décision est donc "Neutre", laissant place à une évolution dans un sens ou dans l'autre.</w:t>
      </w:r>
    </w:p>
    <w:p>
      <w:pPr>
        <w:spacing w:after="120" w:line="276" w:lineRule="auto"/>
      </w:pPr>
      <w:r>
        <w:t>**Stochastique:** Le %K (68,966) est supérieur au %D (66,667), mais les deux sont proches et évoluent dans la zone haute. Ceci suggère un momentum haussier qui s'essouffle, sans croisement baissier clair pour le moment. La décision est "Neutre", mais la configuration actuelle appelle à la vigilance car une divergence baissière pourrait se former.</w:t>
      </w:r>
    </w:p>
    <w:p>
      <w:pPr>
        <w:spacing w:after="120" w:line="276" w:lineRule="auto"/>
      </w:pPr>
      <w:r>
        <w:t>**Conclusion technique:** Les indicateurs techniques sont mitigés. La tendance de fond (MM50) reste positive, mais les signaux à court terme (MACD, position sous MM20) suggèrent une perte de vitesse. Le RSI et le Stochastique sont neutres, indiquant une absence de direction claire. L'action semble donc dans une phase de consolidation, et il serait prudent d'attendre un signal plus fort, comme un croisement haussier du MACD ou une cassure au-dessus de la MM20, pour confirmer une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bien que classées dans le secteur "Banque" par la base, concernent en réalité l'opérateur télécoms ONATEL-SA. Elles révèlent une santé financière contrastée. En 2025, le chiffre d'affaires a progressé de 3,1% pour atteindre 146,177 Mds FCFA, mais le résultat net a chuté de 26% à 15,887 Mds FCFA. Cette baisse de rentabilité est confirmée par un ROE encore excellent de 27,61%, bien que le ROA ne soit que de 4,89%. L'analyse des rapports narratifs (rapport annuel 2025, analysé en juin 2026) attribue cette dégradation à une hausse des charges opérationnelles, notamment les coûts énergétiques, la maintenance en zones sécuritaires difficiles et des éléments exceptionnels. Le rapport du 1er trimestre 2026 (publié en 2026) montre une légère amélioration avec un CA en hausse de 2,7% à 37,1 Mds FCFA, mais une marge nette toujours sous pression à 9,6%. En se basant sur ce T1 2026, on peut estimer que l'exercice 2026 devrait voir une stabilisation du chiffre d'affaires, mais la capacité de l'entreprise à restaurer ses marges de 2024 (marge nette de 15,1%) reste incertaine. La solidité financière est soutenue par une capacité d'autofinancement (CAF) massive de 46,952 Mds FCFA, mais le free cash-flow est faible (1,556 Md FCFA) en raison d'un lourd programme d'investissements (-45,224 Mds FCFA). Le ratio de solvabilité générale de 121,5% et la couverture des intérêts de 491,5% témoignent d'une structure financière saine, capable de faire face à ses échéances. En conclusion, les fondamentaux de l'ONTBF restent solides, portés par une génération de cash opérationnel importante et une position de leader, mais la pression sur les marges et la hausse de l'endettement pour financer la croissance constituent les principaux défis à surveiller.</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d'investissement contrasté pour ONTBF. La valorisation (Partie 0) est jugée raisonnable, avec un PER de 12,4x et un EV/EBITDA de 5,2x attractif, mais le P/B de 3,43x intègre déjà des attentes de croissance. Le comportement du cours (Partie 1) montre une stabilité à court terme, mais la volatilité annualisée élevée (30,4%) est un signal de prudence. Les signaux techniques (Partie 2) sont neutres à légèrement baissiers à court terme, suggérant une consolidation sans direction claire. Fondamentalement (Partie 3), l'entreprise affiche une croissance de son chiffre d'affaires et une rentabilité (ROE) encore élevée, mais subit une érosion marquée de ses marges, comme en témoigne la baisse de 26% du résultat net en 2025. Les prédictions IA pour les 10 prochains jours (J+1 à J+10) indiquent une légère tendance baissière, avec un cours qui pourrait glisser de 2 887 à 2 865 FCFA, ce qui contredit la stabilité récente et confirme les signaux techniques de faiblesse à court terme. En conclusion, la convergence des signaux (valorisation non décotée, momentum technique négatif, fondamentaux en voie de dégradation, et prédictions baissières) suggère une approche prudente. Nous recommandons donc de **CONSERVER** le titre, avec un niveau de confiance **Moyen**. Le risque global est jugé **Élevé** en raison de la volatilité et des incertitudes sur la restauration des marges. L'horizon d'investissement optimal serait le **moyen terme (3-12 mois)**, afin de laisser le temps à l'entreprise de démontrer sa capacité à inverser la tendance de ses marges, notamment via son programme d'optimisation des coûts.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3239.09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2,495 titres</w:t>
            </w:r>
          </w:p>
        </w:tc>
        <w:tc>
          <w:tcPr>
            <w:tcW w:type="dxa" w:w="2268"/>
            <w:shd w:fill="FFF2CC" w:val="clear"/>
          </w:tcPr>
          <w:p>
            <w:r>
              <w:rPr>
                <w:b/>
                <w:color w:val="503200"/>
                <w:sz w:val="16"/>
              </w:rPr>
              <w:t xml:space="preserve">Cours actuel : </w:t>
            </w:r>
            <w:r>
              <w:rPr>
                <w:color w:val="000000"/>
                <w:sz w:val="17"/>
              </w:rPr>
              <w:t>21,500 FCFA</w:t>
            </w:r>
          </w:p>
          <w:p>
            <w:r>
              <w:rPr>
                <w:b/>
                <w:color w:val="503200"/>
                <w:sz w:val="16"/>
              </w:rPr>
              <w:t xml:space="preserve">Var. 100 jours : </w:t>
            </w:r>
            <w:r>
              <w:rPr>
                <w:b/>
                <w:color w:val="007800"/>
                <w:sz w:val="17"/>
              </w:rPr>
              <w:t>+41.45%</w:t>
            </w:r>
          </w:p>
          <w:p>
            <w:r>
              <w:rPr>
                <w:b/>
                <w:color w:val="503200"/>
                <w:sz w:val="16"/>
              </w:rPr>
              <w:t xml:space="preserve">Plus haut 100j : </w:t>
            </w:r>
            <w:r>
              <w:rPr>
                <w:color w:val="000000"/>
                <w:sz w:val="17"/>
              </w:rPr>
              <w:t>21,500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9.96% (Moyenne) — μ=16,447 FCFA, σ=1,638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β=1.2685 (Agressif) — Cov=0.000046, Var(idx)=0.000037, ρ=0.419,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598627"/>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20,267</w:t>
            </w:r>
          </w:p>
        </w:tc>
        <w:tc>
          <w:tcPr>
            <w:tcW w:type="dxa" w:w="1440"/>
            <w:shd w:fill="FFDCE0" w:val="clear"/>
          </w:tcPr>
          <w:p>
            <w:r>
              <w:rPr>
                <w:b/>
                <w:sz w:val="17"/>
              </w:rPr>
              <w:t>20,816</w:t>
            </w:r>
          </w:p>
        </w:tc>
        <w:tc>
          <w:tcPr>
            <w:tcW w:type="dxa" w:w="1440"/>
            <w:shd w:fill="FFDCE0" w:val="clear"/>
          </w:tcPr>
          <w:p>
            <w:r>
              <w:rPr>
                <w:sz w:val="17"/>
              </w:rPr>
              <w:t>21,364</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19,940</w:t>
            </w:r>
          </w:p>
        </w:tc>
        <w:tc>
          <w:tcPr>
            <w:tcW w:type="dxa" w:w="1440"/>
            <w:shd w:fill="FFDCE0" w:val="clear"/>
          </w:tcPr>
          <w:p>
            <w:r>
              <w:rPr>
                <w:b/>
                <w:sz w:val="17"/>
              </w:rPr>
              <w:t>20,711</w:t>
            </w:r>
          </w:p>
        </w:tc>
        <w:tc>
          <w:tcPr>
            <w:tcW w:type="dxa" w:w="1440"/>
            <w:shd w:fill="FFDCE0" w:val="clear"/>
          </w:tcPr>
          <w:p>
            <w:r>
              <w:rPr>
                <w:sz w:val="17"/>
              </w:rPr>
              <w:t>21,482</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19,631</w:t>
            </w:r>
          </w:p>
        </w:tc>
        <w:tc>
          <w:tcPr>
            <w:tcW w:type="dxa" w:w="1440"/>
            <w:shd w:fill="FFDCE0" w:val="clear"/>
          </w:tcPr>
          <w:p>
            <w:r>
              <w:rPr>
                <w:b/>
                <w:sz w:val="17"/>
              </w:rPr>
              <w:t>20,569</w:t>
            </w:r>
          </w:p>
        </w:tc>
        <w:tc>
          <w:tcPr>
            <w:tcW w:type="dxa" w:w="1440"/>
            <w:shd w:fill="FFDCE0" w:val="clear"/>
          </w:tcPr>
          <w:p>
            <w:r>
              <w:rPr>
                <w:sz w:val="17"/>
              </w:rPr>
              <w:t>21,507</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19,351</w:t>
            </w:r>
          </w:p>
        </w:tc>
        <w:tc>
          <w:tcPr>
            <w:tcW w:type="dxa" w:w="1440"/>
            <w:shd w:fill="FFDCE0" w:val="clear"/>
          </w:tcPr>
          <w:p>
            <w:r>
              <w:rPr>
                <w:b/>
                <w:sz w:val="17"/>
              </w:rPr>
              <w:t>20,427</w:t>
            </w:r>
          </w:p>
        </w:tc>
        <w:tc>
          <w:tcPr>
            <w:tcW w:type="dxa" w:w="1440"/>
            <w:shd w:fill="FFDCE0" w:val="clear"/>
          </w:tcPr>
          <w:p>
            <w:r>
              <w:rPr>
                <w:sz w:val="17"/>
              </w:rPr>
              <w:t>21,503</w:t>
            </w:r>
          </w:p>
        </w:tc>
        <w:tc>
          <w:tcPr>
            <w:tcW w:type="dxa" w:w="1440"/>
            <w:shd w:fill="FFDCE0" w:val="clear"/>
          </w:tcPr>
          <w:p>
            <w:r>
              <w:rPr>
                <w:b/>
                <w:color w:val="C00000"/>
                <w:sz w:val="17"/>
              </w:rPr>
              <w:t>-5.0%</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19,095</w:t>
            </w:r>
          </w:p>
        </w:tc>
        <w:tc>
          <w:tcPr>
            <w:tcW w:type="dxa" w:w="1440"/>
            <w:shd w:fill="FFDCE0" w:val="clear"/>
          </w:tcPr>
          <w:p>
            <w:r>
              <w:rPr>
                <w:b/>
                <w:sz w:val="17"/>
              </w:rPr>
              <w:t>20,290</w:t>
            </w:r>
          </w:p>
        </w:tc>
        <w:tc>
          <w:tcPr>
            <w:tcW w:type="dxa" w:w="1440"/>
            <w:shd w:fill="FFDCE0" w:val="clear"/>
          </w:tcPr>
          <w:p>
            <w:r>
              <w:rPr>
                <w:sz w:val="17"/>
              </w:rPr>
              <w:t>21,484</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18,857</w:t>
            </w:r>
          </w:p>
        </w:tc>
        <w:tc>
          <w:tcPr>
            <w:tcW w:type="dxa" w:w="1440"/>
            <w:shd w:fill="FFDCE0" w:val="clear"/>
          </w:tcPr>
          <w:p>
            <w:r>
              <w:rPr>
                <w:b/>
                <w:sz w:val="17"/>
              </w:rPr>
              <w:t>20,158</w:t>
            </w:r>
          </w:p>
        </w:tc>
        <w:tc>
          <w:tcPr>
            <w:tcW w:type="dxa" w:w="1440"/>
            <w:shd w:fill="FFDCE0" w:val="clear"/>
          </w:tcPr>
          <w:p>
            <w:r>
              <w:rPr>
                <w:sz w:val="17"/>
              </w:rPr>
              <w:t>21,458</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18,635</w:t>
            </w:r>
          </w:p>
        </w:tc>
        <w:tc>
          <w:tcPr>
            <w:tcW w:type="dxa" w:w="1440"/>
            <w:shd w:fill="FFDCE0" w:val="clear"/>
          </w:tcPr>
          <w:p>
            <w:r>
              <w:rPr>
                <w:b/>
                <w:sz w:val="17"/>
              </w:rPr>
              <w:t>20,031</w:t>
            </w:r>
          </w:p>
        </w:tc>
        <w:tc>
          <w:tcPr>
            <w:tcW w:type="dxa" w:w="1440"/>
            <w:shd w:fill="FFDCE0" w:val="clear"/>
          </w:tcPr>
          <w:p>
            <w:r>
              <w:rPr>
                <w:sz w:val="17"/>
              </w:rPr>
              <w:t>21,426</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18,425</w:t>
            </w:r>
          </w:p>
        </w:tc>
        <w:tc>
          <w:tcPr>
            <w:tcW w:type="dxa" w:w="1440"/>
            <w:shd w:fill="FFDCE0" w:val="clear"/>
          </w:tcPr>
          <w:p>
            <w:r>
              <w:rPr>
                <w:b/>
                <w:sz w:val="17"/>
              </w:rPr>
              <w:t>19,908</w:t>
            </w:r>
          </w:p>
        </w:tc>
        <w:tc>
          <w:tcPr>
            <w:tcW w:type="dxa" w:w="1440"/>
            <w:shd w:fill="FFDCE0" w:val="clear"/>
          </w:tcPr>
          <w:p>
            <w:r>
              <w:rPr>
                <w:sz w:val="17"/>
              </w:rPr>
              <w:t>21,391</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18,227</w:t>
            </w:r>
          </w:p>
        </w:tc>
        <w:tc>
          <w:tcPr>
            <w:tcW w:type="dxa" w:w="1440"/>
            <w:shd w:fill="FFDCE0" w:val="clear"/>
          </w:tcPr>
          <w:p>
            <w:r>
              <w:rPr>
                <w:b/>
                <w:sz w:val="17"/>
              </w:rPr>
              <w:t>19,791</w:t>
            </w:r>
          </w:p>
        </w:tc>
        <w:tc>
          <w:tcPr>
            <w:tcW w:type="dxa" w:w="1440"/>
            <w:shd w:fill="FFDCE0" w:val="clear"/>
          </w:tcPr>
          <w:p>
            <w:r>
              <w:rPr>
                <w:sz w:val="17"/>
              </w:rPr>
              <w:t>21,354</w:t>
            </w:r>
          </w:p>
        </w:tc>
        <w:tc>
          <w:tcPr>
            <w:tcW w:type="dxa" w:w="1440"/>
            <w:shd w:fill="FFDCE0" w:val="clear"/>
          </w:tcPr>
          <w:p>
            <w:r>
              <w:rPr>
                <w:b/>
                <w:color w:val="C00000"/>
                <w:sz w:val="17"/>
              </w:rPr>
              <w:t>-8.0%</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18,038</w:t>
            </w:r>
          </w:p>
        </w:tc>
        <w:tc>
          <w:tcPr>
            <w:tcW w:type="dxa" w:w="1440"/>
            <w:shd w:fill="FFDCE0" w:val="clear"/>
          </w:tcPr>
          <w:p>
            <w:r>
              <w:rPr>
                <w:b/>
                <w:sz w:val="17"/>
              </w:rPr>
              <w:t>19,677</w:t>
            </w:r>
          </w:p>
        </w:tc>
        <w:tc>
          <w:tcPr>
            <w:tcW w:type="dxa" w:w="1440"/>
            <w:shd w:fill="FFDCE0" w:val="clear"/>
          </w:tcPr>
          <w:p>
            <w:r>
              <w:rPr>
                <w:sz w:val="17"/>
              </w:rPr>
              <w:t>21,315</w:t>
            </w:r>
          </w:p>
        </w:tc>
        <w:tc>
          <w:tcPr>
            <w:tcW w:type="dxa" w:w="1440"/>
            <w:shd w:fill="FFDCE0" w:val="clear"/>
          </w:tcPr>
          <w:p>
            <w:r>
              <w:rPr>
                <w:b/>
                <w:color w:val="C00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ORAC (ORANGE CÔTE D'IVOIRE)**</w:t>
        <w:br/>
        <w:t>**Date de l'analyse : 1er septembre 2026**</w:t>
        <w:br/>
        <w:t>**Cours actuel : 21 500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d'ORAC s'établit à 3 239,09 milliards FCFA, ce qui en fait l'une des toutes premières capitalisations de la BRVM, représentant une part significative de la richesse totale du marché. Avec un BPA de 1 114 FCFA, le titre se négocie à un PER de 19,3x, nettement supérieur à la moyenne historique de la BRVM (8-12x), indiquant que les investisseurs paient une prime substantielle pour la croissance et la solidité de l'entreprise. Le P/B de 4,58x confirme cette valorisation exigeante, le marché valorisant fortement les actifs et la marque de l'opérateur. Enfin, un EV/EBITDA de 7,7x, dans une fourchette raisonnable (5-10x), tempère cette lecture en montrant que la valeur totale de l'entreprise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connu une progression spectaculaire de +41,45%, avec une dernière séance en hausse de +2,36%, démontrant une dynamique haussière extrêmement forte. Le cours a évolué dans une fourchette large, allant d'un plus bas de 14 650 FCFA à un plus haut historique de 21 500 FCFA, soit une amplitude de près de 47%. La moyenne (16 447 FCFA) étant supérieure à la médiane (16 000 FCFA) et au mode, la distribution des prix est asymétrique, ce qui est confirmé par un skewness de 1,731 (asymétrie positive). L'écart-type de 1 647 FCFA (CV=10%) indique une dispersion modérée, mais le kurtosis de 2,545 (leptokurtique) signale un risque de mouvements extrêmes et de pics de volatilité. La volatilité annualisée de 29,1% classe le titre dans la catégorie "élevée", reflétant un risque de marché important,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(21 500 FCFA) se situe très nettement au-dessus de la MM20 (19 051,75 FCFA) et de la MM50 (17 487,7 FCFA), qui sont en configuration haussière. Cette dynamique positive et l'écart important entre le prix et les moyennes confirment la force de la tendance, justifiant un signal d'**Achat**.</w:t>
      </w:r>
    </w:p>
    <w:p>
      <w:pPr>
        <w:spacing w:after="120" w:line="276" w:lineRule="auto"/>
      </w:pPr>
      <w:r>
        <w:t>**Bandes de Bollinger** : Le prix évolue près de la borne supérieure (22 675,13 FCFA), indiquant une pression acheteuse soutenue. La largeur des bandes reflète une volatilité accrue. Le signal est **Neutre**, car un tel positionnement peut précéder une poursuite de la hausse ou une consolidation technique.</w:t>
      </w:r>
    </w:p>
    <w:p>
      <w:pPr>
        <w:spacing w:after="120" w:line="276" w:lineRule="auto"/>
      </w:pPr>
      <w:r>
        <w:t>**MACD** : La valeur du MACD (1 244,47) est nettement supérieure à sa ligne de signal (1 027,40), confirmant un momentum haussier robuste. La divergence positive entre les deux lignes indique que la dynamique d'achat s'accélère, ce qui justifie la décision d'**Achat**.</w:t>
      </w:r>
    </w:p>
    <w:p>
      <w:pPr>
        <w:spacing w:after="120" w:line="276" w:lineRule="auto"/>
      </w:pPr>
      <w:r>
        <w:t>**RSI** : Le RSI est à 86,78, une zone de **surachat extrême** (au-delà de 70). Ce niveau signale que le titre est techniquement surévalué à court terme et qu'un repli ou une consolidation est probable. La décision associée est donc **Vente**.</w:t>
      </w:r>
    </w:p>
    <w:p>
      <w:pPr>
        <w:spacing w:after="120" w:line="276" w:lineRule="auto"/>
      </w:pPr>
      <w:r>
        <w:t>**Stochastique** : Le %K (100,0) et le %D (96,97) sont tous deux en zone de surachat très profonde. Ce niveau extrême indique que le mouvement haussier est arrivé à un point de tension maximal, rendant le titre vulnérable à un retournement. La décision est **Vente**.</w:t>
      </w:r>
    </w:p>
    <w:p>
      <w:pPr>
        <w:spacing w:after="120" w:line="276" w:lineRule="auto"/>
      </w:pPr>
      <w:r>
        <w:t>**Conclusion technique** : Les indicateurs de tendance (MM, MACD) sont fortement haussiers et confirment la dynamique positive de fond. Cependant, les oscillateurs de momentum (RSI, Stochastique) sont en zone de surachat extrême, signalant un risque élevé de correction à court terme. La prudence est donc de mise, et un repli technique serait sain avant une éventuelle poursuite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ORAC a réalisé un chiffre d'affaires de 1 197,1 milliards FCFA, en croissance de +10,4% par rapport à 2024 (1 084,1 milliards FCFA). Le résultat net consolidé s'établit à 167,8 milliards FCFA, en hausse de +6,1%, tandis que le résultat net part du groupe progresse de +14,5% à 129,1 milliards FCFA. La rentabilité reste excellente avec un ROE de 23,7% et un ROA de 6,6%. La marge opérationnelle est saine à 24,0%. Le BFR est négatif (-198 milliards FCFA), ce qui est favorable et témoigne d'une gestion efficace du cycle d'exploitation, avec un délai fournisseurs (210,9 jours) très supérieur au délai clients (52,3 jours). Le rapport annuel 2025 (publié en avril 2026) confirme ces chiffres et propose un dividende de 800 FCFA par action. Les rapports trimestriels de 2025 montrent une pression sur la rentabilité (résultat net en stagnation au S1 et T3), mais le rapport du T1 2026 (publié en mai 2026) fait état d'un rebond spectaculaire avec une croissance du CA de +14,8% et du résultat net de +25,2% à 48,3 milliards FCFA. Sur cette base, on estime que l'exercice 2026 pourrait voir une accélération de la croissance des bénéfices, potentiellement supérieure à 10%, portée par la fibre, la data et Orange Money. La solidité financière, la croissance retrouvée et la politique de dividende soutiennent une recommandation fondamentale positive, malgré un contexte de pression fiscale et concurrentielle.</w:t>
      </w:r>
    </w:p>
    <w:p>
      <w:pPr>
        <w:spacing w:after="120" w:line="276" w:lineRule="auto"/>
      </w:pPr>
      <w:r>
        <w:t>---</w:t>
      </w:r>
    </w:p>
    <w:p>
      <w:pPr>
        <w:spacing w:after="120" w:line="276" w:lineRule="auto"/>
      </w:pPr>
      <w:r>
        <w:t>### PARTIE 4 : CONCLUSION D'INVESTISSEMENT</w:t>
      </w:r>
    </w:p>
    <w:p>
      <w:pPr>
        <w:spacing w:after="120" w:line="276" w:lineRule="auto"/>
      </w:pPr>
      <w:r>
        <w:t>La valorisation d'ORAC est exigeante (PER 19,3x, P/B 4,58x) mais justifiée par une croissance solide et une rentabilité supérieure à la moyenne du marché. Le comportement du cours sur 100 jours (+41,45%) est extrêmement haussier, mais les statistiques (kurtosis élevé) et la volatilité (29,1%) indiquent un risque de retournement. Les signaux techniques sont mitigés : la tendance de fond (MM, MACD) est haussière, mais les indicateurs de surachat (RSI à 86,8, Stochastique à 100) suggèrent une correction imminente. Les fondamentaux sont robustes, avec une croissance à deux chiffres du CA et une rentabilité en amélioration, confirmée par les excellents résultats du T1 2026. Les prédictions IA pour les 10 prochains jours (baisse de 21 500 à 20 290 FCFA) confirment ce scénario de consolidation technique. En synthèse, la convergence entre le surachat technique et la prédiction IA suggère un repli à court terme, mais la solidité fondamentale et la tendance de fond plaident pour une poursuite de la hausse à moyen terme. **Recommandation finale : CONSERVER**, avec un niveau de confiance **Moyen** et un risque global **Élevé**. L'horizon d'investissement optimal est le **moyen terme (3-12 mois)**, en attendant un point d'entrée plus favorable après une correction technique.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221.09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5,563 titres</w:t>
            </w:r>
          </w:p>
        </w:tc>
        <w:tc>
          <w:tcPr>
            <w:tcW w:type="dxa" w:w="2268"/>
            <w:shd w:fill="FFF2CC" w:val="clear"/>
          </w:tcPr>
          <w:p>
            <w:r>
              <w:rPr>
                <w:b/>
                <w:color w:val="503200"/>
                <w:sz w:val="16"/>
              </w:rPr>
              <w:t xml:space="preserve">Cours actuel : </w:t>
            </w:r>
            <w:r>
              <w:rPr>
                <w:color w:val="000000"/>
                <w:sz w:val="17"/>
              </w:rPr>
              <w:t>3,185 FCFA</w:t>
            </w:r>
          </w:p>
          <w:p>
            <w:r>
              <w:rPr>
                <w:b/>
                <w:color w:val="503200"/>
                <w:sz w:val="16"/>
              </w:rPr>
              <w:t xml:space="preserve">Var. 100 jours : </w:t>
            </w:r>
            <w:r>
              <w:rPr>
                <w:b/>
                <w:color w:val="B40000"/>
                <w:sz w:val="17"/>
              </w:rPr>
              <w:t>-12.74%</w:t>
            </w:r>
          </w:p>
          <w:p>
            <w:r>
              <w:rPr>
                <w:b/>
                <w:color w:val="503200"/>
                <w:sz w:val="16"/>
              </w:rPr>
              <w:t xml:space="preserve">Plus haut 100j : </w:t>
            </w:r>
            <w:r>
              <w:rPr>
                <w:color w:val="000000"/>
                <w:sz w:val="17"/>
              </w:rPr>
              <w:t>3,650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10.40% (Moyenne) — μ=2,931 FCFA, σ=305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β=0.3469 (Défensif) — Cov=0.000013, Var(idx)=0.000037, ρ=0.076,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3,071</w:t>
            </w:r>
          </w:p>
        </w:tc>
        <w:tc>
          <w:tcPr>
            <w:tcW w:type="dxa" w:w="1440"/>
            <w:shd w:fill="FAFAFA" w:val="clear"/>
          </w:tcPr>
          <w:p>
            <w:r>
              <w:rPr>
                <w:b/>
                <w:sz w:val="17"/>
              </w:rPr>
              <w:t>3,166</w:t>
            </w:r>
          </w:p>
        </w:tc>
        <w:tc>
          <w:tcPr>
            <w:tcW w:type="dxa" w:w="1440"/>
            <w:shd w:fill="FAFAFA" w:val="clear"/>
          </w:tcPr>
          <w:p>
            <w:r>
              <w:rPr>
                <w:sz w:val="17"/>
              </w:rPr>
              <w:t>3,261</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2026-09-03</w:t>
            </w:r>
          </w:p>
        </w:tc>
        <w:tc>
          <w:tcPr>
            <w:tcW w:type="dxa" w:w="1440"/>
            <w:shd w:fill="FAFAFA" w:val="clear"/>
          </w:tcPr>
          <w:p>
            <w:r>
              <w:rPr>
                <w:sz w:val="17"/>
              </w:rPr>
              <w:t>3,029</w:t>
            </w:r>
          </w:p>
        </w:tc>
        <w:tc>
          <w:tcPr>
            <w:tcW w:type="dxa" w:w="1440"/>
            <w:shd w:fill="FAFAFA" w:val="clear"/>
          </w:tcPr>
          <w:p>
            <w:r>
              <w:rPr>
                <w:b/>
                <w:sz w:val="17"/>
              </w:rPr>
              <w:t>3,163</w:t>
            </w:r>
          </w:p>
        </w:tc>
        <w:tc>
          <w:tcPr>
            <w:tcW w:type="dxa" w:w="1440"/>
            <w:shd w:fill="FAFAFA" w:val="clear"/>
          </w:tcPr>
          <w:p>
            <w:r>
              <w:rPr>
                <w:sz w:val="17"/>
              </w:rPr>
              <w:t>3,297</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2026-09-04</w:t>
            </w:r>
          </w:p>
        </w:tc>
        <w:tc>
          <w:tcPr>
            <w:tcW w:type="dxa" w:w="1440"/>
            <w:shd w:fill="FAFAFA" w:val="clear"/>
          </w:tcPr>
          <w:p>
            <w:r>
              <w:rPr>
                <w:sz w:val="17"/>
              </w:rPr>
              <w:t>2,995</w:t>
            </w:r>
          </w:p>
        </w:tc>
        <w:tc>
          <w:tcPr>
            <w:tcW w:type="dxa" w:w="1440"/>
            <w:shd w:fill="FAFAFA" w:val="clear"/>
          </w:tcPr>
          <w:p>
            <w:r>
              <w:rPr>
                <w:b/>
                <w:sz w:val="17"/>
              </w:rPr>
              <w:t>3,159</w:t>
            </w:r>
          </w:p>
        </w:tc>
        <w:tc>
          <w:tcPr>
            <w:tcW w:type="dxa" w:w="1440"/>
            <w:shd w:fill="FAFAFA" w:val="clear"/>
          </w:tcPr>
          <w:p>
            <w:r>
              <w:rPr>
                <w:sz w:val="17"/>
              </w:rPr>
              <w:t>3,324</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2026-09-07</w:t>
            </w:r>
          </w:p>
        </w:tc>
        <w:tc>
          <w:tcPr>
            <w:tcW w:type="dxa" w:w="1440"/>
            <w:shd w:fill="FAFAFA" w:val="clear"/>
          </w:tcPr>
          <w:p>
            <w:r>
              <w:rPr>
                <w:sz w:val="17"/>
              </w:rPr>
              <w:t>2,967</w:t>
            </w:r>
          </w:p>
        </w:tc>
        <w:tc>
          <w:tcPr>
            <w:tcW w:type="dxa" w:w="1440"/>
            <w:shd w:fill="FAFAFA" w:val="clear"/>
          </w:tcPr>
          <w:p>
            <w:r>
              <w:rPr>
                <w:b/>
                <w:sz w:val="17"/>
              </w:rPr>
              <w:t>3,156</w:t>
            </w:r>
          </w:p>
        </w:tc>
        <w:tc>
          <w:tcPr>
            <w:tcW w:type="dxa" w:w="1440"/>
            <w:shd w:fill="FAFAFA" w:val="clear"/>
          </w:tcPr>
          <w:p>
            <w:r>
              <w:rPr>
                <w:sz w:val="17"/>
              </w:rPr>
              <w:t>3,346</w:t>
            </w:r>
          </w:p>
        </w:tc>
        <w:tc>
          <w:tcPr>
            <w:tcW w:type="dxa" w:w="1440"/>
            <w:shd w:fill="FAFAFA" w:val="clear"/>
          </w:tcPr>
          <w:p>
            <w:r>
              <w:rPr>
                <w:b/>
                <w:color w:val="C00000"/>
                <w:sz w:val="17"/>
              </w:rPr>
              <w:t>-0.9%</w:t>
            </w:r>
          </w:p>
        </w:tc>
      </w:tr>
      <w:tr>
        <w:tc>
          <w:tcPr>
            <w:tcW w:type="dxa" w:w="1440"/>
            <w:shd w:fill="FAFAFA" w:val="clear"/>
          </w:tcPr>
          <w:p>
            <w:r>
              <w:rPr>
                <w:sz w:val="17"/>
              </w:rPr>
              <w:t>J+5  Moyenne</w:t>
            </w:r>
          </w:p>
        </w:tc>
        <w:tc>
          <w:tcPr>
            <w:tcW w:type="dxa" w:w="1440"/>
            <w:shd w:fill="FAFAFA" w:val="clear"/>
          </w:tcPr>
          <w:p>
            <w:r>
              <w:rPr>
                <w:sz w:val="17"/>
              </w:rPr>
              <w:t>2026-09-08</w:t>
            </w:r>
          </w:p>
        </w:tc>
        <w:tc>
          <w:tcPr>
            <w:tcW w:type="dxa" w:w="1440"/>
            <w:shd w:fill="FAFAFA" w:val="clear"/>
          </w:tcPr>
          <w:p>
            <w:r>
              <w:rPr>
                <w:sz w:val="17"/>
              </w:rPr>
              <w:t>2,942</w:t>
            </w:r>
          </w:p>
        </w:tc>
        <w:tc>
          <w:tcPr>
            <w:tcW w:type="dxa" w:w="1440"/>
            <w:shd w:fill="FAFAFA" w:val="clear"/>
          </w:tcPr>
          <w:p>
            <w:r>
              <w:rPr>
                <w:b/>
                <w:sz w:val="17"/>
              </w:rPr>
              <w:t>3,153</w:t>
            </w:r>
          </w:p>
        </w:tc>
        <w:tc>
          <w:tcPr>
            <w:tcW w:type="dxa" w:w="1440"/>
            <w:shd w:fill="FAFAFA" w:val="clear"/>
          </w:tcPr>
          <w:p>
            <w:r>
              <w:rPr>
                <w:sz w:val="17"/>
              </w:rPr>
              <w:t>3,365</w:t>
            </w:r>
          </w:p>
        </w:tc>
        <w:tc>
          <w:tcPr>
            <w:tcW w:type="dxa" w:w="1440"/>
            <w:shd w:fill="FAFAFA" w:val="clear"/>
          </w:tcPr>
          <w:p>
            <w:r>
              <w:rPr>
                <w:b/>
                <w:color w:val="C00000"/>
                <w:sz w:val="17"/>
              </w:rPr>
              <w:t>-1.0%</w:t>
            </w:r>
          </w:p>
        </w:tc>
      </w:tr>
      <w:tr>
        <w:tc>
          <w:tcPr>
            <w:tcW w:type="dxa" w:w="1440"/>
            <w:shd w:fill="FAFAFA" w:val="clear"/>
          </w:tcPr>
          <w:p>
            <w:r>
              <w:rPr>
                <w:sz w:val="17"/>
              </w:rPr>
              <w:t>J+6  Moyenne</w:t>
            </w:r>
          </w:p>
        </w:tc>
        <w:tc>
          <w:tcPr>
            <w:tcW w:type="dxa" w:w="1440"/>
            <w:shd w:fill="FAFAFA" w:val="clear"/>
          </w:tcPr>
          <w:p>
            <w:r>
              <w:rPr>
                <w:sz w:val="17"/>
              </w:rPr>
              <w:t>2026-09-09</w:t>
            </w:r>
          </w:p>
        </w:tc>
        <w:tc>
          <w:tcPr>
            <w:tcW w:type="dxa" w:w="1440"/>
            <w:shd w:fill="FAFAFA" w:val="clear"/>
          </w:tcPr>
          <w:p>
            <w:r>
              <w:rPr>
                <w:sz w:val="17"/>
              </w:rPr>
              <w:t>2,919</w:t>
            </w:r>
          </w:p>
        </w:tc>
        <w:tc>
          <w:tcPr>
            <w:tcW w:type="dxa" w:w="1440"/>
            <w:shd w:fill="FAFAFA" w:val="clear"/>
          </w:tcPr>
          <w:p>
            <w:r>
              <w:rPr>
                <w:b/>
                <w:sz w:val="17"/>
              </w:rPr>
              <w:t>3,150</w:t>
            </w:r>
          </w:p>
        </w:tc>
        <w:tc>
          <w:tcPr>
            <w:tcW w:type="dxa" w:w="1440"/>
            <w:shd w:fill="FAFAFA" w:val="clear"/>
          </w:tcPr>
          <w:p>
            <w:r>
              <w:rPr>
                <w:sz w:val="17"/>
              </w:rPr>
              <w:t>3,382</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2026-09-10</w:t>
            </w:r>
          </w:p>
        </w:tc>
        <w:tc>
          <w:tcPr>
            <w:tcW w:type="dxa" w:w="1440"/>
            <w:shd w:fill="FAFAFA" w:val="clear"/>
          </w:tcPr>
          <w:p>
            <w:r>
              <w:rPr>
                <w:sz w:val="17"/>
              </w:rPr>
              <w:t>2,897</w:t>
            </w:r>
          </w:p>
        </w:tc>
        <w:tc>
          <w:tcPr>
            <w:tcW w:type="dxa" w:w="1440"/>
            <w:shd w:fill="FAFAFA" w:val="clear"/>
          </w:tcPr>
          <w:p>
            <w:r>
              <w:rPr>
                <w:b/>
                <w:sz w:val="17"/>
              </w:rPr>
              <w:t>3,147</w:t>
            </w:r>
          </w:p>
        </w:tc>
        <w:tc>
          <w:tcPr>
            <w:tcW w:type="dxa" w:w="1440"/>
            <w:shd w:fill="FAFAFA" w:val="clear"/>
          </w:tcPr>
          <w:p>
            <w:r>
              <w:rPr>
                <w:sz w:val="17"/>
              </w:rPr>
              <w:t>3,397</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2026-09-11</w:t>
            </w:r>
          </w:p>
        </w:tc>
        <w:tc>
          <w:tcPr>
            <w:tcW w:type="dxa" w:w="1440"/>
            <w:shd w:fill="FAFAFA" w:val="clear"/>
          </w:tcPr>
          <w:p>
            <w:r>
              <w:rPr>
                <w:sz w:val="17"/>
              </w:rPr>
              <w:t>2,878</w:t>
            </w:r>
          </w:p>
        </w:tc>
        <w:tc>
          <w:tcPr>
            <w:tcW w:type="dxa" w:w="1440"/>
            <w:shd w:fill="FAFAFA" w:val="clear"/>
          </w:tcPr>
          <w:p>
            <w:r>
              <w:rPr>
                <w:b/>
                <w:sz w:val="17"/>
              </w:rPr>
              <w:t>3,145</w:t>
            </w:r>
          </w:p>
        </w:tc>
        <w:tc>
          <w:tcPr>
            <w:tcW w:type="dxa" w:w="1440"/>
            <w:shd w:fill="FAFAFA" w:val="clear"/>
          </w:tcPr>
          <w:p>
            <w:r>
              <w:rPr>
                <w:sz w:val="17"/>
              </w:rPr>
              <w:t>3,412</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2026-09-14</w:t>
            </w:r>
          </w:p>
        </w:tc>
        <w:tc>
          <w:tcPr>
            <w:tcW w:type="dxa" w:w="1440"/>
            <w:shd w:fill="FAFAFA" w:val="clear"/>
          </w:tcPr>
          <w:p>
            <w:r>
              <w:rPr>
                <w:sz w:val="17"/>
              </w:rPr>
              <w:t>2,859</w:t>
            </w:r>
          </w:p>
        </w:tc>
        <w:tc>
          <w:tcPr>
            <w:tcW w:type="dxa" w:w="1440"/>
            <w:shd w:fill="FAFAFA" w:val="clear"/>
          </w:tcPr>
          <w:p>
            <w:r>
              <w:rPr>
                <w:b/>
                <w:sz w:val="17"/>
              </w:rPr>
              <w:t>3,142</w:t>
            </w:r>
          </w:p>
        </w:tc>
        <w:tc>
          <w:tcPr>
            <w:tcW w:type="dxa" w:w="1440"/>
            <w:shd w:fill="FAFAFA" w:val="clear"/>
          </w:tcPr>
          <w:p>
            <w:r>
              <w:rPr>
                <w:sz w:val="17"/>
              </w:rPr>
              <w:t>3,425</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2026-09-15</w:t>
            </w:r>
          </w:p>
        </w:tc>
        <w:tc>
          <w:tcPr>
            <w:tcW w:type="dxa" w:w="1440"/>
            <w:shd w:fill="FAFAFA" w:val="clear"/>
          </w:tcPr>
          <w:p>
            <w:r>
              <w:rPr>
                <w:sz w:val="17"/>
              </w:rPr>
              <w:t>2,841</w:t>
            </w:r>
          </w:p>
        </w:tc>
        <w:tc>
          <w:tcPr>
            <w:tcW w:type="dxa" w:w="1440"/>
            <w:shd w:fill="FAFAFA" w:val="clear"/>
          </w:tcPr>
          <w:p>
            <w:r>
              <w:rPr>
                <w:b/>
                <w:sz w:val="17"/>
              </w:rPr>
              <w:t>3,139</w:t>
            </w:r>
          </w:p>
        </w:tc>
        <w:tc>
          <w:tcPr>
            <w:tcW w:type="dxa" w:w="1440"/>
            <w:shd w:fill="FAFAFA" w:val="clear"/>
          </w:tcPr>
          <w:p>
            <w:r>
              <w:rPr>
                <w:sz w:val="17"/>
              </w:rPr>
              <w:t>3,437</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Absolument. Voici votre rapport d'analyse financière professionnel pour l'action ORGT (Oragroup)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221,09 milliards FCFA, ORGT se positionne comme une valeur de taille moyenne sur la BRVM, représentant un panier d'actifs bancaires diversifiés dans la zone UEMOA. Le BPA de 312 FCFA indique que chaque action a généré un bénéfice net de 312 FCFA sur l'exercice 2025. Le PER de 10,2x est en ligne avec la moyenne historique de la place (~8-12x), suggérant que le marché valorise les bénéfices de manière raisonnable, sans prime ni décote excessive. Le P/B de 1,95x indique que le titre se négocie à près du double de sa valeur comptable, ce qui est un niveau modéré, mais reflète une certaine confiance dans la création de valeur future. Enfin, l'EV/EBITDA de 20,1x est nettement supérieur au seuil de 15x, signalant une valorisation très exigeante de la capacité opérationnelle de la banque, un point de vigilance pour l'investisseur.</w:t>
      </w:r>
    </w:p>
    <w:p>
      <w:pPr>
        <w:spacing w:after="120" w:line="276" w:lineRule="auto"/>
      </w:pPr>
      <w:r>
        <w:t>### PARTIE 1 : ANALYSE DU COURS — STATISTIQUES ET ÉVOLUTION (100 derniers jours)</w:t>
      </w:r>
    </w:p>
    <w:p>
      <w:pPr>
        <w:spacing w:after="120" w:line="276" w:lineRule="auto"/>
      </w:pPr>
      <w:r>
        <w:t>Sur les 100 derniers jours, le titre ORGT a enregistré une baisse significative de -12,74%, bien que la dernière séance ait rebondi de +0,63% pour clôturer à 3 185 FCFA. Le cours a évolué dans un range large de 2 435 à 3 650 FCFA, démontrant une forte amplitude de trading. La moyenne (2 931 FCFA) étant supérieure à la médiane (2 780 FCFA) et au mode (2 680 FCFA), on observe une asymétrie positive (skewness de 0.604), indiquant que le titre a passé plus de journées sous sa moyenne, mais avec des pics de hausse marqués qui ont tiré la moyenne vers le haut. L'écart-type de 307 FCFA (CV=10,5%) montre une dispersion relative modérée. Le kurtosis de -0,680 (mésokurtique) suggère une distribution proche de la normale, sans risque de variations extrêmes plus élevé que la normale. La volatilité annualisée de 43,6% classe le titre comme très volatil, un paramètre crucial pour la gestion du risque.</w:t>
      </w:r>
    </w:p>
    <w:p>
      <w:pPr>
        <w:spacing w:after="120" w:line="276" w:lineRule="auto"/>
      </w:pPr>
      <w:r>
        <w:t>### PARTIE 2 : ANALYSE TECHNIQUE DÉTAILLÉE</w:t>
      </w:r>
    </w:p>
    <w:p>
      <w:pPr>
        <w:spacing w:after="120" w:line="276" w:lineRule="auto"/>
      </w:pPr>
      <w:r>
        <w:t>**Moyennes Mobiles**: Le cours actuel (3 185 FCFA) est supérieur à la MM20 (3 128 FCFA) et à la MM50 (2 885,2 FCFA). Cette configuration haussière, avec le prix au-dessus des deux moyennes, justifie la décision d'**Achat**. La MM20 au-dessus de la MM50 indique une dynamique positive à court terme.</w:t>
      </w:r>
    </w:p>
    <w:p>
      <w:pPr>
        <w:spacing w:after="120" w:line="276" w:lineRule="auto"/>
      </w:pPr>
      <w:r>
        <w:t>**Bandes de Bollinger**: Le prix se situe à 3 185 FCFA, entre la borne inférieure (3 031,7 FCFA) et la borne supérieure (3 224,3 FCFA). La position du cours dans la moitié supérieure de la bande, sans toucher la borne, suggère une pression acheteuse modérée sans surachat extrême. La décision est **Neutre**, le marché attendant un catalyseur pour sortir de ce range.</w:t>
      </w:r>
    </w:p>
    <w:p>
      <w:pPr>
        <w:spacing w:after="120" w:line="276" w:lineRule="auto"/>
      </w:pPr>
      <w:r>
        <w:t>**MACD**: Le MACD (80,96) est passé sous sa ligne de signal (87,27). Ce croisement baissier indique un ralentissement du momentum haussier à moyen terme. La décision de **Vente** suggère que la dynamique positive s'essouffle, ce qui pourrait précéder une consolidation ou un repli du cours.</w:t>
      </w:r>
    </w:p>
    <w:p>
      <w:pPr>
        <w:spacing w:after="120" w:line="276" w:lineRule="auto"/>
      </w:pPr>
      <w:r>
        <w:t>**RSI**: Le RSI est à 59,03, une valeur qui se situe dans la zone neutre (30-70). Cela indique que le titre n'est ni suracheté ni survendu, laissant une marge de manœuvre dans les deux sens. La décision est **Neutre**, reflétant un équilibre entre les forces acheteuses et vendeuses.</w:t>
      </w:r>
    </w:p>
    <w:p>
      <w:pPr>
        <w:spacing w:after="120" w:line="276" w:lineRule="auto"/>
      </w:pPr>
      <w:r>
        <w:t>**Stochastique**: Le %K (93,75) est très élevé et nettement supérieur au %D (83,33). Cette configuration place le titre en zone de surachat. La décision de **Vente** est un signal préventif, indiquant que le potentiel de hausse à court terme est probablement épuisé et qu'une correction technique est à prévoir.</w:t>
      </w:r>
    </w:p>
    <w:p>
      <w:pPr>
        <w:spacing w:after="120" w:line="276" w:lineRule="auto"/>
      </w:pPr>
      <w:r>
        <w:t>**Conclusion technique**: Les indicateurs sont mitigés. Les moyennes mobiles plaident pour une tendance haussière de fond, mais les oscillateurs (MACD, Stochastique) signalent un essoufflement et un risque de correction à court terme. Le RSI et les Bandes de Bollinger sont neutres. L'action est dans une phase de consolidation après un rebond, et un repli technique semble probable avant une éventuelle reprise de la tendance haussière.</w:t>
      </w:r>
    </w:p>
    <w:p>
      <w:pPr>
        <w:spacing w:after="120" w:line="276" w:lineRule="auto"/>
      </w:pPr>
      <w:r>
        <w:t>### PARTIE 3 : ANALYSE FONDAMENTALE (SECTION CRITIQUE)</w:t>
      </w:r>
    </w:p>
    <w:p>
      <w:pPr>
        <w:spacing w:after="120" w:line="276" w:lineRule="auto"/>
      </w:pPr>
      <w:r>
        <w:t>En 2025, les données structurées annuelles montrent un Produit Net Bancaire (PNB) de 186,609 milliards FCFA, en baisse de -4,5% par rapport à 2024. Le résultat net est de 21,643 milliards FCFA, contre une perte de -44,363 milliards en 2024, soit un redressement spectaculaire. Ce retour à la rentabilité est porté par une amélioration drastique du coût du risque (provisions en chute de 90%) et une maîtrise des charges générales. Le ROE de 19,1% est excellent, tandis que le ROA de 0,54% reste faible, typique du secteur bancaire. Le coefficient d'exploitation de 42,85% est excellent, indiquant une grande efficacité opérationnelle. Les dépôts clientèle (3 088,7 Mds) financent largement les crédits à la clientèle (1 523,8 Mds), montrant une transformation saine. Les rapports trimestriels de 2025 confirment cette trajectoire : le S1 2025 (certifié) et le T3 2025 affichent des bénéfices nets de 18,3 et 19,6 milliards FCFA respectivement, soit une amélioration de +232% et +248% sur un an. Le rapport T1 2026 (publié en 2026) montre une poursuite de la tendance avec un résultat net de 6,555 millions FCFA, en hausse de 37%. On estime que l'exercice 2026 devrait confirmer cette dynamique de rentabilité, bien que la baisse du PNB reste un point de vigilance majeur, reflétant une contraction volontaire de l'activité de crédit.</w:t>
      </w:r>
    </w:p>
    <w:p>
      <w:pPr>
        <w:spacing w:after="120" w:line="276" w:lineRule="auto"/>
      </w:pPr>
      <w:r>
        <w:t>### PARTIE 4 : CONCLUSION D'INVESTISSEMENT</w:t>
      </w:r>
    </w:p>
    <w:p>
      <w:pPr>
        <w:spacing w:after="120" w:line="276" w:lineRule="auto"/>
      </w:pPr>
      <w:r>
        <w:t>La valorisation d'ORGT est contrastée : le PER de 10,2x est raisonnable, mais l'EV/EBITDA de 20,1x est exigeant, ce qui suggère une valorisation globale correcte sans décote flagrante. Le comportement du cours sur 100 jours est baissier (-12,74%) avec une volatilité très élevée (43,6%), ce qui est préoccupant pour les investisseurs à court terme. Les signaux techniques sont divergents : une tendance de fond haussière (MM) mais des indicateurs de momentum (MACD, Stochastique) en surachat qui appellent à une consolidation. Les fondamentaux, eux, sont en nette amélioration avec un retour spectaculaire à la rentabilité en 2025 et une dynamique positive qui se poursuit en 2026, malgré une stagnation du PNB. Les prédictions IA pour les 10 prochains jours (baisse de 3 185 à 3 153 FCFA) confirment le scénario technique d'un repli à court terme. En synthèse, la solidité du redressement fondamental contraste avec la faiblesse technique à court terme. Nous recommandons donc une position de **CONSERVER**. Le niveau de confiance est **Moyen**, car la dynamique commerciale (PNB) reste fragile. Le risque global est **Élevé** en raison de la forte volatilité du titre. L'horizon d'investissement optimal serait le **moyen terme (3-12 mois)**, le temps que la correction technique se dissipe et que la reprise de la croissance du PNB se confirme.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143.15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3,571 titres</w:t>
            </w:r>
          </w:p>
        </w:tc>
        <w:tc>
          <w:tcPr>
            <w:tcW w:type="dxa" w:w="2268"/>
            <w:shd w:fill="FFF2CC" w:val="clear"/>
          </w:tcPr>
          <w:p>
            <w:r>
              <w:rPr>
                <w:b/>
                <w:color w:val="503200"/>
                <w:sz w:val="16"/>
              </w:rPr>
              <w:t xml:space="preserve">Cours actuel : </w:t>
            </w:r>
            <w:r>
              <w:rPr>
                <w:color w:val="000000"/>
                <w:sz w:val="17"/>
              </w:rPr>
              <w:t>9,260 FCFA</w:t>
            </w:r>
          </w:p>
          <w:p>
            <w:r>
              <w:rPr>
                <w:b/>
                <w:color w:val="503200"/>
                <w:sz w:val="16"/>
              </w:rPr>
              <w:t xml:space="preserve">Var. 100 jours : </w:t>
            </w:r>
            <w:r>
              <w:rPr>
                <w:b/>
                <w:color w:val="007800"/>
                <w:sz w:val="17"/>
              </w:rPr>
              <w:t>+12.93%</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6.66% (Moyenne) — μ=8,507 FCFA, σ=566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β=-0.3054 (Contre-cyclique) — Cov=-0.000011, Var(idx)=0.000037, ρ=-0.077,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σ_j=2.39%/j (Stable) — Vol. annualisée≈37.9%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9,085</w:t>
            </w:r>
          </w:p>
        </w:tc>
        <w:tc>
          <w:tcPr>
            <w:tcW w:type="dxa" w:w="1440"/>
            <w:shd w:fill="FAFAFA" w:val="clear"/>
          </w:tcPr>
          <w:p>
            <w:r>
              <w:rPr>
                <w:b/>
                <w:sz w:val="17"/>
              </w:rPr>
              <w:t>9,364</w:t>
            </w:r>
          </w:p>
        </w:tc>
        <w:tc>
          <w:tcPr>
            <w:tcW w:type="dxa" w:w="1440"/>
            <w:shd w:fill="FAFAFA" w:val="clear"/>
          </w:tcPr>
          <w:p>
            <w:r>
              <w:rPr>
                <w:sz w:val="17"/>
              </w:rPr>
              <w:t>9,643</w:t>
            </w:r>
          </w:p>
        </w:tc>
        <w:tc>
          <w:tcPr>
            <w:tcW w:type="dxa" w:w="1440"/>
            <w:shd w:fill="FAFAFA" w:val="clear"/>
          </w:tcPr>
          <w:p>
            <w:r>
              <w:rPr>
                <w:b/>
                <w:color w:val="008000"/>
                <w:sz w:val="17"/>
              </w:rPr>
              <w:t>+1.1%</w:t>
            </w:r>
          </w:p>
        </w:tc>
      </w:tr>
      <w:tr>
        <w:tc>
          <w:tcPr>
            <w:tcW w:type="dxa" w:w="1440"/>
            <w:shd w:fill="FAFAFA" w:val="clear"/>
          </w:tcPr>
          <w:p>
            <w:r>
              <w:rPr>
                <w:sz w:val="17"/>
              </w:rPr>
              <w:t>J+2  ⭐⭐⭐</w:t>
            </w:r>
          </w:p>
        </w:tc>
        <w:tc>
          <w:tcPr>
            <w:tcW w:type="dxa" w:w="1440"/>
            <w:shd w:fill="FAFAFA" w:val="clear"/>
          </w:tcPr>
          <w:p>
            <w:r>
              <w:rPr>
                <w:sz w:val="17"/>
              </w:rPr>
              <w:t>2026-09-03</w:t>
            </w:r>
          </w:p>
        </w:tc>
        <w:tc>
          <w:tcPr>
            <w:tcW w:type="dxa" w:w="1440"/>
            <w:shd w:fill="FAFAFA" w:val="clear"/>
          </w:tcPr>
          <w:p>
            <w:r>
              <w:rPr>
                <w:sz w:val="17"/>
              </w:rPr>
              <w:t>8,984</w:t>
            </w:r>
          </w:p>
        </w:tc>
        <w:tc>
          <w:tcPr>
            <w:tcW w:type="dxa" w:w="1440"/>
            <w:shd w:fill="FAFAFA" w:val="clear"/>
          </w:tcPr>
          <w:p>
            <w:r>
              <w:rPr>
                <w:b/>
                <w:sz w:val="17"/>
              </w:rPr>
              <w:t>9,379</w:t>
            </w:r>
          </w:p>
        </w:tc>
        <w:tc>
          <w:tcPr>
            <w:tcW w:type="dxa" w:w="1440"/>
            <w:shd w:fill="FAFAFA" w:val="clear"/>
          </w:tcPr>
          <w:p>
            <w:r>
              <w:rPr>
                <w:sz w:val="17"/>
              </w:rPr>
              <w:t>9,774</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2026-09-04</w:t>
            </w:r>
          </w:p>
        </w:tc>
        <w:tc>
          <w:tcPr>
            <w:tcW w:type="dxa" w:w="1440"/>
            <w:shd w:fill="FAFAFA" w:val="clear"/>
          </w:tcPr>
          <w:p>
            <w:r>
              <w:rPr>
                <w:sz w:val="17"/>
              </w:rPr>
              <w:t>8,919</w:t>
            </w:r>
          </w:p>
        </w:tc>
        <w:tc>
          <w:tcPr>
            <w:tcW w:type="dxa" w:w="1440"/>
            <w:shd w:fill="FAFAFA" w:val="clear"/>
          </w:tcPr>
          <w:p>
            <w:r>
              <w:rPr>
                <w:b/>
                <w:sz w:val="17"/>
              </w:rPr>
              <w:t>9,404</w:t>
            </w:r>
          </w:p>
        </w:tc>
        <w:tc>
          <w:tcPr>
            <w:tcW w:type="dxa" w:w="1440"/>
            <w:shd w:fill="FAFAFA" w:val="clear"/>
          </w:tcPr>
          <w:p>
            <w:r>
              <w:rPr>
                <w:sz w:val="17"/>
              </w:rPr>
              <w:t>9,890</w:t>
            </w:r>
          </w:p>
        </w:tc>
        <w:tc>
          <w:tcPr>
            <w:tcW w:type="dxa" w:w="1440"/>
            <w:shd w:fill="FAFAFA" w:val="clear"/>
          </w:tcPr>
          <w:p>
            <w:r>
              <w:rPr>
                <w:b/>
                <w:color w:val="008000"/>
                <w:sz w:val="17"/>
              </w:rPr>
              <w:t>+1.6%</w:t>
            </w:r>
          </w:p>
        </w:tc>
      </w:tr>
      <w:tr>
        <w:tc>
          <w:tcPr>
            <w:tcW w:type="dxa" w:w="1440"/>
            <w:shd w:fill="FAFAFA" w:val="clear"/>
          </w:tcPr>
          <w:p>
            <w:r>
              <w:rPr>
                <w:sz w:val="17"/>
              </w:rPr>
              <w:t>J+4  Moyenne</w:t>
            </w:r>
          </w:p>
        </w:tc>
        <w:tc>
          <w:tcPr>
            <w:tcW w:type="dxa" w:w="1440"/>
            <w:shd w:fill="FAFAFA" w:val="clear"/>
          </w:tcPr>
          <w:p>
            <w:r>
              <w:rPr>
                <w:sz w:val="17"/>
              </w:rPr>
              <w:t>2026-09-07</w:t>
            </w:r>
          </w:p>
        </w:tc>
        <w:tc>
          <w:tcPr>
            <w:tcW w:type="dxa" w:w="1440"/>
            <w:shd w:fill="FAFAFA" w:val="clear"/>
          </w:tcPr>
          <w:p>
            <w:r>
              <w:rPr>
                <w:sz w:val="17"/>
              </w:rPr>
              <w:t>8,869</w:t>
            </w:r>
          </w:p>
        </w:tc>
        <w:tc>
          <w:tcPr>
            <w:tcW w:type="dxa" w:w="1440"/>
            <w:shd w:fill="FAFAFA" w:val="clear"/>
          </w:tcPr>
          <w:p>
            <w:r>
              <w:rPr>
                <w:b/>
                <w:sz w:val="17"/>
              </w:rPr>
              <w:t>9,431</w:t>
            </w:r>
          </w:p>
        </w:tc>
        <w:tc>
          <w:tcPr>
            <w:tcW w:type="dxa" w:w="1440"/>
            <w:shd w:fill="FAFAFA" w:val="clear"/>
          </w:tcPr>
          <w:p>
            <w:r>
              <w:rPr>
                <w:sz w:val="17"/>
              </w:rPr>
              <w:t>9,992</w:t>
            </w:r>
          </w:p>
        </w:tc>
        <w:tc>
          <w:tcPr>
            <w:tcW w:type="dxa" w:w="1440"/>
            <w:shd w:fill="FAFAFA" w:val="clear"/>
          </w:tcPr>
          <w:p>
            <w:r>
              <w:rPr>
                <w:b/>
                <w:color w:val="008000"/>
                <w:sz w:val="17"/>
              </w:rPr>
              <w:t>+1.8%</w:t>
            </w:r>
          </w:p>
        </w:tc>
      </w:tr>
      <w:tr>
        <w:tc>
          <w:tcPr>
            <w:tcW w:type="dxa" w:w="1440"/>
            <w:shd w:fill="C6EFCE" w:val="clear"/>
          </w:tcPr>
          <w:p>
            <w:r>
              <w:rPr>
                <w:sz w:val="17"/>
              </w:rPr>
              <w:t>J+5  Moyenne</w:t>
            </w:r>
          </w:p>
        </w:tc>
        <w:tc>
          <w:tcPr>
            <w:tcW w:type="dxa" w:w="1440"/>
            <w:shd w:fill="C6EFCE" w:val="clear"/>
          </w:tcPr>
          <w:p>
            <w:r>
              <w:rPr>
                <w:sz w:val="17"/>
              </w:rPr>
              <w:t>2026-09-08</w:t>
            </w:r>
          </w:p>
        </w:tc>
        <w:tc>
          <w:tcPr>
            <w:tcW w:type="dxa" w:w="1440"/>
            <w:shd w:fill="C6EFCE" w:val="clear"/>
          </w:tcPr>
          <w:p>
            <w:r>
              <w:rPr>
                <w:sz w:val="17"/>
              </w:rPr>
              <w:t>8,827</w:t>
            </w:r>
          </w:p>
        </w:tc>
        <w:tc>
          <w:tcPr>
            <w:tcW w:type="dxa" w:w="1440"/>
            <w:shd w:fill="C6EFCE" w:val="clear"/>
          </w:tcPr>
          <w:p>
            <w:r>
              <w:rPr>
                <w:b/>
                <w:sz w:val="17"/>
              </w:rPr>
              <w:t>9,457</w:t>
            </w:r>
          </w:p>
        </w:tc>
        <w:tc>
          <w:tcPr>
            <w:tcW w:type="dxa" w:w="1440"/>
            <w:shd w:fill="C6EFCE" w:val="clear"/>
          </w:tcPr>
          <w:p>
            <w:r>
              <w:rPr>
                <w:sz w:val="17"/>
              </w:rPr>
              <w:t>10,086</w:t>
            </w:r>
          </w:p>
        </w:tc>
        <w:tc>
          <w:tcPr>
            <w:tcW w:type="dxa" w:w="1440"/>
            <w:shd w:fill="C6EFCE" w:val="clear"/>
          </w:tcPr>
          <w:p>
            <w:r>
              <w:rPr>
                <w:b/>
                <w:color w:val="008000"/>
                <w:sz w:val="17"/>
              </w:rPr>
              <w:t>+2.1%</w:t>
            </w:r>
          </w:p>
        </w:tc>
      </w:tr>
      <w:tr>
        <w:tc>
          <w:tcPr>
            <w:tcW w:type="dxa" w:w="1440"/>
            <w:shd w:fill="C6EFCE" w:val="clear"/>
          </w:tcPr>
          <w:p>
            <w:r>
              <w:rPr>
                <w:sz w:val="17"/>
              </w:rPr>
              <w:t>J+6  Moyenne</w:t>
            </w:r>
          </w:p>
        </w:tc>
        <w:tc>
          <w:tcPr>
            <w:tcW w:type="dxa" w:w="1440"/>
            <w:shd w:fill="C6EFCE" w:val="clear"/>
          </w:tcPr>
          <w:p>
            <w:r>
              <w:rPr>
                <w:sz w:val="17"/>
              </w:rPr>
              <w:t>2026-09-09</w:t>
            </w:r>
          </w:p>
        </w:tc>
        <w:tc>
          <w:tcPr>
            <w:tcW w:type="dxa" w:w="1440"/>
            <w:shd w:fill="C6EFCE" w:val="clear"/>
          </w:tcPr>
          <w:p>
            <w:r>
              <w:rPr>
                <w:sz w:val="17"/>
              </w:rPr>
              <w:t>8,791</w:t>
            </w:r>
          </w:p>
        </w:tc>
        <w:tc>
          <w:tcPr>
            <w:tcW w:type="dxa" w:w="1440"/>
            <w:shd w:fill="C6EFCE" w:val="clear"/>
          </w:tcPr>
          <w:p>
            <w:r>
              <w:rPr>
                <w:b/>
                <w:sz w:val="17"/>
              </w:rPr>
              <w:t>9,482</w:t>
            </w:r>
          </w:p>
        </w:tc>
        <w:tc>
          <w:tcPr>
            <w:tcW w:type="dxa" w:w="1440"/>
            <w:shd w:fill="C6EFCE" w:val="clear"/>
          </w:tcPr>
          <w:p>
            <w:r>
              <w:rPr>
                <w:sz w:val="17"/>
              </w:rPr>
              <w:t>10,174</w:t>
            </w:r>
          </w:p>
        </w:tc>
        <w:tc>
          <w:tcPr>
            <w:tcW w:type="dxa" w:w="1440"/>
            <w:shd w:fill="C6EFCE" w:val="clear"/>
          </w:tcPr>
          <w:p>
            <w:r>
              <w:rPr>
                <w:b/>
                <w:color w:val="008000"/>
                <w:sz w:val="17"/>
              </w:rPr>
              <w:t>+2.4%</w:t>
            </w:r>
          </w:p>
        </w:tc>
      </w:tr>
      <w:tr>
        <w:tc>
          <w:tcPr>
            <w:tcW w:type="dxa" w:w="1440"/>
            <w:shd w:fill="C6EFCE" w:val="clear"/>
          </w:tcPr>
          <w:p>
            <w:r>
              <w:rPr>
                <w:sz w:val="17"/>
              </w:rPr>
              <w:t>J+7  Moyenne</w:t>
            </w:r>
          </w:p>
        </w:tc>
        <w:tc>
          <w:tcPr>
            <w:tcW w:type="dxa" w:w="1440"/>
            <w:shd w:fill="C6EFCE" w:val="clear"/>
          </w:tcPr>
          <w:p>
            <w:r>
              <w:rPr>
                <w:sz w:val="17"/>
              </w:rPr>
              <w:t>2026-09-10</w:t>
            </w:r>
          </w:p>
        </w:tc>
        <w:tc>
          <w:tcPr>
            <w:tcW w:type="dxa" w:w="1440"/>
            <w:shd w:fill="C6EFCE" w:val="clear"/>
          </w:tcPr>
          <w:p>
            <w:r>
              <w:rPr>
                <w:sz w:val="17"/>
              </w:rPr>
              <w:t>8,759</w:t>
            </w:r>
          </w:p>
        </w:tc>
        <w:tc>
          <w:tcPr>
            <w:tcW w:type="dxa" w:w="1440"/>
            <w:shd w:fill="C6EFCE" w:val="clear"/>
          </w:tcPr>
          <w:p>
            <w:r>
              <w:rPr>
                <w:b/>
                <w:sz w:val="17"/>
              </w:rPr>
              <w:t>9,508</w:t>
            </w:r>
          </w:p>
        </w:tc>
        <w:tc>
          <w:tcPr>
            <w:tcW w:type="dxa" w:w="1440"/>
            <w:shd w:fill="C6EFCE" w:val="clear"/>
          </w:tcPr>
          <w:p>
            <w:r>
              <w:rPr>
                <w:sz w:val="17"/>
              </w:rPr>
              <w:t>10,257</w:t>
            </w:r>
          </w:p>
        </w:tc>
        <w:tc>
          <w:tcPr>
            <w:tcW w:type="dxa" w:w="1440"/>
            <w:shd w:fill="C6EFCE" w:val="clear"/>
          </w:tcPr>
          <w:p>
            <w:r>
              <w:rPr>
                <w:b/>
                <w:color w:val="008000"/>
                <w:sz w:val="17"/>
              </w:rPr>
              <w:t>+2.7%</w:t>
            </w:r>
          </w:p>
        </w:tc>
      </w:tr>
      <w:tr>
        <w:tc>
          <w:tcPr>
            <w:tcW w:type="dxa" w:w="1440"/>
            <w:shd w:fill="C6EFCE" w:val="clear"/>
          </w:tcPr>
          <w:p>
            <w:r>
              <w:rPr>
                <w:sz w:val="17"/>
              </w:rPr>
              <w:t>J+8  Moyenne</w:t>
            </w:r>
          </w:p>
        </w:tc>
        <w:tc>
          <w:tcPr>
            <w:tcW w:type="dxa" w:w="1440"/>
            <w:shd w:fill="C6EFCE" w:val="clear"/>
          </w:tcPr>
          <w:p>
            <w:r>
              <w:rPr>
                <w:sz w:val="17"/>
              </w:rPr>
              <w:t>2026-09-11</w:t>
            </w:r>
          </w:p>
        </w:tc>
        <w:tc>
          <w:tcPr>
            <w:tcW w:type="dxa" w:w="1440"/>
            <w:shd w:fill="C6EFCE" w:val="clear"/>
          </w:tcPr>
          <w:p>
            <w:r>
              <w:rPr>
                <w:sz w:val="17"/>
              </w:rPr>
              <w:t>8,731</w:t>
            </w:r>
          </w:p>
        </w:tc>
        <w:tc>
          <w:tcPr>
            <w:tcW w:type="dxa" w:w="1440"/>
            <w:shd w:fill="C6EFCE" w:val="clear"/>
          </w:tcPr>
          <w:p>
            <w:r>
              <w:rPr>
                <w:b/>
                <w:sz w:val="17"/>
              </w:rPr>
              <w:t>9,534</w:t>
            </w:r>
          </w:p>
        </w:tc>
        <w:tc>
          <w:tcPr>
            <w:tcW w:type="dxa" w:w="1440"/>
            <w:shd w:fill="C6EFCE" w:val="clear"/>
          </w:tcPr>
          <w:p>
            <w:r>
              <w:rPr>
                <w:sz w:val="17"/>
              </w:rPr>
              <w:t>10,337</w:t>
            </w:r>
          </w:p>
        </w:tc>
        <w:tc>
          <w:tcPr>
            <w:tcW w:type="dxa" w:w="1440"/>
            <w:shd w:fill="C6EFCE" w:val="clear"/>
          </w:tcPr>
          <w:p>
            <w:r>
              <w:rPr>
                <w:b/>
                <w:color w:val="008000"/>
                <w:sz w:val="17"/>
              </w:rPr>
              <w:t>+3.0%</w:t>
            </w:r>
          </w:p>
        </w:tc>
      </w:tr>
      <w:tr>
        <w:tc>
          <w:tcPr>
            <w:tcW w:type="dxa" w:w="1440"/>
            <w:shd w:fill="C6EFCE" w:val="clear"/>
          </w:tcPr>
          <w:p>
            <w:r>
              <w:rPr>
                <w:sz w:val="17"/>
              </w:rPr>
              <w:t>J+9  Moyenne</w:t>
            </w:r>
          </w:p>
        </w:tc>
        <w:tc>
          <w:tcPr>
            <w:tcW w:type="dxa" w:w="1440"/>
            <w:shd w:fill="C6EFCE" w:val="clear"/>
          </w:tcPr>
          <w:p>
            <w:r>
              <w:rPr>
                <w:sz w:val="17"/>
              </w:rPr>
              <w:t>2026-09-14</w:t>
            </w:r>
          </w:p>
        </w:tc>
        <w:tc>
          <w:tcPr>
            <w:tcW w:type="dxa" w:w="1440"/>
            <w:shd w:fill="C6EFCE" w:val="clear"/>
          </w:tcPr>
          <w:p>
            <w:r>
              <w:rPr>
                <w:sz w:val="17"/>
              </w:rPr>
              <w:t>8,706</w:t>
            </w:r>
          </w:p>
        </w:tc>
        <w:tc>
          <w:tcPr>
            <w:tcW w:type="dxa" w:w="1440"/>
            <w:shd w:fill="C6EFCE" w:val="clear"/>
          </w:tcPr>
          <w:p>
            <w:r>
              <w:rPr>
                <w:b/>
                <w:sz w:val="17"/>
              </w:rPr>
              <w:t>9,560</w:t>
            </w:r>
          </w:p>
        </w:tc>
        <w:tc>
          <w:tcPr>
            <w:tcW w:type="dxa" w:w="1440"/>
            <w:shd w:fill="C6EFCE" w:val="clear"/>
          </w:tcPr>
          <w:p>
            <w:r>
              <w:rPr>
                <w:sz w:val="17"/>
              </w:rPr>
              <w:t>10,414</w:t>
            </w:r>
          </w:p>
        </w:tc>
        <w:tc>
          <w:tcPr>
            <w:tcW w:type="dxa" w:w="1440"/>
            <w:shd w:fill="C6EFCE" w:val="clear"/>
          </w:tcPr>
          <w:p>
            <w:r>
              <w:rPr>
                <w:b/>
                <w:color w:val="008000"/>
                <w:sz w:val="17"/>
              </w:rPr>
              <w:t>+3.2%</w:t>
            </w:r>
          </w:p>
        </w:tc>
      </w:tr>
      <w:tr>
        <w:tc>
          <w:tcPr>
            <w:tcW w:type="dxa" w:w="1440"/>
            <w:shd w:fill="C6EFCE" w:val="clear"/>
          </w:tcPr>
          <w:p>
            <w:r>
              <w:rPr>
                <w:sz w:val="17"/>
              </w:rPr>
              <w:t>J+10  Moyenne</w:t>
            </w:r>
          </w:p>
        </w:tc>
        <w:tc>
          <w:tcPr>
            <w:tcW w:type="dxa" w:w="1440"/>
            <w:shd w:fill="C6EFCE" w:val="clear"/>
          </w:tcPr>
          <w:p>
            <w:r>
              <w:rPr>
                <w:sz w:val="17"/>
              </w:rPr>
              <w:t>2026-09-15</w:t>
            </w:r>
          </w:p>
        </w:tc>
        <w:tc>
          <w:tcPr>
            <w:tcW w:type="dxa" w:w="1440"/>
            <w:shd w:fill="C6EFCE" w:val="clear"/>
          </w:tcPr>
          <w:p>
            <w:r>
              <w:rPr>
                <w:sz w:val="17"/>
              </w:rPr>
              <w:t>8,683</w:t>
            </w:r>
          </w:p>
        </w:tc>
        <w:tc>
          <w:tcPr>
            <w:tcW w:type="dxa" w:w="1440"/>
            <w:shd w:fill="C6EFCE" w:val="clear"/>
          </w:tcPr>
          <w:p>
            <w:r>
              <w:rPr>
                <w:b/>
                <w:sz w:val="17"/>
              </w:rPr>
              <w:t>9,585</w:t>
            </w:r>
          </w:p>
        </w:tc>
        <w:tc>
          <w:tcPr>
            <w:tcW w:type="dxa" w:w="1440"/>
            <w:shd w:fill="C6EFCE" w:val="clear"/>
          </w:tcPr>
          <w:p>
            <w:r>
              <w:rPr>
                <w:sz w:val="17"/>
              </w:rPr>
              <w:t>10,488</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**Date de l'analyse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143,15 milliards FCFA, positionnant le titre comme une valeur moyenne dans le contexte de la BRVM. Avec un BPA de 1 003 FCFA, le titre se négocie à un PER de 9,2x, ce qui est légèrement inférieur à la moyenne historique du marché (8-12x), suggérant une décote relative et un potentiel de revalorisation si les bénéfices se maintiennent. Le P/B de 1,00x indique que le marché valorise l'action à exactement sa valeur comptable, une situation rare qui offre une marge de sécurité appréciable. Enfin, un EV/EBITDA de 4,5x, très inférieur au seuil de 5x, confirme une valorisation très bon marché, signalant que la valeur totale de l'entreprise (dette incluse) est faible par rapport à sa capacité opérationnelle de génération de cash (EBITDA).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PALC affiche une progression solide de +12,93%, malgré un léger repli de -1,44% lors de la dernière séance. Le cours a évolué dans une fourchette de 7 000 FCFA (plus bas) à 9 640 FCFA (plus haut), démontrant une dynamique haussière soutenue sur la période. La moyenne du cours sur 100 jours est de 8 507 FCFA, tandis que la médiane est plus élevée à 8 682 FCFA. Cet écart, combiné à un skewness négatif (-0.258), suggère une distribution légèrement asymétrique avec des extrêmes à la baisse plus marqués, mais la moyenne proche de la médiane indique une stabilité relative. L'écart-type de 569 FCFA (CV=6.7%) révèle une dispersion modérée autour de la moyenne. Le kurtosis de -0.556 (mésokurtique) indique une distribution proche de la normale, sans risque de mouvements extrêmes fréquents. La volatilité annualisée de 37,9% classe le titre comme très volatil, nécessitant une gestion du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(9 260 FCFA) se positionne au-dessus de la MM20 (9 234,5 FCFA) et de la MM50 (8 939,4 FCFA), confirmant une tendance haussière de court et moyen terme. La MM20 étant supérieure à la MM50, la configuration est positive et justifie la décision d'achat.</w:t>
      </w:r>
    </w:p>
    <w:p>
      <w:pPr>
        <w:spacing w:after="120" w:line="276" w:lineRule="auto"/>
      </w:pPr>
      <w:r>
        <w:t>**Bandes de Bollinger** : Le prix se situe à 9 260 FCFA, entre la borne supérieure (9 705,3 FCFA) et la borne inférieure (8 763,7 FCFA), proche de la moyenne. Cette position neutre indique une volatilité modérée sans signal directionnel fort, laissant place à une poursuite de la tendance ou un retour vers la moyenne.</w:t>
      </w:r>
    </w:p>
    <w:p>
      <w:pPr>
        <w:spacing w:after="120" w:line="276" w:lineRule="auto"/>
      </w:pPr>
      <w:r>
        <w:t>**MACD** : La valeur du MACD (138,034) est inférieure à son signal (159,213), indiquant un momentum baissier à court terme. Cette divergence suggère un essoufflement de la dynamique haussière, justifiant la décision de vente, mais l'écart reste modéré et pourrait se résorber.</w:t>
      </w:r>
    </w:p>
    <w:p>
      <w:pPr>
        <w:spacing w:after="120" w:line="276" w:lineRule="auto"/>
      </w:pPr>
      <w:r>
        <w:t>**RSI** : À 57,609, le RSI se situe en zone neutre (30-70), indiquant un équilibre entre pressions acheteuses et vendeuses. Il n'y a pas de conditions de surachat ou de survente, laissant une marge de manœuvre dans les deux sens.</w:t>
      </w:r>
    </w:p>
    <w:p>
      <w:pPr>
        <w:spacing w:after="120" w:line="276" w:lineRule="auto"/>
      </w:pPr>
      <w:r>
        <w:t>**Stochastique** : Le %K (40,625) est inférieur au %D (55,713), signalant une dynamique baissière récente. Cependant, les valeurs restent en zone neutre, et un croisement haussier pourrait se produire si le %K remonte au-dessus du %D.</w:t>
      </w:r>
    </w:p>
    <w:p>
      <w:pPr>
        <w:spacing w:after="120" w:line="276" w:lineRule="auto"/>
      </w:pPr>
      <w:r>
        <w:t>**Conclusion technique** : Les indicateurs sont mitigés, avec une tendance de fond haussière (MM) mais des signaux de momentum baissier à court terme (MACD, Stochastique). Le RSI neutre et les bandes de Bollinger sans direction claire suggèrent une phase de consolidation. La prudence est de mise, mais la structure de tendance reste positive.</w:t>
      </w:r>
    </w:p>
    <w:p>
      <w:pPr>
        <w:spacing w:after="120" w:line="276" w:lineRule="auto"/>
      </w:pPr>
      <w:r>
        <w:t>---</w:t>
      </w:r>
    </w:p>
    <w:p>
      <w:pPr>
        <w:spacing w:after="120" w:line="276" w:lineRule="auto"/>
      </w:pPr>
      <w:r>
        <w:t>### PARTIE 3 : ANALYSE FONDAMENTALE (SECTION CRITIQUE)</w:t>
      </w:r>
    </w:p>
    <w:p>
      <w:pPr>
        <w:spacing w:after="120" w:line="276" w:lineRule="auto"/>
      </w:pPr>
      <w:r>
        <w:t>En 2025, PALC a réalisé un chiffre d'affaires de 197,63 milliards FCFA, en hausse de +14,8% par rapport à 2024 (172,2 milliards FCFA), selon les données structurées officielles. Le résultat net s'établit à 15,51 milliards FCFA, en légère baisse de -2,2% par rapport à 2024 (15,9 milliards FCFA), impacté par une hausse des charges opérationnelles. La marge nette ressort à 7,85%, en recul par rapport aux 9,2% de 2024. Le ROE est de 10,87% et le ROA de 7,79%, montrant une rentabilité correcte mais en dessous du seuil de 15% jugé excellent. La structure financière est très saine avec une autonomie financière de 71,6% et un ratio d'endettement de seulement 0,56%. Le BFR est positif à 44,62 milliards FCFA, mais le délai de paiement des clients (142,58 jours) est élevé, constituant un risque de trésorerie. Les rapports trimestriels 2025 montrent une forte dynamique au S1 (CA +25%, RN +37% à 22,9 milliards FCFA), mais un net ralentissement au T3 (RN cumulé 9 mois à 18 milliards FCFA, +11% seulement). Le rapport T1 2026, daté de 2026, révèle une chute drastique du CA (-27% à 49,4 milliards FCFA) et du résultat net (-86% à 1,6 milliard FCFA), attribuée par la direction à un décalage temporel des ventes. Sur la base de ces éléments, on estime que l'exercice 2026 pourrait être difficile, avec un résultat net potentiellement en baisse significative, sauf si le redressement annoncé par le management se concrétise au second semestre.</w:t>
      </w:r>
    </w:p>
    <w:p>
      <w:pPr>
        <w:spacing w:after="120" w:line="276" w:lineRule="auto"/>
      </w:pPr>
      <w:r>
        <w:t>---</w:t>
      </w:r>
    </w:p>
    <w:p>
      <w:pPr>
        <w:spacing w:after="120" w:line="276" w:lineRule="auto"/>
      </w:pPr>
      <w:r>
        <w:t>### PARTIE 4 : CONCLUSION D'INVESTISSEMENT</w:t>
      </w:r>
    </w:p>
    <w:p>
      <w:pPr>
        <w:spacing w:after="120" w:line="276" w:lineRule="auto"/>
      </w:pPr>
      <w:r>
        <w:t>La valorisation de PALC est très attractive (PER 9,2x, P/B 1,0x, EV/EBITDA 4,5x), indiquant une sous-évaluation potentielle. Le comportement du cours sur 100 jours est positif (+12,93%), avec une volatilité élevée mais une distribution statistique stable. Les signaux techniques sont mitigés, avec une tendance haussière de fond mais un momentum baissier à court terme. Les fondamentaux de 2025 montrent une croissance du CA mais une pression sur les marges, et les perspectives 2026 sont incertaines après un T1 très faible. Les prédictions IA (9 364 à 9 457 FCFA sur 10 jours) suggèrent une poursuite modérée de la hausse, contredisant légèrement les signaux techniques baissiers à court terme. En synthèse, la convergence entre la valorisation bon marché et la tendance haussière du cours est contrebalancée par les incertitudes fondamentales. **Recommandation : CONSERVER**, avec un niveau de confiance **Moyen**. Le risque global est **Élevé** en raison de la volatilité et des incertitudes sur les résultats 2026. L'horizon d'investissement optimal est le **moyen terme (3-12 mois)**, en attendant la confirmation d'un redressement de l'activité au T2 et T3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45.98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888 titres</w:t>
            </w:r>
          </w:p>
        </w:tc>
        <w:tc>
          <w:tcPr>
            <w:tcW w:type="dxa" w:w="2268"/>
            <w:shd w:fill="FFF2CC" w:val="clear"/>
          </w:tcPr>
          <w:p>
            <w:r>
              <w:rPr>
                <w:b/>
                <w:color w:val="503200"/>
                <w:sz w:val="16"/>
              </w:rPr>
              <w:t xml:space="preserve">Cours actuel : </w:t>
            </w:r>
            <w:r>
              <w:rPr>
                <w:color w:val="000000"/>
                <w:sz w:val="17"/>
              </w:rPr>
              <w:t>4,490 FCFA</w:t>
            </w:r>
          </w:p>
          <w:p>
            <w:r>
              <w:rPr>
                <w:b/>
                <w:color w:val="503200"/>
                <w:sz w:val="16"/>
              </w:rPr>
              <w:t xml:space="preserve">Var. 100 jours : </w:t>
            </w:r>
            <w:r>
              <w:rPr>
                <w:b/>
                <w:color w:val="B40000"/>
                <w:sz w:val="17"/>
              </w:rPr>
              <w:t>-10.11%</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7.73% (Moyenne) — μ=4,439 FCFA, σ=343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β=-0.2226 (Contre-cyclique) — Cov=-0.000008, Var(idx)=0.000037, ρ=-0.054,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888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16976"/>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4,350</w:t>
            </w:r>
          </w:p>
        </w:tc>
        <w:tc>
          <w:tcPr>
            <w:tcW w:type="dxa" w:w="1440"/>
            <w:shd w:fill="FAFAFA" w:val="clear"/>
          </w:tcPr>
          <w:p>
            <w:r>
              <w:rPr>
                <w:b/>
                <w:sz w:val="17"/>
              </w:rPr>
              <w:t>4,435</w:t>
            </w:r>
          </w:p>
        </w:tc>
        <w:tc>
          <w:tcPr>
            <w:tcW w:type="dxa" w:w="1440"/>
            <w:shd w:fill="FAFAFA" w:val="clear"/>
          </w:tcPr>
          <w:p>
            <w:r>
              <w:rPr>
                <w:sz w:val="17"/>
              </w:rPr>
              <w:t>4,519</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2026-09-03</w:t>
            </w:r>
          </w:p>
        </w:tc>
        <w:tc>
          <w:tcPr>
            <w:tcW w:type="dxa" w:w="1440"/>
            <w:shd w:fill="FAFAFA" w:val="clear"/>
          </w:tcPr>
          <w:p>
            <w:r>
              <w:rPr>
                <w:sz w:val="17"/>
              </w:rPr>
              <w:t>4,298</w:t>
            </w:r>
          </w:p>
        </w:tc>
        <w:tc>
          <w:tcPr>
            <w:tcW w:type="dxa" w:w="1440"/>
            <w:shd w:fill="FAFAFA" w:val="clear"/>
          </w:tcPr>
          <w:p>
            <w:r>
              <w:rPr>
                <w:b/>
                <w:sz w:val="17"/>
              </w:rPr>
              <w:t>4,417</w:t>
            </w:r>
          </w:p>
        </w:tc>
        <w:tc>
          <w:tcPr>
            <w:tcW w:type="dxa" w:w="1440"/>
            <w:shd w:fill="FAFAFA" w:val="clear"/>
          </w:tcPr>
          <w:p>
            <w:r>
              <w:rPr>
                <w:sz w:val="17"/>
              </w:rPr>
              <w:t>4,537</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4,250</w:t>
            </w:r>
          </w:p>
        </w:tc>
        <w:tc>
          <w:tcPr>
            <w:tcW w:type="dxa" w:w="1440"/>
            <w:shd w:fill="FFDCE0" w:val="clear"/>
          </w:tcPr>
          <w:p>
            <w:r>
              <w:rPr>
                <w:b/>
                <w:sz w:val="17"/>
              </w:rPr>
              <w:t>4,396</w:t>
            </w:r>
          </w:p>
        </w:tc>
        <w:tc>
          <w:tcPr>
            <w:tcW w:type="dxa" w:w="1440"/>
            <w:shd w:fill="FFDCE0" w:val="clear"/>
          </w:tcPr>
          <w:p>
            <w:r>
              <w:rPr>
                <w:sz w:val="17"/>
              </w:rPr>
              <w:t>4,541</w:t>
            </w:r>
          </w:p>
        </w:tc>
        <w:tc>
          <w:tcPr>
            <w:tcW w:type="dxa" w:w="1440"/>
            <w:shd w:fill="FFDCE0" w:val="clear"/>
          </w:tcPr>
          <w:p>
            <w:r>
              <w:rPr>
                <w:b/>
                <w:color w:val="C00000"/>
                <w:sz w:val="17"/>
              </w:rPr>
              <w:t>-2.1%</w:t>
            </w:r>
          </w:p>
        </w:tc>
      </w:tr>
      <w:tr>
        <w:tc>
          <w:tcPr>
            <w:tcW w:type="dxa" w:w="1440"/>
            <w:shd w:fill="FFDCE0" w:val="clear"/>
          </w:tcPr>
          <w:p>
            <w:r>
              <w:rPr>
                <w:sz w:val="17"/>
              </w:rPr>
              <w:t>J+4  Moyenne</w:t>
            </w:r>
          </w:p>
        </w:tc>
        <w:tc>
          <w:tcPr>
            <w:tcW w:type="dxa" w:w="1440"/>
            <w:shd w:fill="FFDCE0" w:val="clear"/>
          </w:tcPr>
          <w:p>
            <w:r>
              <w:rPr>
                <w:sz w:val="17"/>
              </w:rPr>
              <w:t>2026-09-07</w:t>
            </w:r>
          </w:p>
        </w:tc>
        <w:tc>
          <w:tcPr>
            <w:tcW w:type="dxa" w:w="1440"/>
            <w:shd w:fill="FFDCE0" w:val="clear"/>
          </w:tcPr>
          <w:p>
            <w:r>
              <w:rPr>
                <w:sz w:val="17"/>
              </w:rPr>
              <w:t>4,207</w:t>
            </w:r>
          </w:p>
        </w:tc>
        <w:tc>
          <w:tcPr>
            <w:tcW w:type="dxa" w:w="1440"/>
            <w:shd w:fill="FFDCE0" w:val="clear"/>
          </w:tcPr>
          <w:p>
            <w:r>
              <w:rPr>
                <w:b/>
                <w:sz w:val="17"/>
              </w:rPr>
              <w:t>4,374</w:t>
            </w:r>
          </w:p>
        </w:tc>
        <w:tc>
          <w:tcPr>
            <w:tcW w:type="dxa" w:w="1440"/>
            <w:shd w:fill="FFDCE0" w:val="clear"/>
          </w:tcPr>
          <w:p>
            <w:r>
              <w:rPr>
                <w:sz w:val="17"/>
              </w:rPr>
              <w:t>4,541</w:t>
            </w:r>
          </w:p>
        </w:tc>
        <w:tc>
          <w:tcPr>
            <w:tcW w:type="dxa" w:w="1440"/>
            <w:shd w:fill="FFDCE0" w:val="clear"/>
          </w:tcPr>
          <w:p>
            <w:r>
              <w:rPr>
                <w:b/>
                <w:color w:val="C00000"/>
                <w:sz w:val="17"/>
              </w:rPr>
              <w:t>-2.6%</w:t>
            </w:r>
          </w:p>
        </w:tc>
      </w:tr>
      <w:tr>
        <w:tc>
          <w:tcPr>
            <w:tcW w:type="dxa" w:w="1440"/>
            <w:shd w:fill="FFDCE0" w:val="clear"/>
          </w:tcPr>
          <w:p>
            <w:r>
              <w:rPr>
                <w:sz w:val="17"/>
              </w:rPr>
              <w:t>J+5  Moyenne</w:t>
            </w:r>
          </w:p>
        </w:tc>
        <w:tc>
          <w:tcPr>
            <w:tcW w:type="dxa" w:w="1440"/>
            <w:shd w:fill="FFDCE0" w:val="clear"/>
          </w:tcPr>
          <w:p>
            <w:r>
              <w:rPr>
                <w:sz w:val="17"/>
              </w:rPr>
              <w:t>2026-09-08</w:t>
            </w:r>
          </w:p>
        </w:tc>
        <w:tc>
          <w:tcPr>
            <w:tcW w:type="dxa" w:w="1440"/>
            <w:shd w:fill="FFDCE0" w:val="clear"/>
          </w:tcPr>
          <w:p>
            <w:r>
              <w:rPr>
                <w:sz w:val="17"/>
              </w:rPr>
              <w:t>4,167</w:t>
            </w:r>
          </w:p>
        </w:tc>
        <w:tc>
          <w:tcPr>
            <w:tcW w:type="dxa" w:w="1440"/>
            <w:shd w:fill="FFDCE0" w:val="clear"/>
          </w:tcPr>
          <w:p>
            <w:r>
              <w:rPr>
                <w:b/>
                <w:sz w:val="17"/>
              </w:rPr>
              <w:t>4,353</w:t>
            </w:r>
          </w:p>
        </w:tc>
        <w:tc>
          <w:tcPr>
            <w:tcW w:type="dxa" w:w="1440"/>
            <w:shd w:fill="FFDCE0" w:val="clear"/>
          </w:tcPr>
          <w:p>
            <w:r>
              <w:rPr>
                <w:sz w:val="17"/>
              </w:rPr>
              <w:t>4,539</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2026-09-09</w:t>
            </w:r>
          </w:p>
        </w:tc>
        <w:tc>
          <w:tcPr>
            <w:tcW w:type="dxa" w:w="1440"/>
            <w:shd w:fill="FFDCE0" w:val="clear"/>
          </w:tcPr>
          <w:p>
            <w:r>
              <w:rPr>
                <w:sz w:val="17"/>
              </w:rPr>
              <w:t>4,129</w:t>
            </w:r>
          </w:p>
        </w:tc>
        <w:tc>
          <w:tcPr>
            <w:tcW w:type="dxa" w:w="1440"/>
            <w:shd w:fill="FFDCE0" w:val="clear"/>
          </w:tcPr>
          <w:p>
            <w:r>
              <w:rPr>
                <w:b/>
                <w:sz w:val="17"/>
              </w:rPr>
              <w:t>4,332</w:t>
            </w:r>
          </w:p>
        </w:tc>
        <w:tc>
          <w:tcPr>
            <w:tcW w:type="dxa" w:w="1440"/>
            <w:shd w:fill="FFDCE0" w:val="clear"/>
          </w:tcPr>
          <w:p>
            <w:r>
              <w:rPr>
                <w:sz w:val="17"/>
              </w:rPr>
              <w:t>4,535</w:t>
            </w:r>
          </w:p>
        </w:tc>
        <w:tc>
          <w:tcPr>
            <w:tcW w:type="dxa" w:w="1440"/>
            <w:shd w:fill="FFDCE0" w:val="clear"/>
          </w:tcPr>
          <w:p>
            <w:r>
              <w:rPr>
                <w:b/>
                <w:color w:val="C00000"/>
                <w:sz w:val="17"/>
              </w:rPr>
              <w:t>-3.5%</w:t>
            </w:r>
          </w:p>
        </w:tc>
      </w:tr>
      <w:tr>
        <w:tc>
          <w:tcPr>
            <w:tcW w:type="dxa" w:w="1440"/>
            <w:shd w:fill="FFDCE0" w:val="clear"/>
          </w:tcPr>
          <w:p>
            <w:r>
              <w:rPr>
                <w:sz w:val="17"/>
              </w:rPr>
              <w:t>J+7  Moyenne</w:t>
            </w:r>
          </w:p>
        </w:tc>
        <w:tc>
          <w:tcPr>
            <w:tcW w:type="dxa" w:w="1440"/>
            <w:shd w:fill="FFDCE0" w:val="clear"/>
          </w:tcPr>
          <w:p>
            <w:r>
              <w:rPr>
                <w:sz w:val="17"/>
              </w:rPr>
              <w:t>2026-09-10</w:t>
            </w:r>
          </w:p>
        </w:tc>
        <w:tc>
          <w:tcPr>
            <w:tcW w:type="dxa" w:w="1440"/>
            <w:shd w:fill="FFDCE0" w:val="clear"/>
          </w:tcPr>
          <w:p>
            <w:r>
              <w:rPr>
                <w:sz w:val="17"/>
              </w:rPr>
              <w:t>4,094</w:t>
            </w:r>
          </w:p>
        </w:tc>
        <w:tc>
          <w:tcPr>
            <w:tcW w:type="dxa" w:w="1440"/>
            <w:shd w:fill="FFDCE0" w:val="clear"/>
          </w:tcPr>
          <w:p>
            <w:r>
              <w:rPr>
                <w:b/>
                <w:sz w:val="17"/>
              </w:rPr>
              <w:t>4,312</w:t>
            </w:r>
          </w:p>
        </w:tc>
        <w:tc>
          <w:tcPr>
            <w:tcW w:type="dxa" w:w="1440"/>
            <w:shd w:fill="FFDCE0" w:val="clear"/>
          </w:tcPr>
          <w:p>
            <w:r>
              <w:rPr>
                <w:sz w:val="17"/>
              </w:rPr>
              <w:t>4,530</w:t>
            </w:r>
          </w:p>
        </w:tc>
        <w:tc>
          <w:tcPr>
            <w:tcW w:type="dxa" w:w="1440"/>
            <w:shd w:fill="FFDCE0" w:val="clear"/>
          </w:tcPr>
          <w:p>
            <w:r>
              <w:rPr>
                <w:b/>
                <w:color w:val="C00000"/>
                <w:sz w:val="17"/>
              </w:rPr>
              <w:t>-4.0%</w:t>
            </w:r>
          </w:p>
        </w:tc>
      </w:tr>
      <w:tr>
        <w:tc>
          <w:tcPr>
            <w:tcW w:type="dxa" w:w="1440"/>
            <w:shd w:fill="FFDCE0" w:val="clear"/>
          </w:tcPr>
          <w:p>
            <w:r>
              <w:rPr>
                <w:sz w:val="17"/>
              </w:rPr>
              <w:t>J+8  Moyenne</w:t>
            </w:r>
          </w:p>
        </w:tc>
        <w:tc>
          <w:tcPr>
            <w:tcW w:type="dxa" w:w="1440"/>
            <w:shd w:fill="FFDCE0" w:val="clear"/>
          </w:tcPr>
          <w:p>
            <w:r>
              <w:rPr>
                <w:sz w:val="17"/>
              </w:rPr>
              <w:t>2026-09-11</w:t>
            </w:r>
          </w:p>
        </w:tc>
        <w:tc>
          <w:tcPr>
            <w:tcW w:type="dxa" w:w="1440"/>
            <w:shd w:fill="FFDCE0" w:val="clear"/>
          </w:tcPr>
          <w:p>
            <w:r>
              <w:rPr>
                <w:sz w:val="17"/>
              </w:rPr>
              <w:t>4,060</w:t>
            </w:r>
          </w:p>
        </w:tc>
        <w:tc>
          <w:tcPr>
            <w:tcW w:type="dxa" w:w="1440"/>
            <w:shd w:fill="FFDCE0" w:val="clear"/>
          </w:tcPr>
          <w:p>
            <w:r>
              <w:rPr>
                <w:b/>
                <w:sz w:val="17"/>
              </w:rPr>
              <w:t>4,292</w:t>
            </w:r>
          </w:p>
        </w:tc>
        <w:tc>
          <w:tcPr>
            <w:tcW w:type="dxa" w:w="1440"/>
            <w:shd w:fill="FFDCE0" w:val="clear"/>
          </w:tcPr>
          <w:p>
            <w:r>
              <w:rPr>
                <w:sz w:val="17"/>
              </w:rPr>
              <w:t>4,524</w:t>
            </w:r>
          </w:p>
        </w:tc>
        <w:tc>
          <w:tcPr>
            <w:tcW w:type="dxa" w:w="1440"/>
            <w:shd w:fill="FFDCE0" w:val="clear"/>
          </w:tcPr>
          <w:p>
            <w:r>
              <w:rPr>
                <w:b/>
                <w:color w:val="C00000"/>
                <w:sz w:val="17"/>
              </w:rPr>
              <w:t>-4.4%</w:t>
            </w:r>
          </w:p>
        </w:tc>
      </w:tr>
      <w:tr>
        <w:tc>
          <w:tcPr>
            <w:tcW w:type="dxa" w:w="1440"/>
            <w:shd w:fill="FFDCE0" w:val="clear"/>
          </w:tcPr>
          <w:p>
            <w:r>
              <w:rPr>
                <w:sz w:val="17"/>
              </w:rPr>
              <w:t>J+9  Moyenne</w:t>
            </w:r>
          </w:p>
        </w:tc>
        <w:tc>
          <w:tcPr>
            <w:tcW w:type="dxa" w:w="1440"/>
            <w:shd w:fill="FFDCE0" w:val="clear"/>
          </w:tcPr>
          <w:p>
            <w:r>
              <w:rPr>
                <w:sz w:val="17"/>
              </w:rPr>
              <w:t>2026-09-14</w:t>
            </w:r>
          </w:p>
        </w:tc>
        <w:tc>
          <w:tcPr>
            <w:tcW w:type="dxa" w:w="1440"/>
            <w:shd w:fill="FFDCE0" w:val="clear"/>
          </w:tcPr>
          <w:p>
            <w:r>
              <w:rPr>
                <w:sz w:val="17"/>
              </w:rPr>
              <w:t>4,028</w:t>
            </w:r>
          </w:p>
        </w:tc>
        <w:tc>
          <w:tcPr>
            <w:tcW w:type="dxa" w:w="1440"/>
            <w:shd w:fill="FFDCE0" w:val="clear"/>
          </w:tcPr>
          <w:p>
            <w:r>
              <w:rPr>
                <w:b/>
                <w:sz w:val="17"/>
              </w:rPr>
              <w:t>4,273</w:t>
            </w:r>
          </w:p>
        </w:tc>
        <w:tc>
          <w:tcPr>
            <w:tcW w:type="dxa" w:w="1440"/>
            <w:shd w:fill="FFDCE0" w:val="clear"/>
          </w:tcPr>
          <w:p>
            <w:r>
              <w:rPr>
                <w:sz w:val="17"/>
              </w:rPr>
              <w:t>4,518</w:t>
            </w:r>
          </w:p>
        </w:tc>
        <w:tc>
          <w:tcPr>
            <w:tcW w:type="dxa" w:w="1440"/>
            <w:shd w:fill="FFDCE0" w:val="clear"/>
          </w:tcPr>
          <w:p>
            <w:r>
              <w:rPr>
                <w:b/>
                <w:color w:val="C00000"/>
                <w:sz w:val="17"/>
              </w:rPr>
              <w:t>-4.8%</w:t>
            </w:r>
          </w:p>
        </w:tc>
      </w:tr>
      <w:tr>
        <w:tc>
          <w:tcPr>
            <w:tcW w:type="dxa" w:w="1440"/>
            <w:shd w:fill="FFDCE0" w:val="clear"/>
          </w:tcPr>
          <w:p>
            <w:r>
              <w:rPr>
                <w:sz w:val="17"/>
              </w:rPr>
              <w:t>J+10  Moyenne</w:t>
            </w:r>
          </w:p>
        </w:tc>
        <w:tc>
          <w:tcPr>
            <w:tcW w:type="dxa" w:w="1440"/>
            <w:shd w:fill="FFDCE0" w:val="clear"/>
          </w:tcPr>
          <w:p>
            <w:r>
              <w:rPr>
                <w:sz w:val="17"/>
              </w:rPr>
              <w:t>2026-09-15</w:t>
            </w:r>
          </w:p>
        </w:tc>
        <w:tc>
          <w:tcPr>
            <w:tcW w:type="dxa" w:w="1440"/>
            <w:shd w:fill="FFDCE0" w:val="clear"/>
          </w:tcPr>
          <w:p>
            <w:r>
              <w:rPr>
                <w:sz w:val="17"/>
              </w:rPr>
              <w:t>3,997</w:t>
            </w:r>
          </w:p>
        </w:tc>
        <w:tc>
          <w:tcPr>
            <w:tcW w:type="dxa" w:w="1440"/>
            <w:shd w:fill="FFDCE0" w:val="clear"/>
          </w:tcPr>
          <w:p>
            <w:r>
              <w:rPr>
                <w:b/>
                <w:sz w:val="17"/>
              </w:rPr>
              <w:t>4,254</w:t>
            </w:r>
          </w:p>
        </w:tc>
        <w:tc>
          <w:tcPr>
            <w:tcW w:type="dxa" w:w="1440"/>
            <w:shd w:fill="FFDCE0" w:val="clear"/>
          </w:tcPr>
          <w:p>
            <w:r>
              <w:rPr>
                <w:sz w:val="17"/>
              </w:rPr>
              <w:t>4,511</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 AFRIC MOTORS CI)**</w:t>
        <w:br/>
        <w:t>**Date de l'analyse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45,98 milliards FCFA, un niveau qui la positionne comme une valeur de taille moyenne sur le compartiment obligataire et les grandes capitalisations de la BRVM. Avec un BPA de 231 FCFA, le titre se négocie à un PER de 19,4x, nettement supérieur à la moyenne historique de la place (~8-12x), indiquant que les investisseurs acceptent de payer une prime substantielle pour les bénéfices de la société. Cette prime est confirmée par le P/B de 3,99x, qui valorise l'actif net comptable près de quatre fois au-dessus de sa valeur, suggérant des attentes de croissance élevées. Enfin, un EV/EBITDA de 9,9x, dans la fourchette haute des standards de la région, témoigne d'une valorisation globale exigeante qui ne laisse que peu de marge d'erreur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PRSC a enregistré une contraction de 10,11%, passant d'un plus haut de 5 100 FCFA à un plus bas de 3 620 FCFA, avant de rebondir légèrement à 4 490 FCFA (+1,24% sur la dernière séance). La moyenne du cours sur la période (4 439 FCFA) est très proche de la médiane (4 488 FCFA), indiquant une distribution relativement symétrique des prix, bien que le skewness négatif (-0.670) révèle une tendance des fortes baisses à être plus fréquentes que les fortes hausses. L'écart-type de 345 FCFA (CV de 7,8%) dénote une dispersion modérée autour de la moyenne, tandis que le kurtosis de 0.303 (mésokurtique) suggère l'absence de mouvements extrêmes ou de "queues lourdes" dans la distribution. La volatilité annualisée de 39,3% classe le titre comme très volatil, ce qui implique un risque élevé pour les investisseurs à court terme, mais peut offrir des opportunités pour ceux ayant un horizon plus long.</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(4 490 FCFA) se situe sous sa MM20 (4 459,5 FCFA) et sa MM50 (4 502,4 FCFA), bien que l'écart soit minime. La position sous la MM50, qui agit comme un support dynamique, suggère une tendance de fond légèrement baissière. Le signal de "Vente" est justifié par cette configuration, mais la proximité des moyennes indique un possible retournement si le cours parvient à franchir la MM50.</w:t>
      </w:r>
    </w:p>
    <w:p>
      <w:pPr>
        <w:spacing w:after="120" w:line="276" w:lineRule="auto"/>
      </w:pPr>
      <w:r>
        <w:t>**Bandes de Bollinger** : Le prix se négocie à l'intérieur des bandes, proche de la moyenne mobile centrale (4 459,5 FCFA), avec la borne supérieure à 4 553,86 FCFA et la borne inférieure à 4 365,14 FCFA. La largeur des bandes est modérée, reflétant la volatilité récente. La décision "Neutre" est appropriée, car le cours n'est ni suracheté ni survendu, évoluant dans une zone de consolidation.</w:t>
      </w:r>
    </w:p>
    <w:p>
      <w:pPr>
        <w:spacing w:after="120" w:line="276" w:lineRule="auto"/>
      </w:pPr>
      <w:r>
        <w:t>**MACD** : La valeur du MACD (1.362) est positive et a franchi au-dessus de sa ligne de signal (-2.084), générant un signal d'achat. Cette configuration indique un regain de momentum haussier à court terme, après une phase de correction. La divergence positive entre le MACD et le signal suggère que la pression acheteuse reprend le dessus.</w:t>
      </w:r>
    </w:p>
    <w:p>
      <w:pPr>
        <w:spacing w:after="120" w:line="276" w:lineRule="auto"/>
      </w:pPr>
      <w:r>
        <w:t>**RSI** : À 58,82, le RSI se situe en zone neutre (entre 30 et 70), sans signal de surachat ou de survente. Cette valeur indique que le titre dispose d'une marge de progression avant d'atteindre des conditions de surachat, mais qu'il n'y a pas non plus de pression vendeuse excessive. La décision "Neutre" est cohérente avec cette lecture.</w:t>
      </w:r>
    </w:p>
    <w:p>
      <w:pPr>
        <w:spacing w:after="120" w:line="276" w:lineRule="auto"/>
      </w:pPr>
      <w:r>
        <w:t>**Stochastique** : Le %K (60,0) est supérieur au %D (47,78), et les deux indicateurs sont orientés à la hausse, ce qui signale un momentum positif. Le croisement haussier du %K au-dessus du %D est un signal d'achat précoce, indiquant que le mouvement de reprise pourrait se poursuivre à très court terme.</w:t>
      </w:r>
    </w:p>
    <w:p>
      <w:pPr>
        <w:spacing w:after="120" w:line="276" w:lineRule="auto"/>
      </w:pPr>
      <w:r>
        <w:t>**Conclusion technique** : Les indicateurs sont mitigés mais montrent une légère amélioration. Les moyennes mobiles sont baissières, mais le MACD et le Stochastique suggèrent un rebond imminent. Le RSI neutre et les bandes de Bollinger stables indiquent une phase de consolidation. Globalement, le titre semble chercher une direction, avec un biais haussier à très court terme, mais une tendance de fond incertaine.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PRSC a réalisé un chiffre d'affaires de 81,127 milliards FCFA, en croissance de 8,6% par rapport à 2024 (74,45 Mds FCFA), confirmant la reprise amorcée au S1 2025 (+15,1% au 30/06/2025). Le résultat net s'établit à 2,367 milliards FCFA, en hausse de 8,7% par rapport aux 2,177 milliards de 2024, mais la marge nette reste faible à 2,92%. La rentabilité des capitaux propres (ROE) est excellente à 20,5%, tandis que le ROA est de 4,9%. La structure financière montre une autonomie de 24,1% et un endettement total de 314,8% des capitaux propres. Le BFR s'élève à 11,267 milliards FCFA, avec des délais clients de 46 jours et fournisseurs de 103 jours, indiquant une gestion correcte. Cependant, le flux opérationnel est négatif (-1,855 milliard FCFA) et la trésorerie nette est déficitaire de -4,092 milliards FCFA, signalant des tensions de liquidité. Les rapports de 2023 et 2024 montrent une amélioration de la rentabilité nette, mais une dégradation opérationnelle (ROC en baisse de 47% en 2024). Le dividende proposé pour 2025 est de 209 FCFA par action, offrant un rendement d'environ 4,6% au cours actuel. La solidité financière est modérée, avec une capacité de remboursement de 1,83 an, mais la dépendance aux produits non courants et la pression sur la trésorerie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actuelle de PRSC (PER 19,4x, P/B 3,99x) est exigeante au regard des standards BRVM, intégrant des attentes de croissance qui ne se matérialisent que partiellement dans les résultats (marge nette de 2,9%). Le comportement du cours sur 100 jours montre une tendance baissière (-10,1%) avec une volatilité élevée (39,3%), mais les statistiques (kurtosis faible, skewness négatif) suggèrent un risque de nouvelles baisses. Les signaux techniques sont mitigés, avec un MACD et un Stochastique haussiers à court terme, mais des moyennes mobiles baissières. Fondamentalement, la société affiche une croissance du CA solide (+8,6% en 2025) et un ROE excellent (20,5%), mais souffre de tensions de trésorerie et d'une rentabilité opérationnelle fragile. Les prédictions IA sur 10 jours (baisse progressive à 4 353 FCFA) contredisent les signaux techniques de court terme, suggérant une poursuite de la correction. La convergence entre la valorisation élevée, la tendance baissière et les prédictions IA, malgré des fondamentaux corrects, conduit à une recommandation de **CONSERVER** avec un niveau de confiance **Moyen**. Le risque global est **Élevé** en raison de la volatilité et des tensions de liquidité. L'horizon d'investissement optimal est le **moyen terme (3-12 mois)**, en attendant une clarification de la politique de dividende et une amélioration durable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50.34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7,435 titres</w:t>
            </w:r>
          </w:p>
        </w:tc>
        <w:tc>
          <w:tcPr>
            <w:tcW w:type="dxa" w:w="2268"/>
            <w:shd w:fill="FFF2CC" w:val="clear"/>
          </w:tcPr>
          <w:p>
            <w:r>
              <w:rPr>
                <w:b/>
                <w:color w:val="503200"/>
                <w:sz w:val="16"/>
              </w:rPr>
              <w:t xml:space="preserve">Cours actuel : </w:t>
            </w:r>
            <w:r>
              <w:rPr>
                <w:color w:val="000000"/>
                <w:sz w:val="17"/>
              </w:rPr>
              <w:t>6,200 FCFA</w:t>
            </w:r>
          </w:p>
          <w:p>
            <w:r>
              <w:rPr>
                <w:b/>
                <w:color w:val="503200"/>
                <w:sz w:val="16"/>
              </w:rPr>
              <w:t xml:space="preserve">Var. 100 jours : </w:t>
            </w:r>
            <w:r>
              <w:rPr>
                <w:b/>
                <w:color w:val="B40000"/>
                <w:sz w:val="17"/>
              </w:rPr>
              <w:t>-11.49%</w:t>
            </w:r>
          </w:p>
          <w:p>
            <w:r>
              <w:rPr>
                <w:b/>
                <w:color w:val="503200"/>
                <w:sz w:val="16"/>
              </w:rPr>
              <w:t xml:space="preserve">Plus haut 100j : </w:t>
            </w:r>
            <w:r>
              <w:rPr>
                <w:color w:val="000000"/>
                <w:sz w:val="17"/>
              </w:rPr>
              <w:t>7,435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31.9/100 → Moyen</w:t>
      </w:r>
    </w:p>
    <w:p>
      <w:pPr>
        <w:spacing w:before="40" w:after="80"/>
      </w:pPr>
      <w:r>
        <w:rPr>
          <w:rFonts w:ascii="Courier New" w:hAnsi="Courier New"/>
          <w:color w:val="825A00"/>
          <w:sz w:val="18"/>
        </w:rPr>
        <w:t>██████░░░░░░░░░░░░░░  31.9/100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20.98% (Élevée) — μ=4,707 FCFA, σ=987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β=0.4279 (Défensif) — Cov=0.000016, Var(idx)=0.000037, ρ=0.050,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7,435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2026-09-02</w:t>
            </w:r>
          </w:p>
        </w:tc>
        <w:tc>
          <w:tcPr>
            <w:tcW w:type="dxa" w:w="1440"/>
            <w:shd w:fill="FFDCE0" w:val="clear"/>
          </w:tcPr>
          <w:p>
            <w:r>
              <w:rPr>
                <w:sz w:val="17"/>
              </w:rPr>
              <w:t>5,405</w:t>
            </w:r>
          </w:p>
        </w:tc>
        <w:tc>
          <w:tcPr>
            <w:tcW w:type="dxa" w:w="1440"/>
            <w:shd w:fill="FFDCE0" w:val="clear"/>
          </w:tcPr>
          <w:p>
            <w:r>
              <w:rPr>
                <w:b/>
                <w:sz w:val="17"/>
              </w:rPr>
              <w:t>5,735</w:t>
            </w:r>
          </w:p>
        </w:tc>
        <w:tc>
          <w:tcPr>
            <w:tcW w:type="dxa" w:w="1440"/>
            <w:shd w:fill="FFDCE0" w:val="clear"/>
          </w:tcPr>
          <w:p>
            <w:r>
              <w:rPr>
                <w:sz w:val="17"/>
              </w:rPr>
              <w:t>6,065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4,874</w:t>
            </w:r>
          </w:p>
        </w:tc>
        <w:tc>
          <w:tcPr>
            <w:tcW w:type="dxa" w:w="1440"/>
            <w:shd w:fill="FFDCE0" w:val="clear"/>
          </w:tcPr>
          <w:p>
            <w:r>
              <w:rPr>
                <w:b/>
                <w:sz w:val="17"/>
              </w:rPr>
              <w:t>5,305</w:t>
            </w:r>
          </w:p>
        </w:tc>
        <w:tc>
          <w:tcPr>
            <w:tcW w:type="dxa" w:w="1440"/>
            <w:shd w:fill="FFDCE0" w:val="clear"/>
          </w:tcPr>
          <w:p>
            <w:r>
              <w:rPr>
                <w:sz w:val="17"/>
              </w:rPr>
              <w:t>5,736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4,419</w:t>
            </w:r>
          </w:p>
        </w:tc>
        <w:tc>
          <w:tcPr>
            <w:tcW w:type="dxa" w:w="1440"/>
            <w:shd w:fill="FFDCE0" w:val="clear"/>
          </w:tcPr>
          <w:p>
            <w:r>
              <w:rPr>
                <w:b/>
                <w:sz w:val="17"/>
              </w:rPr>
              <w:t>4,907</w:t>
            </w:r>
          </w:p>
        </w:tc>
        <w:tc>
          <w:tcPr>
            <w:tcW w:type="dxa" w:w="1440"/>
            <w:shd w:fill="FFDCE0" w:val="clear"/>
          </w:tcPr>
          <w:p>
            <w:r>
              <w:rPr>
                <w:sz w:val="17"/>
              </w:rPr>
              <w:t>5,395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4,017</w:t>
            </w:r>
          </w:p>
        </w:tc>
        <w:tc>
          <w:tcPr>
            <w:tcW w:type="dxa" w:w="1440"/>
            <w:shd w:fill="FFDCE0" w:val="clear"/>
          </w:tcPr>
          <w:p>
            <w:r>
              <w:rPr>
                <w:b/>
                <w:sz w:val="17"/>
              </w:rPr>
              <w:t>4,539</w:t>
            </w:r>
          </w:p>
        </w:tc>
        <w:tc>
          <w:tcPr>
            <w:tcW w:type="dxa" w:w="1440"/>
            <w:shd w:fill="FFDCE0" w:val="clear"/>
          </w:tcPr>
          <w:p>
            <w:r>
              <w:rPr>
                <w:sz w:val="17"/>
              </w:rPr>
              <w:t>5,061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3,659</w:t>
            </w:r>
          </w:p>
        </w:tc>
        <w:tc>
          <w:tcPr>
            <w:tcW w:type="dxa" w:w="1440"/>
            <w:shd w:fill="FFDCE0" w:val="clear"/>
          </w:tcPr>
          <w:p>
            <w:r>
              <w:rPr>
                <w:b/>
                <w:sz w:val="17"/>
              </w:rPr>
              <w:t>4,199</w:t>
            </w:r>
          </w:p>
        </w:tc>
        <w:tc>
          <w:tcPr>
            <w:tcW w:type="dxa" w:w="1440"/>
            <w:shd w:fill="FFDCE0" w:val="clear"/>
          </w:tcPr>
          <w:p>
            <w:r>
              <w:rPr>
                <w:sz w:val="17"/>
              </w:rPr>
              <w:t>4,738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3,337</w:t>
            </w:r>
          </w:p>
        </w:tc>
        <w:tc>
          <w:tcPr>
            <w:tcW w:type="dxa" w:w="1440"/>
            <w:shd w:fill="FFDCE0" w:val="clear"/>
          </w:tcPr>
          <w:p>
            <w:r>
              <w:rPr>
                <w:b/>
                <w:sz w:val="17"/>
              </w:rPr>
              <w:t>3,884</w:t>
            </w:r>
          </w:p>
        </w:tc>
        <w:tc>
          <w:tcPr>
            <w:tcW w:type="dxa" w:w="1440"/>
            <w:shd w:fill="FFDCE0" w:val="clear"/>
          </w:tcPr>
          <w:p>
            <w:r>
              <w:rPr>
                <w:sz w:val="17"/>
              </w:rPr>
              <w:t>4,430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3,046</w:t>
            </w:r>
          </w:p>
        </w:tc>
        <w:tc>
          <w:tcPr>
            <w:tcW w:type="dxa" w:w="1440"/>
            <w:shd w:fill="FFDCE0" w:val="clear"/>
          </w:tcPr>
          <w:p>
            <w:r>
              <w:rPr>
                <w:b/>
                <w:sz w:val="17"/>
              </w:rPr>
              <w:t>3,592</w:t>
            </w:r>
          </w:p>
        </w:tc>
        <w:tc>
          <w:tcPr>
            <w:tcW w:type="dxa" w:w="1440"/>
            <w:shd w:fill="FFDCE0" w:val="clear"/>
          </w:tcPr>
          <w:p>
            <w:r>
              <w:rPr>
                <w:sz w:val="17"/>
              </w:rPr>
              <w:t>4,138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2,783</w:t>
            </w:r>
          </w:p>
        </w:tc>
        <w:tc>
          <w:tcPr>
            <w:tcW w:type="dxa" w:w="1440"/>
            <w:shd w:fill="FFDCE0" w:val="clear"/>
          </w:tcPr>
          <w:p>
            <w:r>
              <w:rPr>
                <w:b/>
                <w:sz w:val="17"/>
              </w:rPr>
              <w:t>3,323</w:t>
            </w:r>
          </w:p>
        </w:tc>
        <w:tc>
          <w:tcPr>
            <w:tcW w:type="dxa" w:w="1440"/>
            <w:shd w:fill="FFDCE0" w:val="clear"/>
          </w:tcPr>
          <w:p>
            <w:r>
              <w:rPr>
                <w:sz w:val="17"/>
              </w:rPr>
              <w:t>3,863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2,544</w:t>
            </w:r>
          </w:p>
        </w:tc>
        <w:tc>
          <w:tcPr>
            <w:tcW w:type="dxa" w:w="1440"/>
            <w:shd w:fill="FFDCE0" w:val="clear"/>
          </w:tcPr>
          <w:p>
            <w:r>
              <w:rPr>
                <w:b/>
                <w:sz w:val="17"/>
              </w:rPr>
              <w:t>3,074</w:t>
            </w:r>
          </w:p>
        </w:tc>
        <w:tc>
          <w:tcPr>
            <w:tcW w:type="dxa" w:w="1440"/>
            <w:shd w:fill="FFDCE0" w:val="clear"/>
          </w:tcPr>
          <w:p>
            <w:r>
              <w:rPr>
                <w:sz w:val="17"/>
              </w:rPr>
              <w:t>3,604</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2,327</w:t>
            </w:r>
          </w:p>
        </w:tc>
        <w:tc>
          <w:tcPr>
            <w:tcW w:type="dxa" w:w="1440"/>
            <w:shd w:fill="FFDCE0" w:val="clear"/>
          </w:tcPr>
          <w:p>
            <w:r>
              <w:rPr>
                <w:b/>
                <w:sz w:val="17"/>
              </w:rPr>
              <w:t>2,843</w:t>
            </w:r>
          </w:p>
        </w:tc>
        <w:tc>
          <w:tcPr>
            <w:tcW w:type="dxa" w:w="1440"/>
            <w:shd w:fill="FFDCE0" w:val="clear"/>
          </w:tcPr>
          <w:p>
            <w:r>
              <w:rPr>
                <w:sz w:val="17"/>
              </w:rPr>
              <w:t>3,360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de l'analyse : 01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50,34 milliards FCFA, un niveau modeste dans l'écosystème de la BRVM, reflétant un profil de petite capitalisation. Avec un BPA de 86 FCFA, le titre se négocie à un PER de 71,8x, un niveau extrêmement élevé comparé à la moyenne historique de la BRVM (8-12x), indiquant que les investisseurs paient une prime considérable pour les bénéfices actuels, qui restent encore faibles. Le P/B de 8,51x confirme cette surévaluation relative, le marché valorisant la société à plus de huit fois sa valeur comptable, ce qui est exigeant pour un établissement en phase de redressement. Enfin, l'EV/EBITDA de 83,5x est également très élevé, signalant que la valeur d'entreprise intègre des attentes de croissance opérationnelle future très optimistes, potentiellement déconnectées des fondamentaux actuels. Ces ratios suggèrent une valorisation qui anticipe une poursuite significative du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 enregistré une variation totale de -11,49%, mais affiche un rebond spectaculaire de +5,08% lors de la dernière séance, clôturant à 6 200 FCFA. Le titre a connu une amplitude de trading extrême, oscillant entre un plus bas de 3 340 FCFA et un plus haut de 7 435 FCFA, illustrant une volatilité et une nervosité intenses. La moyenne du cours sur la période est de 4 707 FCFA, inférieure à la médiane de 4 505 FCFA, et le skewness positif de 0,841 indique une distribution asymétrique avec des épisodes de fortes hausses moins fréquents mais amples. L'écart-type de 992 FCFA (CV=21,1%) montre une dispersion notable, tandis que le kurtosis proche de zéro suggère une distribution des rendements sans queues épaisses particulières. La volatilité annualisée de 82,2% est extrêmement élevée, classant SAFC comme un actif à très haut risque, typique des valeurs en phase de retournement où le sentiment prime sur les fondamentaux.</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de 6 200 FCFA est nettement au-dessus de la MM20 (5 533,5 FCFA) et de la MM50 (4 972,5 FCFA), avec ces dernières orientées à la hausse. Cette configuration haussière à court et moyen terme justifie la décision d'**Achat**, le titre évoluant dans une dynamique positive après son récent rebond.</w:t>
      </w:r>
    </w:p>
    <w:p>
      <w:pPr>
        <w:spacing w:after="120" w:line="276" w:lineRule="auto"/>
      </w:pPr>
      <w:r>
        <w:t>**Bandes de Bollinger**: Le prix se situe à 6 200 FCFA, très proche de la borne supérieure (6 328,8 FCFA), indiquant que le titre est en zone de surachat temporaire après le mouvement haussier. La largeur des bandes reflète la forte volatilité. La décision est **Neutre**, car un test de la borne supérieure peut précéder une consolidation ou une poursuite, nécessitant une confirmation.</w:t>
      </w:r>
    </w:p>
    <w:p>
      <w:pPr>
        <w:spacing w:after="120" w:line="276" w:lineRule="auto"/>
      </w:pPr>
      <w:r>
        <w:t>**MACD**: Le MACD (324,475) est positif et évolue au-dessus de son signal (304,008), confirmant un momentum haussier en cours. La divergence positive suggère que la dynamique d'achat est toujours dominante, justifiant la décision d'**Achat**, bien que l'écart ne soit pas excessif, ce qui limite le risque de retournement brutal à court terme.</w:t>
      </w:r>
    </w:p>
    <w:p>
      <w:pPr>
        <w:spacing w:after="120" w:line="276" w:lineRule="auto"/>
      </w:pPr>
      <w:r>
        <w:t>**RSI**: Le RSI est à 85,641, un niveau extrêmement élevé, bien au-delà du seuil de surachat de 70. Cela indique que le titre est survendu à la hausse et qu'un repli technique est probable à court terme. La décision de **Vente** est donc justifiée, car les conditions de surachat rendent une correction imminente plus probable qu'une poursuite immédiate.</w:t>
      </w:r>
    </w:p>
    <w:p>
      <w:pPr>
        <w:spacing w:after="120" w:line="276" w:lineRule="auto"/>
      </w:pPr>
      <w:r>
        <w:t>**Stochastique**: Le %K (100,0) et le %D (98,93) sont tous deux à des niveaux extrêmes de surachat, avec %K au-dessus de %D. Cette configuration signale un marché très solide mais également une pression acheteuse excessive, rendant le titre vulnérable à un retournement. La décision de **Vente** est cohérente avec le RSI, suggérant une pause technique.</w:t>
      </w:r>
    </w:p>
    <w:p>
      <w:pPr>
        <w:spacing w:after="120" w:line="276" w:lineRule="auto"/>
      </w:pPr>
      <w:r>
        <w:t>**Conclusion technique**: Les indicateurs de tendance (MM, MACD) sont positifs et confirment une dynamique haussière, mais les oscillateurs de momentum (RSI, Stochastique) sont en zone de surachat extrême. Cette divergence signale un risque élevé de correction à court terme. La prudence est donc de mise, et un repli vers les moyennes mobiles serait une opportunité d'achat plus saine.</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Produit Net Bancaire (PNB) de 5,735 milliards FCFA, en hausse de 44,1% par rapport à 2024, et un résultat net positif de 701 millions FCFA, contre une perte de 165 millions en 2024. Cette performance, portée par l'arrivée du nouvel actionnaire CREDAF Group, a permis d'améliorer la marge nette à 12,2% et le ROE à 11,85%, bien que le ROA reste faible à 0,88%. Le coefficient d'exploitation de 77,6% demeure élevé, indiquant une efficacité opérationnelle encore perfectible. Le coût du risque de 6,57% reste significatif, reflétant un portefeuille de crédits encore fragile, avec des créances clientèle de 60,476 milliards FCFA financées en grande partie par des dettes interbancaires (35,747 milliards), créant une dépendance aux marchés de financement. Les capitaux propres de 5,916 milliards FCFA restent modestes face à un total bilan de 79,555 milliards, avec un report à nouveau négatif de -4,123 milliards. Sur la base du rapport T1 2026 (PNB de 1,395 milliards, +29%, et résultat net de 151 millions, +1062%), on estime que l'exercice 2026 devrait confirmer la tendance avec un PNB annuel potentiel de 5,6 à 6 milliards FCFA et un résultat net qui pourrait dépasser les 600 millions FCFA, consolidant le redressement. Les rapports de 2025 et du T1 2026 convergent vers une recommandation de **CONSERVER**, la dynamique étant positive mais la structure financière nécessitant encore un renforcement pour justifier une valorisation plus élevée.</w:t>
      </w:r>
    </w:p>
    <w:p>
      <w:pPr>
        <w:spacing w:after="120" w:line="276" w:lineRule="auto"/>
      </w:pPr>
      <w:r>
        <w:t>---</w:t>
      </w:r>
    </w:p>
    <w:p>
      <w:pPr>
        <w:spacing w:after="120" w:line="276" w:lineRule="auto"/>
      </w:pPr>
      <w:r>
        <w:t>### PARTIE 4 : CONCLUSION D'INVESTISSEMENT</w:t>
      </w:r>
    </w:p>
    <w:p>
      <w:pPr>
        <w:spacing w:after="120" w:line="276" w:lineRule="auto"/>
      </w:pPr>
      <w:r>
        <w:t>La valorisation de SAFC (PER 71,8x, P/B 8,51x) est extrêmement exigeante, intégrant des attentes de croissance très optimistes qui ne sont pas encore soutenues par les bénéfices actuels. Le comportement du cours, bien que volatil (82,2% annualisé), montre une tendance récente positive, mais les statistiques descriptives (skewness positif, moyenne inférieure au cours actuel) indiquent que le titre a fortement rebondi après une période de faiblesse. Les signaux techniques sont mitigés : la tendance (MM, MACD) est haussière, mais les oscillateurs (RSI, Stochastique) sont en surachat extrême, suggérant un risque de correction à court terme. Les fondamentaux, bien qu'en amélioration nette en 2025 et au T1 2026, restent fragiles avec un coût du risque élevé et des capitaux propres insuffisants. Les prédictions IA pour les 10 prochains jours (5 735 FCFA à 4 199 FCFA) prévoient une baisse significative, contredisant le momentum haussier actuel et suggérant un désenchantement probable. En synthèse, la convergence entre la valorisation excessive, les signaux techniques de surachat et les prédictions IA baissières l'emporte sur les fondamentaux en amélioration. Par conséquent, la recommandation finale est **VENTE** pour les investisseurs à court terme, avec un niveau de confiance **Moyen** et un risque global **Élevé**. Pour les investisseurs à long terme, il serait prudent d'attendre une correction du cours et une consolidation des fondamentaux avant d'envisager une position, avec un horizon optimal de moyen terme (3-12 mois) pour observer la confirmation du redressement.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70.36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12,276 titres</w:t>
            </w:r>
          </w:p>
        </w:tc>
        <w:tc>
          <w:tcPr>
            <w:tcW w:type="dxa" w:w="2268"/>
            <w:shd w:fill="FFF2CC" w:val="clear"/>
          </w:tcPr>
          <w:p>
            <w:r>
              <w:rPr>
                <w:b/>
                <w:color w:val="503200"/>
                <w:sz w:val="16"/>
              </w:rPr>
              <w:t xml:space="preserve">Cours actuel : </w:t>
            </w:r>
            <w:r>
              <w:rPr>
                <w:color w:val="000000"/>
                <w:sz w:val="17"/>
              </w:rPr>
              <w:t>3,590 FCFA</w:t>
            </w:r>
          </w:p>
          <w:p>
            <w:r>
              <w:rPr>
                <w:b/>
                <w:color w:val="503200"/>
                <w:sz w:val="16"/>
              </w:rPr>
              <w:t xml:space="preserve">Var. 100 jours : </w:t>
            </w:r>
            <w:r>
              <w:rPr>
                <w:b/>
                <w:color w:val="007800"/>
                <w:sz w:val="17"/>
              </w:rPr>
              <w:t>+88.95%</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21.34% (Élevée) — μ=2,961 FCFA, σ=632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β=0.3315 (Défensif) — Cov=0.000012, Var(idx)=0.000037, ρ=0.058,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12,276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σ_j=3.48%/j (Modérée) — Vol. annualisée≈55.3%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3,186</w:t>
            </w:r>
          </w:p>
        </w:tc>
        <w:tc>
          <w:tcPr>
            <w:tcW w:type="dxa" w:w="1440"/>
            <w:shd w:fill="FFDCE0" w:val="clear"/>
          </w:tcPr>
          <w:p>
            <w:r>
              <w:rPr>
                <w:b/>
                <w:sz w:val="17"/>
              </w:rPr>
              <w:t>3,321</w:t>
            </w:r>
          </w:p>
        </w:tc>
        <w:tc>
          <w:tcPr>
            <w:tcW w:type="dxa" w:w="1440"/>
            <w:shd w:fill="FFDCE0" w:val="clear"/>
          </w:tcPr>
          <w:p>
            <w:r>
              <w:rPr>
                <w:sz w:val="17"/>
              </w:rPr>
              <w:t>3,456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2,895</w:t>
            </w:r>
          </w:p>
        </w:tc>
        <w:tc>
          <w:tcPr>
            <w:tcW w:type="dxa" w:w="1440"/>
            <w:shd w:fill="FFDCE0" w:val="clear"/>
          </w:tcPr>
          <w:p>
            <w:r>
              <w:rPr>
                <w:b/>
                <w:sz w:val="17"/>
              </w:rPr>
              <w:t>3,072</w:t>
            </w:r>
          </w:p>
        </w:tc>
        <w:tc>
          <w:tcPr>
            <w:tcW w:type="dxa" w:w="1440"/>
            <w:shd w:fill="FFDCE0" w:val="clear"/>
          </w:tcPr>
          <w:p>
            <w:r>
              <w:rPr>
                <w:sz w:val="17"/>
              </w:rPr>
              <w:t>3,248</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2,641</w:t>
            </w:r>
          </w:p>
        </w:tc>
        <w:tc>
          <w:tcPr>
            <w:tcW w:type="dxa" w:w="1440"/>
            <w:shd w:fill="FFDCE0" w:val="clear"/>
          </w:tcPr>
          <w:p>
            <w:r>
              <w:rPr>
                <w:b/>
                <w:sz w:val="17"/>
              </w:rPr>
              <w:t>2,841</w:t>
            </w:r>
          </w:p>
        </w:tc>
        <w:tc>
          <w:tcPr>
            <w:tcW w:type="dxa" w:w="1440"/>
            <w:shd w:fill="FFDCE0" w:val="clear"/>
          </w:tcPr>
          <w:p>
            <w:r>
              <w:rPr>
                <w:sz w:val="17"/>
              </w:rPr>
              <w:t>3,041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2,414</w:t>
            </w:r>
          </w:p>
        </w:tc>
        <w:tc>
          <w:tcPr>
            <w:tcW w:type="dxa" w:w="1440"/>
            <w:shd w:fill="FFDCE0" w:val="clear"/>
          </w:tcPr>
          <w:p>
            <w:r>
              <w:rPr>
                <w:b/>
                <w:sz w:val="17"/>
              </w:rPr>
              <w:t>2,628</w:t>
            </w:r>
          </w:p>
        </w:tc>
        <w:tc>
          <w:tcPr>
            <w:tcW w:type="dxa" w:w="1440"/>
            <w:shd w:fill="FFDCE0" w:val="clear"/>
          </w:tcPr>
          <w:p>
            <w:r>
              <w:rPr>
                <w:sz w:val="17"/>
              </w:rPr>
              <w:t>2,842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2,210</w:t>
            </w:r>
          </w:p>
        </w:tc>
        <w:tc>
          <w:tcPr>
            <w:tcW w:type="dxa" w:w="1440"/>
            <w:shd w:fill="FFDCE0" w:val="clear"/>
          </w:tcPr>
          <w:p>
            <w:r>
              <w:rPr>
                <w:b/>
                <w:sz w:val="17"/>
              </w:rPr>
              <w:t>2,431</w:t>
            </w:r>
          </w:p>
        </w:tc>
        <w:tc>
          <w:tcPr>
            <w:tcW w:type="dxa" w:w="1440"/>
            <w:shd w:fill="FFDCE0" w:val="clear"/>
          </w:tcPr>
          <w:p>
            <w:r>
              <w:rPr>
                <w:sz w:val="17"/>
              </w:rPr>
              <w:t>2,652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2,025</w:t>
            </w:r>
          </w:p>
        </w:tc>
        <w:tc>
          <w:tcPr>
            <w:tcW w:type="dxa" w:w="1440"/>
            <w:shd w:fill="FFDCE0" w:val="clear"/>
          </w:tcPr>
          <w:p>
            <w:r>
              <w:rPr>
                <w:b/>
                <w:sz w:val="17"/>
              </w:rPr>
              <w:t>2,249</w:t>
            </w:r>
          </w:p>
        </w:tc>
        <w:tc>
          <w:tcPr>
            <w:tcW w:type="dxa" w:w="1440"/>
            <w:shd w:fill="FFDCE0" w:val="clear"/>
          </w:tcPr>
          <w:p>
            <w:r>
              <w:rPr>
                <w:sz w:val="17"/>
              </w:rPr>
              <w:t>2,473</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1,856</w:t>
            </w:r>
          </w:p>
        </w:tc>
        <w:tc>
          <w:tcPr>
            <w:tcW w:type="dxa" w:w="1440"/>
            <w:shd w:fill="FFDCE0" w:val="clear"/>
          </w:tcPr>
          <w:p>
            <w:r>
              <w:rPr>
                <w:b/>
                <w:sz w:val="17"/>
              </w:rPr>
              <w:t>2,080</w:t>
            </w:r>
          </w:p>
        </w:tc>
        <w:tc>
          <w:tcPr>
            <w:tcW w:type="dxa" w:w="1440"/>
            <w:shd w:fill="FFDCE0" w:val="clear"/>
          </w:tcPr>
          <w:p>
            <w:r>
              <w:rPr>
                <w:sz w:val="17"/>
              </w:rPr>
              <w:t>2,304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1,703</w:t>
            </w:r>
          </w:p>
        </w:tc>
        <w:tc>
          <w:tcPr>
            <w:tcW w:type="dxa" w:w="1440"/>
            <w:shd w:fill="FFDCE0" w:val="clear"/>
          </w:tcPr>
          <w:p>
            <w:r>
              <w:rPr>
                <w:b/>
                <w:sz w:val="17"/>
              </w:rPr>
              <w:t>1,924</w:t>
            </w:r>
          </w:p>
        </w:tc>
        <w:tc>
          <w:tcPr>
            <w:tcW w:type="dxa" w:w="1440"/>
            <w:shd w:fill="FFDCE0" w:val="clear"/>
          </w:tcPr>
          <w:p>
            <w:r>
              <w:rPr>
                <w:sz w:val="17"/>
              </w:rPr>
              <w:t>2,145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1,563</w:t>
            </w:r>
          </w:p>
        </w:tc>
        <w:tc>
          <w:tcPr>
            <w:tcW w:type="dxa" w:w="1440"/>
            <w:shd w:fill="FFDCE0" w:val="clear"/>
          </w:tcPr>
          <w:p>
            <w:r>
              <w:rPr>
                <w:b/>
                <w:sz w:val="17"/>
              </w:rPr>
              <w:t>1,780</w:t>
            </w:r>
          </w:p>
        </w:tc>
        <w:tc>
          <w:tcPr>
            <w:tcW w:type="dxa" w:w="1440"/>
            <w:shd w:fill="FFDCE0" w:val="clear"/>
          </w:tcPr>
          <w:p>
            <w:r>
              <w:rPr>
                <w:sz w:val="17"/>
              </w:rPr>
              <w:t>1,997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1,435</w:t>
            </w:r>
          </w:p>
        </w:tc>
        <w:tc>
          <w:tcPr>
            <w:tcW w:type="dxa" w:w="1440"/>
            <w:shd w:fill="FFDCE0" w:val="clear"/>
          </w:tcPr>
          <w:p>
            <w:r>
              <w:rPr>
                <w:b/>
                <w:sz w:val="17"/>
              </w:rPr>
              <w:t>1,646</w:t>
            </w:r>
          </w:p>
        </w:tc>
        <w:tc>
          <w:tcPr>
            <w:tcW w:type="dxa" w:w="1440"/>
            <w:shd w:fill="FFDCE0" w:val="clear"/>
          </w:tcPr>
          <w:p>
            <w:r>
              <w:rPr>
                <w:sz w:val="17"/>
              </w:rPr>
              <w:t>1,858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70,36 milliards FCFA positionne SCRC comme une valeur moyenne sur la BRVM, reflétant un intérêt certain des investisseurs malgré des fondamentaux fragiles. Le BPA négatif de -406 FCFA indique que chaque action détruite de la valeur en 2025, ce qui explique un PER négatif de -8,8x, signalant l'absence de bénéfices à valoriser. Le P/B de 4,08x est particulièrement exigeant : le marché valorise l'actif net comptable plus de quatre fois au-dessus de sa valeur, ce qui est élevé pour une société déficitaire. L'EV/EBITDA de 10,9x se situe dans la fourchette haute, indiquant que la valeur d'entreprise (dette incluse) reste substantielle par rapport à la capacité opérationnelle, mais cette lecture est trompeuse car l'EBITDA ne reflète pas la lourde charge de la dette. Ces ratios traduisent une valorisation spéculative qui anticipe un redressement futur, mais qui est difficilement justifiable sur les fondamentaux actuels.</w:t>
      </w:r>
    </w:p>
    <w:p>
      <w:pPr>
        <w:spacing w:after="120" w:line="276" w:lineRule="auto" w:before="240"/>
      </w:pPr>
      <w:r>
        <w:rPr>
          <w:b/>
          <w:color w:val="003366"/>
          <w:sz w:val="24"/>
        </w:rPr>
        <w:t>**PARTIE 1 : ANALYSE DU COURS — STATISTIQUES ET ÉVOLUTION (100 derniers jours)**</w:t>
      </w:r>
    </w:p>
    <w:p>
      <w:pPr>
        <w:spacing w:after="120" w:line="276" w:lineRule="auto"/>
      </w:pPr>
      <w:r>
        <w:t>Le titre SCRC a connu une appréciation spectaculaire de +88,95% sur la période des 100 derniers jours, atteignant 3 590 FCFA, bien que la dernière séance ait enregistré un léger repli de -0,97%. Le cours a évolué dans une fourchette très large de 1 900 à 3 920 FCFA, démontrant une volatilité extrême et un intérêt spéculatif marqué. La moyenne de 2 961 FCFA est inférieure à la médiane de 3 100 FCFA, indiquant une asymétrie vers les niveaux bas sur la période, mais le cours actuel se situe nettement au-dessus de ces deux mesures, confirmant la vigueur du récent mouvement haussier. L'écart-type de 635 FCFA avec un coefficient de variation de 21,5% révèle une dispersion importante des prix autour de la moyenne. Le kurtosis négatif de -1,384 (distribution platykurtique) suggère une absence de mouvements extrêmes fréquents, tandis que le skewness de -0,365 indique une distribution relativement symétrique avec une légère prédominance des fortes baisses. La volatilité annualisée de 55,3% classe le titre comme très risqué, bien au-delà du seuil de 30% considéré comme élevé, ce qui exige une prime de risque conséquente pour tout investisseur.</w:t>
      </w:r>
    </w:p>
    <w:p>
      <w:pPr>
        <w:spacing w:after="120" w:line="276" w:lineRule="auto" w:before="240"/>
      </w:pPr>
      <w:r>
        <w:rPr>
          <w:b/>
          <w:color w:val="003366"/>
          <w:sz w:val="24"/>
        </w:rPr>
        <w:t>**PARTIE 2 : ANALYSE TECHNIQUE DÉTAILLÉE**</w:t>
      </w:r>
    </w:p>
    <w:p>
      <w:pPr>
        <w:spacing w:after="120" w:line="276" w:lineRule="auto"/>
      </w:pPr>
      <w:r>
        <w:t>Les moyennes mobiles sur 20 jours (3 539,5 FCFA) et sur 50 jours (3 508,1 FCFA) sont toutes deux inférieures au cours actuel de 3 590 FCFA, ce qui confirme une tendance haussière de court et moyen terme. Le signal d'achat généré par ces moyennes mobiles est cohérent avec la dynamique positive observée depuis plusieurs semaines, le cours évoluant au-dessus de ses principaux supports dynamiques.</w:t>
      </w:r>
    </w:p>
    <w:p>
      <w:pPr>
        <w:spacing w:after="120" w:line="276" w:lineRule="auto"/>
      </w:pPr>
      <w:r>
        <w:t>Les bandes de Bollinger, avec une borne supérieure à 3 787,882 FCFA et une borne inférieure à 3 291,118 FCFA, encadrent un cours évoluant dans la partie médiane-haute de l'enveloppe. La position actuelle du prix suggère une volatilité modérée sans excès, le signal neutre indiquant que le titre n'est ni suracheté ni survendu à court terme, laissant place à une poursuite éventuelle de la tendance.</w:t>
      </w:r>
    </w:p>
    <w:p>
      <w:pPr>
        <w:spacing w:after="120" w:line="276" w:lineRule="auto"/>
      </w:pPr>
      <w:r>
        <w:t>Le MACD affiche une valeur négative de -11,524 avec un signal à -6,104, la divergence négative indiquant un momentum baissier naissant. Cette configuration, qui génère un signal de vente, contraste avec la tendance haussière des moyennes mobiles et suggère une possible correction à court terme après la forte progression récente.</w:t>
      </w:r>
    </w:p>
    <w:p>
      <w:pPr>
        <w:spacing w:after="120" w:line="276" w:lineRule="auto"/>
      </w:pPr>
      <w:r>
        <w:t>Le RSI à 45,93 se situe en zone neutre, entre 30 et 70, indiquant un équilibre relatif entre pressions acheteuses et vendeuses. Cette valeur ne signale ni surachat ni survente, laissant une marge de manœuvre dans les deux sens sans alerte particulière sur le momentum.</w:t>
      </w:r>
    </w:p>
    <w:p>
      <w:pPr>
        <w:spacing w:after="120" w:line="276" w:lineRule="auto"/>
      </w:pPr>
      <w:r>
        <w:t>L'indicateur stochastique montre un %K à 69,565 et un %D à 52,174, avec le %K nettement au-dessus du %D, ce qui suggère une dynamique positive encore en cours. Le signal neutre indique toutefois que le mouvement haussier pourrait perdre de la vigueur, le %K approchant des niveaux de surachat sans toutefois les atteindre.</w:t>
      </w:r>
    </w:p>
    <w:p>
      <w:pPr>
        <w:spacing w:after="120" w:line="276" w:lineRule="auto"/>
      </w:pPr>
      <w:r>
        <w:t>La conclusion technique est mitigée : les moyennes mobiles plaident pour une tendance haussière, mais le MACD négatif et le RSI neutre suggèrent un essoufflement du mouvement. La prudence est de mise, les indicateurs oscillant entre signaux contradictoires, laissant présager une consolidation ou une correction à court terme après une hausse aussi marquée.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SCRC révèlent une situation préoccupante : le chiffre d'affaires s'établit à 80,569 milliards FCFA, en recul de 7,6% par rapport à 2024, tandis que le résultat net est fortement déficitaire à -7,954 milliards FCFA, contre un bénéfice de 2,474 milliards en 2024. La marge nette ressort à -9,87% et le ROE s'effondre à -46,13%, illustrant une destruction massive de valeur pour les actionnaires. La structure financière s'est considérablement dégradée : les dettes financières totales atteignent 84,873 milliards FCFA, avec un ratio d'endettement de 88,98% des capitaux propres, et la trésorerie nette est négative à -6,505 milliards FCFA. Les délais d'exploitation montrent un délai fournisseurs très étendu à 366 jours, ce qui masque partiellement les tensions de trésorerie, mais la durée de stockage de 361 jours révèle une immobilisation importante du capital. Les rapports de mai 2026 confirment cette dégradation, notant que le résultat opérationnel courant n'est que de 209 millions FCFA et que l'explosion des charges financières (+262% à 6,79 milliards FCFA) explique l'essentiel de la perte. Les rapports du premier semestre 2025, analysés en mars 2026, montraient déjà une perte nette de -6,71 milliards FCFA sur le S1, avec un résultat d'exploitation négatif de -3,18 milliards, mais les perspectives pour la campagne 2025/26, avec une production attendue entre 90 000 et 95 000 tonnes, laissent entrevoir un possible redressement opérationnel. La recommandation fondamentale est négative : la société est structurellement fragile, avec un endettement critique et une rentabilité opérationnelle insuffisante pour couvrir ses charges financières, bien que les investissements massifs en cours puissent soutenir une reprise à moyen terme.</w:t>
      </w:r>
    </w:p>
    <w:p>
      <w:pPr>
        <w:spacing w:after="120" w:line="276" w:lineRule="auto" w:before="240"/>
      </w:pPr>
      <w:r>
        <w:rPr>
          <w:b/>
          <w:color w:val="003366"/>
          <w:sz w:val="24"/>
        </w:rPr>
        <w:t>**PARTIE 4 : CONCLUSION D'INVESTISSEMENT**</w:t>
      </w:r>
    </w:p>
    <w:p>
      <w:pPr>
        <w:spacing w:after="120" w:line="276" w:lineRule="auto"/>
      </w:pPr>
      <w:r>
        <w:t>La valorisation de SCRC est clairement surévaluée au regard des fondamentaux : le PER négatif, le P/B de 4,08x et l'EV/EBITDA de 10,9x ne se justifient que par des anticipations spéculatives de redressement. Le comportement du cours, avec une hausse de 88,95% en 100 jours et une volatilité annualisée de 55,3%, traduit un emballement spéculatif qui contraste avec la dégradation des résultats financiers. Les signaux techniques sont divergents : les moyennes mobiles restent haussières, mais le MACD négatif et le RSI neutre suggèrent un essoufflement imminent. Les fondamentaux sont très préoccupants, avec une perte nette de 7,95 milliards FCFA en 2025, un endettement massif et des charges financières insoutenables. Les prédictions IA pour les 10 prochains jours, projetant une chute de 3 590 à 2 431 FCFA (-32%), confirment cette analyse baissière et anticipent une correction brutale du cours. La convergence entre la surévaluation, les signaux techniques faiblissants et les prédictions IA pessimistes justifie une recommandation de VENTE FORTE, avec un niveau de confiance élevé et un risque global élevé. L'horizon d'investissement optimal est le court terme, car la correction semble imminente, et il est conseillé de liquider les positions avant la chute anticipée.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114.75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1,100 titres</w:t>
            </w:r>
          </w:p>
        </w:tc>
        <w:tc>
          <w:tcPr>
            <w:tcW w:type="dxa" w:w="2268"/>
            <w:shd w:fill="FFF2CC" w:val="clear"/>
          </w:tcPr>
          <w:p>
            <w:r>
              <w:rPr>
                <w:b/>
                <w:color w:val="503200"/>
                <w:sz w:val="16"/>
              </w:rPr>
              <w:t xml:space="preserve">Cours actuel : </w:t>
            </w:r>
            <w:r>
              <w:rPr>
                <w:color w:val="000000"/>
                <w:sz w:val="17"/>
              </w:rPr>
              <w:t>12,750 FCFA</w:t>
            </w:r>
          </w:p>
          <w:p>
            <w:r>
              <w:rPr>
                <w:b/>
                <w:color w:val="503200"/>
                <w:sz w:val="16"/>
              </w:rPr>
              <w:t xml:space="preserve">Var. 100 jours : </w:t>
            </w:r>
            <w:r>
              <w:rPr>
                <w:b/>
                <w:color w:val="007800"/>
                <w:sz w:val="17"/>
              </w:rPr>
              <w:t>+70.00%</w:t>
            </w:r>
          </w:p>
          <w:p>
            <w:r>
              <w:rPr>
                <w:b/>
                <w:color w:val="503200"/>
                <w:sz w:val="16"/>
              </w:rPr>
              <w:t xml:space="preserve">Plus haut 100j : </w:t>
            </w:r>
            <w:r>
              <w:rPr>
                <w:color w:val="000000"/>
                <w:sz w:val="17"/>
              </w:rPr>
              <w:t>13,000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16.51% (Élevée) — μ=10,779 FCFA, σ=1,780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β=0.0734 (Défensif) — Cov=0.000003, Var(idx)=0.000037, ρ=0.019,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598627"/>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11,960</w:t>
            </w:r>
          </w:p>
        </w:tc>
        <w:tc>
          <w:tcPr>
            <w:tcW w:type="dxa" w:w="1440"/>
            <w:shd w:fill="FFDCE0" w:val="clear"/>
          </w:tcPr>
          <w:p>
            <w:r>
              <w:rPr>
                <w:b/>
                <w:sz w:val="17"/>
              </w:rPr>
              <w:t>12,354</w:t>
            </w:r>
          </w:p>
        </w:tc>
        <w:tc>
          <w:tcPr>
            <w:tcW w:type="dxa" w:w="1440"/>
            <w:shd w:fill="FFDCE0" w:val="clear"/>
          </w:tcPr>
          <w:p>
            <w:r>
              <w:rPr>
                <w:sz w:val="17"/>
              </w:rPr>
              <w:t>12,749</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11,628</w:t>
            </w:r>
          </w:p>
        </w:tc>
        <w:tc>
          <w:tcPr>
            <w:tcW w:type="dxa" w:w="1440"/>
            <w:shd w:fill="FFDCE0" w:val="clear"/>
          </w:tcPr>
          <w:p>
            <w:r>
              <w:rPr>
                <w:b/>
                <w:sz w:val="17"/>
              </w:rPr>
              <w:t>12,178</w:t>
            </w:r>
          </w:p>
        </w:tc>
        <w:tc>
          <w:tcPr>
            <w:tcW w:type="dxa" w:w="1440"/>
            <w:shd w:fill="FFDCE0" w:val="clear"/>
          </w:tcPr>
          <w:p>
            <w:r>
              <w:rPr>
                <w:sz w:val="17"/>
              </w:rPr>
              <w:t>12,728</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11,351</w:t>
            </w:r>
          </w:p>
        </w:tc>
        <w:tc>
          <w:tcPr>
            <w:tcW w:type="dxa" w:w="1440"/>
            <w:shd w:fill="FFDCE0" w:val="clear"/>
          </w:tcPr>
          <w:p>
            <w:r>
              <w:rPr>
                <w:b/>
                <w:sz w:val="17"/>
              </w:rPr>
              <w:t>12,016</w:t>
            </w:r>
          </w:p>
        </w:tc>
        <w:tc>
          <w:tcPr>
            <w:tcW w:type="dxa" w:w="1440"/>
            <w:shd w:fill="FFDCE0" w:val="clear"/>
          </w:tcPr>
          <w:p>
            <w:r>
              <w:rPr>
                <w:sz w:val="17"/>
              </w:rPr>
              <w:t>12,680</w:t>
            </w:r>
          </w:p>
        </w:tc>
        <w:tc>
          <w:tcPr>
            <w:tcW w:type="dxa" w:w="1440"/>
            <w:shd w:fill="FFDCE0" w:val="clear"/>
          </w:tcPr>
          <w:p>
            <w:r>
              <w:rPr>
                <w:b/>
                <w:color w:val="C00000"/>
                <w:sz w:val="17"/>
              </w:rPr>
              <w:t>-5.8%</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11,112</w:t>
            </w:r>
          </w:p>
        </w:tc>
        <w:tc>
          <w:tcPr>
            <w:tcW w:type="dxa" w:w="1440"/>
            <w:shd w:fill="FFDCE0" w:val="clear"/>
          </w:tcPr>
          <w:p>
            <w:r>
              <w:rPr>
                <w:b/>
                <w:sz w:val="17"/>
              </w:rPr>
              <w:t>11,870</w:t>
            </w:r>
          </w:p>
        </w:tc>
        <w:tc>
          <w:tcPr>
            <w:tcW w:type="dxa" w:w="1440"/>
            <w:shd w:fill="FFDCE0" w:val="clear"/>
          </w:tcPr>
          <w:p>
            <w:r>
              <w:rPr>
                <w:sz w:val="17"/>
              </w:rPr>
              <w:t>12,629</w:t>
            </w:r>
          </w:p>
        </w:tc>
        <w:tc>
          <w:tcPr>
            <w:tcW w:type="dxa" w:w="1440"/>
            <w:shd w:fill="FFDCE0" w:val="clear"/>
          </w:tcPr>
          <w:p>
            <w:r>
              <w:rPr>
                <w:b/>
                <w:color w:val="C00000"/>
                <w:sz w:val="17"/>
              </w:rPr>
              <w:t>-6.9%</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10,899</w:t>
            </w:r>
          </w:p>
        </w:tc>
        <w:tc>
          <w:tcPr>
            <w:tcW w:type="dxa" w:w="1440"/>
            <w:shd w:fill="FFDCE0" w:val="clear"/>
          </w:tcPr>
          <w:p>
            <w:r>
              <w:rPr>
                <w:b/>
                <w:sz w:val="17"/>
              </w:rPr>
              <w:t>11,738</w:t>
            </w:r>
          </w:p>
        </w:tc>
        <w:tc>
          <w:tcPr>
            <w:tcW w:type="dxa" w:w="1440"/>
            <w:shd w:fill="FFDCE0" w:val="clear"/>
          </w:tcPr>
          <w:p>
            <w:r>
              <w:rPr>
                <w:sz w:val="17"/>
              </w:rPr>
              <w:t>12,576</w:t>
            </w:r>
          </w:p>
        </w:tc>
        <w:tc>
          <w:tcPr>
            <w:tcW w:type="dxa" w:w="1440"/>
            <w:shd w:fill="FFDCE0" w:val="clear"/>
          </w:tcPr>
          <w:p>
            <w:r>
              <w:rPr>
                <w:b/>
                <w:color w:val="C00000"/>
                <w:sz w:val="17"/>
              </w:rPr>
              <w:t>-7.9%</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10,707</w:t>
            </w:r>
          </w:p>
        </w:tc>
        <w:tc>
          <w:tcPr>
            <w:tcW w:type="dxa" w:w="1440"/>
            <w:shd w:fill="FFDCE0" w:val="clear"/>
          </w:tcPr>
          <w:p>
            <w:r>
              <w:rPr>
                <w:b/>
                <w:sz w:val="17"/>
              </w:rPr>
              <w:t>11,616</w:t>
            </w:r>
          </w:p>
        </w:tc>
        <w:tc>
          <w:tcPr>
            <w:tcW w:type="dxa" w:w="1440"/>
            <w:shd w:fill="FFDCE0" w:val="clear"/>
          </w:tcPr>
          <w:p>
            <w:r>
              <w:rPr>
                <w:sz w:val="17"/>
              </w:rPr>
              <w:t>12,524</w:t>
            </w:r>
          </w:p>
        </w:tc>
        <w:tc>
          <w:tcPr>
            <w:tcW w:type="dxa" w:w="1440"/>
            <w:shd w:fill="FFDCE0" w:val="clear"/>
          </w:tcPr>
          <w:p>
            <w:r>
              <w:rPr>
                <w:b/>
                <w:color w:val="C00000"/>
                <w:sz w:val="17"/>
              </w:rPr>
              <w:t>-8.9%</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10,531</w:t>
            </w:r>
          </w:p>
        </w:tc>
        <w:tc>
          <w:tcPr>
            <w:tcW w:type="dxa" w:w="1440"/>
            <w:shd w:fill="FFDCE0" w:val="clear"/>
          </w:tcPr>
          <w:p>
            <w:r>
              <w:rPr>
                <w:b/>
                <w:sz w:val="17"/>
              </w:rPr>
              <w:t>11,504</w:t>
            </w:r>
          </w:p>
        </w:tc>
        <w:tc>
          <w:tcPr>
            <w:tcW w:type="dxa" w:w="1440"/>
            <w:shd w:fill="FFDCE0" w:val="clear"/>
          </w:tcPr>
          <w:p>
            <w:r>
              <w:rPr>
                <w:sz w:val="17"/>
              </w:rPr>
              <w:t>12,476</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10,370</w:t>
            </w:r>
          </w:p>
        </w:tc>
        <w:tc>
          <w:tcPr>
            <w:tcW w:type="dxa" w:w="1440"/>
            <w:shd w:fill="FFDCE0" w:val="clear"/>
          </w:tcPr>
          <w:p>
            <w:r>
              <w:rPr>
                <w:b/>
                <w:sz w:val="17"/>
              </w:rPr>
              <w:t>11,401</w:t>
            </w:r>
          </w:p>
        </w:tc>
        <w:tc>
          <w:tcPr>
            <w:tcW w:type="dxa" w:w="1440"/>
            <w:shd w:fill="FFDCE0" w:val="clear"/>
          </w:tcPr>
          <w:p>
            <w:r>
              <w:rPr>
                <w:sz w:val="17"/>
              </w:rPr>
              <w:t>12,431</w:t>
            </w:r>
          </w:p>
        </w:tc>
        <w:tc>
          <w:tcPr>
            <w:tcW w:type="dxa" w:w="1440"/>
            <w:shd w:fill="FFDCE0" w:val="clear"/>
          </w:tcPr>
          <w:p>
            <w:r>
              <w:rPr>
                <w:b/>
                <w:color w:val="C00000"/>
                <w:sz w:val="17"/>
              </w:rPr>
              <w:t>-10.6%</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10,223</w:t>
            </w:r>
          </w:p>
        </w:tc>
        <w:tc>
          <w:tcPr>
            <w:tcW w:type="dxa" w:w="1440"/>
            <w:shd w:fill="FFDCE0" w:val="clear"/>
          </w:tcPr>
          <w:p>
            <w:r>
              <w:rPr>
                <w:b/>
                <w:sz w:val="17"/>
              </w:rPr>
              <w:t>11,306</w:t>
            </w:r>
          </w:p>
        </w:tc>
        <w:tc>
          <w:tcPr>
            <w:tcW w:type="dxa" w:w="1440"/>
            <w:shd w:fill="FFDCE0" w:val="clear"/>
          </w:tcPr>
          <w:p>
            <w:r>
              <w:rPr>
                <w:sz w:val="17"/>
              </w:rPr>
              <w:t>12,390</w:t>
            </w:r>
          </w:p>
        </w:tc>
        <w:tc>
          <w:tcPr>
            <w:tcW w:type="dxa" w:w="1440"/>
            <w:shd w:fill="FFDCE0" w:val="clear"/>
          </w:tcPr>
          <w:p>
            <w:r>
              <w:rPr>
                <w:b/>
                <w:color w:val="C00000"/>
                <w:sz w:val="17"/>
              </w:rPr>
              <w:t>-11.3%</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10,085</w:t>
            </w:r>
          </w:p>
        </w:tc>
        <w:tc>
          <w:tcPr>
            <w:tcW w:type="dxa" w:w="1440"/>
            <w:shd w:fill="FFDCE0" w:val="clear"/>
          </w:tcPr>
          <w:p>
            <w:r>
              <w:rPr>
                <w:b/>
                <w:sz w:val="17"/>
              </w:rPr>
              <w:t>11,218</w:t>
            </w:r>
          </w:p>
        </w:tc>
        <w:tc>
          <w:tcPr>
            <w:tcW w:type="dxa" w:w="1440"/>
            <w:shd w:fill="FFDCE0" w:val="clear"/>
          </w:tcPr>
          <w:p>
            <w:r>
              <w:rPr>
                <w:sz w:val="17"/>
              </w:rPr>
              <w:t>12,352</w:t>
            </w:r>
          </w:p>
        </w:tc>
        <w:tc>
          <w:tcPr>
            <w:tcW w:type="dxa" w:w="1440"/>
            <w:shd w:fill="FFDCE0" w:val="clear"/>
          </w:tcPr>
          <w:p>
            <w:r>
              <w:rPr>
                <w:b/>
                <w:color w:val="C00000"/>
                <w:sz w:val="17"/>
              </w:rPr>
              <w:t>-12.0%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114,75 milliards FCFA, un niveau significatif pour une société de services essentiels sur la BRVM, reflétant son statut de valeur de premier plan. Avec un BPA de 518 FCFA, le titre se négocie à un PER de 24,6x, ce qui est nettement supérieur à la moyenne historique de la BRVM (8-12x). Ce ratio élevé suggère que le marché intègre des attentes de croissance future ou une prime de rareté pour ce titre. Le P/B de 5,82x confirme cette prime, le marché valorisant fortement les actifs nets de la société. Enfin, un EV/EBITDA de 14,8x, dans le haut de la fourchette de 10-15x, indique une valorisation exigeante par rapport à sa capacité opérationnelle, signalant que le prix d'entrée est élevé pour un 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SDCC a enregistré une performance spectaculaire de +70,00%, bien que la dernière séance ait clôturé en baisse de -1,89% à 12 750 FCFA. Le titre a évolué dans une fourchette très large, entre un plus bas de 7 140 FCFA et un plus haut de 13 000 FCFA, démontrant une forte dynamique haussière sur la période. La moyenne du cours (10 779 FCFA) est inférieure à la médiane (11 650 FCFA), et le skewness négatif (-1.092) indique que les jours de forte hausse ont été plus fréquents, tirant le cours vers le haut. L'écart-type de 1 789 FCFA (CV de 16,6%) montre une dispersion modérée, tandis que le kurtosis mésokurtique (-0.313) suggère une distribution des rendements proche de la normale, sans risque de pics extrêmes. La volatilité annualisée de 36,4% classe le titre comme très volatil, ce qui implique un risque élevé mais aussi un potentiel de gains importants.</w:t>
      </w:r>
    </w:p>
    <w:p>
      <w:pPr>
        <w:spacing w:after="120" w:line="276" w:lineRule="auto"/>
      </w:pPr>
      <w:r>
        <w:t>---</w:t>
      </w:r>
    </w:p>
    <w:p>
      <w:pPr>
        <w:spacing w:after="120" w:line="276" w:lineRule="auto"/>
      </w:pPr>
      <w:r>
        <w:t>### PARTIE 2 : ANALYSE TECHNIQUE DÉTAILLÉE</w:t>
      </w:r>
    </w:p>
    <w:p>
      <w:pPr>
        <w:spacing w:after="120" w:line="276" w:lineRule="auto"/>
      </w:pPr>
      <w:r>
        <w:t>**Moyennes Mobiles (MM20 &amp; MM50) :** Le cours actuel (12 750 FCFA) se situe au-dessus de ses moyennes mobiles à 20 jours (12 082 FCFA) et à 50 jours (11 946 FCFA). Cette configuration haussière, où les prix sont soutenus par les moyennes, confirme une tendance positive à court et moyen terme. La décision d'**Achat** est justifiée par cette dynamique, le titre évoluant dans une phase de tendance haussière bien établie.</w:t>
      </w:r>
    </w:p>
    <w:p>
      <w:pPr>
        <w:spacing w:after="120" w:line="276" w:lineRule="auto"/>
      </w:pPr>
      <w:r>
        <w:t>**Bandes de Bollinger :** Le cours se positionne près de la borne supérieure (13 021 FCFA), à 12 750 FCFA, indiquant une pression acheteuse soutenue. La largeur des bandes (écart de ~1 879 FCFA) reflète une volatilité élevée. La décision est **Neutre** car, bien que le titre soit dans la partie supérieure de la bande, il n'a pas encore franchi la borne, ce qui pourrait indiquer une poursuite de la tendance ou un retournement imminent.</w:t>
      </w:r>
    </w:p>
    <w:p>
      <w:pPr>
        <w:spacing w:after="120" w:line="276" w:lineRule="auto"/>
      </w:pPr>
      <w:r>
        <w:t>**MACD :** La valeur du MACD (270,14) est nettement supérieure à sa ligne de signal (158,95), ce qui génère un signal d'**Achat**. Cet écart positif croissant indique un momentum haussier fort et une accélération de la tendance, suggérant que la pression acheteuse est toujours dominante à moyen terme.</w:t>
      </w:r>
    </w:p>
    <w:p>
      <w:pPr>
        <w:spacing w:after="120" w:line="276" w:lineRule="auto"/>
      </w:pPr>
      <w:r>
        <w:t>**RSI :** Le RSI s'établit à 76,3, une valeur qui dépasse le seuil de surachat de 70. Cela signale que le titre est techniquement suracheté et qu'un repli technique est probable à court terme. La décision de **Vente** est donc émise, car la probabilité d'une correction des prix augmente après une telle performance.</w:t>
      </w:r>
    </w:p>
    <w:p>
      <w:pPr>
        <w:spacing w:after="120" w:line="276" w:lineRule="auto"/>
      </w:pPr>
      <w:r>
        <w:t>**Stochastique :** Le %K (82,08) est inférieur au %D (93,91), indiquant un croisement baissier potentiel. Les deux lignes sont dans la zone de surachat (&gt;80), ce qui renforce le signal de **Vente**. Cette configuration suggère un essoufflement de la dynamique haussière et un risque de retournement à court terme.</w:t>
      </w:r>
    </w:p>
    <w:p>
      <w:pPr>
        <w:spacing w:after="120" w:line="276" w:lineRule="auto"/>
      </w:pPr>
      <w:r>
        <w:t>**Conclusion technique :** Les indicateurs de tendance (MM, MACD) sont positifs, mais les oscillateurs (RSI, Stochastique) sont en zone de surachat et émettent des signaux de vente. Cette divergence entre la tendance et le momentum suggère une possible consolidation ou correction à court terme avant une éventuelle reprise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SDCC a réalisé un chiffre d'affaires de 189,430 milliards FCFA, en croissance de +10% par rapport à 2024, et un résultat net de 4,663 milliards FCFA, en hausse de +31%. Cette performance s'accompagne d'un ROE de 23,65%, un niveau excellent, et d'une marge nette de 2,46%. Cependant, la structure financière reste fragile : le ratio d'endettement est très élevé (95,83%) et la trésorerie nette est négative à -61,710 milliards FCFA, malgré un BFR négatif (104,748 Mds) qui est un point positif. Le délai de paiement des clients est très préoccupant à 749 jours, ce qui pèse lourdement sur le besoin en fonds de roulement et la trésorerie. Les rapports du S1 2025 (CA stable à 82,3 Mds, RN en baisse de -24%) et du T1 2025 (CA +8%, RN +17%) montrent une trajectoire contrastée. Sur la base du rapport T1 2026 (CA en baisse de -2% à 40,9 Mds mais RN en hausse spectaculaire de +118% à 1,318 Md), on estime que l'exercice 2026 pourrait voir une amélioration significative de la rentabilité nette si cette tendance se poursuit. La recommandation fondamentale est de **CONSERVER** : la société est solide et rentable, mais la valorisation actuelle et les tensions de trésorerie imposent une grande prudence.</w:t>
      </w:r>
    </w:p>
    <w:p>
      <w:pPr>
        <w:spacing w:after="120" w:line="276" w:lineRule="auto"/>
      </w:pPr>
      <w:r>
        <w:t>---</w:t>
      </w:r>
    </w:p>
    <w:p>
      <w:pPr>
        <w:spacing w:after="120" w:line="276" w:lineRule="auto"/>
      </w:pPr>
      <w:r>
        <w:t>### PARTIE 4 : CONCLUSION D'INVESTISSEMENT</w:t>
      </w:r>
    </w:p>
    <w:p>
      <w:pPr>
        <w:spacing w:after="120" w:line="276" w:lineRule="auto"/>
      </w:pPr>
      <w:r>
        <w:t>La valorisation de SDCC est exigeante (PER 24,6x, P/B 5,82x), ce qui suggère une surévaluation relative par rapport à ses pairs de la BRVM, malgré des fondamentaux en amélioration. Le comportement du cours est très haussier (+70% sur 100 jours) mais statistiquement surchauffé, avec une volatilité élevée (36,4%) et des signaux techniques de surachat (RSI, Stochastique) qui divergent des indicateurs de tendance (MM, MACD). Les fondamentaux montrent une croissance solide du CA et du RN en 2025, mais une structure financière fragile avec un endettement élevé et un délai client problématique. Les prédictions IA pour les 10 prochains jours (baisse progressive de 12 354 à 11 738 FCFA) confirment les signaux techniques de correction à court terme. La synthèse de ces éléments contradictoires (fondamentaux positifs vs valorisation et technique surchauffés) conduit à une recommandation de **CONSERVER** avec un niveau de confiance **Moyen**. Le risque global est **Élevé** en raison de la volatilité et de l'endettement. L'horizon d'investissement optimal serait le **moyen terme (3-12 mois)**, en attendant une correction du cours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159.22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17,523 titres</w:t>
            </w:r>
          </w:p>
        </w:tc>
        <w:tc>
          <w:tcPr>
            <w:tcW w:type="dxa" w:w="2268"/>
            <w:shd w:fill="FFF2CC" w:val="clear"/>
          </w:tcPr>
          <w:p>
            <w:r>
              <w:rPr>
                <w:b/>
                <w:color w:val="503200"/>
                <w:sz w:val="16"/>
              </w:rPr>
              <w:t xml:space="preserve">Cours actuel : </w:t>
            </w:r>
            <w:r>
              <w:rPr>
                <w:color w:val="000000"/>
                <w:sz w:val="17"/>
              </w:rPr>
              <w:t>2,925 FCFA</w:t>
            </w:r>
          </w:p>
          <w:p>
            <w:r>
              <w:rPr>
                <w:b/>
                <w:color w:val="503200"/>
                <w:sz w:val="16"/>
              </w:rPr>
              <w:t xml:space="preserve">Var. 100 jours : </w:t>
            </w:r>
            <w:r>
              <w:rPr>
                <w:b/>
                <w:color w:val="007800"/>
                <w:sz w:val="17"/>
              </w:rPr>
              <w:t>+53.95%</w:t>
            </w:r>
          </w:p>
          <w:p>
            <w:r>
              <w:rPr>
                <w:b/>
                <w:color w:val="503200"/>
                <w:sz w:val="16"/>
              </w:rPr>
              <w:t xml:space="preserve">Plus haut 100j : </w:t>
            </w:r>
            <w:r>
              <w:rPr>
                <w:color w:val="000000"/>
                <w:sz w:val="17"/>
              </w:rPr>
              <w:t>2,925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17.85% (Élevée) — μ=2,233 FCFA, σ=399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β=0.5921 (Défensif) — Cov=0.000022, Var(idx)=0.000037, ρ=0.113,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17,523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2,701</w:t>
            </w:r>
          </w:p>
        </w:tc>
        <w:tc>
          <w:tcPr>
            <w:tcW w:type="dxa" w:w="1440"/>
            <w:shd w:fill="FFDCE0" w:val="clear"/>
          </w:tcPr>
          <w:p>
            <w:r>
              <w:rPr>
                <w:b/>
                <w:sz w:val="17"/>
              </w:rPr>
              <w:t>2,862</w:t>
            </w:r>
          </w:p>
        </w:tc>
        <w:tc>
          <w:tcPr>
            <w:tcW w:type="dxa" w:w="1440"/>
            <w:shd w:fill="FFDCE0" w:val="clear"/>
          </w:tcPr>
          <w:p>
            <w:r>
              <w:rPr>
                <w:sz w:val="17"/>
              </w:rPr>
              <w:t>3,024</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2,579</w:t>
            </w:r>
          </w:p>
        </w:tc>
        <w:tc>
          <w:tcPr>
            <w:tcW w:type="dxa" w:w="1440"/>
            <w:shd w:fill="FFDCE0" w:val="clear"/>
          </w:tcPr>
          <w:p>
            <w:r>
              <w:rPr>
                <w:b/>
                <w:sz w:val="17"/>
              </w:rPr>
              <w:t>2,804</w:t>
            </w:r>
          </w:p>
        </w:tc>
        <w:tc>
          <w:tcPr>
            <w:tcW w:type="dxa" w:w="1440"/>
            <w:shd w:fill="FFDCE0" w:val="clear"/>
          </w:tcPr>
          <w:p>
            <w:r>
              <w:rPr>
                <w:sz w:val="17"/>
              </w:rPr>
              <w:t>3,028</w:t>
            </w:r>
          </w:p>
        </w:tc>
        <w:tc>
          <w:tcPr>
            <w:tcW w:type="dxa" w:w="1440"/>
            <w:shd w:fill="FFDCE0" w:val="clear"/>
          </w:tcPr>
          <w:p>
            <w:r>
              <w:rPr>
                <w:b/>
                <w:color w:val="C00000"/>
                <w:sz w:val="17"/>
              </w:rPr>
              <w:t>-4.1%</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2,492</w:t>
            </w:r>
          </w:p>
        </w:tc>
        <w:tc>
          <w:tcPr>
            <w:tcW w:type="dxa" w:w="1440"/>
            <w:shd w:fill="FFDCE0" w:val="clear"/>
          </w:tcPr>
          <w:p>
            <w:r>
              <w:rPr>
                <w:b/>
                <w:sz w:val="17"/>
              </w:rPr>
              <w:t>2,762</w:t>
            </w:r>
          </w:p>
        </w:tc>
        <w:tc>
          <w:tcPr>
            <w:tcW w:type="dxa" w:w="1440"/>
            <w:shd w:fill="FFDCE0" w:val="clear"/>
          </w:tcPr>
          <w:p>
            <w:r>
              <w:rPr>
                <w:sz w:val="17"/>
              </w:rPr>
              <w:t>3,033</w:t>
            </w:r>
          </w:p>
        </w:tc>
        <w:tc>
          <w:tcPr>
            <w:tcW w:type="dxa" w:w="1440"/>
            <w:shd w:fill="FFDCE0" w:val="clear"/>
          </w:tcPr>
          <w:p>
            <w:r>
              <w:rPr>
                <w:b/>
                <w:color w:val="C00000"/>
                <w:sz w:val="17"/>
              </w:rPr>
              <w:t>-5.6%</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2,423</w:t>
            </w:r>
          </w:p>
        </w:tc>
        <w:tc>
          <w:tcPr>
            <w:tcW w:type="dxa" w:w="1440"/>
            <w:shd w:fill="FFDCE0" w:val="clear"/>
          </w:tcPr>
          <w:p>
            <w:r>
              <w:rPr>
                <w:b/>
                <w:sz w:val="17"/>
              </w:rPr>
              <w:t>2,732</w:t>
            </w:r>
          </w:p>
        </w:tc>
        <w:tc>
          <w:tcPr>
            <w:tcW w:type="dxa" w:w="1440"/>
            <w:shd w:fill="FFDCE0" w:val="clear"/>
          </w:tcPr>
          <w:p>
            <w:r>
              <w:rPr>
                <w:sz w:val="17"/>
              </w:rPr>
              <w:t>3,041</w:t>
            </w:r>
          </w:p>
        </w:tc>
        <w:tc>
          <w:tcPr>
            <w:tcW w:type="dxa" w:w="1440"/>
            <w:shd w:fill="FFDCE0" w:val="clear"/>
          </w:tcPr>
          <w:p>
            <w:r>
              <w:rPr>
                <w:b/>
                <w:color w:val="C00000"/>
                <w:sz w:val="17"/>
              </w:rPr>
              <w:t>-6.6%</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2,364</w:t>
            </w:r>
          </w:p>
        </w:tc>
        <w:tc>
          <w:tcPr>
            <w:tcW w:type="dxa" w:w="1440"/>
            <w:shd w:fill="FFDCE0" w:val="clear"/>
          </w:tcPr>
          <w:p>
            <w:r>
              <w:rPr>
                <w:b/>
                <w:sz w:val="17"/>
              </w:rPr>
              <w:t>2,706</w:t>
            </w:r>
          </w:p>
        </w:tc>
        <w:tc>
          <w:tcPr>
            <w:tcW w:type="dxa" w:w="1440"/>
            <w:shd w:fill="FFDCE0" w:val="clear"/>
          </w:tcPr>
          <w:p>
            <w:r>
              <w:rPr>
                <w:sz w:val="17"/>
              </w:rPr>
              <w:t>3,049</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2,312</w:t>
            </w:r>
          </w:p>
        </w:tc>
        <w:tc>
          <w:tcPr>
            <w:tcW w:type="dxa" w:w="1440"/>
            <w:shd w:fill="FFDCE0" w:val="clear"/>
          </w:tcPr>
          <w:p>
            <w:r>
              <w:rPr>
                <w:b/>
                <w:sz w:val="17"/>
              </w:rPr>
              <w:t>2,684</w:t>
            </w:r>
          </w:p>
        </w:tc>
        <w:tc>
          <w:tcPr>
            <w:tcW w:type="dxa" w:w="1440"/>
            <w:shd w:fill="FFDCE0" w:val="clear"/>
          </w:tcPr>
          <w:p>
            <w:r>
              <w:rPr>
                <w:sz w:val="17"/>
              </w:rPr>
              <w:t>3,056</w:t>
            </w:r>
          </w:p>
        </w:tc>
        <w:tc>
          <w:tcPr>
            <w:tcW w:type="dxa" w:w="1440"/>
            <w:shd w:fill="FFDCE0" w:val="clear"/>
          </w:tcPr>
          <w:p>
            <w:r>
              <w:rPr>
                <w:b/>
                <w:color w:val="C00000"/>
                <w:sz w:val="17"/>
              </w:rPr>
              <w:t>-8.2%</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2,264</w:t>
            </w:r>
          </w:p>
        </w:tc>
        <w:tc>
          <w:tcPr>
            <w:tcW w:type="dxa" w:w="1440"/>
            <w:shd w:fill="FFDCE0" w:val="clear"/>
          </w:tcPr>
          <w:p>
            <w:r>
              <w:rPr>
                <w:b/>
                <w:sz w:val="17"/>
              </w:rPr>
              <w:t>2,663</w:t>
            </w:r>
          </w:p>
        </w:tc>
        <w:tc>
          <w:tcPr>
            <w:tcW w:type="dxa" w:w="1440"/>
            <w:shd w:fill="FFDCE0" w:val="clear"/>
          </w:tcPr>
          <w:p>
            <w:r>
              <w:rPr>
                <w:sz w:val="17"/>
              </w:rPr>
              <w:t>3,061</w:t>
            </w:r>
          </w:p>
        </w:tc>
        <w:tc>
          <w:tcPr>
            <w:tcW w:type="dxa" w:w="1440"/>
            <w:shd w:fill="FFDCE0" w:val="clear"/>
          </w:tcPr>
          <w:p>
            <w:r>
              <w:rPr>
                <w:b/>
                <w:color w:val="C00000"/>
                <w:sz w:val="17"/>
              </w:rPr>
              <w:t>-9.0%</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2,220</w:t>
            </w:r>
          </w:p>
        </w:tc>
        <w:tc>
          <w:tcPr>
            <w:tcW w:type="dxa" w:w="1440"/>
            <w:shd w:fill="FFDCE0" w:val="clear"/>
          </w:tcPr>
          <w:p>
            <w:r>
              <w:rPr>
                <w:b/>
                <w:sz w:val="17"/>
              </w:rPr>
              <w:t>2,643</w:t>
            </w:r>
          </w:p>
        </w:tc>
        <w:tc>
          <w:tcPr>
            <w:tcW w:type="dxa" w:w="1440"/>
            <w:shd w:fill="FFDCE0" w:val="clear"/>
          </w:tcPr>
          <w:p>
            <w:r>
              <w:rPr>
                <w:sz w:val="17"/>
              </w:rPr>
              <w:t>3,066</w:t>
            </w:r>
          </w:p>
        </w:tc>
        <w:tc>
          <w:tcPr>
            <w:tcW w:type="dxa" w:w="1440"/>
            <w:shd w:fill="FFDCE0" w:val="clear"/>
          </w:tcPr>
          <w:p>
            <w:r>
              <w:rPr>
                <w:b/>
                <w:color w:val="C00000"/>
                <w:sz w:val="17"/>
              </w:rPr>
              <w:t>-9.6%</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2,179</w:t>
            </w:r>
          </w:p>
        </w:tc>
        <w:tc>
          <w:tcPr>
            <w:tcW w:type="dxa" w:w="1440"/>
            <w:shd w:fill="FFDCE0" w:val="clear"/>
          </w:tcPr>
          <w:p>
            <w:r>
              <w:rPr>
                <w:b/>
                <w:sz w:val="17"/>
              </w:rPr>
              <w:t>2,624</w:t>
            </w:r>
          </w:p>
        </w:tc>
        <w:tc>
          <w:tcPr>
            <w:tcW w:type="dxa" w:w="1440"/>
            <w:shd w:fill="FFDCE0" w:val="clear"/>
          </w:tcPr>
          <w:p>
            <w:r>
              <w:rPr>
                <w:sz w:val="17"/>
              </w:rPr>
              <w:t>3,069</w:t>
            </w:r>
          </w:p>
        </w:tc>
        <w:tc>
          <w:tcPr>
            <w:tcW w:type="dxa" w:w="1440"/>
            <w:shd w:fill="FFDCE0" w:val="clear"/>
          </w:tcPr>
          <w:p>
            <w:r>
              <w:rPr>
                <w:b/>
                <w:color w:val="C00000"/>
                <w:sz w:val="17"/>
              </w:rPr>
              <w:t>-10.3%</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2,140</w:t>
            </w:r>
          </w:p>
        </w:tc>
        <w:tc>
          <w:tcPr>
            <w:tcW w:type="dxa" w:w="1440"/>
            <w:shd w:fill="FFDCE0" w:val="clear"/>
          </w:tcPr>
          <w:p>
            <w:r>
              <w:rPr>
                <w:b/>
                <w:sz w:val="17"/>
              </w:rPr>
              <w:t>2,605</w:t>
            </w:r>
          </w:p>
        </w:tc>
        <w:tc>
          <w:tcPr>
            <w:tcW w:type="dxa" w:w="1440"/>
            <w:shd w:fill="FFDCE0" w:val="clear"/>
          </w:tcPr>
          <w:p>
            <w:r>
              <w:rPr>
                <w:sz w:val="17"/>
              </w:rPr>
              <w:t>3,071</w:t>
            </w:r>
          </w:p>
        </w:tc>
        <w:tc>
          <w:tcPr>
            <w:tcW w:type="dxa" w:w="1440"/>
            <w:shd w:fill="FFDCE0" w:val="clear"/>
          </w:tcPr>
          <w:p>
            <w:r>
              <w:rPr>
                <w:b/>
                <w:color w:val="C00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**Date de l'analyse : 01 Septembre 2026**</w:t>
        <w:br/>
        <w:t>**Cours de référence : 2 925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159,22 milliards FCFA, SDSC se positionne comme une valeur de taille moyenne sur la BRVM, un statut qui lui confère une liquidité relative mais aussi une exposition aux variations de flux. Le BPA de 387 FCFA indique que chaque action a généré ce niveau de bénéfice sur l'exercice 2024. Le PER de 7,6x est **inférieur à la moyenne historique de la BRVM (8-12x)**, signalant une sous-évaluation apparente du titre par rapport à ses bénéfices publiés. Cependant, le P/B de 2,05x suggère que le marché valorise la société à plus du double de ses capitaux propres comptables, intégrant une prime de croissance. Enfin, l'EV/EBITDA de 34,4x est extrêmement exigeant, indiquant que la valeur d'entreprise (dette incluse) est très élevée par rapport à sa capacité opérationnelle brute, ce qui contraste fortement avec le PER et suggère une décote basée sur des bénéfices exceptionnels non récurrents.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connu une **hausse spectaculaire de +53,95%**, avec une accélération notable lors de la dernière séance (+4,46% à 2 925 FCFA), atteignant son plus haut sur la période. Le cours a évolué dans une fourchette large de 1 650 à 2 925 FCFA, démontrant un fort intérêt des investisseurs. La moyenne (2 233 FCFA) étant inférieure à la médiane (2 300 FCFA), la distribution des prix est légèrement asymétrique, mais le skewness proche de zéro (0.037) confirme une symétrie globale des rendements. L'écart-type de 401 FCFA (CV=17,9%) indique une dispersion modérée autour de la moyenne. Le kurtosis négatif (-1.556) signale une distribution platykurtique, c'est-à-dire avec moins de valeurs extrêmes qu'une distribution normale, ce qui réduit le risque de mouvements violents imprévus. La **volatilité annualisée de 50,3%** classe le titre comme très volatil, un niveau élevé qui implique un risque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(2 925 FCFA) est nettement au-dessus de la MM20 (2 679,75 FCFA) et de la MM50 (2 592,6 FCFA). Cette configuration haussière, où les moyennes sont orientées à la hausse, confirme une dynamique positive à court et moyen terme. La décision d'**Achat** est justifiée par cette tendance clairement établie.</w:t>
      </w:r>
    </w:p>
    <w:p>
      <w:pPr>
        <w:spacing w:after="120" w:line="276" w:lineRule="auto"/>
      </w:pPr>
      <w:r>
        <w:t>**Bandes de Bollinger :** Le prix est positionné à la borne supérieure (2 931,95 FCFA), indiquant que le marché est actuellement en zone de surachat à très court terme. La largeur des bandes (bornes entre 2 427 et 2 932) reflète la forte volatilité récente. La décision **Neutre** suggère que le marché pourrait consolider après cette poussée, le prix testant la résistance de la bande supérieure.</w:t>
      </w:r>
    </w:p>
    <w:p>
      <w:pPr>
        <w:spacing w:after="120" w:line="276" w:lineRule="auto"/>
      </w:pPr>
      <w:r>
        <w:t>**MACD :** Le MACD (60,2) est positif et au-dessus de son signal (51,277), confirmant un momentum haussier solide. L'écart positif entre les deux lignes indique que la dynamique d'achat est toujours dominante. La décision d'**Achat** est cohérente avec cette configuration, bien qu'un éventuel croisement baissier soit à surveiller.</w:t>
      </w:r>
    </w:p>
    <w:p>
      <w:pPr>
        <w:spacing w:after="120" w:line="276" w:lineRule="auto"/>
      </w:pPr>
      <w:r>
        <w:t>**RSI :** À 62,443, le RSI est en territoire positif mais en dessous du seuil de surachat de 70. Cela indique une pression acheteuse soutenue sans pour autant être excessive, laissant une marge de progression avant une correction technique. La décision **Neutre** est appropriée, le titre n'étant ni survendu ni suracheté.</w:t>
      </w:r>
    </w:p>
    <w:p>
      <w:pPr>
        <w:spacing w:after="120" w:line="276" w:lineRule="auto"/>
      </w:pPr>
      <w:r>
        <w:t>**Stochastique :** Avec un %K à 100 et un %D à 93,6, l'indicateur est en zone de surachat extrême. Le %K étant au-dessus du %D, la tendance est haussière, mais ces niveaux suggèrent un essoufflement imminent et un fort risque de retournement baissier à très court terme. La décision de **Vente** est un signal d'alerte majeur.</w:t>
      </w:r>
    </w:p>
    <w:p>
      <w:pPr>
        <w:spacing w:after="120" w:line="276" w:lineRule="auto"/>
      </w:pPr>
      <w:r>
        <w:t>**Conclusion technique :** Les indicateurs de tendance (MM, MACD) sont positifs, mais les oscillateurs de momentum (RSI, Stochastique) signalent une condition de surachat extrême. Le prix bute sur la résistance des bandes de Bollinger. Cette divergence suggère un **risque élevé de consolidation ou de correction à court terme**, malgré une tendance de fond haussière.</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de l'exercice 2024, SDSC affiche un chiffre d'affaires de 85,643 milliards FCFA et un résultat net de 21,069 milliards FCFA, soit une marge nette exceptionnelle de 24,6%. La rentabilité des capitaux propres (ROE) est excellente à 27,08%, et le ROA est sain à 11,2%. Cependant, l'analyse des rapports narratifs révèle une dégradation majeure en 2025. Le rapport du 31 décembre 2025 (analysé par DeepSeek) indique un CA en hausse de 7,4% à 92,004 milliards FCFA, mais un **résultat net effondré de 96% à 0,785 milliard FCFA**, avec un résultat d'exploitation négatif (-2,27 milliards). Cette chute est attribuée à une hausse des dotations et à une pression fiscale élevée. Les rapports trimestriels de 2025 (T1, S1, T3) confirment cette tendance, montrant des résultats nets en forte baisse ou négatifs, dépendamment des dividendes exceptionnels des filiales. Le ratio d'endettement est faible (17,9%), et la trésorerie nette est très abondante (74,78 milliards en 2025), mais la capacité bénéficiaire opérationnelle s'est considérablement dégradée. Le BFR est positif (17,874 Mds), et le délai de paiement des clients est très élevé (467 jours), ce qui représente un risque de trésorerie important. En conclusion, la solidité du bilan contraste avec une **rentabilité opérationnelle devenue très fragile**, dépendante de revenus financiers non récurrents.</w:t>
      </w:r>
    </w:p>
    <w:p>
      <w:pPr>
        <w:spacing w:after="120" w:line="276" w:lineRule="auto"/>
      </w:pPr>
      <w:r>
        <w:t>---</w:t>
      </w:r>
    </w:p>
    <w:p>
      <w:pPr>
        <w:spacing w:after="120" w:line="276" w:lineRule="auto"/>
      </w:pPr>
      <w:r>
        <w:t>### PARTIE 4 : CONCLUSION D'INVESTISSEMENT</w:t>
      </w:r>
    </w:p>
    <w:p>
      <w:pPr>
        <w:spacing w:after="120" w:line="276" w:lineRule="auto"/>
      </w:pPr>
      <w:r>
        <w:t>La synthèse des analyses révèle des signaux fortement contradictoires. La valorisation (PER de 7,6x) et le comportement du cours (+53,95% en 100 jours) suggèrent un optimisme des investisseurs, mais les fondamentaux de 2025 (marge nette tombée à 0,85%) et les signaux techniques de surachat (Stochastique à 100) indiquent un déséquilibre majeur. Les prédictions IA pour les 10 prochains jours (baisse de 2 925 à 2 706 FCFA) confirment ce risque de correction, allant à l'encontre de la tendance récente. La valorisation actuelle semble intégrer une prime basée sur les résultats exceptionnels de 2024, qui ne se sont pas reproduits en 2025. La détérioration de la rentabilité opérationnelle et la réduction drastique du dividende (-89%) justifient une approche prudente. Par conséquent, la recommandation est **CONSERVER**, avec un niveau de confiance **Moyen** et un risque global **Élevé**. L'horizon d'investissement optimal serait le **moyen terme (3-12 mois)**, en attendant de voir si la direction peut restaurer les marges opérationnelles et stabiliser les revenus des filiales. Un investisseur pourrait envisager de prendre ses profits à court terme, tandis qu'un détenteur de long terme devrait surveiller de près la capacité de l'entreprise à redresser sa rentabilité de base.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5,767 titres</w:t>
            </w:r>
          </w:p>
        </w:tc>
        <w:tc>
          <w:tcPr>
            <w:tcW w:type="dxa" w:w="2268"/>
            <w:shd w:fill="FFF2CC" w:val="clear"/>
          </w:tcPr>
          <w:p>
            <w:r>
              <w:rPr>
                <w:b/>
                <w:color w:val="503200"/>
                <w:sz w:val="16"/>
              </w:rPr>
              <w:t xml:space="preserve">Cours actuel : </w:t>
            </w:r>
            <w:r>
              <w:rPr>
                <w:color w:val="000000"/>
                <w:sz w:val="17"/>
              </w:rPr>
              <w:t>1,570 FCFA</w:t>
            </w:r>
          </w:p>
          <w:p>
            <w:r>
              <w:rPr>
                <w:b/>
                <w:color w:val="503200"/>
                <w:sz w:val="16"/>
              </w:rPr>
              <w:t xml:space="preserve">Var. 100 jours : </w:t>
            </w:r>
            <w:r>
              <w:rPr>
                <w:b/>
                <w:color w:val="B40000"/>
                <w:sz w:val="17"/>
              </w:rPr>
              <w:t>-18.23%</w:t>
            </w:r>
          </w:p>
          <w:p>
            <w:r>
              <w:rPr>
                <w:b/>
                <w:color w:val="503200"/>
                <w:sz w:val="16"/>
              </w:rPr>
              <w:t xml:space="preserve">Plus haut 100j : </w:t>
            </w:r>
            <w:r>
              <w:rPr>
                <w:color w:val="000000"/>
                <w:sz w:val="17"/>
              </w:rPr>
              <w:t>1,940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22.0/100 → Moyen</w:t>
      </w:r>
    </w:p>
    <w:p>
      <w:pPr>
        <w:spacing w:before="40" w:after="80"/>
      </w:pPr>
      <w:r>
        <w:rPr>
          <w:rFonts w:ascii="Courier New" w:hAnsi="Courier New"/>
          <w:color w:val="825A00"/>
          <w:sz w:val="18"/>
        </w:rPr>
        <w:t>████░░░░░░░░░░░░░░░░  22.0/100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7.98% (Moyenne) — μ=1,559 FCFA, σ=124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β=1.3455 (Agressif) — Cov=0.000049, Var(idx)=0.000037, ρ=0.261,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5,767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1,411</w:t>
            </w:r>
          </w:p>
        </w:tc>
        <w:tc>
          <w:tcPr>
            <w:tcW w:type="dxa" w:w="1440"/>
            <w:shd w:fill="FFDCE0" w:val="clear"/>
          </w:tcPr>
          <w:p>
            <w:r>
              <w:rPr>
                <w:b/>
                <w:sz w:val="17"/>
              </w:rPr>
              <w:t>1,483</w:t>
            </w:r>
          </w:p>
        </w:tc>
        <w:tc>
          <w:tcPr>
            <w:tcW w:type="dxa" w:w="1440"/>
            <w:shd w:fill="FFDCE0" w:val="clear"/>
          </w:tcPr>
          <w:p>
            <w:r>
              <w:rPr>
                <w:sz w:val="17"/>
              </w:rPr>
              <w:t>1,556</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1,377</w:t>
            </w:r>
          </w:p>
        </w:tc>
        <w:tc>
          <w:tcPr>
            <w:tcW w:type="dxa" w:w="1440"/>
            <w:shd w:fill="FFDCE0" w:val="clear"/>
          </w:tcPr>
          <w:p>
            <w:r>
              <w:rPr>
                <w:b/>
                <w:sz w:val="17"/>
              </w:rPr>
              <w:t>1,478</w:t>
            </w:r>
          </w:p>
        </w:tc>
        <w:tc>
          <w:tcPr>
            <w:tcW w:type="dxa" w:w="1440"/>
            <w:shd w:fill="FFDCE0" w:val="clear"/>
          </w:tcPr>
          <w:p>
            <w:r>
              <w:rPr>
                <w:sz w:val="17"/>
              </w:rPr>
              <w:t>1,580</w:t>
            </w:r>
          </w:p>
        </w:tc>
        <w:tc>
          <w:tcPr>
            <w:tcW w:type="dxa" w:w="1440"/>
            <w:shd w:fill="FFDCE0" w:val="clear"/>
          </w:tcPr>
          <w:p>
            <w:r>
              <w:rPr>
                <w:b/>
                <w:color w:val="C00000"/>
                <w:sz w:val="17"/>
              </w:rPr>
              <w:t>-5.9%</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1,342</w:t>
            </w:r>
          </w:p>
        </w:tc>
        <w:tc>
          <w:tcPr>
            <w:tcW w:type="dxa" w:w="1440"/>
            <w:shd w:fill="FFDCE0" w:val="clear"/>
          </w:tcPr>
          <w:p>
            <w:r>
              <w:rPr>
                <w:b/>
                <w:sz w:val="17"/>
              </w:rPr>
              <w:t>1,466</w:t>
            </w:r>
          </w:p>
        </w:tc>
        <w:tc>
          <w:tcPr>
            <w:tcW w:type="dxa" w:w="1440"/>
            <w:shd w:fill="FFDCE0" w:val="clear"/>
          </w:tcPr>
          <w:p>
            <w:r>
              <w:rPr>
                <w:sz w:val="17"/>
              </w:rPr>
              <w:t>1,589</w:t>
            </w:r>
          </w:p>
        </w:tc>
        <w:tc>
          <w:tcPr>
            <w:tcW w:type="dxa" w:w="1440"/>
            <w:shd w:fill="FFDCE0" w:val="clear"/>
          </w:tcPr>
          <w:p>
            <w:r>
              <w:rPr>
                <w:b/>
                <w:color w:val="C00000"/>
                <w:sz w:val="17"/>
              </w:rPr>
              <w:t>-6.6%</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1,310</w:t>
            </w:r>
          </w:p>
        </w:tc>
        <w:tc>
          <w:tcPr>
            <w:tcW w:type="dxa" w:w="1440"/>
            <w:shd w:fill="FFDCE0" w:val="clear"/>
          </w:tcPr>
          <w:p>
            <w:r>
              <w:rPr>
                <w:b/>
                <w:sz w:val="17"/>
              </w:rPr>
              <w:t>1,451</w:t>
            </w:r>
          </w:p>
        </w:tc>
        <w:tc>
          <w:tcPr>
            <w:tcW w:type="dxa" w:w="1440"/>
            <w:shd w:fill="FFDCE0" w:val="clear"/>
          </w:tcPr>
          <w:p>
            <w:r>
              <w:rPr>
                <w:sz w:val="17"/>
              </w:rPr>
              <w:t>1,592</w:t>
            </w:r>
          </w:p>
        </w:tc>
        <w:tc>
          <w:tcPr>
            <w:tcW w:type="dxa" w:w="1440"/>
            <w:shd w:fill="FFDCE0" w:val="clear"/>
          </w:tcPr>
          <w:p>
            <w:r>
              <w:rPr>
                <w:b/>
                <w:color w:val="C00000"/>
                <w:sz w:val="17"/>
              </w:rPr>
              <w:t>-7.6%</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1,281</w:t>
            </w:r>
          </w:p>
        </w:tc>
        <w:tc>
          <w:tcPr>
            <w:tcW w:type="dxa" w:w="1440"/>
            <w:shd w:fill="FFDCE0" w:val="clear"/>
          </w:tcPr>
          <w:p>
            <w:r>
              <w:rPr>
                <w:b/>
                <w:sz w:val="17"/>
              </w:rPr>
              <w:t>1,437</w:t>
            </w:r>
          </w:p>
        </w:tc>
        <w:tc>
          <w:tcPr>
            <w:tcW w:type="dxa" w:w="1440"/>
            <w:shd w:fill="FFDCE0" w:val="clear"/>
          </w:tcPr>
          <w:p>
            <w:r>
              <w:rPr>
                <w:sz w:val="17"/>
              </w:rPr>
              <w:t>1,593</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1,253</w:t>
            </w:r>
          </w:p>
        </w:tc>
        <w:tc>
          <w:tcPr>
            <w:tcW w:type="dxa" w:w="1440"/>
            <w:shd w:fill="FFDCE0" w:val="clear"/>
          </w:tcPr>
          <w:p>
            <w:r>
              <w:rPr>
                <w:b/>
                <w:sz w:val="17"/>
              </w:rPr>
              <w:t>1,422</w:t>
            </w:r>
          </w:p>
        </w:tc>
        <w:tc>
          <w:tcPr>
            <w:tcW w:type="dxa" w:w="1440"/>
            <w:shd w:fill="FFDCE0" w:val="clear"/>
          </w:tcPr>
          <w:p>
            <w:r>
              <w:rPr>
                <w:sz w:val="17"/>
              </w:rPr>
              <w:t>1,592</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1,227</w:t>
            </w:r>
          </w:p>
        </w:tc>
        <w:tc>
          <w:tcPr>
            <w:tcW w:type="dxa" w:w="1440"/>
            <w:shd w:fill="FFDCE0" w:val="clear"/>
          </w:tcPr>
          <w:p>
            <w:r>
              <w:rPr>
                <w:b/>
                <w:sz w:val="17"/>
              </w:rPr>
              <w:t>1,408</w:t>
            </w:r>
          </w:p>
        </w:tc>
        <w:tc>
          <w:tcPr>
            <w:tcW w:type="dxa" w:w="1440"/>
            <w:shd w:fill="FFDCE0" w:val="clear"/>
          </w:tcPr>
          <w:p>
            <w:r>
              <w:rPr>
                <w:sz w:val="17"/>
              </w:rPr>
              <w:t>1,590</w:t>
            </w:r>
          </w:p>
        </w:tc>
        <w:tc>
          <w:tcPr>
            <w:tcW w:type="dxa" w:w="1440"/>
            <w:shd w:fill="FFDCE0" w:val="clear"/>
          </w:tcPr>
          <w:p>
            <w:r>
              <w:rPr>
                <w:b/>
                <w:color w:val="C00000"/>
                <w:sz w:val="17"/>
              </w:rPr>
              <w:t>-10.3%</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1,203</w:t>
            </w:r>
          </w:p>
        </w:tc>
        <w:tc>
          <w:tcPr>
            <w:tcW w:type="dxa" w:w="1440"/>
            <w:shd w:fill="FFDCE0" w:val="clear"/>
          </w:tcPr>
          <w:p>
            <w:r>
              <w:rPr>
                <w:b/>
                <w:sz w:val="17"/>
              </w:rPr>
              <w:t>1,395</w:t>
            </w:r>
          </w:p>
        </w:tc>
        <w:tc>
          <w:tcPr>
            <w:tcW w:type="dxa" w:w="1440"/>
            <w:shd w:fill="FFDCE0" w:val="clear"/>
          </w:tcPr>
          <w:p>
            <w:r>
              <w:rPr>
                <w:sz w:val="17"/>
              </w:rPr>
              <w:t>1,586</w:t>
            </w:r>
          </w:p>
        </w:tc>
        <w:tc>
          <w:tcPr>
            <w:tcW w:type="dxa" w:w="1440"/>
            <w:shd w:fill="FFDCE0" w:val="clear"/>
          </w:tcPr>
          <w:p>
            <w:r>
              <w:rPr>
                <w:b/>
                <w:color w:val="C00000"/>
                <w:sz w:val="17"/>
              </w:rPr>
              <w:t>-11.2%</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1,180</w:t>
            </w:r>
          </w:p>
        </w:tc>
        <w:tc>
          <w:tcPr>
            <w:tcW w:type="dxa" w:w="1440"/>
            <w:shd w:fill="FFDCE0" w:val="clear"/>
          </w:tcPr>
          <w:p>
            <w:r>
              <w:rPr>
                <w:b/>
                <w:sz w:val="17"/>
              </w:rPr>
              <w:t>1,381</w:t>
            </w:r>
          </w:p>
        </w:tc>
        <w:tc>
          <w:tcPr>
            <w:tcW w:type="dxa" w:w="1440"/>
            <w:shd w:fill="FFDCE0" w:val="clear"/>
          </w:tcPr>
          <w:p>
            <w:r>
              <w:rPr>
                <w:sz w:val="17"/>
              </w:rPr>
              <w:t>1,583</w:t>
            </w:r>
          </w:p>
        </w:tc>
        <w:tc>
          <w:tcPr>
            <w:tcW w:type="dxa" w:w="1440"/>
            <w:shd w:fill="FFDCE0" w:val="clear"/>
          </w:tcPr>
          <w:p>
            <w:r>
              <w:rPr>
                <w:b/>
                <w:color w:val="C00000"/>
                <w:sz w:val="17"/>
              </w:rPr>
              <w:t>-12.0%</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1,158</w:t>
            </w:r>
          </w:p>
        </w:tc>
        <w:tc>
          <w:tcPr>
            <w:tcW w:type="dxa" w:w="1440"/>
            <w:shd w:fill="FFDCE0" w:val="clear"/>
          </w:tcPr>
          <w:p>
            <w:r>
              <w:rPr>
                <w:b/>
                <w:sz w:val="17"/>
              </w:rPr>
              <w:t>1,368</w:t>
            </w:r>
          </w:p>
        </w:tc>
        <w:tc>
          <w:tcPr>
            <w:tcW w:type="dxa" w:w="1440"/>
            <w:shd w:fill="FFDCE0" w:val="clear"/>
          </w:tcPr>
          <w:p>
            <w:r>
              <w:rPr>
                <w:sz w:val="17"/>
              </w:rPr>
              <w:t>1,579</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(EVIOSYS PACKAGING SIEM)**</w:t>
        <w:br/>
        <w:t>**Date de l'analyse : 1er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39,55 milliards FCFA, un niveau modeste dans le contexte de la BRVM, reflétant la taille moyenne de cette entreprise industrielle. Le Bénéfice Par Action (BPA) et le PER ne sont pas calculables en raison de l'absence de données financières structurées récentes dans la base, les derniers rapports disponibles datant de 2023 et 2024. De même, le P/B et l'EV/EBITDA ne peuvent être déterminés faute de capitaux propres et de dette nette actualisés. Cette absence de ratios actualisés constitue une limite importante pour évaluer la cherté relative du titre. Les investisseurs devront se référer aux analyses fondamentales narratives pour estimer la valeur intrinsèque, en attendant la publication d'états financiers plus récents et la levée de la suspension de cotation qui a affecté la liquidité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baisse significative de 18,23%, clôturant à 1 570 FCFA, bien que la dernière séance montre un rebond de +1,29%. Le cours a évolué dans une fourchette large de 1 350 à 1 940 FCFA, illustrant une forte amplitude de trading. La moyenne (1 559 FCFA) est supérieure à la médiane (1 525 FCFA), et le skewness positif (1,620) confirme une distribution asymétrique avec des journées plus fréquentes sous la moyenne, mais des pics occasionnels. Le kurtosis élevé (2,526) indique un risque de mouvements extrêmes. L'écart-type de 125 FCFA (CV=8%) montre une dispersion modérée autour de la moyenne. La volatilité annualisée de 49,5% est très élevée, signalant un risque important pour les investisseurs à court terme. La tendance générale reste baissière malgré le rebond récent.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(1 570 FCFA) se situe au-dessus de la MM20 (1 513,25 FCFA) et de la MM50 (1 500 FCFA), ce qui est un signal haussier. La configuration des MM en légère pente ascendante suggère un potentiel de poursuite du mouvement, justifiant la décision d'achat.</w:t>
      </w:r>
    </w:p>
    <w:p>
      <w:pPr>
        <w:spacing w:after="120" w:line="276" w:lineRule="auto"/>
      </w:pPr>
      <w:r>
        <w:t>**Bandes de Bollinger** : Le prix se trouve dans la partie supérieure du canal, proche de la borne haute (1 610 FCFA), indiquant une pression acheteuse récente. La largeur des bandes reflète une volatilité élevée. La position neutre suggère que le titre n'est ni suracheté ni survendu, mais la proximité de la borne supérieure pourrait limiter le potentiel de hausse immédiat.</w:t>
      </w:r>
    </w:p>
    <w:p>
      <w:pPr>
        <w:spacing w:after="120" w:line="276" w:lineRule="auto"/>
      </w:pPr>
      <w:r>
        <w:t>**MACD** : Le MACD (12,383) est supérieur à son signal (10,509), confirmant un momentum haussier positif. La divergence positive indique une dynamique d'achat en place, ce qui justifie la décision d'achat. Cette configuration est cohérente avec le rebond observé sur la dernière séance.</w:t>
      </w:r>
    </w:p>
    <w:p>
      <w:pPr>
        <w:spacing w:after="120" w:line="276" w:lineRule="auto"/>
      </w:pPr>
      <w:r>
        <w:t>**RSI** : À 59,036, le RSI se situe en zone neutre, sans signal de surachat ni de survente. Il indique une pression acheteuse modérée, laissant de la marge avant d'atteindre des niveaux extrêmes. La décision neutre est appropriée, le titre n'étant pas encore en territoire de surachat.</w:t>
      </w:r>
    </w:p>
    <w:p>
      <w:pPr>
        <w:spacing w:after="120" w:line="276" w:lineRule="auto"/>
      </w:pPr>
      <w:r>
        <w:t>**Stochastique** : Le %K (80,0) est supérieur au %D (60,0), montrant une dynamique haussière, mais le %K approche la zone de surachat (80). Un croisement baissier pourrait se produire à court terme, justifiant une décision neutre en attendant une confirmation.</w:t>
      </w:r>
    </w:p>
    <w:p>
      <w:pPr>
        <w:spacing w:after="120" w:line="276" w:lineRule="auto"/>
      </w:pPr>
      <w:r>
        <w:t>**Conclusion technique** : Les indicateurs sont globalement positifs (MM, MACD) mais mitigés (Bollinger, RSI, Stochastique en zone neutre). Le titre montre des signes de rebond technique après une période baissière, mais la prudence est de mise. La convergence des MM et du MACD suggère un potentiel haussier à court terme, mais la faiblesse des volumes et la volatilité élevée incitent à la vigilance.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SEMC ne sont pas disponibles dans la base, mais les rapports narratifs fournissent des informations cruciales. Le rapport du 31/12/2024 (analysé en mars 2026) indique un chiffre d'affaires de 27,88 milliards FCFA en 2023, en baisse de 6% par rapport à 2022 (29,60 milliards FCFA), avec un résultat net de 1,01 milliard FCFA (contre 3,86 milliards en 2022), soit une marge nette de 3,6%. Le rapport du 31/12/2023 (analysé en mars 2026) présente des chiffres différents, mentionnant un CA consolidé de 125,4 milliards FCFA pour 2023, avec un résultat net de 12,8 milliards FCFA et un dividende proposé de 250 FCFA/action. Ces données contradictoires suggèrent des périmètres de consolidation différents (social vs consolidé). Le rapport du 31/12/2022 (analysé en mars 2026) confirme un CA de 125,4 milliards FCFA et un résultat net de 12,8 milliards FCFA pour 2022. Le rapport du T1 2023 (31/12/2023) montre un CA de 7,65 milliards FCFA (+16,5%) et un résultat net de 855,65 millions FCFA (+37,9%). L'entreprise a traversé une période difficile en 2023, avec une baisse d'activité et une chute de rentabilité, mais les perspectives 2024 étaient ambitieuses (+18% de CA visé). Le rachat par Sonoco Products Company en décembre 2024 constitue un tournant stratégique majeur, susceptible d'apporter des capitaux et une expertise. La suspension de cotation BRVM depuis janvier 2024 (flottant insuffisant) reste un point de vigilance majeur.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SEMC ne peut être précisément évaluée faute de ratios actualisés, mais la capitalisation de 39,55 milliards FCFA paraît modeste au regard des actifs et du potentiel industriel. Le comportement du cours sur 100 jours est préoccupant (-18,23%) avec une volatilité très élevée (49,5%) et une distribution statistique montrant un risque de pics. Les signaux techniques sont mitigés mais globalement positifs à court terme, avec un rebond potentiel soutenu par les MM et le MACD. Les fondamentaux historiques montrent une entreprise en transition, avec des résultats 2023 décevants mais des perspectives de redressement portées par le nouveau actionnaire Sonoco. Les prédictions IA (1 483 à 1 437 FCFA sur J+1 à J+10) suggèrent une poursuite de la baisse, contredisant les signaux techniques haussiers. Cette divergence entre le court terme technique et les prédictions algorithmiques, couplée à l'incertitude fondamentale et à la suspension de cotation, justifie une position prudente. **Recommandation : CONSERVER** avec un niveau de confiance **Faible** et un risque global **Élevé**. L'horizon d'investissement optimal serait le **moyen terme (3-12 mois)**, en attendant la clarification de la situation boursière et les premiers effets du plan de relance de Sonoco.</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1183.47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5,223 titres</w:t>
            </w:r>
          </w:p>
        </w:tc>
        <w:tc>
          <w:tcPr>
            <w:tcW w:type="dxa" w:w="2268"/>
            <w:shd w:fill="FFF2CC" w:val="clear"/>
          </w:tcPr>
          <w:p>
            <w:r>
              <w:rPr>
                <w:b/>
                <w:color w:val="503200"/>
                <w:sz w:val="16"/>
              </w:rPr>
              <w:t xml:space="preserve">Cours actuel : </w:t>
            </w:r>
            <w:r>
              <w:rPr>
                <w:color w:val="000000"/>
                <w:sz w:val="17"/>
              </w:rPr>
              <w:t>38,040 FCFA</w:t>
            </w:r>
          </w:p>
          <w:p>
            <w:r>
              <w:rPr>
                <w:b/>
                <w:color w:val="503200"/>
                <w:sz w:val="16"/>
              </w:rPr>
              <w:t xml:space="preserve">Var. 100 jours : </w:t>
            </w:r>
            <w:r>
              <w:rPr>
                <w:b/>
                <w:color w:val="007800"/>
                <w:sz w:val="17"/>
              </w:rPr>
              <w:t>+11.88%</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5.56% (Moyenne) — μ=37,097 FCFA, σ=2,062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β=0.6631 (Défensif) — Cov=0.000024, Var(idx)=0.000037, ρ=0.257,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598627"/>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37,064</w:t>
            </w:r>
          </w:p>
        </w:tc>
        <w:tc>
          <w:tcPr>
            <w:tcW w:type="dxa" w:w="1440"/>
            <w:shd w:fill="FAFAFA" w:val="clear"/>
          </w:tcPr>
          <w:p>
            <w:r>
              <w:rPr>
                <w:b/>
                <w:sz w:val="17"/>
              </w:rPr>
              <w:t>37,915</w:t>
            </w:r>
          </w:p>
        </w:tc>
        <w:tc>
          <w:tcPr>
            <w:tcW w:type="dxa" w:w="1440"/>
            <w:shd w:fill="FAFAFA" w:val="clear"/>
          </w:tcPr>
          <w:p>
            <w:r>
              <w:rPr>
                <w:sz w:val="17"/>
              </w:rPr>
              <w:t>38,766</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2026-09-03</w:t>
            </w:r>
          </w:p>
        </w:tc>
        <w:tc>
          <w:tcPr>
            <w:tcW w:type="dxa" w:w="1440"/>
            <w:shd w:fill="FAFAFA" w:val="clear"/>
          </w:tcPr>
          <w:p>
            <w:r>
              <w:rPr>
                <w:sz w:val="17"/>
              </w:rPr>
              <w:t>36,637</w:t>
            </w:r>
          </w:p>
        </w:tc>
        <w:tc>
          <w:tcPr>
            <w:tcW w:type="dxa" w:w="1440"/>
            <w:shd w:fill="FAFAFA" w:val="clear"/>
          </w:tcPr>
          <w:p>
            <w:r>
              <w:rPr>
                <w:b/>
                <w:sz w:val="17"/>
              </w:rPr>
              <w:t>37,838</w:t>
            </w:r>
          </w:p>
        </w:tc>
        <w:tc>
          <w:tcPr>
            <w:tcW w:type="dxa" w:w="1440"/>
            <w:shd w:fill="FAFAFA" w:val="clear"/>
          </w:tcPr>
          <w:p>
            <w:r>
              <w:rPr>
                <w:sz w:val="17"/>
              </w:rPr>
              <w:t>39,039</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2026-09-04</w:t>
            </w:r>
          </w:p>
        </w:tc>
        <w:tc>
          <w:tcPr>
            <w:tcW w:type="dxa" w:w="1440"/>
            <w:shd w:fill="FAFAFA" w:val="clear"/>
          </w:tcPr>
          <w:p>
            <w:r>
              <w:rPr>
                <w:sz w:val="17"/>
              </w:rPr>
              <w:t>36,293</w:t>
            </w:r>
          </w:p>
        </w:tc>
        <w:tc>
          <w:tcPr>
            <w:tcW w:type="dxa" w:w="1440"/>
            <w:shd w:fill="FAFAFA" w:val="clear"/>
          </w:tcPr>
          <w:p>
            <w:r>
              <w:rPr>
                <w:b/>
                <w:sz w:val="17"/>
              </w:rPr>
              <w:t>37,761</w:t>
            </w:r>
          </w:p>
        </w:tc>
        <w:tc>
          <w:tcPr>
            <w:tcW w:type="dxa" w:w="1440"/>
            <w:shd w:fill="FAFAFA" w:val="clear"/>
          </w:tcPr>
          <w:p>
            <w:r>
              <w:rPr>
                <w:sz w:val="17"/>
              </w:rPr>
              <w:t>39,228</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2026-09-07</w:t>
            </w:r>
          </w:p>
        </w:tc>
        <w:tc>
          <w:tcPr>
            <w:tcW w:type="dxa" w:w="1440"/>
            <w:shd w:fill="FAFAFA" w:val="clear"/>
          </w:tcPr>
          <w:p>
            <w:r>
              <w:rPr>
                <w:sz w:val="17"/>
              </w:rPr>
              <w:t>35,992</w:t>
            </w:r>
          </w:p>
        </w:tc>
        <w:tc>
          <w:tcPr>
            <w:tcW w:type="dxa" w:w="1440"/>
            <w:shd w:fill="FAFAFA" w:val="clear"/>
          </w:tcPr>
          <w:p>
            <w:r>
              <w:rPr>
                <w:b/>
                <w:sz w:val="17"/>
              </w:rPr>
              <w:t>37,684</w:t>
            </w:r>
          </w:p>
        </w:tc>
        <w:tc>
          <w:tcPr>
            <w:tcW w:type="dxa" w:w="1440"/>
            <w:shd w:fill="FAFAFA" w:val="clear"/>
          </w:tcPr>
          <w:p>
            <w:r>
              <w:rPr>
                <w:sz w:val="17"/>
              </w:rPr>
              <w:t>39,375</w:t>
            </w:r>
          </w:p>
        </w:tc>
        <w:tc>
          <w:tcPr>
            <w:tcW w:type="dxa" w:w="1440"/>
            <w:shd w:fill="FAFAFA" w:val="clear"/>
          </w:tcPr>
          <w:p>
            <w:r>
              <w:rPr>
                <w:b/>
                <w:color w:val="C00000"/>
                <w:sz w:val="17"/>
              </w:rPr>
              <w:t>-0.9%</w:t>
            </w:r>
          </w:p>
        </w:tc>
      </w:tr>
      <w:tr>
        <w:tc>
          <w:tcPr>
            <w:tcW w:type="dxa" w:w="1440"/>
            <w:shd w:fill="FAFAFA" w:val="clear"/>
          </w:tcPr>
          <w:p>
            <w:r>
              <w:rPr>
                <w:sz w:val="17"/>
              </w:rPr>
              <w:t>J+5  Moyenne</w:t>
            </w:r>
          </w:p>
        </w:tc>
        <w:tc>
          <w:tcPr>
            <w:tcW w:type="dxa" w:w="1440"/>
            <w:shd w:fill="FAFAFA" w:val="clear"/>
          </w:tcPr>
          <w:p>
            <w:r>
              <w:rPr>
                <w:sz w:val="17"/>
              </w:rPr>
              <w:t>2026-09-08</w:t>
            </w:r>
          </w:p>
        </w:tc>
        <w:tc>
          <w:tcPr>
            <w:tcW w:type="dxa" w:w="1440"/>
            <w:shd w:fill="FAFAFA" w:val="clear"/>
          </w:tcPr>
          <w:p>
            <w:r>
              <w:rPr>
                <w:sz w:val="17"/>
              </w:rPr>
              <w:t>35,720</w:t>
            </w:r>
          </w:p>
        </w:tc>
        <w:tc>
          <w:tcPr>
            <w:tcW w:type="dxa" w:w="1440"/>
            <w:shd w:fill="FAFAFA" w:val="clear"/>
          </w:tcPr>
          <w:p>
            <w:r>
              <w:rPr>
                <w:b/>
                <w:sz w:val="17"/>
              </w:rPr>
              <w:t>37,607</w:t>
            </w:r>
          </w:p>
        </w:tc>
        <w:tc>
          <w:tcPr>
            <w:tcW w:type="dxa" w:w="1440"/>
            <w:shd w:fill="FAFAFA" w:val="clear"/>
          </w:tcPr>
          <w:p>
            <w:r>
              <w:rPr>
                <w:sz w:val="17"/>
              </w:rPr>
              <w:t>39,494</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2026-09-09</w:t>
            </w:r>
          </w:p>
        </w:tc>
        <w:tc>
          <w:tcPr>
            <w:tcW w:type="dxa" w:w="1440"/>
            <w:shd w:fill="FAFAFA" w:val="clear"/>
          </w:tcPr>
          <w:p>
            <w:r>
              <w:rPr>
                <w:sz w:val="17"/>
              </w:rPr>
              <w:t>35,469</w:t>
            </w:r>
          </w:p>
        </w:tc>
        <w:tc>
          <w:tcPr>
            <w:tcW w:type="dxa" w:w="1440"/>
            <w:shd w:fill="FAFAFA" w:val="clear"/>
          </w:tcPr>
          <w:p>
            <w:r>
              <w:rPr>
                <w:b/>
                <w:sz w:val="17"/>
              </w:rPr>
              <w:t>37,532</w:t>
            </w:r>
          </w:p>
        </w:tc>
        <w:tc>
          <w:tcPr>
            <w:tcW w:type="dxa" w:w="1440"/>
            <w:shd w:fill="FAFAFA" w:val="clear"/>
          </w:tcPr>
          <w:p>
            <w:r>
              <w:rPr>
                <w:sz w:val="17"/>
              </w:rPr>
              <w:t>39,595</w:t>
            </w:r>
          </w:p>
        </w:tc>
        <w:tc>
          <w:tcPr>
            <w:tcW w:type="dxa" w:w="1440"/>
            <w:shd w:fill="FAFAFA" w:val="clear"/>
          </w:tcPr>
          <w:p>
            <w:r>
              <w:rPr>
                <w:b/>
                <w:color w:val="C00000"/>
                <w:sz w:val="17"/>
              </w:rPr>
              <w:t>-1.3%</w:t>
            </w:r>
          </w:p>
        </w:tc>
      </w:tr>
      <w:tr>
        <w:tc>
          <w:tcPr>
            <w:tcW w:type="dxa" w:w="1440"/>
            <w:shd w:fill="FAFAFA" w:val="clear"/>
          </w:tcPr>
          <w:p>
            <w:r>
              <w:rPr>
                <w:sz w:val="17"/>
              </w:rPr>
              <w:t>J+7  Moyenne</w:t>
            </w:r>
          </w:p>
        </w:tc>
        <w:tc>
          <w:tcPr>
            <w:tcW w:type="dxa" w:w="1440"/>
            <w:shd w:fill="FAFAFA" w:val="clear"/>
          </w:tcPr>
          <w:p>
            <w:r>
              <w:rPr>
                <w:sz w:val="17"/>
              </w:rPr>
              <w:t>2026-09-10</w:t>
            </w:r>
          </w:p>
        </w:tc>
        <w:tc>
          <w:tcPr>
            <w:tcW w:type="dxa" w:w="1440"/>
            <w:shd w:fill="FAFAFA" w:val="clear"/>
          </w:tcPr>
          <w:p>
            <w:r>
              <w:rPr>
                <w:sz w:val="17"/>
              </w:rPr>
              <w:t>35,234</w:t>
            </w:r>
          </w:p>
        </w:tc>
        <w:tc>
          <w:tcPr>
            <w:tcW w:type="dxa" w:w="1440"/>
            <w:shd w:fill="FAFAFA" w:val="clear"/>
          </w:tcPr>
          <w:p>
            <w:r>
              <w:rPr>
                <w:b/>
                <w:sz w:val="17"/>
              </w:rPr>
              <w:t>37,458</w:t>
            </w:r>
          </w:p>
        </w:tc>
        <w:tc>
          <w:tcPr>
            <w:tcW w:type="dxa" w:w="1440"/>
            <w:shd w:fill="FAFAFA" w:val="clear"/>
          </w:tcPr>
          <w:p>
            <w:r>
              <w:rPr>
                <w:sz w:val="17"/>
              </w:rPr>
              <w:t>39,681</w:t>
            </w:r>
          </w:p>
        </w:tc>
        <w:tc>
          <w:tcPr>
            <w:tcW w:type="dxa" w:w="1440"/>
            <w:shd w:fill="FAFAFA" w:val="clear"/>
          </w:tcPr>
          <w:p>
            <w:r>
              <w:rPr>
                <w:b/>
                <w:color w:val="C00000"/>
                <w:sz w:val="17"/>
              </w:rPr>
              <w:t>-1.5%</w:t>
            </w:r>
          </w:p>
        </w:tc>
      </w:tr>
      <w:tr>
        <w:tc>
          <w:tcPr>
            <w:tcW w:type="dxa" w:w="1440"/>
            <w:shd w:fill="FAFAFA" w:val="clear"/>
          </w:tcPr>
          <w:p>
            <w:r>
              <w:rPr>
                <w:sz w:val="17"/>
              </w:rPr>
              <w:t>J+8  Moyenne</w:t>
            </w:r>
          </w:p>
        </w:tc>
        <w:tc>
          <w:tcPr>
            <w:tcW w:type="dxa" w:w="1440"/>
            <w:shd w:fill="FAFAFA" w:val="clear"/>
          </w:tcPr>
          <w:p>
            <w:r>
              <w:rPr>
                <w:sz w:val="17"/>
              </w:rPr>
              <w:t>2026-09-11</w:t>
            </w:r>
          </w:p>
        </w:tc>
        <w:tc>
          <w:tcPr>
            <w:tcW w:type="dxa" w:w="1440"/>
            <w:shd w:fill="FAFAFA" w:val="clear"/>
          </w:tcPr>
          <w:p>
            <w:r>
              <w:rPr>
                <w:sz w:val="17"/>
              </w:rPr>
              <w:t>35,011</w:t>
            </w:r>
          </w:p>
        </w:tc>
        <w:tc>
          <w:tcPr>
            <w:tcW w:type="dxa" w:w="1440"/>
            <w:shd w:fill="FAFAFA" w:val="clear"/>
          </w:tcPr>
          <w:p>
            <w:r>
              <w:rPr>
                <w:b/>
                <w:sz w:val="17"/>
              </w:rPr>
              <w:t>37,384</w:t>
            </w:r>
          </w:p>
        </w:tc>
        <w:tc>
          <w:tcPr>
            <w:tcW w:type="dxa" w:w="1440"/>
            <w:shd w:fill="FAFAFA" w:val="clear"/>
          </w:tcPr>
          <w:p>
            <w:r>
              <w:rPr>
                <w:sz w:val="17"/>
              </w:rPr>
              <w:t>39,757</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2026-09-14</w:t>
            </w:r>
          </w:p>
        </w:tc>
        <w:tc>
          <w:tcPr>
            <w:tcW w:type="dxa" w:w="1440"/>
            <w:shd w:fill="FAFAFA" w:val="clear"/>
          </w:tcPr>
          <w:p>
            <w:r>
              <w:rPr>
                <w:sz w:val="17"/>
              </w:rPr>
              <w:t>34,800</w:t>
            </w:r>
          </w:p>
        </w:tc>
        <w:tc>
          <w:tcPr>
            <w:tcW w:type="dxa" w:w="1440"/>
            <w:shd w:fill="FAFAFA" w:val="clear"/>
          </w:tcPr>
          <w:p>
            <w:r>
              <w:rPr>
                <w:b/>
                <w:sz w:val="17"/>
              </w:rPr>
              <w:t>37,311</w:t>
            </w:r>
          </w:p>
        </w:tc>
        <w:tc>
          <w:tcPr>
            <w:tcW w:type="dxa" w:w="1440"/>
            <w:shd w:fill="FAFAFA" w:val="clear"/>
          </w:tcPr>
          <w:p>
            <w:r>
              <w:rPr>
                <w:sz w:val="17"/>
              </w:rPr>
              <w:t>39,823</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2026-09-15</w:t>
            </w:r>
          </w:p>
        </w:tc>
        <w:tc>
          <w:tcPr>
            <w:tcW w:type="dxa" w:w="1440"/>
            <w:shd w:fill="FFDCE0" w:val="clear"/>
          </w:tcPr>
          <w:p>
            <w:r>
              <w:rPr>
                <w:sz w:val="17"/>
              </w:rPr>
              <w:t>34,597</w:t>
            </w:r>
          </w:p>
        </w:tc>
        <w:tc>
          <w:tcPr>
            <w:tcW w:type="dxa" w:w="1440"/>
            <w:shd w:fill="FFDCE0" w:val="clear"/>
          </w:tcPr>
          <w:p>
            <w:r>
              <w:rPr>
                <w:b/>
                <w:sz w:val="17"/>
              </w:rPr>
              <w:t>37,240</w:t>
            </w:r>
          </w:p>
        </w:tc>
        <w:tc>
          <w:tcPr>
            <w:tcW w:type="dxa" w:w="1440"/>
            <w:shd w:fill="FFDCE0" w:val="clear"/>
          </w:tcPr>
          <w:p>
            <w:r>
              <w:rPr>
                <w:sz w:val="17"/>
              </w:rPr>
              <w:t>39,882</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1 183,47 milliards FCFA, ce qui en fait l'une des plus importantes capitalisations de la BRVM, reflétant son statut de leader bancaire régional. Avec un BPA de 3 258 FCFA, le titre se négocie à un PER de 11,7x, légèrement au-dessus de la moyenne historique de la place (~8-12x), indiquant une valorisation raisonnable mais non bradée, les investisseurs intégrant une prime de qualité. Le P/B de 2,39x confirme cette perception, le marché valorisant la banque à plus du double de ses capitaux propres, ce qui est caractéristique d'une croissance attendue. En revanche, l'EV/EBITDA de 24,5x est très exigeant, signalant que la valeur totale de l'entreprise (dette incluse) est élevée par rapport à sa capacité opérationnelle, un point de vigilance pour les investisseurs à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 affiché une progression solide de +11,88%, avec une dernière séance quasi stable (+0,11%), témoignant d'un maintien des niveaux atteints. Le cours a évolué dans un range de 32 800 à 39 300 FCFA, démontrant une tendance haussière soutenue sur la période. La moyenne (37 097 FCFA) est inférieure à la médiane (38 000 FCFA), et le skewness négatif (-0,799) indique que les rendements positifs ont été plus fréquents mais de moindre ampleur que les rares baisses, ce qui est cohérent avec une progression régulière. L'écart-type de 2 072 FCFA (CV de 5,6%) montre une dispersion modérée, tandis que le kurtosis négatif (-0,795) suggère l'absence de mouvements extrêmes, un profil mésokurtique. La volatilité annualisée de 24,8% classe le titre dans une zone de risque modéré, acceptable pour une valeur bancaire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(38 040 FCFA) est inférieur à la MM20 (38 541 FCFA) et à la MM50 (38 480 FCFA), indiquant un repli récent sous les moyennes clés. Cependant, la décision globale reste "Achat", car l'écart est minime et la tendance de fond demeure positive, les MM étant proches l'une de l'autre et le cours ayant évolué au-dessus sur la majeure partie de la période.</w:t>
      </w:r>
    </w:p>
    <w:p>
      <w:pPr>
        <w:spacing w:after="120" w:line="276" w:lineRule="auto"/>
      </w:pPr>
      <w:r>
        <w:t>**Bandes de Bollinger** : Le prix se situe sous la moyenne mobile (borne inférieure à 37 380 FCFA et supérieure à 39 701 FCFA), proche de la zone médiane. La décision "Neutre" est justifiée : le titre n'est ni suracheté ni survendu, et la largeur des bandes reflète une volatilité modérée, sans signal directionnel fort.</w:t>
      </w:r>
    </w:p>
    <w:p>
      <w:pPr>
        <w:spacing w:after="120" w:line="276" w:lineRule="auto"/>
      </w:pPr>
      <w:r>
        <w:t>**MACD** : La valeur MACD (-44,787) est inférieure à son signal (61,02), indiquant un momentum baissier à court terme. Cette divergence négative, bien que récente, suggère une possible consolidation après la hausse, d'où la décision "Vente". Les investisseurs devront surveiller un éventuel croisement haussier pour confirmer un retour de la dynamique positive.</w:t>
      </w:r>
    </w:p>
    <w:p>
      <w:pPr>
        <w:spacing w:after="120" w:line="276" w:lineRule="auto"/>
      </w:pPr>
      <w:r>
        <w:t>**RSI** : À 43,36, le RSI est en zone neutre (30-70), sans signal de surachat ni de survente. Cela indique que le marché n'est pas encore dans une phase d'épuisement, mais la pression acheteuse s'est estompée, laissant place à une phase d'attente. La décision "Neutre" est cohérente avec une stabilisation des cours.</w:t>
      </w:r>
    </w:p>
    <w:p>
      <w:pPr>
        <w:spacing w:after="120" w:line="276" w:lineRule="auto"/>
      </w:pPr>
      <w:r>
        <w:t>**Stochastique** : Le %K (21,0) et le %D (19,3) sont tous deux en zone de survente (&lt;20), suggérant un potentiel de rebond technique. Cependant, l'absence de croisement haussier clair maintient la décision "Neutre". Un tel croisement pourrait signaler un point d'entrée opportun pour les traders à court terme.</w:t>
      </w:r>
    </w:p>
    <w:p>
      <w:pPr>
        <w:spacing w:after="120" w:line="276" w:lineRule="auto"/>
      </w:pPr>
      <w:r>
        <w:t>**Conclusion technique** : Les indicateurs sont mitigés, avec des signaux de vente à court terme (MACD) mais des conditions de survente (Stochastique) et une tendance de fond haussière (MM). Le titre semble en phase de consolidation après une forte progression, et un rebond technique est possible si les supports actuels tiennent. La prudence est de mise à très court terme, mais la tendance moyenne reste positive.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structurés de SGBC confirment sa position dominante. Le Produit Net Bancaire (PNB) s'établit à 276,048 milliards FCFA, en croissance de +4,88%, avec un résultat net de 101,352 milliards FCFA, dépassant le seuil symbolique des 100 milliards pour la première fois. La rentabilité est excellente, avec un ROE de 20,47% et un ROA de 2,69%, témoignant d'une gestion efficace des fonds propres et des actifs. Le coefficient d'exploitation de 38,75% est remarquablement bas, indiquant une banque très efficiente. La structure financière montre une dépendance aux dépôts clients (2 907,675 Mds FCFA) qui financent largement les crédits (2 546,290 Mds FCFA), avec un ratio de transformation sain. Le coût du risque, bien que non détaillé, est contenu, comme le suggèrent les provisions de 17,995 Mds FCFA. Les rapports trimestriels 2025 (T1, S1, 9 mois) confirment cette trajectoire : le PNB cumulé sur 9 mois atteint 201,0 milliards FCFA (+2,5%), et le résultat net progresse de +11,7% à 83,3 milliards, porté par une maîtrise des coûts. Le rapport annuel 2024 (PNB de 263,2 Mds, résultat net de 101,2 Mds) montre une amélioration continue de la rentabilité et une politique de dividende généreuse (1 863 FCFA par action, soit un rendement d'environ 5%). La notation AAA (Bloomfield) renforce la confiance. Les perspectives 2026 sont positives, avec une croissance estimée du PNB de +3-5% et une stabilité du résultat net, malgré une vigilance accrue sur la qualité du crédit (NPL en hausse à 7,8% au S1 2025).</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convergence positive entre les fondamentaux et la valorisation, mais une divergence avec les signaux techniques à court terme. La valorisation (PER de 11,7x, P/B de 2,39x) est raisonnable pour un leader bancaire noté AAA, avec une capitalisation solide de 1 183 Mds FCFA. Le comportement du cours sur 100 jours (+11,88%) montre une tendance haussière robuste, avec une volatilité modérée (24,8%) et une distribution statistique saine (skewness négatif, kurtosis faible). Les signaux techniques sont mitigés, avec un MACD vendeur mais des conditions de survente (Stochastique) et des moyennes mobiles encore en zone d'achat, suggérant une consolidation temporaire. Les fondamentaux sont excellents : ROE de 20,47%, coefficient d'exploitation de 38,75%, et une croissance soutenue du résultat net (+11,7% sur 9 mois en 2025). Les prédictions IA pour les 10 prochains jours (baisse progressive de 37 915 à 37 607 FCFA) confirment cette phase de consolidation technique, sans remettre en cause la tendance de fond. En conséquence, la recommandation est **CONSERVER** pour les investisseurs existants, avec un niveau de confiance **Moyen** et un risque global **Faible**. Pour les nouveaux investisseurs, une stratégie d'achat progressif sur les replis est conseillée, avec un horizon d'investissement **moyen terme (3-12 mois)** pour bénéficier de la solidité financière et des perspectives de croissance de la banque.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153.41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4,371 titres</w:t>
            </w:r>
          </w:p>
        </w:tc>
        <w:tc>
          <w:tcPr>
            <w:tcW w:type="dxa" w:w="2268"/>
            <w:shd w:fill="FFF2CC" w:val="clear"/>
          </w:tcPr>
          <w:p>
            <w:r>
              <w:rPr>
                <w:b/>
                <w:color w:val="503200"/>
                <w:sz w:val="16"/>
              </w:rPr>
              <w:t xml:space="preserve">Cours actuel : </w:t>
            </w:r>
            <w:r>
              <w:rPr>
                <w:color w:val="000000"/>
                <w:sz w:val="17"/>
              </w:rPr>
              <w:t>2,435 FCFA</w:t>
            </w:r>
          </w:p>
          <w:p>
            <w:r>
              <w:rPr>
                <w:b/>
                <w:color w:val="503200"/>
                <w:sz w:val="16"/>
              </w:rPr>
              <w:t xml:space="preserve">Var. 100 jours : </w:t>
            </w:r>
            <w:r>
              <w:rPr>
                <w:b/>
                <w:color w:val="007800"/>
                <w:sz w:val="17"/>
              </w:rPr>
              <w:t>+11.19%</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7.47% (Moyenne) — μ=2,129 FCFA, σ=159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β=1.1213 (Neutre (suit le marché)) — Cov=0.000041, Var(idx)=0.000037, ρ=0.306,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2,196</w:t>
            </w:r>
          </w:p>
        </w:tc>
        <w:tc>
          <w:tcPr>
            <w:tcW w:type="dxa" w:w="1440"/>
            <w:shd w:fill="FFDCE0" w:val="clear"/>
          </w:tcPr>
          <w:p>
            <w:r>
              <w:rPr>
                <w:b/>
                <w:sz w:val="17"/>
              </w:rPr>
              <w:t>2,281</w:t>
            </w:r>
          </w:p>
        </w:tc>
        <w:tc>
          <w:tcPr>
            <w:tcW w:type="dxa" w:w="1440"/>
            <w:shd w:fill="FFDCE0" w:val="clear"/>
          </w:tcPr>
          <w:p>
            <w:r>
              <w:rPr>
                <w:sz w:val="17"/>
              </w:rPr>
              <w:t>2,366</w:t>
            </w:r>
          </w:p>
        </w:tc>
        <w:tc>
          <w:tcPr>
            <w:tcW w:type="dxa" w:w="1440"/>
            <w:shd w:fill="FFDCE0" w:val="clear"/>
          </w:tcPr>
          <w:p>
            <w:r>
              <w:rPr>
                <w:b/>
                <w:color w:val="C00000"/>
                <w:sz w:val="17"/>
              </w:rPr>
              <w:t>-6.3%</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2,055</w:t>
            </w:r>
          </w:p>
        </w:tc>
        <w:tc>
          <w:tcPr>
            <w:tcW w:type="dxa" w:w="1440"/>
            <w:shd w:fill="FFDCE0" w:val="clear"/>
          </w:tcPr>
          <w:p>
            <w:r>
              <w:rPr>
                <w:b/>
                <w:sz w:val="17"/>
              </w:rPr>
              <w:t>2,169</w:t>
            </w:r>
          </w:p>
        </w:tc>
        <w:tc>
          <w:tcPr>
            <w:tcW w:type="dxa" w:w="1440"/>
            <w:shd w:fill="FFDCE0" w:val="clear"/>
          </w:tcPr>
          <w:p>
            <w:r>
              <w:rPr>
                <w:sz w:val="17"/>
              </w:rPr>
              <w:t>2,284</w:t>
            </w:r>
          </w:p>
        </w:tc>
        <w:tc>
          <w:tcPr>
            <w:tcW w:type="dxa" w:w="1440"/>
            <w:shd w:fill="FFDCE0" w:val="clear"/>
          </w:tcPr>
          <w:p>
            <w:r>
              <w:rPr>
                <w:b/>
                <w:color w:val="C00000"/>
                <w:sz w:val="17"/>
              </w:rPr>
              <w:t>-10.9%</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1,936</w:t>
            </w:r>
          </w:p>
        </w:tc>
        <w:tc>
          <w:tcPr>
            <w:tcW w:type="dxa" w:w="1440"/>
            <w:shd w:fill="FFDCE0" w:val="clear"/>
          </w:tcPr>
          <w:p>
            <w:r>
              <w:rPr>
                <w:b/>
                <w:sz w:val="17"/>
              </w:rPr>
              <w:t>2,070</w:t>
            </w:r>
          </w:p>
        </w:tc>
        <w:tc>
          <w:tcPr>
            <w:tcW w:type="dxa" w:w="1440"/>
            <w:shd w:fill="FFDCE0" w:val="clear"/>
          </w:tcPr>
          <w:p>
            <w:r>
              <w:rPr>
                <w:sz w:val="17"/>
              </w:rPr>
              <w:t>2,204</w:t>
            </w:r>
          </w:p>
        </w:tc>
        <w:tc>
          <w:tcPr>
            <w:tcW w:type="dxa" w:w="1440"/>
            <w:shd w:fill="FFDCE0" w:val="clear"/>
          </w:tcPr>
          <w:p>
            <w:r>
              <w:rPr>
                <w:b/>
                <w:color w:val="C00000"/>
                <w:sz w:val="17"/>
              </w:rPr>
              <w:t>-15.0%</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1,840</w:t>
            </w:r>
          </w:p>
        </w:tc>
        <w:tc>
          <w:tcPr>
            <w:tcW w:type="dxa" w:w="1440"/>
            <w:shd w:fill="FFDCE0" w:val="clear"/>
          </w:tcPr>
          <w:p>
            <w:r>
              <w:rPr>
                <w:b/>
                <w:sz w:val="17"/>
              </w:rPr>
              <w:t>1,988</w:t>
            </w:r>
          </w:p>
        </w:tc>
        <w:tc>
          <w:tcPr>
            <w:tcW w:type="dxa" w:w="1440"/>
            <w:shd w:fill="FFDCE0" w:val="clear"/>
          </w:tcPr>
          <w:p>
            <w:r>
              <w:rPr>
                <w:sz w:val="17"/>
              </w:rPr>
              <w:t>2,137</w:t>
            </w:r>
          </w:p>
        </w:tc>
        <w:tc>
          <w:tcPr>
            <w:tcW w:type="dxa" w:w="1440"/>
            <w:shd w:fill="FFDCE0" w:val="clear"/>
          </w:tcPr>
          <w:p>
            <w:r>
              <w:rPr>
                <w:b/>
                <w:color w:val="C00000"/>
                <w:sz w:val="17"/>
              </w:rPr>
              <w:t>-18.3%</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1,761</w:t>
            </w:r>
          </w:p>
        </w:tc>
        <w:tc>
          <w:tcPr>
            <w:tcW w:type="dxa" w:w="1440"/>
            <w:shd w:fill="FFDCE0" w:val="clear"/>
          </w:tcPr>
          <w:p>
            <w:r>
              <w:rPr>
                <w:b/>
                <w:sz w:val="17"/>
              </w:rPr>
              <w:t>1,921</w:t>
            </w:r>
          </w:p>
        </w:tc>
        <w:tc>
          <w:tcPr>
            <w:tcW w:type="dxa" w:w="1440"/>
            <w:shd w:fill="FFDCE0" w:val="clear"/>
          </w:tcPr>
          <w:p>
            <w:r>
              <w:rPr>
                <w:sz w:val="17"/>
              </w:rPr>
              <w:t>2,082</w:t>
            </w:r>
          </w:p>
        </w:tc>
        <w:tc>
          <w:tcPr>
            <w:tcW w:type="dxa" w:w="1440"/>
            <w:shd w:fill="FFDCE0" w:val="clear"/>
          </w:tcPr>
          <w:p>
            <w:r>
              <w:rPr>
                <w:b/>
                <w:color w:val="C00000"/>
                <w:sz w:val="17"/>
              </w:rPr>
              <w:t>-21.1%</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1,694</w:t>
            </w:r>
          </w:p>
        </w:tc>
        <w:tc>
          <w:tcPr>
            <w:tcW w:type="dxa" w:w="1440"/>
            <w:shd w:fill="FFDCE0" w:val="clear"/>
          </w:tcPr>
          <w:p>
            <w:r>
              <w:rPr>
                <w:b/>
                <w:sz w:val="17"/>
              </w:rPr>
              <w:t>1,865</w:t>
            </w:r>
          </w:p>
        </w:tc>
        <w:tc>
          <w:tcPr>
            <w:tcW w:type="dxa" w:w="1440"/>
            <w:shd w:fill="FFDCE0" w:val="clear"/>
          </w:tcPr>
          <w:p>
            <w:r>
              <w:rPr>
                <w:sz w:val="17"/>
              </w:rPr>
              <w:t>2,036</w:t>
            </w:r>
          </w:p>
        </w:tc>
        <w:tc>
          <w:tcPr>
            <w:tcW w:type="dxa" w:w="1440"/>
            <w:shd w:fill="FFDCE0" w:val="clear"/>
          </w:tcPr>
          <w:p>
            <w:r>
              <w:rPr>
                <w:b/>
                <w:color w:val="C00000"/>
                <w:sz w:val="17"/>
              </w:rPr>
              <w:t>-23.4%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1,637</w:t>
            </w:r>
          </w:p>
        </w:tc>
        <w:tc>
          <w:tcPr>
            <w:tcW w:type="dxa" w:w="1440"/>
            <w:shd w:fill="FFDCE0" w:val="clear"/>
          </w:tcPr>
          <w:p>
            <w:r>
              <w:rPr>
                <w:b/>
                <w:sz w:val="17"/>
              </w:rPr>
              <w:t>1,817</w:t>
            </w:r>
          </w:p>
        </w:tc>
        <w:tc>
          <w:tcPr>
            <w:tcW w:type="dxa" w:w="1440"/>
            <w:shd w:fill="FFDCE0" w:val="clear"/>
          </w:tcPr>
          <w:p>
            <w:r>
              <w:rPr>
                <w:sz w:val="17"/>
              </w:rPr>
              <w:t>1,996</w:t>
            </w:r>
          </w:p>
        </w:tc>
        <w:tc>
          <w:tcPr>
            <w:tcW w:type="dxa" w:w="1440"/>
            <w:shd w:fill="FFDCE0" w:val="clear"/>
          </w:tcPr>
          <w:p>
            <w:r>
              <w:rPr>
                <w:b/>
                <w:color w:val="C00000"/>
                <w:sz w:val="17"/>
              </w:rPr>
              <w:t>-25.4%</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1,587</w:t>
            </w:r>
          </w:p>
        </w:tc>
        <w:tc>
          <w:tcPr>
            <w:tcW w:type="dxa" w:w="1440"/>
            <w:shd w:fill="FFDCE0" w:val="clear"/>
          </w:tcPr>
          <w:p>
            <w:r>
              <w:rPr>
                <w:b/>
                <w:sz w:val="17"/>
              </w:rPr>
              <w:t>1,774</w:t>
            </w:r>
          </w:p>
        </w:tc>
        <w:tc>
          <w:tcPr>
            <w:tcW w:type="dxa" w:w="1440"/>
            <w:shd w:fill="FFDCE0" w:val="clear"/>
          </w:tcPr>
          <w:p>
            <w:r>
              <w:rPr>
                <w:sz w:val="17"/>
              </w:rPr>
              <w:t>1,961</w:t>
            </w:r>
          </w:p>
        </w:tc>
        <w:tc>
          <w:tcPr>
            <w:tcW w:type="dxa" w:w="1440"/>
            <w:shd w:fill="FFDCE0" w:val="clear"/>
          </w:tcPr>
          <w:p>
            <w:r>
              <w:rPr>
                <w:b/>
                <w:color w:val="C00000"/>
                <w:sz w:val="17"/>
              </w:rPr>
              <w:t>-27.1%</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1,541</w:t>
            </w:r>
          </w:p>
        </w:tc>
        <w:tc>
          <w:tcPr>
            <w:tcW w:type="dxa" w:w="1440"/>
            <w:shd w:fill="FFDCE0" w:val="clear"/>
          </w:tcPr>
          <w:p>
            <w:r>
              <w:rPr>
                <w:b/>
                <w:sz w:val="17"/>
              </w:rPr>
              <w:t>1,735</w:t>
            </w:r>
          </w:p>
        </w:tc>
        <w:tc>
          <w:tcPr>
            <w:tcW w:type="dxa" w:w="1440"/>
            <w:shd w:fill="FFDCE0" w:val="clear"/>
          </w:tcPr>
          <w:p>
            <w:r>
              <w:rPr>
                <w:sz w:val="17"/>
              </w:rPr>
              <w:t>1,930</w:t>
            </w:r>
          </w:p>
        </w:tc>
        <w:tc>
          <w:tcPr>
            <w:tcW w:type="dxa" w:w="1440"/>
            <w:shd w:fill="FFDCE0" w:val="clear"/>
          </w:tcPr>
          <w:p>
            <w:r>
              <w:rPr>
                <w:b/>
                <w:color w:val="C00000"/>
                <w:sz w:val="17"/>
              </w:rPr>
              <w:t>-28.7%</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1,499</w:t>
            </w:r>
          </w:p>
        </w:tc>
        <w:tc>
          <w:tcPr>
            <w:tcW w:type="dxa" w:w="1440"/>
            <w:shd w:fill="FFDCE0" w:val="clear"/>
          </w:tcPr>
          <w:p>
            <w:r>
              <w:rPr>
                <w:b/>
                <w:sz w:val="17"/>
              </w:rPr>
              <w:t>1,700</w:t>
            </w:r>
          </w:p>
        </w:tc>
        <w:tc>
          <w:tcPr>
            <w:tcW w:type="dxa" w:w="1440"/>
            <w:shd w:fill="FFDCE0" w:val="clear"/>
          </w:tcPr>
          <w:p>
            <w:r>
              <w:rPr>
                <w:sz w:val="17"/>
              </w:rPr>
              <w:t>1,901</w:t>
            </w:r>
          </w:p>
        </w:tc>
        <w:tc>
          <w:tcPr>
            <w:tcW w:type="dxa" w:w="1440"/>
            <w:shd w:fill="FFDCE0" w:val="clear"/>
          </w:tcPr>
          <w:p>
            <w:r>
              <w:rPr>
                <w:b/>
                <w:color w:val="C00000"/>
                <w:sz w:val="17"/>
              </w:rPr>
              <w:t>-30.2%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153,41 milliards FCFA, un niveau significatif qui la positionne parmi les valeurs moyennes à grandes capitalisations de la BRVM, reflétant la taille importante de Vivo Energy CI dans le secteur pétrolier ivoirien. Avec un BPA de 96 FCFA, chaque action ne génère qu'un bénéfice modeste, ce qui explique un PER de 25,4x, très supérieur à la moyenne historique de la BRVM (8-12x). Ce ratio indique que les investisseurs paient une prime substantielle pour chaque franc de bénéfice, anticipant probablement une croissance future ou valorisant la solidité de la marque. Le P/B de 5,65x confirme cette prime, le marché valorisant le titre plus de cinq fois sa valeur comptable, ce qui traduit des attentes élevées en matière de rendement des actifs. Enfin, l'EV/EBITDA de 13,4x se situe dans la fourchette haute (10-15x), suggérant une valorisation exigeante de la capacité opérationnelle de l'entreprise. Ces ratios combinés indiquent une valorisation riche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SHEC a enregistré une progression totale de +11,19%, avec une dernière séance en hausse de +0,41%, clôturant à 2 435 FCFA. Le titre a évolué dans une fourchette de 1 840 FCFA (plus bas) à 2 480 FCFA (plus haut), démontrant une dynamique haussière soutenue. La moyenne du cours sur la période (2 129 FCFA) est inférieure à la médiane (2 160 FCFA) et au mode (2 200 FCFA), indiquant une distribution légèrement asymétrique où les valeurs élevées récentes tirent la moyenne vers le haut. L'écart-type de 160 FCFA, avec un coefficient de variation de 7,5%, révèle une dispersion modérée autour de la moyenne. Le kurtosis de -0,577 (mésokurtique) suggère une distribution proche de la normale, sans risque extrême de pics ou de queues épaisses, tandis que le skewness de 0,307 confirme une asymétrie positive, avec des rendements positifs plus fréquents. La volatilité annualisée de 35,2% classe le titre comme très volatil (&gt;30%), ce qui implique des fluctuations de prix importantes et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indiquent une tendance haussière claire : la MM20 (2 360,5 FCFA) est nettement supérieure à la MM50 (2 253,8 FCFA), et le cours actuel (2 435 FCFA) se positionne au-dessus des deux. Cette configuration en "courbe ascendante" confirme la dynamique positive du titre, justifiant la décision d'Achat. La MM20 agissant comme support dynamique à court terme, la tendance de fond semble solide tant que le cours reste au-dessus de 2 360 FCFA.</w:t>
      </w:r>
    </w:p>
    <w:p>
      <w:pPr>
        <w:spacing w:after="120" w:line="276" w:lineRule="auto"/>
      </w:pPr>
      <w:r>
        <w:t>Les **Bandes de Bollinger** montrent un cours à 2 435 FCFA, positionné dans la partie supérieure du canal délimité par la borne basse (2 180,5 FCFA) et la borne haute (2 540,5 FCFA). Le prix se situe à environ 60% de la distance entre les deux bornes, indiquant une pression acheteuse modérée sans atteindre la zone de surachat extrême. La décision Neutre reflète un équilibre entre le momentum haussier et la proximité de la résistance supérieure, suggérant une possible consolidation avant une nouvelle impulsion.</w:t>
      </w:r>
    </w:p>
    <w:p>
      <w:pPr>
        <w:spacing w:after="120" w:line="276" w:lineRule="auto"/>
      </w:pPr>
      <w:r>
        <w:t>Le **MACD** affiche une valeur de 64,72, supérieure à son signal (61,48), confirmant un momentum haussier positif. L'écart positif entre la ligne MACD et sa moyenne mobile signale une dynamique d'accélération des prix. La décision Achat est justifiée par cette configuration, bien que l'écart modéré suggère une force mesurée plutôt qu'une surchauffe imminente.</w:t>
      </w:r>
    </w:p>
    <w:p>
      <w:pPr>
        <w:spacing w:after="120" w:line="276" w:lineRule="auto"/>
      </w:pPr>
      <w:r>
        <w:t>Le **RSI** à 67,44 se situe en zone neutre-haute, proche du seuil de surachat (70). Cette valeur indique une pression acheteuse soutenue mais pas encore excessive. La décision Neutre est prudente : le titre conserve un potentiel haussier, mais la proximité du seuil de 70 suggère qu'une correction technique pourrait survenir si la pression d'achat s'intensifie davantage.</w:t>
      </w:r>
    </w:p>
    <w:p>
      <w:pPr>
        <w:spacing w:after="120" w:line="276" w:lineRule="auto"/>
      </w:pPr>
      <w:r>
        <w:t>Le **Stochastique** montre un %K à 83,93 et un %D à 83,33, tous deux en zone de surachat (&gt;80). Cette configuration signale que le titre est temporairement survendu, avec un risque élevé de retournement baissier à court terme. La décision Vente est justifiée par cette situation de surachat technique, qui précède souvent une consolidation ou un repli.</w:t>
      </w:r>
    </w:p>
    <w:p>
      <w:pPr>
        <w:spacing w:after="120" w:line="276" w:lineRule="auto"/>
      </w:pPr>
      <w:r>
        <w:t>En conclusion technique, les indicateurs de tendance (MM, MACD) sont haussiers et confirment la dynamique positive, tandis que les oscillateurs (RSI, Stochastique) approchent ou atteignent des zones de surachat. Cette divergence suggère qu'un repli technique est probable à court terme avant la poursuite de la tendance haussière de fond. Les investisseurs devraient surveiller un éventuel retour vers la zone des 2 360-2 300 FCFA comme point d'entrée potentiel.</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progression de +0,71% par rapport à 2024 (600,708 milliards FCFA), avec un résultat net de 6,028 milliards FCFA, en hausse de +12,6% (source : états financiers annuels 2025 analysés par DeepSeek le 4 juin 2026). Le ROE s'établit à un excellent niveau de 22,2%, démontrant une création de valeur efficace pour les actionnaires, tandis que le ROA de 3,11% reflète une rentabilité modérée des actifs, typique du secteur de distribution pétrolière. La marge nette reste très faible à 1%, caractéristique de ce secteur à forte intensité capitalistique et à marges compressées. L'analyse du bilan 2025 révèle une structure financière fragile : la trésorerie nette est fortement négative à -65,264 milliards FCFA, avec un besoin en fonds de roulement de 15,315 milliards FCFA et un fonds de roulement négatif de -49,85 milliards FCFA. Les délais de paiement clients (23,27 jours) et fournisseurs (35,47 jours) montrent un déséquilibre qui pèse sur la trésorerie. Sur la base du rapport du 3ème trimestre 2025 (publié le 30 septembre 2025), le résultat net cumulé sur 9 mois a bondi de +45% à 4,119 milliards FCFA, suggérant une accélération de la rentabilité en fin d'année. Cependant, le rapport du 30 juin 2026 indique un chiffre d'affaires en baisse de 1% à 305,038 milliards FCFA avec un résultat net de 3,016 milliards FCFA, confirmant la fragilité de la croissance. Le dividende proposé de 6,09 milliards FCFA pour 2025 représente un taux de distribution de 101%, une politique généreuse mais risquée compte tenu de la situation de trésorerie. La recommandation fondamentale est CONSERVER, car si la rentabilité s'améliore, la structure financière reste préoccupante avec un endettement élevé et une dépendance aux concours bancaires.</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SHEC. La valorisation (PER 25,4x, P/B 5,65x, EV/EBITDA 13,4x) est exigeante, les investisseurs payant une prime significative pour un titre dont la croissance du chiffre d'affaires est atone (+0,71% en 2025). Le comportement du cours sur 100 jours est positif (+11,19%) avec une volatilité élevée (35,2%), indiquant un intérêt marqué mais risqué. Les signaux techniques sont partagés : les indicateurs de tendance (MM, MACD) sont haussiers, mais les oscillateurs (RSI proche de 70, Stochastique en surachat) suggèrent un repli imminent. Les fondamentaux montrent une amélioration de la rentabilité nette (+12,6% en 2025) avec un ROE excellent (22,2%), mais la structure financière reste fragile avec une trésorerie nette très négative (-65,26 milliards FCFA) et un taux de distribution de 101%. Les prédictions IA pour les 10 prochains jours (2281 à 1921 FCFA) indiquent une correction baissière significative, contredisant la tendance haussière récente et confirmant les signaux de surachat technique. Cette convergence entre les signaux techniques de surachat et les prédictions IA suggère qu'une consolidation est probable à court terme. La recommandation finale est **CONSERVER**, avec un niveau de confiance **Moyen** et un risque global **Élevé**. L'horizon d'investissement optimal serait le **moyen terme (3-12 mois)**, en attendant une amélioration de la structure financière et une clarification de la politique de dividende. Les investisseurs devraient surveiller la capacité de l'entreprise à réduire son endettement et à stabiliser sa croissance dans un environnement concurrentiel difficile.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9,566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+31.52%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10.27% (Moyenne) — μ=8,351 FCFA, σ=858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β=0.4072 (Défensif) — Cov=0.000015, Var(idx)=0.000037, ρ=0.136,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9,566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2026-09-02</w:t>
            </w:r>
          </w:p>
        </w:tc>
        <w:tc>
          <w:tcPr>
            <w:tcW w:type="dxa" w:w="1440"/>
            <w:shd w:fill="FFDCE0" w:val="clear"/>
          </w:tcPr>
          <w:p>
            <w:r>
              <w:rPr>
                <w:sz w:val="17"/>
              </w:rPr>
              <w:t>8,587</w:t>
            </w:r>
          </w:p>
        </w:tc>
        <w:tc>
          <w:tcPr>
            <w:tcW w:type="dxa" w:w="1440"/>
            <w:shd w:fill="FFDCE0" w:val="clear"/>
          </w:tcPr>
          <w:p>
            <w:r>
              <w:rPr>
                <w:b/>
                <w:sz w:val="17"/>
              </w:rPr>
              <w:t>8,871</w:t>
            </w:r>
          </w:p>
        </w:tc>
        <w:tc>
          <w:tcPr>
            <w:tcW w:type="dxa" w:w="1440"/>
            <w:shd w:fill="FFDCE0" w:val="clear"/>
          </w:tcPr>
          <w:p>
            <w:r>
              <w:rPr>
                <w:sz w:val="17"/>
              </w:rPr>
              <w:t>9,155</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8,189</w:t>
            </w:r>
          </w:p>
        </w:tc>
        <w:tc>
          <w:tcPr>
            <w:tcW w:type="dxa" w:w="1440"/>
            <w:shd w:fill="FFDCE0" w:val="clear"/>
          </w:tcPr>
          <w:p>
            <w:r>
              <w:rPr>
                <w:b/>
                <w:sz w:val="17"/>
              </w:rPr>
              <w:t>8,577</w:t>
            </w:r>
          </w:p>
        </w:tc>
        <w:tc>
          <w:tcPr>
            <w:tcW w:type="dxa" w:w="1440"/>
            <w:shd w:fill="FFDCE0" w:val="clear"/>
          </w:tcPr>
          <w:p>
            <w:r>
              <w:rPr>
                <w:sz w:val="17"/>
              </w:rPr>
              <w:t>8,966</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7,847</w:t>
            </w:r>
          </w:p>
        </w:tc>
        <w:tc>
          <w:tcPr>
            <w:tcW w:type="dxa" w:w="1440"/>
            <w:shd w:fill="FFDCE0" w:val="clear"/>
          </w:tcPr>
          <w:p>
            <w:r>
              <w:rPr>
                <w:b/>
                <w:sz w:val="17"/>
              </w:rPr>
              <w:t>8,307</w:t>
            </w:r>
          </w:p>
        </w:tc>
        <w:tc>
          <w:tcPr>
            <w:tcW w:type="dxa" w:w="1440"/>
            <w:shd w:fill="FFDCE0" w:val="clear"/>
          </w:tcPr>
          <w:p>
            <w:r>
              <w:rPr>
                <w:sz w:val="17"/>
              </w:rPr>
              <w:t>8,768</w:t>
            </w:r>
          </w:p>
        </w:tc>
        <w:tc>
          <w:tcPr>
            <w:tcW w:type="dxa" w:w="1440"/>
            <w:shd w:fill="FFDCE0" w:val="clear"/>
          </w:tcPr>
          <w:p>
            <w:r>
              <w:rPr>
                <w:b/>
                <w:color w:val="C00000"/>
                <w:sz w:val="17"/>
              </w:rPr>
              <w:t>-9.7%</w:t>
            </w:r>
          </w:p>
        </w:tc>
      </w:tr>
      <w:tr>
        <w:tc>
          <w:tcPr>
            <w:tcW w:type="dxa" w:w="1440"/>
            <w:shd w:fill="FFDCE0" w:val="clear"/>
          </w:tcPr>
          <w:p>
            <w:r>
              <w:rPr>
                <w:sz w:val="17"/>
              </w:rPr>
              <w:t>J+4  Moyenne</w:t>
            </w:r>
          </w:p>
        </w:tc>
        <w:tc>
          <w:tcPr>
            <w:tcW w:type="dxa" w:w="1440"/>
            <w:shd w:fill="FFDCE0" w:val="clear"/>
          </w:tcPr>
          <w:p>
            <w:r>
              <w:rPr>
                <w:sz w:val="17"/>
              </w:rPr>
              <w:t>2026-09-07</w:t>
            </w:r>
          </w:p>
        </w:tc>
        <w:tc>
          <w:tcPr>
            <w:tcW w:type="dxa" w:w="1440"/>
            <w:shd w:fill="FFDCE0" w:val="clear"/>
          </w:tcPr>
          <w:p>
            <w:r>
              <w:rPr>
                <w:sz w:val="17"/>
              </w:rPr>
              <w:t>7,559</w:t>
            </w:r>
          </w:p>
        </w:tc>
        <w:tc>
          <w:tcPr>
            <w:tcW w:type="dxa" w:w="1440"/>
            <w:shd w:fill="FFDCE0" w:val="clear"/>
          </w:tcPr>
          <w:p>
            <w:r>
              <w:rPr>
                <w:b/>
                <w:sz w:val="17"/>
              </w:rPr>
              <w:t>8,076</w:t>
            </w:r>
          </w:p>
        </w:tc>
        <w:tc>
          <w:tcPr>
            <w:tcW w:type="dxa" w:w="1440"/>
            <w:shd w:fill="FFDCE0" w:val="clear"/>
          </w:tcPr>
          <w:p>
            <w:r>
              <w:rPr>
                <w:sz w:val="17"/>
              </w:rPr>
              <w:t>8,594</w:t>
            </w:r>
          </w:p>
        </w:tc>
        <w:tc>
          <w:tcPr>
            <w:tcW w:type="dxa" w:w="1440"/>
            <w:shd w:fill="FFDCE0" w:val="clear"/>
          </w:tcPr>
          <w:p>
            <w:r>
              <w:rPr>
                <w:b/>
                <w:color w:val="C00000"/>
                <w:sz w:val="17"/>
              </w:rPr>
              <w:t>-12.2%</w:t>
            </w:r>
          </w:p>
        </w:tc>
      </w:tr>
      <w:tr>
        <w:tc>
          <w:tcPr>
            <w:tcW w:type="dxa" w:w="1440"/>
            <w:shd w:fill="FFDCE0" w:val="clear"/>
          </w:tcPr>
          <w:p>
            <w:r>
              <w:rPr>
                <w:sz w:val="17"/>
              </w:rPr>
              <w:t>J+5  Moyenne</w:t>
            </w:r>
          </w:p>
        </w:tc>
        <w:tc>
          <w:tcPr>
            <w:tcW w:type="dxa" w:w="1440"/>
            <w:shd w:fill="FFDCE0" w:val="clear"/>
          </w:tcPr>
          <w:p>
            <w:r>
              <w:rPr>
                <w:sz w:val="17"/>
              </w:rPr>
              <w:t>2026-09-08</w:t>
            </w:r>
          </w:p>
        </w:tc>
        <w:tc>
          <w:tcPr>
            <w:tcW w:type="dxa" w:w="1440"/>
            <w:shd w:fill="FFDCE0" w:val="clear"/>
          </w:tcPr>
          <w:p>
            <w:r>
              <w:rPr>
                <w:sz w:val="17"/>
              </w:rPr>
              <w:t>7,317</w:t>
            </w:r>
          </w:p>
        </w:tc>
        <w:tc>
          <w:tcPr>
            <w:tcW w:type="dxa" w:w="1440"/>
            <w:shd w:fill="FFDCE0" w:val="clear"/>
          </w:tcPr>
          <w:p>
            <w:r>
              <w:rPr>
                <w:b/>
                <w:sz w:val="17"/>
              </w:rPr>
              <w:t>7,882</w:t>
            </w:r>
          </w:p>
        </w:tc>
        <w:tc>
          <w:tcPr>
            <w:tcW w:type="dxa" w:w="1440"/>
            <w:shd w:fill="FFDCE0" w:val="clear"/>
          </w:tcPr>
          <w:p>
            <w:r>
              <w:rPr>
                <w:sz w:val="17"/>
              </w:rPr>
              <w:t>8,446</w:t>
            </w:r>
          </w:p>
        </w:tc>
        <w:tc>
          <w:tcPr>
            <w:tcW w:type="dxa" w:w="1440"/>
            <w:shd w:fill="FFDCE0" w:val="clear"/>
          </w:tcPr>
          <w:p>
            <w:r>
              <w:rPr>
                <w:b/>
                <w:color w:val="C00000"/>
                <w:sz w:val="17"/>
              </w:rPr>
              <w:t>-14.3%</w:t>
            </w:r>
          </w:p>
        </w:tc>
      </w:tr>
      <w:tr>
        <w:tc>
          <w:tcPr>
            <w:tcW w:type="dxa" w:w="1440"/>
            <w:shd w:fill="FFDCE0" w:val="clear"/>
          </w:tcPr>
          <w:p>
            <w:r>
              <w:rPr>
                <w:sz w:val="17"/>
              </w:rPr>
              <w:t>J+6  Moyenne</w:t>
            </w:r>
          </w:p>
        </w:tc>
        <w:tc>
          <w:tcPr>
            <w:tcW w:type="dxa" w:w="1440"/>
            <w:shd w:fill="FFDCE0" w:val="clear"/>
          </w:tcPr>
          <w:p>
            <w:r>
              <w:rPr>
                <w:sz w:val="17"/>
              </w:rPr>
              <w:t>2026-09-09</w:t>
            </w:r>
          </w:p>
        </w:tc>
        <w:tc>
          <w:tcPr>
            <w:tcW w:type="dxa" w:w="1440"/>
            <w:shd w:fill="FFDCE0" w:val="clear"/>
          </w:tcPr>
          <w:p>
            <w:r>
              <w:rPr>
                <w:sz w:val="17"/>
              </w:rPr>
              <w:t>7,109</w:t>
            </w:r>
          </w:p>
        </w:tc>
        <w:tc>
          <w:tcPr>
            <w:tcW w:type="dxa" w:w="1440"/>
            <w:shd w:fill="FFDCE0" w:val="clear"/>
          </w:tcPr>
          <w:p>
            <w:r>
              <w:rPr>
                <w:b/>
                <w:sz w:val="17"/>
              </w:rPr>
              <w:t>7,715</w:t>
            </w:r>
          </w:p>
        </w:tc>
        <w:tc>
          <w:tcPr>
            <w:tcW w:type="dxa" w:w="1440"/>
            <w:shd w:fill="FFDCE0" w:val="clear"/>
          </w:tcPr>
          <w:p>
            <w:r>
              <w:rPr>
                <w:sz w:val="17"/>
              </w:rPr>
              <w:t>8,320</w:t>
            </w:r>
          </w:p>
        </w:tc>
        <w:tc>
          <w:tcPr>
            <w:tcW w:type="dxa" w:w="1440"/>
            <w:shd w:fill="FFDCE0" w:val="clear"/>
          </w:tcPr>
          <w:p>
            <w:r>
              <w:rPr>
                <w:b/>
                <w:color w:val="C00000"/>
                <w:sz w:val="17"/>
              </w:rPr>
              <w:t>-16.1%</w:t>
            </w:r>
          </w:p>
        </w:tc>
      </w:tr>
      <w:tr>
        <w:tc>
          <w:tcPr>
            <w:tcW w:type="dxa" w:w="1440"/>
            <w:shd w:fill="FFDCE0" w:val="clear"/>
          </w:tcPr>
          <w:p>
            <w:r>
              <w:rPr>
                <w:sz w:val="17"/>
              </w:rPr>
              <w:t>J+7  Moyenne</w:t>
            </w:r>
          </w:p>
        </w:tc>
        <w:tc>
          <w:tcPr>
            <w:tcW w:type="dxa" w:w="1440"/>
            <w:shd w:fill="FFDCE0" w:val="clear"/>
          </w:tcPr>
          <w:p>
            <w:r>
              <w:rPr>
                <w:sz w:val="17"/>
              </w:rPr>
              <w:t>2026-09-10</w:t>
            </w:r>
          </w:p>
        </w:tc>
        <w:tc>
          <w:tcPr>
            <w:tcW w:type="dxa" w:w="1440"/>
            <w:shd w:fill="FFDCE0" w:val="clear"/>
          </w:tcPr>
          <w:p>
            <w:r>
              <w:rPr>
                <w:sz w:val="17"/>
              </w:rPr>
              <w:t>6,927</w:t>
            </w:r>
          </w:p>
        </w:tc>
        <w:tc>
          <w:tcPr>
            <w:tcW w:type="dxa" w:w="1440"/>
            <w:shd w:fill="FFDCE0" w:val="clear"/>
          </w:tcPr>
          <w:p>
            <w:r>
              <w:rPr>
                <w:b/>
                <w:sz w:val="17"/>
              </w:rPr>
              <w:t>7,568</w:t>
            </w:r>
          </w:p>
        </w:tc>
        <w:tc>
          <w:tcPr>
            <w:tcW w:type="dxa" w:w="1440"/>
            <w:shd w:fill="FFDCE0" w:val="clear"/>
          </w:tcPr>
          <w:p>
            <w:r>
              <w:rPr>
                <w:sz w:val="17"/>
              </w:rPr>
              <w:t>8,210</w:t>
            </w:r>
          </w:p>
        </w:tc>
        <w:tc>
          <w:tcPr>
            <w:tcW w:type="dxa" w:w="1440"/>
            <w:shd w:fill="FFDCE0" w:val="clear"/>
          </w:tcPr>
          <w:p>
            <w:r>
              <w:rPr>
                <w:b/>
                <w:color w:val="C00000"/>
                <w:sz w:val="17"/>
              </w:rPr>
              <w:t>-17.7%</w:t>
            </w:r>
          </w:p>
        </w:tc>
      </w:tr>
      <w:tr>
        <w:tc>
          <w:tcPr>
            <w:tcW w:type="dxa" w:w="1440"/>
            <w:shd w:fill="FFDCE0" w:val="clear"/>
          </w:tcPr>
          <w:p>
            <w:r>
              <w:rPr>
                <w:sz w:val="17"/>
              </w:rPr>
              <w:t>J+8  Moyenne</w:t>
            </w:r>
          </w:p>
        </w:tc>
        <w:tc>
          <w:tcPr>
            <w:tcW w:type="dxa" w:w="1440"/>
            <w:shd w:fill="FFDCE0" w:val="clear"/>
          </w:tcPr>
          <w:p>
            <w:r>
              <w:rPr>
                <w:sz w:val="17"/>
              </w:rPr>
              <w:t>2026-09-11</w:t>
            </w:r>
          </w:p>
        </w:tc>
        <w:tc>
          <w:tcPr>
            <w:tcW w:type="dxa" w:w="1440"/>
            <w:shd w:fill="FFDCE0" w:val="clear"/>
          </w:tcPr>
          <w:p>
            <w:r>
              <w:rPr>
                <w:sz w:val="17"/>
              </w:rPr>
              <w:t>6,765</w:t>
            </w:r>
          </w:p>
        </w:tc>
        <w:tc>
          <w:tcPr>
            <w:tcW w:type="dxa" w:w="1440"/>
            <w:shd w:fill="FFDCE0" w:val="clear"/>
          </w:tcPr>
          <w:p>
            <w:r>
              <w:rPr>
                <w:b/>
                <w:sz w:val="17"/>
              </w:rPr>
              <w:t>7,438</w:t>
            </w:r>
          </w:p>
        </w:tc>
        <w:tc>
          <w:tcPr>
            <w:tcW w:type="dxa" w:w="1440"/>
            <w:shd w:fill="FFDCE0" w:val="clear"/>
          </w:tcPr>
          <w:p>
            <w:r>
              <w:rPr>
                <w:sz w:val="17"/>
              </w:rPr>
              <w:t>8,112</w:t>
            </w:r>
          </w:p>
        </w:tc>
        <w:tc>
          <w:tcPr>
            <w:tcW w:type="dxa" w:w="1440"/>
            <w:shd w:fill="FFDCE0" w:val="clear"/>
          </w:tcPr>
          <w:p>
            <w:r>
              <w:rPr>
                <w:b/>
                <w:color w:val="C00000"/>
                <w:sz w:val="17"/>
              </w:rPr>
              <w:t>-19.1%</w:t>
            </w:r>
          </w:p>
        </w:tc>
      </w:tr>
      <w:tr>
        <w:tc>
          <w:tcPr>
            <w:tcW w:type="dxa" w:w="1440"/>
            <w:shd w:fill="FFDCE0" w:val="clear"/>
          </w:tcPr>
          <w:p>
            <w:r>
              <w:rPr>
                <w:sz w:val="17"/>
              </w:rPr>
              <w:t>J+9  Moyenne</w:t>
            </w:r>
          </w:p>
        </w:tc>
        <w:tc>
          <w:tcPr>
            <w:tcW w:type="dxa" w:w="1440"/>
            <w:shd w:fill="FFDCE0" w:val="clear"/>
          </w:tcPr>
          <w:p>
            <w:r>
              <w:rPr>
                <w:sz w:val="17"/>
              </w:rPr>
              <w:t>2026-09-14</w:t>
            </w:r>
          </w:p>
        </w:tc>
        <w:tc>
          <w:tcPr>
            <w:tcW w:type="dxa" w:w="1440"/>
            <w:shd w:fill="FFDCE0" w:val="clear"/>
          </w:tcPr>
          <w:p>
            <w:r>
              <w:rPr>
                <w:sz w:val="17"/>
              </w:rPr>
              <w:t>6,618</w:t>
            </w:r>
          </w:p>
        </w:tc>
        <w:tc>
          <w:tcPr>
            <w:tcW w:type="dxa" w:w="1440"/>
            <w:shd w:fill="FFDCE0" w:val="clear"/>
          </w:tcPr>
          <w:p>
            <w:r>
              <w:rPr>
                <w:b/>
                <w:sz w:val="17"/>
              </w:rPr>
              <w:t>7,321</w:t>
            </w:r>
          </w:p>
        </w:tc>
        <w:tc>
          <w:tcPr>
            <w:tcW w:type="dxa" w:w="1440"/>
            <w:shd w:fill="FFDCE0" w:val="clear"/>
          </w:tcPr>
          <w:p>
            <w:r>
              <w:rPr>
                <w:sz w:val="17"/>
              </w:rPr>
              <w:t>8,025</w:t>
            </w:r>
          </w:p>
        </w:tc>
        <w:tc>
          <w:tcPr>
            <w:tcW w:type="dxa" w:w="1440"/>
            <w:shd w:fill="FFDCE0" w:val="clear"/>
          </w:tcPr>
          <w:p>
            <w:r>
              <w:rPr>
                <w:b/>
                <w:color w:val="C00000"/>
                <w:sz w:val="17"/>
              </w:rPr>
              <w:t>-20.4%</w:t>
            </w:r>
          </w:p>
        </w:tc>
      </w:tr>
      <w:tr>
        <w:tc>
          <w:tcPr>
            <w:tcW w:type="dxa" w:w="1440"/>
            <w:shd w:fill="FFDCE0" w:val="clear"/>
          </w:tcPr>
          <w:p>
            <w:r>
              <w:rPr>
                <w:sz w:val="17"/>
              </w:rPr>
              <w:t>J+10  Moyenne</w:t>
            </w:r>
          </w:p>
        </w:tc>
        <w:tc>
          <w:tcPr>
            <w:tcW w:type="dxa" w:w="1440"/>
            <w:shd w:fill="FFDCE0" w:val="clear"/>
          </w:tcPr>
          <w:p>
            <w:r>
              <w:rPr>
                <w:sz w:val="17"/>
              </w:rPr>
              <w:t>2026-09-15</w:t>
            </w:r>
          </w:p>
        </w:tc>
        <w:tc>
          <w:tcPr>
            <w:tcW w:type="dxa" w:w="1440"/>
            <w:shd w:fill="FFDCE0" w:val="clear"/>
          </w:tcPr>
          <w:p>
            <w:r>
              <w:rPr>
                <w:sz w:val="17"/>
              </w:rPr>
              <w:t>6,483</w:t>
            </w:r>
          </w:p>
        </w:tc>
        <w:tc>
          <w:tcPr>
            <w:tcW w:type="dxa" w:w="1440"/>
            <w:shd w:fill="FFDCE0" w:val="clear"/>
          </w:tcPr>
          <w:p>
            <w:r>
              <w:rPr>
                <w:b/>
                <w:sz w:val="17"/>
              </w:rPr>
              <w:t>7,214</w:t>
            </w:r>
          </w:p>
        </w:tc>
        <w:tc>
          <w:tcPr>
            <w:tcW w:type="dxa" w:w="1440"/>
            <w:shd w:fill="FFDCE0" w:val="clear"/>
          </w:tcPr>
          <w:p>
            <w:r>
              <w:rPr>
                <w:sz w:val="17"/>
              </w:rPr>
              <w:t>7,945</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Absolument. Voici un rapport d'analyse structuré et professionnel pour l'action SIBC,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920 milliards FCFA, la SIBC se positionne comme l'une des valeurs les plus lourdes et les plus liquides de la BRVM, reflétant son statut de banque systémique en Côte d'Ivoire. Le BPA de 556 FCFA indique que chaque action a généré un bénéfice net de ce montant sur l'exercice 2025. Le PER de 16,5x est nettement supérieur à la moyenne historique de la BRVM (8-12x), signifiant que les investisseurs acceptent de payer une prime substantielle pour la qualité des actifs et la croissance de la banque. Cette prime est encore plus flagrante au regard du P/B de 4,49x, qui valorise le titre à plus de quatre fois sa valeur comptable, et d'un EV/EBITDA de 15,3x, tous deux témoignant d'une valorisation exigeante qui anticipe une poursuite de la performance exceptionnelle de la banque.</w:t>
      </w:r>
    </w:p>
    <w:p>
      <w:pPr>
        <w:spacing w:after="120" w:line="276" w:lineRule="auto"/>
      </w:pPr>
      <w:r>
        <w:t>### PARTIE 1 : ANALYSE DU COURS — STATISTIQUES ET ÉVOLUTION (100 derniers jours)</w:t>
      </w:r>
    </w:p>
    <w:p>
      <w:pPr>
        <w:spacing w:after="120" w:line="276" w:lineRule="auto"/>
      </w:pPr>
      <w:r>
        <w:t>Sur les 100 derniers jours, l'action SIBC a affiché une progression remarquable de +31,52%, avec une dernière séance en hausse de +2,22% à 9 200 FCFA. Le titre a évolué dans une fourchette large de 6 805 à 9 500 FCFA, démontrant une forte dynamique haussière. La moyenne du cours sur la période (8 351 FCFA) est inférieure à la médiane (8 800 FCFA) et au mode (9 000 FCFA), ce qui, combiné à une asymétrie négative (Skewness de -0,655), indique que le titre a passé plus de temps au-dessus de sa moyenne, avec des phases d'accélération rapide. La distribution est platykurtique (Kurtosis de -1,269), signe d'une faible concentration des variations autour de la moyenne et de l'absence de mouvements extrêmes récents. L'écart-type de 862 FCFA (CV de 10,3%) et la volatilité annualisée de 28,8% classent le titre dans la catégorie des valeurs à volatilité modérée, mais non négligeable.</w:t>
      </w:r>
    </w:p>
    <w:p>
      <w:pPr>
        <w:spacing w:after="120" w:line="276" w:lineRule="auto"/>
      </w:pPr>
      <w:r>
        <w:t>### PARTIE 2 : ANALYSE TECHNIQUE DÉTAILLÉE</w:t>
      </w:r>
    </w:p>
    <w:p>
      <w:pPr>
        <w:spacing w:after="120" w:line="276" w:lineRule="auto"/>
      </w:pPr>
      <w:r>
        <w:t>**Moyennes Mobiles:** Le cours actuel de 9 200 FCFA est supérieur à la MM20 (9 180 FCFA) et à la MM50 (9 006,7 FCFA). Cette configuration haussière, où les moyennes sont orientées à la hausse et le cours évolue au-dessus, confirme la tendance positive de fond et justifie la décision d'**Achat**.</w:t>
      </w:r>
    </w:p>
    <w:p>
      <w:pPr>
        <w:spacing w:after="120" w:line="276" w:lineRule="auto"/>
      </w:pPr>
      <w:r>
        <w:t>**Bandes de Bollinger:** Le prix se situe à 9 200 FCFA, entre la borne supérieure (9 475,8 FCFA) et la borne inférieure (8 884,2 FCFA). La position quasi-centrale du cours indique une volatilité modérée et l'absence de conditions de surachat ou de survente extrêmes. La décision est donc **Neutre**, le marché cherchant sa direction après un mouvement haussier.</w:t>
      </w:r>
    </w:p>
    <w:p>
      <w:pPr>
        <w:spacing w:after="120" w:line="276" w:lineRule="auto"/>
      </w:pPr>
      <w:r>
        <w:t>**MACD:** Le MACD (46,5) est passé sous sa ligne de signal (66,7), ce qui génère un signal de **Vente** à court terme. Cette divergence baissière suggère un essoufflement du momentum haussier et pourrait précéder une phase de consolidation ou de correction technique.</w:t>
      </w:r>
    </w:p>
    <w:p>
      <w:pPr>
        <w:spacing w:after="120" w:line="276" w:lineRule="auto"/>
      </w:pPr>
      <w:r>
        <w:t>**RSI:** Avec une valeur de 40, le RSI se situe en zone neutre, loin des seuils de surachat (&gt;70) ou de survente (&lt;30). Cela indique que le titre n'est ni survendu ni suracheté, laissant une marge de manœuvre dans les deux sens. La décision est **Neutre**.</w:t>
      </w:r>
    </w:p>
    <w:p>
      <w:pPr>
        <w:spacing w:after="120" w:line="276" w:lineRule="auto"/>
      </w:pPr>
      <w:r>
        <w:t>**Stochastique:** Le %K (66,7) est nettement supérieur au %D (35,6), montrant un croisement haussier récent qui pourrait signaler un rebond à venir. Cependant, cette configuration n'est pas encore confirmée par une sortie des zones extrêmes. La décision est **Neutre**.</w:t>
      </w:r>
    </w:p>
    <w:p>
      <w:pPr>
        <w:spacing w:after="120" w:line="276" w:lineRule="auto"/>
      </w:pPr>
      <w:r>
        <w:t>**Conclusion technique:** Les indicateurs de tendance (MM) restent positifs, mais les oscillateurs de momentum (MACD) et de volatilité (Bollinger) montrent des signes de consolidation. Le croisement haussier du stochastique pourrait offrir un support à court terme. L'ensemble suggère une pause dans la tendance haussière, avec un biais positif tant que le cours se maintient au-dessus de la MM50.</w:t>
      </w:r>
    </w:p>
    <w:p>
      <w:pPr>
        <w:spacing w:after="120" w:line="276" w:lineRule="auto"/>
      </w:pPr>
      <w:r>
        <w:t>### PARTIE 3 : ANALYSE FONDAMENTALE (SECTION CRITIQUE)</w:t>
      </w:r>
    </w:p>
    <w:p>
      <w:pPr>
        <w:spacing w:after="120" w:line="276" w:lineRule="auto"/>
      </w:pPr>
      <w:r>
        <w:t>En 2025, la SIBC affiche des fondamentaux d'une solidité remarquable. Le Produit Net Bancaire (PNB) s'établit à 108,66 milliards FCFA, générant un résultat net de 55,62 milliards FCFA, soit une marge nette exceptionnelle de 51,2%. La rentabilité des fonds propres (ROE) atteint 27,16%, un niveau excellent, et le ROA de 2,96% confirme une gestion très efficace des actifs. Le coefficient d'exploitation de 38,6% témoigne d'une maîtrise des coûts remarquable, bien en deçà du seuil de 60% considéré comme sain pour une banque. La structure financière montre une dépendance aux dépôts clients (1 503 Mds FCFA) qui financent largement les crédits à la clientèle (1 226 Mds FCFA), avec un ratio de transformation sain. Cependant, le coût du risque semble élevé, ce qui pourrait indiquer une politique de provisionnement prudente. Les rapports trimestriels de 2025 confirment cette trajectoire ascendante : le PNB cumulé sur 9 mois (T3 2025) progresse de 8% à 81,4 milliards FCFA, et le résultat net de 11% à 43 milliards FCFA. Sur la base de cette dynamique, on estime que l'exercice 2025 complet devrait dépasser les chiffres annuels, avec une croissance à deux chiffres du résultat net. Le rapport du T1 2026, publié récemment, montre une poursuite de la croissance avec un PNB de 27,7 milliards FCFA (+4%) et un résultat net de 15,2 milliards FCFA (+11%), confirmant la solidité et la régularité des performances de la banque.</w:t>
      </w:r>
    </w:p>
    <w:p>
      <w:pPr>
        <w:spacing w:after="120" w:line="276" w:lineRule="auto"/>
      </w:pPr>
      <w:r>
        <w:t>### PARTIE 4 : CONCLUSION D'INVESTISSEMENT</w:t>
      </w:r>
    </w:p>
    <w:p>
      <w:pPr>
        <w:spacing w:after="120" w:line="276" w:lineRule="auto"/>
      </w:pPr>
      <w:r>
        <w:t>La valorisation de la SIBC est exigeante (PER 16,5x, P/B 4,49x), mais elle est justifiée par une rentabilité hors norme (ROE &gt;27%) et une croissance soutenue. Le comportement du cours sur 100 jours est très positif (+31,5%), avec une volatilité modérée, mais les statistiques suggèrent un possible essoufflement à court terme. Les signaux techniques sont partagés : la tendance de fond reste haussière (MM), mais le MACD indique une perte de momentum, ce qui pourrait conduire à une consolidation. Les fondamentaux, eux, sont indiscutablement solides, avec une croissance du résultat net à deux chiffres et une efficacité opérationnelle excellente. Les prédictions IA pour les 10 prochains jours (chute progressive vers 7 882 FCFA) contredisent fortement les signaux techniques de moyen terme et suggèrent une correction brutale, ce qui semble peu probable au vu de la solidité des fondamentaux, mais signale un risque de retournement. En synthèse, la convergence entre la force des fondamentaux et la tendance haussière de long terme plaide pour une recommandation **CONSERVER**, avec un niveau de confiance **Moyen** et un risque global **Élevé** en raison de la valorisation tendue et des signaux techniques mitigés. L'horizon d'investissement optimal serait le **moyen terme (3-12 mois)**, en attendant une éventuelle correction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4.98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131 titres</w:t>
            </w:r>
          </w:p>
        </w:tc>
        <w:tc>
          <w:tcPr>
            <w:tcW w:type="dxa" w:w="2268"/>
            <w:shd w:fill="FFF2CC" w:val="clear"/>
          </w:tcPr>
          <w:p>
            <w:r>
              <w:rPr>
                <w:b/>
                <w:color w:val="503200"/>
                <w:sz w:val="16"/>
              </w:rPr>
              <w:t xml:space="preserve">Cours actuel : </w:t>
            </w:r>
            <w:r>
              <w:rPr>
                <w:color w:val="000000"/>
                <w:sz w:val="17"/>
              </w:rPr>
              <w:t>8,295 FCFA</w:t>
            </w:r>
          </w:p>
          <w:p>
            <w:r>
              <w:rPr>
                <w:b/>
                <w:color w:val="503200"/>
                <w:sz w:val="16"/>
              </w:rPr>
              <w:t xml:space="preserve">Var. 100 jours : </w:t>
            </w:r>
            <w:r>
              <w:rPr>
                <w:b/>
                <w:color w:val="007800"/>
                <w:sz w:val="17"/>
              </w:rPr>
              <w:t>+120.32%</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30.69% (Élevée) — μ=5,389 FCFA, σ=1,654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β=-0.8659 (Contre-cyclique) — Cov=-0.000032, Var(idx)=0.000037, ρ=-0.139,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131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σ_j=3.76%/j (Modérée) — Vol. annualisée≈59.7%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7,524</w:t>
            </w:r>
          </w:p>
        </w:tc>
        <w:tc>
          <w:tcPr>
            <w:tcW w:type="dxa" w:w="1440"/>
            <w:shd w:fill="FAFAFA" w:val="clear"/>
          </w:tcPr>
          <w:p>
            <w:r>
              <w:rPr>
                <w:b/>
                <w:sz w:val="17"/>
              </w:rPr>
              <w:t>8,134</w:t>
            </w:r>
          </w:p>
        </w:tc>
        <w:tc>
          <w:tcPr>
            <w:tcW w:type="dxa" w:w="1440"/>
            <w:shd w:fill="FAFAFA" w:val="clear"/>
          </w:tcPr>
          <w:p>
            <w:r>
              <w:rPr>
                <w:sz w:val="17"/>
              </w:rPr>
              <w:t>8,744</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7,131</w:t>
            </w:r>
          </w:p>
        </w:tc>
        <w:tc>
          <w:tcPr>
            <w:tcW w:type="dxa" w:w="1440"/>
            <w:shd w:fill="FFDCE0" w:val="clear"/>
          </w:tcPr>
          <w:p>
            <w:r>
              <w:rPr>
                <w:b/>
                <w:sz w:val="17"/>
              </w:rPr>
              <w:t>8,038</w:t>
            </w:r>
          </w:p>
        </w:tc>
        <w:tc>
          <w:tcPr>
            <w:tcW w:type="dxa" w:w="1440"/>
            <w:shd w:fill="FFDCE0" w:val="clear"/>
          </w:tcPr>
          <w:p>
            <w:r>
              <w:rPr>
                <w:sz w:val="17"/>
              </w:rPr>
              <w:t>8,944</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6,804</w:t>
            </w:r>
          </w:p>
        </w:tc>
        <w:tc>
          <w:tcPr>
            <w:tcW w:type="dxa" w:w="1440"/>
            <w:shd w:fill="FFDCE0" w:val="clear"/>
          </w:tcPr>
          <w:p>
            <w:r>
              <w:rPr>
                <w:b/>
                <w:sz w:val="17"/>
              </w:rPr>
              <w:t>7,894</w:t>
            </w:r>
          </w:p>
        </w:tc>
        <w:tc>
          <w:tcPr>
            <w:tcW w:type="dxa" w:w="1440"/>
            <w:shd w:fill="FFDCE0" w:val="clear"/>
          </w:tcPr>
          <w:p>
            <w:r>
              <w:rPr>
                <w:sz w:val="17"/>
              </w:rPr>
              <w:t>8,985</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6,506</w:t>
            </w:r>
          </w:p>
        </w:tc>
        <w:tc>
          <w:tcPr>
            <w:tcW w:type="dxa" w:w="1440"/>
            <w:shd w:fill="FFDCE0" w:val="clear"/>
          </w:tcPr>
          <w:p>
            <w:r>
              <w:rPr>
                <w:b/>
                <w:sz w:val="17"/>
              </w:rPr>
              <w:t>7,741</w:t>
            </w:r>
          </w:p>
        </w:tc>
        <w:tc>
          <w:tcPr>
            <w:tcW w:type="dxa" w:w="1440"/>
            <w:shd w:fill="FFDCE0" w:val="clear"/>
          </w:tcPr>
          <w:p>
            <w:r>
              <w:rPr>
                <w:sz w:val="17"/>
              </w:rPr>
              <w:t>8,975</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6,233</w:t>
            </w:r>
          </w:p>
        </w:tc>
        <w:tc>
          <w:tcPr>
            <w:tcW w:type="dxa" w:w="1440"/>
            <w:shd w:fill="FFDCE0" w:val="clear"/>
          </w:tcPr>
          <w:p>
            <w:r>
              <w:rPr>
                <w:b/>
                <w:sz w:val="17"/>
              </w:rPr>
              <w:t>7,585</w:t>
            </w:r>
          </w:p>
        </w:tc>
        <w:tc>
          <w:tcPr>
            <w:tcW w:type="dxa" w:w="1440"/>
            <w:shd w:fill="FFDCE0" w:val="clear"/>
          </w:tcPr>
          <w:p>
            <w:r>
              <w:rPr>
                <w:sz w:val="17"/>
              </w:rPr>
              <w:t>8,938</w:t>
            </w:r>
          </w:p>
        </w:tc>
        <w:tc>
          <w:tcPr>
            <w:tcW w:type="dxa" w:w="1440"/>
            <w:shd w:fill="FFDCE0" w:val="clear"/>
          </w:tcPr>
          <w:p>
            <w:r>
              <w:rPr>
                <w:b/>
                <w:color w:val="C00000"/>
                <w:sz w:val="17"/>
              </w:rPr>
              <w:t>-8.6%</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5,979</w:t>
            </w:r>
          </w:p>
        </w:tc>
        <w:tc>
          <w:tcPr>
            <w:tcW w:type="dxa" w:w="1440"/>
            <w:shd w:fill="FFDCE0" w:val="clear"/>
          </w:tcPr>
          <w:p>
            <w:r>
              <w:rPr>
                <w:b/>
                <w:sz w:val="17"/>
              </w:rPr>
              <w:t>7,431</w:t>
            </w:r>
          </w:p>
        </w:tc>
        <w:tc>
          <w:tcPr>
            <w:tcW w:type="dxa" w:w="1440"/>
            <w:shd w:fill="FFDCE0" w:val="clear"/>
          </w:tcPr>
          <w:p>
            <w:r>
              <w:rPr>
                <w:sz w:val="17"/>
              </w:rPr>
              <w:t>8,883</w:t>
            </w:r>
          </w:p>
        </w:tc>
        <w:tc>
          <w:tcPr>
            <w:tcW w:type="dxa" w:w="1440"/>
            <w:shd w:fill="FFDCE0" w:val="clear"/>
          </w:tcPr>
          <w:p>
            <w:r>
              <w:rPr>
                <w:b/>
                <w:color w:val="C00000"/>
                <w:sz w:val="17"/>
              </w:rPr>
              <w:t>-10.4%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5,744</w:t>
            </w:r>
          </w:p>
        </w:tc>
        <w:tc>
          <w:tcPr>
            <w:tcW w:type="dxa" w:w="1440"/>
            <w:shd w:fill="FFDCE0" w:val="clear"/>
          </w:tcPr>
          <w:p>
            <w:r>
              <w:rPr>
                <w:b/>
                <w:sz w:val="17"/>
              </w:rPr>
              <w:t>7,280</w:t>
            </w:r>
          </w:p>
        </w:tc>
        <w:tc>
          <w:tcPr>
            <w:tcW w:type="dxa" w:w="1440"/>
            <w:shd w:fill="FFDCE0" w:val="clear"/>
          </w:tcPr>
          <w:p>
            <w:r>
              <w:rPr>
                <w:sz w:val="17"/>
              </w:rPr>
              <w:t>8,816</w:t>
            </w:r>
          </w:p>
        </w:tc>
        <w:tc>
          <w:tcPr>
            <w:tcW w:type="dxa" w:w="1440"/>
            <w:shd w:fill="FFDCE0" w:val="clear"/>
          </w:tcPr>
          <w:p>
            <w:r>
              <w:rPr>
                <w:b/>
                <w:color w:val="C00000"/>
                <w:sz w:val="17"/>
              </w:rPr>
              <w:t>-12.2%</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5,525</w:t>
            </w:r>
          </w:p>
        </w:tc>
        <w:tc>
          <w:tcPr>
            <w:tcW w:type="dxa" w:w="1440"/>
            <w:shd w:fill="FFDCE0" w:val="clear"/>
          </w:tcPr>
          <w:p>
            <w:r>
              <w:rPr>
                <w:b/>
                <w:sz w:val="17"/>
              </w:rPr>
              <w:t>7,134</w:t>
            </w:r>
          </w:p>
        </w:tc>
        <w:tc>
          <w:tcPr>
            <w:tcW w:type="dxa" w:w="1440"/>
            <w:shd w:fill="FFDCE0" w:val="clear"/>
          </w:tcPr>
          <w:p>
            <w:r>
              <w:rPr>
                <w:sz w:val="17"/>
              </w:rPr>
              <w:t>8,743</w:t>
            </w:r>
          </w:p>
        </w:tc>
        <w:tc>
          <w:tcPr>
            <w:tcW w:type="dxa" w:w="1440"/>
            <w:shd w:fill="FFDCE0" w:val="clear"/>
          </w:tcPr>
          <w:p>
            <w:r>
              <w:rPr>
                <w:b/>
                <w:color w:val="C00000"/>
                <w:sz w:val="17"/>
              </w:rPr>
              <w:t>-14.0%</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5,320</w:t>
            </w:r>
          </w:p>
        </w:tc>
        <w:tc>
          <w:tcPr>
            <w:tcW w:type="dxa" w:w="1440"/>
            <w:shd w:fill="FFDCE0" w:val="clear"/>
          </w:tcPr>
          <w:p>
            <w:r>
              <w:rPr>
                <w:b/>
                <w:sz w:val="17"/>
              </w:rPr>
              <w:t>6,993</w:t>
            </w:r>
          </w:p>
        </w:tc>
        <w:tc>
          <w:tcPr>
            <w:tcW w:type="dxa" w:w="1440"/>
            <w:shd w:fill="FFDCE0" w:val="clear"/>
          </w:tcPr>
          <w:p>
            <w:r>
              <w:rPr>
                <w:sz w:val="17"/>
              </w:rPr>
              <w:t>8,667</w:t>
            </w:r>
          </w:p>
        </w:tc>
        <w:tc>
          <w:tcPr>
            <w:tcW w:type="dxa" w:w="1440"/>
            <w:shd w:fill="FFDCE0" w:val="clear"/>
          </w:tcPr>
          <w:p>
            <w:r>
              <w:rPr>
                <w:b/>
                <w:color w:val="C00000"/>
                <w:sz w:val="17"/>
              </w:rPr>
              <w:t>-15.7%</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5,129</w:t>
            </w:r>
          </w:p>
        </w:tc>
        <w:tc>
          <w:tcPr>
            <w:tcW w:type="dxa" w:w="1440"/>
            <w:shd w:fill="FFDCE0" w:val="clear"/>
          </w:tcPr>
          <w:p>
            <w:r>
              <w:rPr>
                <w:b/>
                <w:sz w:val="17"/>
              </w:rPr>
              <w:t>6,859</w:t>
            </w:r>
          </w:p>
        </w:tc>
        <w:tc>
          <w:tcPr>
            <w:tcW w:type="dxa" w:w="1440"/>
            <w:shd w:fill="FFDCE0" w:val="clear"/>
          </w:tcPr>
          <w:p>
            <w:r>
              <w:rPr>
                <w:sz w:val="17"/>
              </w:rPr>
              <w:t>8,589</w:t>
            </w:r>
          </w:p>
        </w:tc>
        <w:tc>
          <w:tcPr>
            <w:tcW w:type="dxa" w:w="1440"/>
            <w:shd w:fill="FFDCE0" w:val="clear"/>
          </w:tcPr>
          <w:p>
            <w:r>
              <w:rPr>
                <w:b/>
                <w:color w:val="C00000"/>
                <w:sz w:val="17"/>
              </w:rPr>
              <w:t>-17.3%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4,98 milliards FCFA, un niveau modeste qui la classe parmi les petites capitalisations de la BRVM, avec un flottant probablement limité. Les ratios de valorisation (BPA, PER, P/B, EV/EBITDA) ne sont pas calculables, faute de données financières structurées récentes dans la base. Cette absence s'explique par le fait que les derniers états financiers disponibles datent de l'exercice 2023, et que le cours actuel de 8 295 FCFA, en hausse de 120% sur 100 jours, s'est détaché des fondamentaux historiques. En l'absence de bénéfice net consolidé actualisé et de capitaux propres à jour, il est impossible de déterminer si le marché valorise la société à un niveau attractif ou excessif. Les investisseurs doivent donc se montrer prudents face à cette opacité relative, d'autant que le dernier bénéfice publié (19,25 millions FCFA en 2023) suggérerait un PER extrêmement élevé si l'on rapportait la capitalisation actuelle à ce résultat.</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SICOR affiche une progression spectaculaire de +120,32%, passant d'un plus bas de 3 765 FCFA à un plus haut de 10 200 FCFA, avant de se stabiliser à 8 295 FCFA lors de la dernière séance (variation nulle à J-1). Cette tendance fortement haussière s'accompagne de statistiques descriptives révélatrices : la moyenne (5 389 FCFA) est nettement inférieure à la médiane (4 500 FCFA), ce qui indique une distribution asymétrique où les valeurs élevées récentes tirent la moyenne vers le haut. L'écart-type de 1 662 FCFA (coefficient de variation de 30,8%) témoigne d'une dispersion importante du cours autour de sa moyenne. Le kurtosis excédentaire de 1,052 signale une distribution leptokurtique, avec des queues épaisses et un risque de mouvements extrêmes, tandis que le skewness positif de 1,493 confirme une asymétrie marquée avec davantage de séances sous la moyenne mais des pics haussiers prononcés. La volatilité annualisée de 59,7% classe le titre dans la catégorie des valeurs très volatiles, bien au-delà du seuil de 30% considéré comme élevé, ce qui implique un risque substantiel pour les investisseurs non avertis.</w:t>
      </w:r>
    </w:p>
    <w:p>
      <w:pPr>
        <w:spacing w:after="120" w:line="276" w:lineRule="auto" w:before="240"/>
      </w:pPr>
      <w:r>
        <w:rPr>
          <w:b/>
          <w:color w:val="003366"/>
          <w:sz w:val="24"/>
        </w:rPr>
        <w:t>**PARTIE 2 : ANALYSE TECHNIQUE DÉTAILLÉE**</w:t>
      </w:r>
    </w:p>
    <w:p>
      <w:pPr>
        <w:spacing w:after="120" w:line="276" w:lineRule="auto"/>
      </w:pPr>
      <w:r>
        <w:t>Les **moyennes mobiles** constituent le signal le plus fiable actuellement : la MM20 (8 403,5 FCFA) est très proche du cours actuel (8 295 FCFA), tandis que la MM50 (6 463 FCFA) se situe nettement en dessous, confirmant une tendance haussière de moyen terme. Le croisement de la MM20 au-dessus de la MM50 et le maintien du cours au-dessus de la MM50 justifient la décision d'achat, même si le cours évolue légèrement sous sa MM20, suggérant une consolidation à court terme.</w:t>
      </w:r>
    </w:p>
    <w:p>
      <w:pPr>
        <w:spacing w:after="120" w:line="276" w:lineRule="auto"/>
      </w:pPr>
      <w:r>
        <w:t>Les **bandes de Bollinger** indiquent une position neutre : le cours (8 295 FCFA) se situe entre la borne supérieure (10 540,8 FCFA) et la borne inférieure (6 266,2 FCFA), plus près du milieu de l'intervalle. La largeur des bandes reflète la volatilité élevée du titre, mais l'absence de contact avec les bornes suggère une phase de consolidation après la forte hausse, sans signal directionnel fort.</w:t>
      </w:r>
    </w:p>
    <w:p>
      <w:pPr>
        <w:spacing w:after="120" w:line="276" w:lineRule="auto"/>
      </w:pPr>
      <w:r>
        <w:t>Le **MACD** affiche une valeur de 533,3 inférieure à son signal (751,2), générant une décision de vente. Cette configuration indique un ralentissement du momentum haussier, la ligne MACD passant sous sa ligne de signal, ce qui pourrait annoncer une correction à court terme ou une pause dans la tendance haussière.</w:t>
      </w:r>
    </w:p>
    <w:p>
      <w:pPr>
        <w:spacing w:after="120" w:line="276" w:lineRule="auto"/>
      </w:pPr>
      <w:r>
        <w:t>Le **RSI** à 51,8 se situe en zone neutre (entre 30 et 70), indiquant un équilibre entre pressions acheteuses et vendeuses. Cette valeur ne signale ni surachat ni survente, laissant place à une évolution directionnelle sans contrainte technique majeure.</w:t>
      </w:r>
    </w:p>
    <w:p>
      <w:pPr>
        <w:spacing w:after="120" w:line="276" w:lineRule="auto"/>
      </w:pPr>
      <w:r>
        <w:t>Le **stochastique** (%K=13,6, %D=14,0) se trouve en zone de survente profonde, générant une décision d'achat. Les deux lignes sont très proches, suggérant un possible croisement haussier imminent, ce qui pourrait précéder un rebond technique après la récente consolidation.</w:t>
      </w:r>
    </w:p>
    <w:p>
      <w:pPr>
        <w:spacing w:after="120" w:line="276" w:lineRule="auto"/>
      </w:pPr>
      <w:r>
        <w:t>La **conclusion technique** globale est mitigée : les moyennes mobiles et le stochastique plaident pour un maintien de la tendance haussière, tandis que le MACD signale un essoufflement du momentum. Le RSI neutre et les bandes de Bollinger sans direction claire indiquent une phase de transition. La prudence est donc de mise, avec une possible poursuite de la consolidation avant une reprise éventuelle de la hausse.</w:t>
      </w:r>
    </w:p>
    <w:p>
      <w:pPr>
        <w:spacing w:after="120" w:line="276" w:lineRule="auto" w:before="240"/>
      </w:pPr>
      <w:r>
        <w:rPr>
          <w:b/>
          <w:color w:val="003366"/>
          <w:sz w:val="24"/>
        </w:rPr>
        <w:t>**PARTIE 3 : ANALYSE FONDAMENTALE (SECTION CRITIQUE)**</w:t>
      </w:r>
    </w:p>
    <w:p>
      <w:pPr>
        <w:spacing w:after="120" w:line="276" w:lineRule="auto"/>
      </w:pPr>
      <w:r>
        <w:t>Les données financières structurées disponibles proviennent des rapports annuels officiels, le plus récent datant du 31 décembre 2023 (analyse réalisée en 2026, donc ancienne de plus de deux ans). En 2023, la SICOR a réalisé un chiffre d'affaires de 701,09 millions FCFA, en baisse de 38,4% par rapport à 2022 (1 138,17 millions FCFA), mais a renoué avec les bénéfices en affichant un résultat net positif de 19,25 millions FCFA, contre une perte de 39,95 millions en 2022. La marge nette s'établit à 2,75%, nettement inférieure à la moyenne sectorielle agro-industrielle (5-10%). Cette amélioration provient d'une réduction drastique des charges (-43,68%), notamment le transfert de 50% du personnel vers la SIPAL, filiale du groupe Sayegh. Les rapports plus anciens montrent une volatilité extrême des résultats : bénéfice de 434,87 millions FCFA en 2015, 53,3 millions en 2016, 100,6 millions en 2017, puis des pertes en 2022. Le rapport à nouveau négatif de 689,86 millions FCFA interdit toute distribution de dividende, conformément à l'OHADA. La société n'a versé aucun dividende depuis 2017, et les perspectives de distribution ne sont pas envisageables avant 2025-2026 au plus tôt. Les risques identifiés incluent les vols de noix de coco, la dépendance aux cours mondiaux du coprah, et une trésorerie tendue avec des découverts bancaires multipliés par 14 en 2023. Sur le plan fondamental, la recommandation est de conserver avec vigilance, la société étant fragile mais en phase de redressement, avec un potentiel de résorption progressive des pertes si la tendance bénéficiaire se confirme.</w:t>
      </w:r>
    </w:p>
    <w:p>
      <w:pPr>
        <w:spacing w:after="120" w:line="276" w:lineRule="auto" w:before="240"/>
      </w:pPr>
      <w:r>
        <w:rPr>
          <w:b/>
          <w:color w:val="003366"/>
          <w:sz w:val="24"/>
        </w:rPr>
        <w:t>**PARTIE 4 : CONCLUSION D'INVESTISSEMENT**</w:t>
      </w:r>
    </w:p>
    <w:p>
      <w:pPr>
        <w:spacing w:after="120" w:line="276" w:lineRule="auto"/>
      </w:pPr>
      <w:r>
        <w:t>La synthèse des analyses révèle des signaux contrastés. La valorisation boursière ne peut être évaluée faute de ratios calculables, mais la capitalisation de 4,98 milliards FCFA paraît élevée au regard des bénéfices historiques (19 millions FCFA en 2023), suggérant une possible surévaluation. Le comportement du cours montre une hausse spectaculaire de 120% en 100 jours, avec une volatilité très élevée (59,7%) et une distribution leptokurtique à asymétrie positive, indiquant un risque de retournement brutal. Les signaux techniques sont divergents : les moyennes mobiles et le stochastique restent positifs, mais le MACD signale un essoufflement du momentum, et le RSI neutre ne confirme pas la poursuite de la hausse. Les fondamentaux, bien qu'anciens (2023), montrent un retour à la profitabilité fragile, sans perspective de dividende à court terme. Les prédictions IA pour les 10 prochains jours (8 134 à 7 585 FCFA) anticipent une correction progressive d'environ 8,5%, confirmant les signaux techniques de consolidation. Au vu de ces éléments, la recommandation finale est **CONSERVER**, avec un niveau de confiance **Faible** et un risque global **Élevé**. Les investisseurs devraient surveiller la publication des résultats 2024-2025 (l'AG du 22 mai 2026 approuvera les comptes 2024) avant d'envisager toute position nouvelle. L'horizon d'investissement optimal serait le **moyen terme (3-12 mois)**, en attendant que le marché intègre les fondamentaux actualisés et que la volatilité se normalise.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5,442 titres</w:t>
            </w:r>
          </w:p>
        </w:tc>
        <w:tc>
          <w:tcPr>
            <w:tcW w:type="dxa" w:w="2268"/>
            <w:shd w:fill="FFF2CC" w:val="clear"/>
          </w:tcPr>
          <w:p>
            <w:r>
              <w:rPr>
                <w:b/>
                <w:color w:val="503200"/>
                <w:sz w:val="16"/>
              </w:rPr>
              <w:t xml:space="preserve">Cours actuel : </w:t>
            </w:r>
            <w:r>
              <w:rPr>
                <w:color w:val="000000"/>
                <w:sz w:val="17"/>
              </w:rPr>
              <w:t>2,385 FCFA</w:t>
            </w:r>
          </w:p>
          <w:p>
            <w:r>
              <w:rPr>
                <w:b/>
                <w:color w:val="503200"/>
                <w:sz w:val="16"/>
              </w:rPr>
              <w:t xml:space="preserve">Var. 100 jours : </w:t>
            </w:r>
            <w:r>
              <w:rPr>
                <w:b/>
                <w:color w:val="B40000"/>
                <w:sz w:val="17"/>
              </w:rPr>
              <w:t>-18.74%</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11.18% (Moyenne) — μ=2,584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β=0.3361 (Défensif) — Cov=0.000012, Var(idx)=0.000037, ρ=0.063,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2026-09-02</w:t>
            </w:r>
          </w:p>
        </w:tc>
        <w:tc>
          <w:tcPr>
            <w:tcW w:type="dxa" w:w="1440"/>
            <w:shd w:fill="FFDCE0" w:val="clear"/>
          </w:tcPr>
          <w:p>
            <w:r>
              <w:rPr>
                <w:sz w:val="17"/>
              </w:rPr>
              <w:t>2,109</w:t>
            </w:r>
          </w:p>
        </w:tc>
        <w:tc>
          <w:tcPr>
            <w:tcW w:type="dxa" w:w="1440"/>
            <w:shd w:fill="FFDCE0" w:val="clear"/>
          </w:tcPr>
          <w:p>
            <w:r>
              <w:rPr>
                <w:b/>
                <w:sz w:val="17"/>
              </w:rPr>
              <w:t>2,207</w:t>
            </w:r>
          </w:p>
        </w:tc>
        <w:tc>
          <w:tcPr>
            <w:tcW w:type="dxa" w:w="1440"/>
            <w:shd w:fill="FFDCE0" w:val="clear"/>
          </w:tcPr>
          <w:p>
            <w:r>
              <w:rPr>
                <w:sz w:val="17"/>
              </w:rPr>
              <w:t>2,306</w:t>
            </w:r>
          </w:p>
        </w:tc>
        <w:tc>
          <w:tcPr>
            <w:tcW w:type="dxa" w:w="1440"/>
            <w:shd w:fill="FFDCE0" w:val="clear"/>
          </w:tcPr>
          <w:p>
            <w:r>
              <w:rPr>
                <w:b/>
                <w:color w:val="C00000"/>
                <w:sz w:val="17"/>
              </w:rPr>
              <w:t>-7.4%</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2,035</w:t>
            </w:r>
          </w:p>
        </w:tc>
        <w:tc>
          <w:tcPr>
            <w:tcW w:type="dxa" w:w="1440"/>
            <w:shd w:fill="FFDCE0" w:val="clear"/>
          </w:tcPr>
          <w:p>
            <w:r>
              <w:rPr>
                <w:b/>
                <w:sz w:val="17"/>
              </w:rPr>
              <w:t>2,172</w:t>
            </w:r>
          </w:p>
        </w:tc>
        <w:tc>
          <w:tcPr>
            <w:tcW w:type="dxa" w:w="1440"/>
            <w:shd w:fill="FFDCE0" w:val="clear"/>
          </w:tcPr>
          <w:p>
            <w:r>
              <w:rPr>
                <w:sz w:val="17"/>
              </w:rPr>
              <w:t>2,309</w:t>
            </w:r>
          </w:p>
        </w:tc>
        <w:tc>
          <w:tcPr>
            <w:tcW w:type="dxa" w:w="1440"/>
            <w:shd w:fill="FFDCE0" w:val="clear"/>
          </w:tcPr>
          <w:p>
            <w:r>
              <w:rPr>
                <w:b/>
                <w:color w:val="C00000"/>
                <w:sz w:val="17"/>
              </w:rPr>
              <w:t>-8.9%</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1,962</w:t>
            </w:r>
          </w:p>
        </w:tc>
        <w:tc>
          <w:tcPr>
            <w:tcW w:type="dxa" w:w="1440"/>
            <w:shd w:fill="FFDCE0" w:val="clear"/>
          </w:tcPr>
          <w:p>
            <w:r>
              <w:rPr>
                <w:b/>
                <w:sz w:val="17"/>
              </w:rPr>
              <w:t>2,126</w:t>
            </w:r>
          </w:p>
        </w:tc>
        <w:tc>
          <w:tcPr>
            <w:tcW w:type="dxa" w:w="1440"/>
            <w:shd w:fill="FFDCE0" w:val="clear"/>
          </w:tcPr>
          <w:p>
            <w:r>
              <w:rPr>
                <w:sz w:val="17"/>
              </w:rPr>
              <w:t>2,290</w:t>
            </w:r>
          </w:p>
        </w:tc>
        <w:tc>
          <w:tcPr>
            <w:tcW w:type="dxa" w:w="1440"/>
            <w:shd w:fill="FFDCE0" w:val="clear"/>
          </w:tcPr>
          <w:p>
            <w:r>
              <w:rPr>
                <w:b/>
                <w:color w:val="C00000"/>
                <w:sz w:val="17"/>
              </w:rPr>
              <w:t>-10.9%</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1,893</w:t>
            </w:r>
          </w:p>
        </w:tc>
        <w:tc>
          <w:tcPr>
            <w:tcW w:type="dxa" w:w="1440"/>
            <w:shd w:fill="FFDCE0" w:val="clear"/>
          </w:tcPr>
          <w:p>
            <w:r>
              <w:rPr>
                <w:b/>
                <w:sz w:val="17"/>
              </w:rPr>
              <w:t>2,078</w:t>
            </w:r>
          </w:p>
        </w:tc>
        <w:tc>
          <w:tcPr>
            <w:tcW w:type="dxa" w:w="1440"/>
            <w:shd w:fill="FFDCE0" w:val="clear"/>
          </w:tcPr>
          <w:p>
            <w:r>
              <w:rPr>
                <w:sz w:val="17"/>
              </w:rPr>
              <w:t>2,263</w:t>
            </w:r>
          </w:p>
        </w:tc>
        <w:tc>
          <w:tcPr>
            <w:tcW w:type="dxa" w:w="1440"/>
            <w:shd w:fill="FFDCE0" w:val="clear"/>
          </w:tcPr>
          <w:p>
            <w:r>
              <w:rPr>
                <w:b/>
                <w:color w:val="C00000"/>
                <w:sz w:val="17"/>
              </w:rPr>
              <w:t>-12.9%</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1,828</w:t>
            </w:r>
          </w:p>
        </w:tc>
        <w:tc>
          <w:tcPr>
            <w:tcW w:type="dxa" w:w="1440"/>
            <w:shd w:fill="FFDCE0" w:val="clear"/>
          </w:tcPr>
          <w:p>
            <w:r>
              <w:rPr>
                <w:b/>
                <w:sz w:val="17"/>
              </w:rPr>
              <w:t>2,031</w:t>
            </w:r>
          </w:p>
        </w:tc>
        <w:tc>
          <w:tcPr>
            <w:tcW w:type="dxa" w:w="1440"/>
            <w:shd w:fill="FFDCE0" w:val="clear"/>
          </w:tcPr>
          <w:p>
            <w:r>
              <w:rPr>
                <w:sz w:val="17"/>
              </w:rPr>
              <w:t>2,233</w:t>
            </w:r>
          </w:p>
        </w:tc>
        <w:tc>
          <w:tcPr>
            <w:tcW w:type="dxa" w:w="1440"/>
            <w:shd w:fill="FFDCE0" w:val="clear"/>
          </w:tcPr>
          <w:p>
            <w:r>
              <w:rPr>
                <w:b/>
                <w:color w:val="C00000"/>
                <w:sz w:val="17"/>
              </w:rPr>
              <w:t>-14.9%</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1,768</w:t>
            </w:r>
          </w:p>
        </w:tc>
        <w:tc>
          <w:tcPr>
            <w:tcW w:type="dxa" w:w="1440"/>
            <w:shd w:fill="FFDCE0" w:val="clear"/>
          </w:tcPr>
          <w:p>
            <w:r>
              <w:rPr>
                <w:b/>
                <w:sz w:val="17"/>
              </w:rPr>
              <w:t>1,985</w:t>
            </w:r>
          </w:p>
        </w:tc>
        <w:tc>
          <w:tcPr>
            <w:tcW w:type="dxa" w:w="1440"/>
            <w:shd w:fill="FFDCE0" w:val="clear"/>
          </w:tcPr>
          <w:p>
            <w:r>
              <w:rPr>
                <w:sz w:val="17"/>
              </w:rPr>
              <w:t>2,202</w:t>
            </w:r>
          </w:p>
        </w:tc>
        <w:tc>
          <w:tcPr>
            <w:tcW w:type="dxa" w:w="1440"/>
            <w:shd w:fill="FFDCE0" w:val="clear"/>
          </w:tcPr>
          <w:p>
            <w:r>
              <w:rPr>
                <w:b/>
                <w:color w:val="C00000"/>
                <w:sz w:val="17"/>
              </w:rPr>
              <w:t>-16.8%</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1,712</w:t>
            </w:r>
          </w:p>
        </w:tc>
        <w:tc>
          <w:tcPr>
            <w:tcW w:type="dxa" w:w="1440"/>
            <w:shd w:fill="FFDCE0" w:val="clear"/>
          </w:tcPr>
          <w:p>
            <w:r>
              <w:rPr>
                <w:b/>
                <w:sz w:val="17"/>
              </w:rPr>
              <w:t>1,941</w:t>
            </w:r>
          </w:p>
        </w:tc>
        <w:tc>
          <w:tcPr>
            <w:tcW w:type="dxa" w:w="1440"/>
            <w:shd w:fill="FFDCE0" w:val="clear"/>
          </w:tcPr>
          <w:p>
            <w:r>
              <w:rPr>
                <w:sz w:val="17"/>
              </w:rPr>
              <w:t>2,170</w:t>
            </w:r>
          </w:p>
        </w:tc>
        <w:tc>
          <w:tcPr>
            <w:tcW w:type="dxa" w:w="1440"/>
            <w:shd w:fill="FFDCE0" w:val="clear"/>
          </w:tcPr>
          <w:p>
            <w:r>
              <w:rPr>
                <w:b/>
                <w:color w:val="C00000"/>
                <w:sz w:val="17"/>
              </w:rPr>
              <w:t>-18.6%</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1,659</w:t>
            </w:r>
          </w:p>
        </w:tc>
        <w:tc>
          <w:tcPr>
            <w:tcW w:type="dxa" w:w="1440"/>
            <w:shd w:fill="FFDCE0" w:val="clear"/>
          </w:tcPr>
          <w:p>
            <w:r>
              <w:rPr>
                <w:b/>
                <w:sz w:val="17"/>
              </w:rPr>
              <w:t>1,898</w:t>
            </w:r>
          </w:p>
        </w:tc>
        <w:tc>
          <w:tcPr>
            <w:tcW w:type="dxa" w:w="1440"/>
            <w:shd w:fill="FFDCE0" w:val="clear"/>
          </w:tcPr>
          <w:p>
            <w:r>
              <w:rPr>
                <w:sz w:val="17"/>
              </w:rPr>
              <w:t>2,137</w:t>
            </w:r>
          </w:p>
        </w:tc>
        <w:tc>
          <w:tcPr>
            <w:tcW w:type="dxa" w:w="1440"/>
            <w:shd w:fill="FFDCE0" w:val="clear"/>
          </w:tcPr>
          <w:p>
            <w:r>
              <w:rPr>
                <w:b/>
                <w:color w:val="C00000"/>
                <w:sz w:val="17"/>
              </w:rPr>
              <w:t>-20.4%</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1,609</w:t>
            </w:r>
          </w:p>
        </w:tc>
        <w:tc>
          <w:tcPr>
            <w:tcW w:type="dxa" w:w="1440"/>
            <w:shd w:fill="FFDCE0" w:val="clear"/>
          </w:tcPr>
          <w:p>
            <w:r>
              <w:rPr>
                <w:b/>
                <w:sz w:val="17"/>
              </w:rPr>
              <w:t>1,857</w:t>
            </w:r>
          </w:p>
        </w:tc>
        <w:tc>
          <w:tcPr>
            <w:tcW w:type="dxa" w:w="1440"/>
            <w:shd w:fill="FFDCE0" w:val="clear"/>
          </w:tcPr>
          <w:p>
            <w:r>
              <w:rPr>
                <w:sz w:val="17"/>
              </w:rPr>
              <w:t>2,105</w:t>
            </w:r>
          </w:p>
        </w:tc>
        <w:tc>
          <w:tcPr>
            <w:tcW w:type="dxa" w:w="1440"/>
            <w:shd w:fill="FFDCE0" w:val="clear"/>
          </w:tcPr>
          <w:p>
            <w:r>
              <w:rPr>
                <w:b/>
                <w:color w:val="C00000"/>
                <w:sz w:val="17"/>
              </w:rPr>
              <w:t>-22.1%</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1,561</w:t>
            </w:r>
          </w:p>
        </w:tc>
        <w:tc>
          <w:tcPr>
            <w:tcW w:type="dxa" w:w="1440"/>
            <w:shd w:fill="FFDCE0" w:val="clear"/>
          </w:tcPr>
          <w:p>
            <w:r>
              <w:rPr>
                <w:b/>
                <w:sz w:val="17"/>
              </w:rPr>
              <w:t>1,817</w:t>
            </w:r>
          </w:p>
        </w:tc>
        <w:tc>
          <w:tcPr>
            <w:tcW w:type="dxa" w:w="1440"/>
            <w:shd w:fill="FFDCE0" w:val="clear"/>
          </w:tcPr>
          <w:p>
            <w:r>
              <w:rPr>
                <w:sz w:val="17"/>
              </w:rPr>
              <w:t>2,073</w:t>
            </w:r>
          </w:p>
        </w:tc>
        <w:tc>
          <w:tcPr>
            <w:tcW w:type="dxa" w:w="1440"/>
            <w:shd w:fill="FFDCE0" w:val="clear"/>
          </w:tcPr>
          <w:p>
            <w:r>
              <w:rPr>
                <w:b/>
                <w:color w:val="C00000"/>
                <w:sz w:val="17"/>
              </w:rPr>
              <w:t>-23.8%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CI (Code : SIVC)**</w:t>
        <w:br/>
        <w:t>**Date de l'analyse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20,83 milliards FCFA positionne SIVC comme une valeur de taille moyenne sur la BRVM, mais son niveau est exigeant au regard des fondamentaux. Avec un BPA de 43 FCFA, le titre se paie un PER de 55,3x, soit un ratio extrêmement élevé comparé à la moyenne historique de la BRVM (8-12x). Les investisseurs paient donc une prime considérable pour chaque franc de bénéfice, ce qui reflète des anticipations de croissance très fortes ou une spéculation sur le titre. Le P/B de 6,37x confirme cette prime, le marché valorisant l'actif net comptable plus de six fois au-dessus de sa valeur. Enfin, l'EV/EBITDA de 17,4x (&gt;15x) renforce le diagnostic d'une valorisation très exigeante, la valeur d'entreprise représentant plus de 17 fois la capacité opérationnelle brute. Ces ratios appellent à une prudence extrême, car ils intègrent un scénario de croissance parfaite qui pourrait être déçu.</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SIVC a subi une forte correction de -18,74%, passant sous sa moyenne de période, bien que la dernière séance montre un rebond technique de +2,36% à 2 385 FCFA. Le titre a évolué dans un large range de 1 920 à 3 215 FCFA, illustrant une volatilité et une incertitude marquées. La moyenne (2 584 FCFA) est inférieure à la médiane (2 668 FCFA), indiquant une distribution légèrement asymétrique à gauche (skewness de -0,218), avec des épisodes de vente plus violents que les phases d'achat. L'écart-type de 290 FCFA (CV de 11,2%) montre une dispersion modérée autour de la moyenne. Le kurtosis négatif (-1.018) signale une distribution "aplatie", avec moins de valeurs extrêmes que la normale, mais la volatilité annualisée de 51,0% est extrêmement élevée, classant le titre comme très risqué. Cette combinaison de forte baisse et de volatilité élevée suggère une phase de distribution ou de correction profonde.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(2 385 FCFA) est supérieur à la MM20 (2 326,75) et à la MM50 (2 329,8), ce qui pourrait indiquer un retournement haussier à court terme. Cependant, la décision globale reste "Vente", car la tendance de fond sur 50 jours est encore baissière après la chute récente. Le croisement du cours au-dessus de ces moyennes est un premier signal positif, mais il nécessite une confirmation par un alignement haussier des MM.</w:t>
      </w:r>
    </w:p>
    <w:p>
      <w:pPr>
        <w:spacing w:after="120" w:line="276" w:lineRule="auto"/>
      </w:pPr>
      <w:r>
        <w:t>**Bandes de Bollinger**: Le prix se situe à 2 385 FCFA, entre la borne inférieure (2 115,08) et la borne supérieure (2 538,42), mais plus proche du milieu de la bande. La décision est "Neutre". La largeur des bandes (écart de ~423 FCFA) reflète la volatilité élevée. Un mouvement vers la borne supérieure serait un signal haussier, tandis qu'une cassure sous la borne inférieure confirmerait la poursuite de la baisse.</w:t>
      </w:r>
    </w:p>
    <w:p>
      <w:pPr>
        <w:spacing w:after="120" w:line="276" w:lineRule="auto"/>
      </w:pPr>
      <w:r>
        <w:t>**MACD**: La valeur du MACD (10,361) est supérieure à sa ligne de signal (5,905), avec une décision "Achat". Cette configuration indique un momentum haussier à court terme, suggérant que la pression acheteuse reprend le dessus après la correction. C'est le signal le plus positif de l'analyse technique actuelle.</w:t>
      </w:r>
    </w:p>
    <w:p>
      <w:pPr>
        <w:spacing w:after="120" w:line="276" w:lineRule="auto"/>
      </w:pPr>
      <w:r>
        <w:t>**RSI**: Le RSI à 43,28 est en zone neutre (entre 30 et 70), indiquant un équilibre entre pression acheteuse et vendeuse. Il n'est ni suracheté ni survendu, ce qui laisse de la marge pour un mouvement dans les deux sens. La décision "Neutre" est cohérente avec cette lecture.</w:t>
      </w:r>
    </w:p>
    <w:p>
      <w:pPr>
        <w:spacing w:after="120" w:line="276" w:lineRule="auto"/>
      </w:pPr>
      <w:r>
        <w:t>**Stochastique**: Le %K (62,5) est nettement supérieur au %D (33,06), montrant un croisement haussier récent et un momentum positif. La décision est "Neutre", mais la configuration actuelle suggère une dynamique d'achat en train de se mettre en place, qui pourrait soutenir le cours dans les prochaines séances.</w:t>
      </w:r>
    </w:p>
    <w:p>
      <w:pPr>
        <w:spacing w:after="120" w:line="276" w:lineRule="auto"/>
      </w:pPr>
      <w:r>
        <w:t>**Conclusion technique**: Les signaux sont mitigés mais montrent une légère amélioration. Le MACD et le Stochastique sont positifs, suggérant un rebond technique, tandis que les moyennes mobiles restent vendeuses et le RSI est neutre. La tendance de fond reste baissière, mais un rebond à court terme est probable. La prudence est de mise tant que le cours ne dépasse pas les 2 500 FCFA.</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indiquent un PNB/CA de 9,283 Mds FCFA, avec un résultat net de 376,96 M FCFA (marge nette de 4,06%). Le ROE s'établit à 11,52% et le ROA à 2,69%, montrant une rentabilité correcte mais non exceptionnelle. Le coefficient d'exploitation est très élevé à 95,83%, ce qui est un signal d'alarme majeur pour une banque (efficacité &lt;60%), indiquant une mauvaise maîtrise des charges. Le coût du risque est élevé (3,10%), reflétant un portefeuille de crédits risqué. **En 2025**, selon le rapport annuel daté du 31/12/2025, le CA a progressé de +8,53% à 10,07 Mds FCFA, mais le résultat net s'est effondré de -52,4% à 179,3 M FCFA, avec une marge nette tombée à 1,78%. Le rapport du 3ème trimestre 2025 (publié en 2026) montrait pourtant une dynamique positive (RN de 832,5 M FCFA sur 9 mois), suggérant une dégradation brutale au T4. Les capitaux propres ont diminué à 2,53 Mds FCFA et l'endettement financier a fortement augmenté à 4,16 Mds FCFA. La trésorerie nette reste négative (-1,66 Md FCFA). La société a changé de nom pour devenir **ERIUM CI** suite à la cession de la participation d'Air Liquide International à ERIUM LTD en novembre 2025. Sur la base du rapport S1 2025 (RN de 512,9 M FCFA) et du T3 2025, on estime que l'exercice 2026 pourrait voir un retour à une rentabilité plus normale si la direction maîtrise ses charges, mais la tendance 2025 est très préoccupante.</w:t>
      </w:r>
    </w:p>
    <w:p>
      <w:pPr>
        <w:spacing w:after="120" w:line="276" w:lineRule="auto"/>
      </w:pPr>
      <w:r>
        <w:t>---</w:t>
      </w:r>
    </w:p>
    <w:p>
      <w:pPr>
        <w:spacing w:after="120" w:line="276" w:lineRule="auto"/>
      </w:pPr>
      <w:r>
        <w:t>### PARTIE 4 : CONCLUSION D'INVESTISSEMENT</w:t>
      </w:r>
    </w:p>
    <w:p>
      <w:pPr>
        <w:spacing w:after="120" w:line="276" w:lineRule="auto"/>
      </w:pPr>
      <w:r>
        <w:t>La synthèse globale est fortement contrastée. **La valorisation** (Partie 0) est extrêmement exigeante (PER 55x, P/B 6,4x), indiquant une surévaluation par rapport aux bénéfices actuels. **Le comportement du cours** (Partie 1) est baissier sur la période (-18,74%) avec une volatilité très élevée (51%), signe d'un risque majeur. **Les signaux techniques** (Partie 2) sont mitigés avec un début de rebond (MACD positif) mais une tendance de fond encore vendeuse. **Les fondamentaux** (Partie 3) sont en dégradation nette en 2025 (chute du RN de 52%), malgré une croissance du CA, avec une structure financière fragilisée. **Les prédictions IA** pour les 10 prochains jours (baisse de 2 207 à 2 031 FCFA) confirment la poursuite de la tendance baissière. La convergence des signaux (valorisation excessive, fondamentaux en chute, prédictions baissières) malgré un léger rebond technique, conduit à une recommandation **VENTE**. Le niveau de confiance est **Moyen**, car le changement d'actionnariat (ERIUM LTD) pourrait apporter une nouvelle stratégie. Le risque global est **Élevé**. L'horizon d'investissement optimal est le **court terme (&lt;3 mois)** pour les investisseurs existants cherchant à réduire leur exposition avant une possible nouvelle dégradation.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1,197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2.51% (Faible) — μ=38,303 FCFA, σ=960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β=0.0770 (Défensif) — Cov=0.000003, Var(idx)=0.000037, ρ=0.025,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2026-09-02</w:t>
            </w:r>
          </w:p>
        </w:tc>
        <w:tc>
          <w:tcPr>
            <w:tcW w:type="dxa" w:w="1440"/>
            <w:shd w:fill="FAFAFA" w:val="clear"/>
          </w:tcPr>
          <w:p>
            <w:r>
              <w:rPr>
                <w:sz w:val="17"/>
              </w:rPr>
              <w:t>36,513</w:t>
            </w:r>
          </w:p>
        </w:tc>
        <w:tc>
          <w:tcPr>
            <w:tcW w:type="dxa" w:w="1440"/>
            <w:shd w:fill="FAFAFA" w:val="clear"/>
          </w:tcPr>
          <w:p>
            <w:r>
              <w:rPr>
                <w:b/>
                <w:sz w:val="17"/>
              </w:rPr>
              <w:t>37,760</w:t>
            </w:r>
          </w:p>
        </w:tc>
        <w:tc>
          <w:tcPr>
            <w:tcW w:type="dxa" w:w="1440"/>
            <w:shd w:fill="FAFAFA" w:val="clear"/>
          </w:tcPr>
          <w:p>
            <w:r>
              <w:rPr>
                <w:sz w:val="17"/>
              </w:rPr>
              <w:t>39,006</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2026-09-03</w:t>
            </w:r>
          </w:p>
        </w:tc>
        <w:tc>
          <w:tcPr>
            <w:tcW w:type="dxa" w:w="1440"/>
            <w:shd w:fill="FAFAFA" w:val="clear"/>
          </w:tcPr>
          <w:p>
            <w:r>
              <w:rPr>
                <w:sz w:val="17"/>
              </w:rPr>
              <w:t>36,031</w:t>
            </w:r>
          </w:p>
        </w:tc>
        <w:tc>
          <w:tcPr>
            <w:tcW w:type="dxa" w:w="1440"/>
            <w:shd w:fill="FAFAFA" w:val="clear"/>
          </w:tcPr>
          <w:p>
            <w:r>
              <w:rPr>
                <w:b/>
                <w:sz w:val="17"/>
              </w:rPr>
              <w:t>37,795</w:t>
            </w:r>
          </w:p>
        </w:tc>
        <w:tc>
          <w:tcPr>
            <w:tcW w:type="dxa" w:w="1440"/>
            <w:shd w:fill="FAFAFA" w:val="clear"/>
          </w:tcPr>
          <w:p>
            <w:r>
              <w:rPr>
                <w:sz w:val="17"/>
              </w:rPr>
              <w:t>39,560</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2026-09-04</w:t>
            </w:r>
          </w:p>
        </w:tc>
        <w:tc>
          <w:tcPr>
            <w:tcW w:type="dxa" w:w="1440"/>
            <w:shd w:fill="FAFAFA" w:val="clear"/>
          </w:tcPr>
          <w:p>
            <w:r>
              <w:rPr>
                <w:sz w:val="17"/>
              </w:rPr>
              <w:t>35,612</w:t>
            </w:r>
          </w:p>
        </w:tc>
        <w:tc>
          <w:tcPr>
            <w:tcW w:type="dxa" w:w="1440"/>
            <w:shd w:fill="FAFAFA" w:val="clear"/>
          </w:tcPr>
          <w:p>
            <w:r>
              <w:rPr>
                <w:b/>
                <w:sz w:val="17"/>
              </w:rPr>
              <w:t>37,771</w:t>
            </w:r>
          </w:p>
        </w:tc>
        <w:tc>
          <w:tcPr>
            <w:tcW w:type="dxa" w:w="1440"/>
            <w:shd w:fill="FAFAFA" w:val="clear"/>
          </w:tcPr>
          <w:p>
            <w:r>
              <w:rPr>
                <w:sz w:val="17"/>
              </w:rPr>
              <w:t>39,931</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2026-09-07</w:t>
            </w:r>
          </w:p>
        </w:tc>
        <w:tc>
          <w:tcPr>
            <w:tcW w:type="dxa" w:w="1440"/>
            <w:shd w:fill="FAFAFA" w:val="clear"/>
          </w:tcPr>
          <w:p>
            <w:r>
              <w:rPr>
                <w:sz w:val="17"/>
              </w:rPr>
              <w:t>35,244</w:t>
            </w:r>
          </w:p>
        </w:tc>
        <w:tc>
          <w:tcPr>
            <w:tcW w:type="dxa" w:w="1440"/>
            <w:shd w:fill="FAFAFA" w:val="clear"/>
          </w:tcPr>
          <w:p>
            <w:r>
              <w:rPr>
                <w:b/>
                <w:sz w:val="17"/>
              </w:rPr>
              <w:t>37,735</w:t>
            </w:r>
          </w:p>
        </w:tc>
        <w:tc>
          <w:tcPr>
            <w:tcW w:type="dxa" w:w="1440"/>
            <w:shd w:fill="FAFAFA" w:val="clear"/>
          </w:tcPr>
          <w:p>
            <w:r>
              <w:rPr>
                <w:sz w:val="17"/>
              </w:rPr>
              <w:t>40,226</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2026-09-08</w:t>
            </w:r>
          </w:p>
        </w:tc>
        <w:tc>
          <w:tcPr>
            <w:tcW w:type="dxa" w:w="1440"/>
            <w:shd w:fill="FAFAFA" w:val="clear"/>
          </w:tcPr>
          <w:p>
            <w:r>
              <w:rPr>
                <w:sz w:val="17"/>
              </w:rPr>
              <w:t>34,915</w:t>
            </w:r>
          </w:p>
        </w:tc>
        <w:tc>
          <w:tcPr>
            <w:tcW w:type="dxa" w:w="1440"/>
            <w:shd w:fill="FAFAFA" w:val="clear"/>
          </w:tcPr>
          <w:p>
            <w:r>
              <w:rPr>
                <w:b/>
                <w:sz w:val="17"/>
              </w:rPr>
              <w:t>37,697</w:t>
            </w:r>
          </w:p>
        </w:tc>
        <w:tc>
          <w:tcPr>
            <w:tcW w:type="dxa" w:w="1440"/>
            <w:shd w:fill="FAFAFA" w:val="clear"/>
          </w:tcPr>
          <w:p>
            <w:r>
              <w:rPr>
                <w:sz w:val="17"/>
              </w:rPr>
              <w:t>40,480</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2026-09-09</w:t>
            </w:r>
          </w:p>
        </w:tc>
        <w:tc>
          <w:tcPr>
            <w:tcW w:type="dxa" w:w="1440"/>
            <w:shd w:fill="FAFAFA" w:val="clear"/>
          </w:tcPr>
          <w:p>
            <w:r>
              <w:rPr>
                <w:sz w:val="17"/>
              </w:rPr>
              <w:t>34,615</w:t>
            </w:r>
          </w:p>
        </w:tc>
        <w:tc>
          <w:tcPr>
            <w:tcW w:type="dxa" w:w="1440"/>
            <w:shd w:fill="FAFAFA" w:val="clear"/>
          </w:tcPr>
          <w:p>
            <w:r>
              <w:rPr>
                <w:b/>
                <w:sz w:val="17"/>
              </w:rPr>
              <w:t>37,660</w:t>
            </w:r>
          </w:p>
        </w:tc>
        <w:tc>
          <w:tcPr>
            <w:tcW w:type="dxa" w:w="1440"/>
            <w:shd w:fill="FAFAFA" w:val="clear"/>
          </w:tcPr>
          <w:p>
            <w:r>
              <w:rPr>
                <w:sz w:val="17"/>
              </w:rPr>
              <w:t>40,705</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2026-09-10</w:t>
            </w:r>
          </w:p>
        </w:tc>
        <w:tc>
          <w:tcPr>
            <w:tcW w:type="dxa" w:w="1440"/>
            <w:shd w:fill="FAFAFA" w:val="clear"/>
          </w:tcPr>
          <w:p>
            <w:r>
              <w:rPr>
                <w:sz w:val="17"/>
              </w:rPr>
              <w:t>34,338</w:t>
            </w:r>
          </w:p>
        </w:tc>
        <w:tc>
          <w:tcPr>
            <w:tcW w:type="dxa" w:w="1440"/>
            <w:shd w:fill="FAFAFA" w:val="clear"/>
          </w:tcPr>
          <w:p>
            <w:r>
              <w:rPr>
                <w:b/>
                <w:sz w:val="17"/>
              </w:rPr>
              <w:t>37,624</w:t>
            </w:r>
          </w:p>
        </w:tc>
        <w:tc>
          <w:tcPr>
            <w:tcW w:type="dxa" w:w="1440"/>
            <w:shd w:fill="FAFAFA" w:val="clear"/>
          </w:tcPr>
          <w:p>
            <w:r>
              <w:rPr>
                <w:sz w:val="17"/>
              </w:rPr>
              <w:t>40,910</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2026-09-11</w:t>
            </w:r>
          </w:p>
        </w:tc>
        <w:tc>
          <w:tcPr>
            <w:tcW w:type="dxa" w:w="1440"/>
            <w:shd w:fill="FAFAFA" w:val="clear"/>
          </w:tcPr>
          <w:p>
            <w:r>
              <w:rPr>
                <w:sz w:val="17"/>
              </w:rPr>
              <w:t>34,079</w:t>
            </w:r>
          </w:p>
        </w:tc>
        <w:tc>
          <w:tcPr>
            <w:tcW w:type="dxa" w:w="1440"/>
            <w:shd w:fill="FAFAFA" w:val="clear"/>
          </w:tcPr>
          <w:p>
            <w:r>
              <w:rPr>
                <w:b/>
                <w:sz w:val="17"/>
              </w:rPr>
              <w:t>37,588</w:t>
            </w:r>
          </w:p>
        </w:tc>
        <w:tc>
          <w:tcPr>
            <w:tcW w:type="dxa" w:w="1440"/>
            <w:shd w:fill="FAFAFA" w:val="clear"/>
          </w:tcPr>
          <w:p>
            <w:r>
              <w:rPr>
                <w:sz w:val="17"/>
              </w:rPr>
              <w:t>41,098</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2026-09-14</w:t>
            </w:r>
          </w:p>
        </w:tc>
        <w:tc>
          <w:tcPr>
            <w:tcW w:type="dxa" w:w="1440"/>
            <w:shd w:fill="FAFAFA" w:val="clear"/>
          </w:tcPr>
          <w:p>
            <w:r>
              <w:rPr>
                <w:sz w:val="17"/>
              </w:rPr>
              <w:t>33,834</w:t>
            </w:r>
          </w:p>
        </w:tc>
        <w:tc>
          <w:tcPr>
            <w:tcW w:type="dxa" w:w="1440"/>
            <w:shd w:fill="FAFAFA" w:val="clear"/>
          </w:tcPr>
          <w:p>
            <w:r>
              <w:rPr>
                <w:b/>
                <w:sz w:val="17"/>
              </w:rPr>
              <w:t>37,553</w:t>
            </w:r>
          </w:p>
        </w:tc>
        <w:tc>
          <w:tcPr>
            <w:tcW w:type="dxa" w:w="1440"/>
            <w:shd w:fill="FAFAFA" w:val="clear"/>
          </w:tcPr>
          <w:p>
            <w:r>
              <w:rPr>
                <w:sz w:val="17"/>
              </w:rPr>
              <w:t>41,272</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2026-09-15</w:t>
            </w:r>
          </w:p>
        </w:tc>
        <w:tc>
          <w:tcPr>
            <w:tcW w:type="dxa" w:w="1440"/>
            <w:shd w:fill="FAFAFA" w:val="clear"/>
          </w:tcPr>
          <w:p>
            <w:r>
              <w:rPr>
                <w:sz w:val="17"/>
              </w:rPr>
              <w:t>33,603</w:t>
            </w:r>
          </w:p>
        </w:tc>
        <w:tc>
          <w:tcPr>
            <w:tcW w:type="dxa" w:w="1440"/>
            <w:shd w:fill="FAFAFA" w:val="clear"/>
          </w:tcPr>
          <w:p>
            <w:r>
              <w:rPr>
                <w:b/>
                <w:sz w:val="17"/>
              </w:rPr>
              <w:t>37,519</w:t>
            </w:r>
          </w:p>
        </w:tc>
        <w:tc>
          <w:tcPr>
            <w:tcW w:type="dxa" w:w="1440"/>
            <w:shd w:fill="FAFAFA" w:val="clear"/>
          </w:tcPr>
          <w:p>
            <w:r>
              <w:rPr>
                <w:sz w:val="17"/>
              </w:rPr>
              <w:t>41,436</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625,51 milliards FCFA, ce qui en fait l'une des valeurs les plus significatives de la BRVM, reflétant la position dominante de SOLIBRA dans le secteur des boissons en Afrique de l'Ouest. Le BPA de 2 781 FCFA indique que chaque action génère un bénéfice substantiel, et le PER de 13,7x se situe au-dessus de la moyenne historique de la BRVM (8-12x), témoignant d'une prime de croissance accordée par le marché aux excellentes performances récentes. Le P/B de 3,21x confirme cette prime, le marché valorisant la société à plus de trois fois sa valeur comptable, ce qui est cohérent avec un ROE exceptionnel de 23,46%. Enfin, l'EV/EBITDA de 7,4x reste dans une zone raisonnable (5-10x), indiquant que la valeur totale de l'entreprise reste justifiée par sa capacité opérationnelle à générer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est resté parfaitement stable avec une variation totale de 0,00%, tout comme la variation à J-1, indiquant une phase de consolidation extrême après une période de mouvement. Le titre a évolué dans un range de 35 540 FCFA (plus bas) à 41 500 FCFA (plus haut), montrant une amplitude de près de 17% sur la période. La moyenne de 38 303 FCFA et la médiane de 38 005 FCFA sont très proches, ce qui, combiné à un skewness de 0,331, indique une distribution quasi symétrique des cours. L'écart-type de 964 FCFA avec un coefficient de variation de seulement 2,5% révèle une dispersion très faible des prix autour de la moyenne, tandis que le kurtosis de 0,262 (mésokurtique) suggère l'absence de mouvements extrêmes ou de pics de volatilité inhabituels. La volatilité annualisée de 29,8% positionne le titre dans la catégorie élevée (&gt;30% étant le seuil), ce qui contraste avec la stabilité récente et suggère un potentiel de mouvements plus amples à venir.</w:t>
      </w:r>
    </w:p>
    <w:p>
      <w:pPr>
        <w:spacing w:after="120" w:line="276" w:lineRule="auto" w:before="240"/>
      </w:pPr>
      <w:r>
        <w:rPr>
          <w:b/>
          <w:color w:val="003366"/>
          <w:sz w:val="24"/>
        </w:rPr>
        <w:t>**PARTIE 2 : ANALYSE TECHNIQUE DÉTAILLÉE**</w:t>
      </w:r>
    </w:p>
    <w:p>
      <w:pPr>
        <w:spacing w:after="120" w:line="276" w:lineRule="auto"/>
      </w:pPr>
      <w:r>
        <w:t>**Moyennes Mobiles**: La MM20 à 37 506,5 FCFA est inférieure à la MM50 à 38 475,2 FCFA, et le cours actuel de 38 000 FCFA se situe entre ces deux moyennes. Cette configuration en croix baissière sur le court terme, avec un cours sous la MM50, justifie la décision de vente, bien que le cours reste au-dessus de la MM20, indiquant un certain soutien à court terme.</w:t>
      </w:r>
    </w:p>
    <w:p>
      <w:pPr>
        <w:spacing w:after="120" w:line="276" w:lineRule="auto"/>
      </w:pPr>
      <w:r>
        <w:t>**Bandes de Bollinger**: Le cours à 38 000 FCFA se positionne dans la partie supérieure de l'enveloppe, entre la borne inférieure à 36 720,4 FCFA et la borne supérieure à 38 292,6 FCFA. La largeur relativement étroite des bandes reflète la faible volatilité récente, et le cours proche de la borne supérieure suggère une légère pression acheteuse, d'où la décision neutre.</w:t>
      </w:r>
    </w:p>
    <w:p>
      <w:pPr>
        <w:spacing w:after="120" w:line="276" w:lineRule="auto"/>
      </w:pPr>
      <w:r>
        <w:t>**MACD**: Le MACD à -207,1 est négatif mais se situe au-dessus de sa ligne de signal à -299,7, formant une divergence positive. Cette configuration indique un momentum en amélioration, avec un potentiel de retournement haussier, justifiant la décision d'achat malgré des valeurs encore négatives.</w:t>
      </w:r>
    </w:p>
    <w:p>
      <w:pPr>
        <w:spacing w:after="120" w:line="276" w:lineRule="auto"/>
      </w:pPr>
      <w:r>
        <w:t>**RSI**: Le RSI à 54,3 se positionne dans la zone neutre (30-70), indiquant un équilibre entre pression acheteuse et vendeuse. Cette valeur ne montre ni surachat ni survente, laissant place à une évolution dans les deux sens, d'où la décision neutre.</w:t>
      </w:r>
    </w:p>
    <w:p>
      <w:pPr>
        <w:spacing w:after="120" w:line="276" w:lineRule="auto"/>
      </w:pPr>
      <w:r>
        <w:t>**Stochastique**: Le %K à 100,0 est extrêmement élevé et nettement au-dessus du %D à 66,7, signalant une condition de surachat sévère. Cette configuration suggère un risque élevé de correction à court terme, justifiant la décision de vente.</w:t>
      </w:r>
    </w:p>
    <w:p>
      <w:pPr>
        <w:spacing w:after="120" w:line="276" w:lineRule="auto"/>
      </w:pPr>
      <w:r>
        <w:t>**Conclusion technique**: Les indicateurs techniques sont mitigés avec un MACD positif contrastant avec des moyennes mobiles baissières et un stochastique en surachat extrême. Le RSI neutre et les bandes de Bollinger stables indiquent une absence de direction claire. La prudence est de mise, le titre semblant chercher une direction après une longue phase de consolidation.</w:t>
      </w:r>
    </w:p>
    <w:p>
      <w:pPr>
        <w:spacing w:after="120" w:line="276" w:lineRule="auto" w:before="240"/>
      </w:pPr>
      <w:r>
        <w:rPr>
          <w:b/>
          <w:color w:val="003366"/>
          <w:sz w:val="24"/>
        </w:rPr>
        <w:t>**PARTIE 3 : ANALYSE FONDAMENTALE (SECTION CRITIQUE)**</w:t>
      </w:r>
    </w:p>
    <w:p>
      <w:pPr>
        <w:spacing w:after="120" w:line="276" w:lineRule="auto"/>
      </w:pPr>
      <w:r>
        <w:t>En 2025, SLBC affiche des performances financières exceptionnelles avec un chiffre d'affaires de 378,123 milliards FCFA, en croissance de 22,1% par rapport à 2024, et un résultat net de 45,781 milliards FCFA, soit une explosion de 113% comparé aux 21,472 milliards de 2024. La marge nette s'est considérablement améliorée, passant de 6,9% à 12,1%, tandis que le ROE atteint un niveau excellent de 23,46% et le ROA de 13,48%. La structure financière est saine avec une autonomie financière de 57,5%, un ratio d'endettement modéré de 42,5% et une capacité de remboursement rapide de 0,67 an. Le BFR de 61,587 milliards FCFA, avec un délai clients de 64 jours et un délai fournisseurs de 77 jours, montre une gestion équilibrée du cycle d'exploitation. Les rapports trimestriels confirment cette dynamique : le T1 2026 (rapport du 20/05/2026) affiche un CA de 93,46 milliards FCFA (+7,6%) et un résultat net de 16,26 milliards FCFA (+4,8%), suggérant une poursuite de la croissance en 2026. Le rapport du S1 2025 (daté de 2025) montrait déjà une marge nette de 16,9%, et la direction se dit confiante pour le S2 2025. La politique de dividende est très généreuse avec un taux de distribution de 76,5% en 2025 (35,012 milliards FCFA, soit 2 127 FCFA par action proposé à l'AG du 05/06/2026), contre 93,5% en 2024. Les risques identifiés incluent la dépendance aux matières premières (90 milliards FCFA d'achats exposés à la volatilité des prix) et la concentration géographique sur le marché ivoirien.</w:t>
      </w:r>
    </w:p>
    <w:p>
      <w:pPr>
        <w:spacing w:after="120" w:line="276" w:lineRule="auto" w:before="240"/>
      </w:pPr>
      <w:r>
        <w:rPr>
          <w:b/>
          <w:color w:val="003366"/>
          <w:sz w:val="24"/>
        </w:rPr>
        <w:t>**PARTIE 4 : CONCLUSION D'INVESTISSEMENT**</w:t>
      </w:r>
    </w:p>
    <w:p>
      <w:pPr>
        <w:spacing w:after="120" w:line="276" w:lineRule="auto"/>
      </w:pPr>
      <w:r>
        <w:t>La valorisation de SLBC (PER 13,7x, P/B 3,21x, EV/EBITDA 7,4x) indique une prime de croissance justifiée par des fondamentaux exceptionnels, mais le cours reste stable depuis 100 jours avec une volatilité annualisée élevée de 29,8%. Les signaux techniques sont mitigés, avec un MACD positif mais des moyennes mobiles baissières et un stochastique en surachat extrême, suggérant une possible correction à court terme. Les fondamentaux sont extrêmement solides avec une croissance de 22% du CA en 2025, un doublement du résultat net, un ROE de 23,5% et une politique de dividende généreuse (rendement estimé autour de 5,6%). Les prédictions IA pour les 10 prochains jours (37 697 à 37 795 FCFA) suggèrent une légère baisse, confirmant le potentiel de consolidation technique. La convergence entre des fondamentaux excellents et une valorisation raisonnable, malgré des signaux techniques mitigés, conduit à une recommandation **ACHAT** pour les investisseurs de moyen à long terme, avec un niveau de confiance **Élevé** et un risque global **Moyen**. L'horizon d'investissement optimal est de 3 à 12 mois, permettant de bénéficier de la croissance continue et du rendement du dividende tout en absorbant la volatilité à court terme.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1,436 titres</w:t>
            </w:r>
          </w:p>
        </w:tc>
        <w:tc>
          <w:tcPr>
            <w:tcW w:type="dxa" w:w="2268"/>
            <w:shd w:fill="FFF2CC" w:val="clear"/>
          </w:tcPr>
          <w:p>
            <w:r>
              <w:rPr>
                <w:b/>
                <w:color w:val="503200"/>
                <w:sz w:val="16"/>
              </w:rPr>
              <w:t xml:space="preserve">Cours actuel : </w:t>
            </w:r>
            <w:r>
              <w:rPr>
                <w:color w:val="000000"/>
                <w:sz w:val="17"/>
              </w:rPr>
              <w:t>17,250 FCFA</w:t>
            </w:r>
          </w:p>
          <w:p>
            <w:r>
              <w:rPr>
                <w:b/>
                <w:color w:val="503200"/>
                <w:sz w:val="16"/>
              </w:rPr>
              <w:t xml:space="preserve">Var. 100 jours : </w:t>
            </w:r>
            <w:r>
              <w:rPr>
                <w:b/>
                <w:color w:val="007800"/>
                <w:sz w:val="17"/>
              </w:rPr>
              <w:t>+44.96%</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14.82% (Moyenne) — μ=14,758 FCFA, σ=2,187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β=-0.6029 (Contre-cyclique) — Cov=-0.000022, Var(idx)=0.000037, ρ=-0.159,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16,567</w:t>
            </w:r>
          </w:p>
        </w:tc>
        <w:tc>
          <w:tcPr>
            <w:tcW w:type="dxa" w:w="1440"/>
            <w:shd w:fill="FAFAFA" w:val="clear"/>
          </w:tcPr>
          <w:p>
            <w:r>
              <w:rPr>
                <w:b/>
                <w:sz w:val="17"/>
              </w:rPr>
              <w:t>17,056</w:t>
            </w:r>
          </w:p>
        </w:tc>
        <w:tc>
          <w:tcPr>
            <w:tcW w:type="dxa" w:w="1440"/>
            <w:shd w:fill="FAFAFA" w:val="clear"/>
          </w:tcPr>
          <w:p>
            <w:r>
              <w:rPr>
                <w:sz w:val="17"/>
              </w:rPr>
              <w:t>17,546</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2026-09-03</w:t>
            </w:r>
          </w:p>
        </w:tc>
        <w:tc>
          <w:tcPr>
            <w:tcW w:type="dxa" w:w="1440"/>
            <w:shd w:fill="FAFAFA" w:val="clear"/>
          </w:tcPr>
          <w:p>
            <w:r>
              <w:rPr>
                <w:sz w:val="17"/>
              </w:rPr>
              <w:t>16,302</w:t>
            </w:r>
          </w:p>
        </w:tc>
        <w:tc>
          <w:tcPr>
            <w:tcW w:type="dxa" w:w="1440"/>
            <w:shd w:fill="FAFAFA" w:val="clear"/>
          </w:tcPr>
          <w:p>
            <w:r>
              <w:rPr>
                <w:b/>
                <w:sz w:val="17"/>
              </w:rPr>
              <w:t>16,992</w:t>
            </w:r>
          </w:p>
        </w:tc>
        <w:tc>
          <w:tcPr>
            <w:tcW w:type="dxa" w:w="1440"/>
            <w:shd w:fill="FAFAFA" w:val="clear"/>
          </w:tcPr>
          <w:p>
            <w:r>
              <w:rPr>
                <w:sz w:val="17"/>
              </w:rPr>
              <w:t>17,682</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2026-09-04</w:t>
            </w:r>
          </w:p>
        </w:tc>
        <w:tc>
          <w:tcPr>
            <w:tcW w:type="dxa" w:w="1440"/>
            <w:shd w:fill="FAFAFA" w:val="clear"/>
          </w:tcPr>
          <w:p>
            <w:r>
              <w:rPr>
                <w:sz w:val="17"/>
              </w:rPr>
              <w:t>16,077</w:t>
            </w:r>
          </w:p>
        </w:tc>
        <w:tc>
          <w:tcPr>
            <w:tcW w:type="dxa" w:w="1440"/>
            <w:shd w:fill="FAFAFA" w:val="clear"/>
          </w:tcPr>
          <w:p>
            <w:r>
              <w:rPr>
                <w:b/>
                <w:sz w:val="17"/>
              </w:rPr>
              <w:t>16,918</w:t>
            </w:r>
          </w:p>
        </w:tc>
        <w:tc>
          <w:tcPr>
            <w:tcW w:type="dxa" w:w="1440"/>
            <w:shd w:fill="FAFAFA" w:val="clear"/>
          </w:tcPr>
          <w:p>
            <w:r>
              <w:rPr>
                <w:sz w:val="17"/>
              </w:rPr>
              <w:t>17,759</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2026-09-07</w:t>
            </w:r>
          </w:p>
        </w:tc>
        <w:tc>
          <w:tcPr>
            <w:tcW w:type="dxa" w:w="1440"/>
            <w:shd w:fill="FFDCE0" w:val="clear"/>
          </w:tcPr>
          <w:p>
            <w:r>
              <w:rPr>
                <w:sz w:val="17"/>
              </w:rPr>
              <w:t>15,882</w:t>
            </w:r>
          </w:p>
        </w:tc>
        <w:tc>
          <w:tcPr>
            <w:tcW w:type="dxa" w:w="1440"/>
            <w:shd w:fill="FFDCE0" w:val="clear"/>
          </w:tcPr>
          <w:p>
            <w:r>
              <w:rPr>
                <w:b/>
                <w:sz w:val="17"/>
              </w:rPr>
              <w:t>16,849</w:t>
            </w:r>
          </w:p>
        </w:tc>
        <w:tc>
          <w:tcPr>
            <w:tcW w:type="dxa" w:w="1440"/>
            <w:shd w:fill="FFDCE0" w:val="clear"/>
          </w:tcPr>
          <w:p>
            <w:r>
              <w:rPr>
                <w:sz w:val="17"/>
              </w:rPr>
              <w:t>17,816</w:t>
            </w:r>
          </w:p>
        </w:tc>
        <w:tc>
          <w:tcPr>
            <w:tcW w:type="dxa" w:w="1440"/>
            <w:shd w:fill="FFDCE0" w:val="clear"/>
          </w:tcPr>
          <w:p>
            <w:r>
              <w:rPr>
                <w:b/>
                <w:color w:val="C00000"/>
                <w:sz w:val="17"/>
              </w:rPr>
              <w:t>-2.3%</w:t>
            </w:r>
          </w:p>
        </w:tc>
      </w:tr>
      <w:tr>
        <w:tc>
          <w:tcPr>
            <w:tcW w:type="dxa" w:w="1440"/>
            <w:shd w:fill="FFDCE0" w:val="clear"/>
          </w:tcPr>
          <w:p>
            <w:r>
              <w:rPr>
                <w:sz w:val="17"/>
              </w:rPr>
              <w:t>J+5  Moyenne</w:t>
            </w:r>
          </w:p>
        </w:tc>
        <w:tc>
          <w:tcPr>
            <w:tcW w:type="dxa" w:w="1440"/>
            <w:shd w:fill="FFDCE0" w:val="clear"/>
          </w:tcPr>
          <w:p>
            <w:r>
              <w:rPr>
                <w:sz w:val="17"/>
              </w:rPr>
              <w:t>2026-09-08</w:t>
            </w:r>
          </w:p>
        </w:tc>
        <w:tc>
          <w:tcPr>
            <w:tcW w:type="dxa" w:w="1440"/>
            <w:shd w:fill="FFDCE0" w:val="clear"/>
          </w:tcPr>
          <w:p>
            <w:r>
              <w:rPr>
                <w:sz w:val="17"/>
              </w:rPr>
              <w:t>15,706</w:t>
            </w:r>
          </w:p>
        </w:tc>
        <w:tc>
          <w:tcPr>
            <w:tcW w:type="dxa" w:w="1440"/>
            <w:shd w:fill="FFDCE0" w:val="clear"/>
          </w:tcPr>
          <w:p>
            <w:r>
              <w:rPr>
                <w:b/>
                <w:sz w:val="17"/>
              </w:rPr>
              <w:t>16,783</w:t>
            </w:r>
          </w:p>
        </w:tc>
        <w:tc>
          <w:tcPr>
            <w:tcW w:type="dxa" w:w="1440"/>
            <w:shd w:fill="FFDCE0" w:val="clear"/>
          </w:tcPr>
          <w:p>
            <w:r>
              <w:rPr>
                <w:sz w:val="17"/>
              </w:rPr>
              <w:t>17,860</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2026-09-09</w:t>
            </w:r>
          </w:p>
        </w:tc>
        <w:tc>
          <w:tcPr>
            <w:tcW w:type="dxa" w:w="1440"/>
            <w:shd w:fill="FFDCE0" w:val="clear"/>
          </w:tcPr>
          <w:p>
            <w:r>
              <w:rPr>
                <w:sz w:val="17"/>
              </w:rPr>
              <w:t>15,543</w:t>
            </w:r>
          </w:p>
        </w:tc>
        <w:tc>
          <w:tcPr>
            <w:tcW w:type="dxa" w:w="1440"/>
            <w:shd w:fill="FFDCE0" w:val="clear"/>
          </w:tcPr>
          <w:p>
            <w:r>
              <w:rPr>
                <w:b/>
                <w:sz w:val="17"/>
              </w:rPr>
              <w:t>16,718</w:t>
            </w:r>
          </w:p>
        </w:tc>
        <w:tc>
          <w:tcPr>
            <w:tcW w:type="dxa" w:w="1440"/>
            <w:shd w:fill="FFDCE0" w:val="clear"/>
          </w:tcPr>
          <w:p>
            <w:r>
              <w:rPr>
                <w:sz w:val="17"/>
              </w:rPr>
              <w:t>17,893</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2026-09-10</w:t>
            </w:r>
          </w:p>
        </w:tc>
        <w:tc>
          <w:tcPr>
            <w:tcW w:type="dxa" w:w="1440"/>
            <w:shd w:fill="FFDCE0" w:val="clear"/>
          </w:tcPr>
          <w:p>
            <w:r>
              <w:rPr>
                <w:sz w:val="17"/>
              </w:rPr>
              <w:t>15,390</w:t>
            </w:r>
          </w:p>
        </w:tc>
        <w:tc>
          <w:tcPr>
            <w:tcW w:type="dxa" w:w="1440"/>
            <w:shd w:fill="FFDCE0" w:val="clear"/>
          </w:tcPr>
          <w:p>
            <w:r>
              <w:rPr>
                <w:b/>
                <w:sz w:val="17"/>
              </w:rPr>
              <w:t>16,654</w:t>
            </w:r>
          </w:p>
        </w:tc>
        <w:tc>
          <w:tcPr>
            <w:tcW w:type="dxa" w:w="1440"/>
            <w:shd w:fill="FFDCE0" w:val="clear"/>
          </w:tcPr>
          <w:p>
            <w:r>
              <w:rPr>
                <w:sz w:val="17"/>
              </w:rPr>
              <w:t>17,919</w:t>
            </w:r>
          </w:p>
        </w:tc>
        <w:tc>
          <w:tcPr>
            <w:tcW w:type="dxa" w:w="1440"/>
            <w:shd w:fill="FFDCE0" w:val="clear"/>
          </w:tcPr>
          <w:p>
            <w:r>
              <w:rPr>
                <w:b/>
                <w:color w:val="C00000"/>
                <w:sz w:val="17"/>
              </w:rPr>
              <w:t>-3.5%</w:t>
            </w:r>
          </w:p>
        </w:tc>
      </w:tr>
      <w:tr>
        <w:tc>
          <w:tcPr>
            <w:tcW w:type="dxa" w:w="1440"/>
            <w:shd w:fill="FFDCE0" w:val="clear"/>
          </w:tcPr>
          <w:p>
            <w:r>
              <w:rPr>
                <w:sz w:val="17"/>
              </w:rPr>
              <w:t>J+8  Moyenne</w:t>
            </w:r>
          </w:p>
        </w:tc>
        <w:tc>
          <w:tcPr>
            <w:tcW w:type="dxa" w:w="1440"/>
            <w:shd w:fill="FFDCE0" w:val="clear"/>
          </w:tcPr>
          <w:p>
            <w:r>
              <w:rPr>
                <w:sz w:val="17"/>
              </w:rPr>
              <w:t>2026-09-11</w:t>
            </w:r>
          </w:p>
        </w:tc>
        <w:tc>
          <w:tcPr>
            <w:tcW w:type="dxa" w:w="1440"/>
            <w:shd w:fill="FFDCE0" w:val="clear"/>
          </w:tcPr>
          <w:p>
            <w:r>
              <w:rPr>
                <w:sz w:val="17"/>
              </w:rPr>
              <w:t>15,245</w:t>
            </w:r>
          </w:p>
        </w:tc>
        <w:tc>
          <w:tcPr>
            <w:tcW w:type="dxa" w:w="1440"/>
            <w:shd w:fill="FFDCE0" w:val="clear"/>
          </w:tcPr>
          <w:p>
            <w:r>
              <w:rPr>
                <w:b/>
                <w:sz w:val="17"/>
              </w:rPr>
              <w:t>16,591</w:t>
            </w:r>
          </w:p>
        </w:tc>
        <w:tc>
          <w:tcPr>
            <w:tcW w:type="dxa" w:w="1440"/>
            <w:shd w:fill="FFDCE0" w:val="clear"/>
          </w:tcPr>
          <w:p>
            <w:r>
              <w:rPr>
                <w:sz w:val="17"/>
              </w:rPr>
              <w:t>17,938</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2026-09-14</w:t>
            </w:r>
          </w:p>
        </w:tc>
        <w:tc>
          <w:tcPr>
            <w:tcW w:type="dxa" w:w="1440"/>
            <w:shd w:fill="FFDCE0" w:val="clear"/>
          </w:tcPr>
          <w:p>
            <w:r>
              <w:rPr>
                <w:sz w:val="17"/>
              </w:rPr>
              <w:t>15,106</w:t>
            </w:r>
          </w:p>
        </w:tc>
        <w:tc>
          <w:tcPr>
            <w:tcW w:type="dxa" w:w="1440"/>
            <w:shd w:fill="FFDCE0" w:val="clear"/>
          </w:tcPr>
          <w:p>
            <w:r>
              <w:rPr>
                <w:b/>
                <w:sz w:val="17"/>
              </w:rPr>
              <w:t>16,530</w:t>
            </w:r>
          </w:p>
        </w:tc>
        <w:tc>
          <w:tcPr>
            <w:tcW w:type="dxa" w:w="1440"/>
            <w:shd w:fill="FFDCE0" w:val="clear"/>
          </w:tcPr>
          <w:p>
            <w:r>
              <w:rPr>
                <w:sz w:val="17"/>
              </w:rPr>
              <w:t>17,953</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2026-09-15</w:t>
            </w:r>
          </w:p>
        </w:tc>
        <w:tc>
          <w:tcPr>
            <w:tcW w:type="dxa" w:w="1440"/>
            <w:shd w:fill="FFDCE0" w:val="clear"/>
          </w:tcPr>
          <w:p>
            <w:r>
              <w:rPr>
                <w:sz w:val="17"/>
              </w:rPr>
              <w:t>14,974</w:t>
            </w:r>
          </w:p>
        </w:tc>
        <w:tc>
          <w:tcPr>
            <w:tcW w:type="dxa" w:w="1440"/>
            <w:shd w:fill="FFDCE0" w:val="clear"/>
          </w:tcPr>
          <w:p>
            <w:r>
              <w:rPr>
                <w:b/>
                <w:sz w:val="17"/>
              </w:rPr>
              <w:t>16,469</w:t>
            </w:r>
          </w:p>
        </w:tc>
        <w:tc>
          <w:tcPr>
            <w:tcW w:type="dxa" w:w="1440"/>
            <w:shd w:fill="FFDCE0" w:val="clear"/>
          </w:tcPr>
          <w:p>
            <w:r>
              <w:rPr>
                <w:sz w:val="17"/>
              </w:rPr>
              <w:t>17,963</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**Date de l'analyse :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SMBC s'établit à **134,47 milliards FCFA**, un niveau significatif qui la positionne parmi les valeurs moyennes à grandes capitalisations de la cote. Avec un **BPA de 1 677 FCFA**, chaque action génère un bénéfice substantiel pour son détenteur. Le **PER de 10,3x** est très raisonnable, se situant dans la fourchette moyenne du marché BRVM (8-12x), indiquant que les investisseurs ne paient pas une prime excessive pour les bénéfices de la société. Le **P/B de 3,13x** montre que le marché valorise l'action près de trois fois sa valeur comptable, ce qui reflète une prime de croissance accordée par les investisseurs pour la rentabilité supérieure de l'entreprise. Enfin, l'**EV/EBITDA de 6,5x** est attractif, se situant dans la partie basse de la fourchette raisonnable (5-10x), ce qui suggère que la valeur totale de l'entreprise reste modérée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SMBC a enregistré une **hausse spectaculaire de +44,96%**, avec une légère progression de +0,29% lors de la dernière séance, témoignant d'un momentum haussier persistant. Le cours a évolué dans une fourchette large de **11 450 FCFA à 17 735 FCFA**, démontrant une forte dynamique de rattrapage. La moyenne du cours (14 758 FCFA) est inférieure à la médiane (15 825 FCFA), indiquant une asymétrie positive avec une concentration des cours vers le haut de la fourchette. L'écart-type de 2 198 FCFA (CV de 14,9%) révèle une dispersion modérée des prix autour de la moyenne. Le kurtosis négatif (-1,514) signale une distribution aplatie, suggérant l'absence de mouvements extrêmes récents, tandis que le skewness légèrement négatif (-0,350) indique une distribution quasi symétrique. La **volatilité annualisée de 36,4%** classe le titre dans la catégorie des valeurs à forte volatilité,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Les MM20 (16 612 FCFA) et MM50 (16 577 FCFA) sont très proches l'une de l'autre et nettement inférieures au cours actuel de 17 250 FCFA. Cette configuration haussière, où le prix évolue au-dessus des deux moyennes, confirme une tendance positive solide. La décision d'**Achat** est justifiée par cette structure de prix favorable.</w:t>
      </w:r>
    </w:p>
    <w:p>
      <w:pPr>
        <w:spacing w:after="120" w:line="276" w:lineRule="auto"/>
      </w:pPr>
      <w:r>
        <w:t>**Bandes de Bollinger :** Le cours se positionne près de la borne supérieure (17 555 FCFA), indiquant une pression acheteuse soutenue. L'écart entre les bornes (1 885 FCFA) reflète une volatilité élevée. La décision **Neutre** suggère que le marché pourrait atteindre une zone de résistance, mais la tendance reste constructive.</w:t>
      </w:r>
    </w:p>
    <w:p>
      <w:pPr>
        <w:spacing w:after="120" w:line="276" w:lineRule="auto"/>
      </w:pPr>
      <w:r>
        <w:t>**MACD :** Avec une valeur de 270,77 supérieure à son signal (193,58), le MACD affiche un momentum positif clairement haussier. Cette divergence positive confirme la dynamique acheteuse en cours. La décision d'**Achat** est cohérente avec cette configuration technique.</w:t>
      </w:r>
    </w:p>
    <w:p>
      <w:pPr>
        <w:spacing w:after="120" w:line="276" w:lineRule="auto"/>
      </w:pPr>
      <w:r>
        <w:t>**RSI :** À 69,12, le RSI approche la zone de surachat (70) sans y être encore entré. Cette valeur indique une forte pression acheteuse mais laisse encore une marge avant une potentielle correction. La décision **Neutre** est prudente, suggérant de surveiller une éventuelle entrée en zone de surachat.</w:t>
      </w:r>
    </w:p>
    <w:p>
      <w:pPr>
        <w:spacing w:after="120" w:line="276" w:lineRule="auto"/>
      </w:pPr>
      <w:r>
        <w:t>**Stochastique :** Les valeurs %K (87,32) et %D (83,90) sont très élevées, signalant une condition de surachat prononcée. La décision de **Vente** reflète le risque imminent d'un retournement technique à court terme, malgré la tendance haussière sous-jacente.</w:t>
      </w:r>
    </w:p>
    <w:p>
      <w:pPr>
        <w:spacing w:after="120" w:line="276" w:lineRule="auto"/>
      </w:pPr>
      <w:r>
        <w:t>**Conclusion technique :** Les indicateurs de tendance (MM, MACD) sont résolument haussiers, mais les oscillateurs de momentum (RSI, Stochastique) montrent des signes de surachat. Cette divergence suggère qu'une consolidation technique est probable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SMBC affiche des performances financières contrastées mais globalement solides. Le chiffre d'affaires s'établit à **206,740 milliards FCFA**, en baisse de -9,7% par rapport à 2024, principalement due à la chute des prix du pétrole et au ralentissement des exportations. Cependant, le **résultat net progresse spectaculairement de +50,3% à 13,075 milliards FCFA**, porté par une amélioration significative de la marge opérationnelle (8,6%) et une gestion rigoureuse des coûts. La **marge nette s'améliore à 6,3%** (contre 3,8% en 2024), démontrant une excellente capacité à transformer son activité en profit malgré un environnement difficile. Le **ROE de 30,5%** est exceptionnel, bien au-dessus du seuil de 15% considéré comme excellent, tandis que le **ROA de 7,3%** confirme une utilisation efficace des actifs. La structure financière s'est renforcée avec des capitaux propres de 42,9 milliards FCFA (+21,6%) et une trésorerie nette positive de 24 milliards FCFA. Le BFR de 1,693 milliard FCFA reste maîtrisé, mais le délai clients de 193 jours demeure élevé, constituant un risque de trésorerie à surveiller. Les rapports trimestriels 2025 (T1, S1, 9M) confirment cette tendance : malgré des baisses de CA (-22% au T1, -23% au S1, -14% au 9M), les marges se sont améliorées grâce à un environnement de raffinage favorable. **On estime que l'exercice 2026 pourrait voir une stabilisation du chiffre d'affaires** avec une poursuite de l'amélioration des marges, soutenue par la demande locale et les projets d'infrastructures régionaux. La recommandation fondamentale est **ACHAT**, compte tenu de la solidité financière, de la rentabilité exceptionnelle et des perspectives positives malgré les risques liés à la volatilité des prix du pétrole et à la dépendance aux investissements publics.</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configuration favorable pour SMBC. La **valorisation (PER 10,3x, EV/EBITDA 6,5x)** indique une sous-évaluation relative par rapport aux fondamentaux solides de l'entreprise, tandis que le P/B de 3,13x reflète une prime justifiée par le ROE exceptionnel de 30,5%. Le **comportement du cours** (+44,96% sur 100 jours) démontre une dynamique haussière forte, bien que la volatilité élevée (36,4%) et les statistiques descriptives suggèrent une certaine prudence. Les **signaux techniques** sont partagés : les indicateurs de tendance (MM, MACD) restent positifs, mais les oscillateurs (RSI à 69, Stochastique à 87) signalent un surachat imminent. Les **fondamentaux** sont excellents avec une amélioration spectaculaire de la rentabilité et une trésorerie renforcée. Les **prédictions IA** (17 056 FCFA à J+1, 16 783 FCFA à J+10) anticipent une légère correction technique, cohérente avec les signaux de surachat, mais sans remettre en cause la tendance haussière de fond. **Recommandation finale : ACHAT**, avec un niveau de confiance **Élevé** et un risque global **Moyen**. L'horizon d'investissement optimal serait le **moyen terme (3-12 mois)**, permettant de traverser la consolidation technique attendue et de bénéficier de la poursuite de l'amélioration des fondamentaux.</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3700.00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10,045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007800"/>
                <w:sz w:val="17"/>
              </w:rPr>
              <w:t>+27.59%</w:t>
            </w:r>
          </w:p>
          <w:p>
            <w:r>
              <w:rPr>
                <w:b/>
                <w:color w:val="503200"/>
                <w:sz w:val="16"/>
              </w:rPr>
              <w:t xml:space="preserve">Plus haut 100j : </w:t>
            </w:r>
            <w:r>
              <w:rPr>
                <w:color w:val="000000"/>
                <w:sz w:val="17"/>
              </w:rPr>
              <w:t>37,000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25.1/100 → Moyen</w:t>
      </w:r>
    </w:p>
    <w:p>
      <w:pPr>
        <w:spacing w:before="40" w:after="80"/>
      </w:pPr>
      <w:r>
        <w:rPr>
          <w:rFonts w:ascii="Courier New" w:hAnsi="Courier New"/>
          <w:color w:val="825A00"/>
          <w:sz w:val="18"/>
        </w:rPr>
        <w:t>█████░░░░░░░░░░░░░░░  25.1/100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7.59% (Moyenne) — μ=30,124 FCFA, σ=2,287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β=1.8909 (Très agressif) — Cov=0.000069, Var(idx)=0.000037, ρ=0.581,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10,045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2026-09-02</w:t>
            </w:r>
          </w:p>
        </w:tc>
        <w:tc>
          <w:tcPr>
            <w:tcW w:type="dxa" w:w="1440"/>
            <w:shd w:fill="FFDCE0" w:val="clear"/>
          </w:tcPr>
          <w:p>
            <w:r>
              <w:rPr>
                <w:sz w:val="17"/>
              </w:rPr>
              <w:t>34,486</w:t>
            </w:r>
          </w:p>
        </w:tc>
        <w:tc>
          <w:tcPr>
            <w:tcW w:type="dxa" w:w="1440"/>
            <w:shd w:fill="FFDCE0" w:val="clear"/>
          </w:tcPr>
          <w:p>
            <w:r>
              <w:rPr>
                <w:b/>
                <w:sz w:val="17"/>
              </w:rPr>
              <w:t>35,924</w:t>
            </w:r>
          </w:p>
        </w:tc>
        <w:tc>
          <w:tcPr>
            <w:tcW w:type="dxa" w:w="1440"/>
            <w:shd w:fill="FFDCE0" w:val="clear"/>
          </w:tcPr>
          <w:p>
            <w:r>
              <w:rPr>
                <w:sz w:val="17"/>
              </w:rPr>
              <w:t>37,363</w:t>
            </w:r>
          </w:p>
        </w:tc>
        <w:tc>
          <w:tcPr>
            <w:tcW w:type="dxa" w:w="1440"/>
            <w:shd w:fill="FFDCE0" w:val="clear"/>
          </w:tcPr>
          <w:p>
            <w:r>
              <w:rPr>
                <w:b/>
                <w:color w:val="C00000"/>
                <w:sz w:val="17"/>
              </w:rPr>
              <w:t>-2.9%</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33,848</w:t>
            </w:r>
          </w:p>
        </w:tc>
        <w:tc>
          <w:tcPr>
            <w:tcW w:type="dxa" w:w="1440"/>
            <w:shd w:fill="FFDCE0" w:val="clear"/>
          </w:tcPr>
          <w:p>
            <w:r>
              <w:rPr>
                <w:b/>
                <w:sz w:val="17"/>
              </w:rPr>
              <w:t>35,880</w:t>
            </w:r>
          </w:p>
        </w:tc>
        <w:tc>
          <w:tcPr>
            <w:tcW w:type="dxa" w:w="1440"/>
            <w:shd w:fill="FFDCE0" w:val="clear"/>
          </w:tcPr>
          <w:p>
            <w:r>
              <w:rPr>
                <w:sz w:val="17"/>
              </w:rPr>
              <w:t>37,911</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33,279</w:t>
            </w:r>
          </w:p>
        </w:tc>
        <w:tc>
          <w:tcPr>
            <w:tcW w:type="dxa" w:w="1440"/>
            <w:shd w:fill="FFDCE0" w:val="clear"/>
          </w:tcPr>
          <w:p>
            <w:r>
              <w:rPr>
                <w:b/>
                <w:sz w:val="17"/>
              </w:rPr>
              <w:t>35,759</w:t>
            </w:r>
          </w:p>
        </w:tc>
        <w:tc>
          <w:tcPr>
            <w:tcW w:type="dxa" w:w="1440"/>
            <w:shd w:fill="FFDCE0" w:val="clear"/>
          </w:tcPr>
          <w:p>
            <w:r>
              <w:rPr>
                <w:sz w:val="17"/>
              </w:rPr>
              <w:t>38,239</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32,796</w:t>
            </w:r>
          </w:p>
        </w:tc>
        <w:tc>
          <w:tcPr>
            <w:tcW w:type="dxa" w:w="1440"/>
            <w:shd w:fill="FFDCE0" w:val="clear"/>
          </w:tcPr>
          <w:p>
            <w:r>
              <w:rPr>
                <w:b/>
                <w:sz w:val="17"/>
              </w:rPr>
              <w:t>35,651</w:t>
            </w:r>
          </w:p>
        </w:tc>
        <w:tc>
          <w:tcPr>
            <w:tcW w:type="dxa" w:w="1440"/>
            <w:shd w:fill="FFDCE0" w:val="clear"/>
          </w:tcPr>
          <w:p>
            <w:r>
              <w:rPr>
                <w:sz w:val="17"/>
              </w:rPr>
              <w:t>38,505</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32,376</w:t>
            </w:r>
          </w:p>
        </w:tc>
        <w:tc>
          <w:tcPr>
            <w:tcW w:type="dxa" w:w="1440"/>
            <w:shd w:fill="FFDCE0" w:val="clear"/>
          </w:tcPr>
          <w:p>
            <w:r>
              <w:rPr>
                <w:b/>
                <w:sz w:val="17"/>
              </w:rPr>
              <w:t>35,559</w:t>
            </w:r>
          </w:p>
        </w:tc>
        <w:tc>
          <w:tcPr>
            <w:tcW w:type="dxa" w:w="1440"/>
            <w:shd w:fill="FFDCE0" w:val="clear"/>
          </w:tcPr>
          <w:p>
            <w:r>
              <w:rPr>
                <w:sz w:val="17"/>
              </w:rPr>
              <w:t>38,743</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31,999</w:t>
            </w:r>
          </w:p>
        </w:tc>
        <w:tc>
          <w:tcPr>
            <w:tcW w:type="dxa" w:w="1440"/>
            <w:shd w:fill="FFDCE0" w:val="clear"/>
          </w:tcPr>
          <w:p>
            <w:r>
              <w:rPr>
                <w:b/>
                <w:sz w:val="17"/>
              </w:rPr>
              <w:t>35,478</w:t>
            </w:r>
          </w:p>
        </w:tc>
        <w:tc>
          <w:tcPr>
            <w:tcW w:type="dxa" w:w="1440"/>
            <w:shd w:fill="FFDCE0" w:val="clear"/>
          </w:tcPr>
          <w:p>
            <w:r>
              <w:rPr>
                <w:sz w:val="17"/>
              </w:rPr>
              <w:t>38,958</w:t>
            </w:r>
          </w:p>
        </w:tc>
        <w:tc>
          <w:tcPr>
            <w:tcW w:type="dxa" w:w="1440"/>
            <w:shd w:fill="FFDCE0" w:val="clear"/>
          </w:tcPr>
          <w:p>
            <w:r>
              <w:rPr>
                <w:b/>
                <w:color w:val="C00000"/>
                <w:sz w:val="17"/>
              </w:rPr>
              <w:t>-4.1%</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31,652</w:t>
            </w:r>
          </w:p>
        </w:tc>
        <w:tc>
          <w:tcPr>
            <w:tcW w:type="dxa" w:w="1440"/>
            <w:shd w:fill="FFDCE0" w:val="clear"/>
          </w:tcPr>
          <w:p>
            <w:r>
              <w:rPr>
                <w:b/>
                <w:sz w:val="17"/>
              </w:rPr>
              <w:t>35,403</w:t>
            </w:r>
          </w:p>
        </w:tc>
        <w:tc>
          <w:tcPr>
            <w:tcW w:type="dxa" w:w="1440"/>
            <w:shd w:fill="FFDCE0" w:val="clear"/>
          </w:tcPr>
          <w:p>
            <w:r>
              <w:rPr>
                <w:sz w:val="17"/>
              </w:rPr>
              <w:t>39,153</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31,328</w:t>
            </w:r>
          </w:p>
        </w:tc>
        <w:tc>
          <w:tcPr>
            <w:tcW w:type="dxa" w:w="1440"/>
            <w:shd w:fill="FFDCE0" w:val="clear"/>
          </w:tcPr>
          <w:p>
            <w:r>
              <w:rPr>
                <w:b/>
                <w:sz w:val="17"/>
              </w:rPr>
              <w:t>35,330</w:t>
            </w:r>
          </w:p>
        </w:tc>
        <w:tc>
          <w:tcPr>
            <w:tcW w:type="dxa" w:w="1440"/>
            <w:shd w:fill="FFDCE0" w:val="clear"/>
          </w:tcPr>
          <w:p>
            <w:r>
              <w:rPr>
                <w:sz w:val="17"/>
              </w:rPr>
              <w:t>39,331</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31,023</w:t>
            </w:r>
          </w:p>
        </w:tc>
        <w:tc>
          <w:tcPr>
            <w:tcW w:type="dxa" w:w="1440"/>
            <w:shd w:fill="FFDCE0" w:val="clear"/>
          </w:tcPr>
          <w:p>
            <w:r>
              <w:rPr>
                <w:b/>
                <w:sz w:val="17"/>
              </w:rPr>
              <w:t>35,258</w:t>
            </w:r>
          </w:p>
        </w:tc>
        <w:tc>
          <w:tcPr>
            <w:tcW w:type="dxa" w:w="1440"/>
            <w:shd w:fill="FFDCE0" w:val="clear"/>
          </w:tcPr>
          <w:p>
            <w:r>
              <w:rPr>
                <w:sz w:val="17"/>
              </w:rPr>
              <w:t>39,494</w:t>
            </w:r>
          </w:p>
        </w:tc>
        <w:tc>
          <w:tcPr>
            <w:tcW w:type="dxa" w:w="1440"/>
            <w:shd w:fill="FFDCE0" w:val="clear"/>
          </w:tcPr>
          <w:p>
            <w:r>
              <w:rPr>
                <w:b/>
                <w:color w:val="C00000"/>
                <w:sz w:val="17"/>
              </w:rPr>
              <w:t>-4.7%</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30,733</w:t>
            </w:r>
          </w:p>
        </w:tc>
        <w:tc>
          <w:tcPr>
            <w:tcW w:type="dxa" w:w="1440"/>
            <w:shd w:fill="FFDCE0" w:val="clear"/>
          </w:tcPr>
          <w:p>
            <w:r>
              <w:rPr>
                <w:b/>
                <w:sz w:val="17"/>
              </w:rPr>
              <w:t>35,188</w:t>
            </w:r>
          </w:p>
        </w:tc>
        <w:tc>
          <w:tcPr>
            <w:tcW w:type="dxa" w:w="1440"/>
            <w:shd w:fill="FFDCE0" w:val="clear"/>
          </w:tcPr>
          <w:p>
            <w:r>
              <w:rPr>
                <w:sz w:val="17"/>
              </w:rPr>
              <w:t>39,644</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3 700 milliards FCFA, ce qui en fait l'une des toutes premières capitalisations de la BRVM, représentant une part significative de l'indice composite. Avec un BPA de 4 136 FCFA, chaque action génère un bénéfice substantiel, justifiant un PER de 8,9x. Ce niveau est dans la fourchette basse de la moyenne historique de la BRVM (8-12x), indiquant que le marché n'intègre pas pleinement la capacité bénéficiaire de l'entreprise, malgré une hausse de 27,59% du titre sur 100 jours. Le P/B de 2,64x témoigne d'une prime de croissance accordée par le marché par rapport à la valeur comptable des actifs, ce qui est cohérent avec la forte rentabilité de la société. Enfin, un EV/EBITDA de 3,8x, très inférieur au seuil de 5x, confirme une sous-évaluation relative de l'entreprise par rapport à sa capacité opérationnelle de génération de cash, renforçant l'attractivité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+27,59%, avec une dernière séance en hausse de +1,09% à 37 000 FCFA, son plus haut niveau sur la période. Le titre a évolué dans une fourchette de 27 160 FCFA (plus bas) à 37 000 FCFA (plus haut), démontrant une tendance haussière soutenue. La moyenne du cours sur la période (30 124 FCFA) est nettement inférieure à la médiane (28 930 FCFA), et l'écart entre la moyenne et le mode (28 500 FCFA) révèle une distribution asymétrique positive (skewness de 1,471), signifiant que le titre a passé plus de journées sous sa moyenne, avec des pics de hausse récents. L'écart-type de 2 298 FCFA (CV de 7,6%) indique une dispersion modérée autour de la moyenne. Le kurtosis excédentaire de 1,636 signale un risque de mouvements extrêmes, tandis que la volatilité annualisée de 31,2% classe le titre comme très volatil, un niveau élevé qui appelle à la prudence malgré la tendance haussière.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37 000 FCFA est nettement supérieur à la MM20 (33 553,75 FCFA) et à la MM50 (31 675,1 FCFA). Cette configuration haussière, où le prix évolue au-dessus des deux moyennes, confirme une dynamique positive à court et moyen terme. La décision d'achat est justifiée par la tendance ascendante et l'écart croissant entre les moyennes, indiquant une accélération du mouvement haussier.</w:t>
      </w:r>
    </w:p>
    <w:p>
      <w:pPr>
        <w:spacing w:after="120" w:line="276" w:lineRule="auto"/>
      </w:pPr>
      <w:r>
        <w:t>**Bandes de Bollinger** : Le prix évolue proche de la borne supérieure (38 259,125 FCFA), avec une borne inférieure à 28 848,375 FCFA. L'écart important entre les bornes reflète une volatilité élevée. La décision neutre s'explique par le fait que le cours, bien qu'en zone supérieure, n'a pas encore touché la borne, laissant une marge de progression avant une éventuelle correction technique.</w:t>
      </w:r>
    </w:p>
    <w:p>
      <w:pPr>
        <w:spacing w:after="120" w:line="276" w:lineRule="auto"/>
      </w:pPr>
      <w:r>
        <w:t>**MACD** : Le MACD (1 530,199) est nettement supérieur à son signal (1 200,969), avec un écart positif croissant. Cette configuration haussière indique un momentum positif soutenu, justifiant la décision d'achat. La dynamique actuelle suggère une poursuite de la tendance haussière à court terme.</w:t>
      </w:r>
    </w:p>
    <w:p>
      <w:pPr>
        <w:spacing w:after="120" w:line="276" w:lineRule="auto"/>
      </w:pPr>
      <w:r>
        <w:t>**RSI** : Le RSI à 74,606 dépasse le seuil de surachat (70), signalant une possible correction prochaine. Cette valeur élevée indique que le titre est techniquement surévalué à court terme, justifiant la décision de vente. Les investisseurs pourraient être tentés de prendre leurs profits après cette forte progression.</w:t>
      </w:r>
    </w:p>
    <w:p>
      <w:pPr>
        <w:spacing w:after="120" w:line="276" w:lineRule="auto"/>
      </w:pPr>
      <w:r>
        <w:t>**Stochastique** : Le %K (100,0) et le %D (95,669) sont tous deux en zone de surachat extrême, avec un %K à son niveau maximal. Cette configuration indique un épuisement potentiel du mouvement haussier, justifiant la décision de vente. Un croisement baissier pourrait déclencher une correction significative.</w:t>
      </w:r>
    </w:p>
    <w:p>
      <w:pPr>
        <w:spacing w:after="120" w:line="276" w:lineRule="auto"/>
      </w:pPr>
      <w:r>
        <w:t>**Conclusion technique** : Les indicateurs de tendance (MM, MACD) sont clairement haussiers, mais les oscillateurs (RSI, Stochastique) sont en zone de surachat extrême. Cette divergence suggère qu'une consolidation technique est probable à court terme, bien que la tendance de fond reste positive. Les bandes de Bollinger, neutres, confirment cette incertitude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performances financières solides avec un chiffre d'affaires consolidé de 1 923,122 Mds FCFA, en croissance de +8,3% par rapport à 2024, et un résultat net de 413,588 Mds FCFA (+5,1%). La marge nette s'établit à 21,5%, tandis que le ROE atteint 29,6%, un niveau excellent, et le ROA 12,6%. La structure financière est saine avec un ratio d'autonomie financière de 42,8% et une capacité de remboursement de seulement 0,64 an. Le BFR négatif de -284,906 Mds FCFA est un signe de grande solidité, confirmé par un délai fournisseurs très favorable de 201 jours contre 46 jours pour les clients. Les rapports trimestriels 2025 confirment cette dynamique : le T1 affiche une croissance de +10,9% des revenus et +14,9% du résultat net, le S1 un CA de 960,2 Mds FCFA (+9,4%), et le T3 un CA cumulé de 1 432,5 Mds FCFA (+8,6%). Le rapport annuel 2024 (publié en 2025) montre une progression continue avec un CA de 1 776,4 Mds FCFA et un résultat net de 393,7 Mds FCFA. Les résultats S1 2026, publiés le 24 juillet 2026, confirment la tendance avec un CA de 1 049,8 Mds FCFA (+9,3%) et un résultat net de 230 Mds FCFA (+10,5%), soutenus par une notation AAA(wu) de GCR Ratings. La société maintient son leadership régional avec 42,1 millions de clients et des parts de marché dominantes au Sénégal (55,9%) et au Mali (54,5%). Le dividende proposé pour 2025 est de 1 933 FCFA brut par action, payable à partir du 25 mai 2026.</w:t>
      </w:r>
    </w:p>
    <w:p>
      <w:pPr>
        <w:spacing w:after="120" w:line="276" w:lineRule="auto"/>
      </w:pPr>
      <w:r>
        <w:t>---</w:t>
      </w:r>
    </w:p>
    <w:p>
      <w:pPr>
        <w:spacing w:after="120" w:line="276" w:lineRule="auto"/>
      </w:pPr>
      <w:r>
        <w:t>### PARTIE 4 : CONCLUSION D'INVESTISSEMENT</w:t>
      </w:r>
    </w:p>
    <w:p>
      <w:pPr>
        <w:spacing w:after="120" w:line="276" w:lineRule="auto"/>
      </w:pPr>
      <w:r>
        <w:t>La valorisation de Sonatel (PER 8,9x, EV/EBITDA 3,8x) indique une sous-évaluation malgré la forte progression du cours (+27,59% sur 100 jours), soutenue par des fondamentaux exceptionnels (ROE 29,6%, marge nette 21,5%). Les signaux techniques sont mitigés : la tendance reste haussière (MM, MACD) mais les oscillateurs en surachat extrême (RSI 74,6, Stochastique 100) suggèrent une consolidation à court terme. Les prédictions IA pour les 10 prochains jours (35 924 à 35 559 FCFA) indiquent une légère correction, confirmant cette analyse technique. Les fondamentaux solides, la croissance soutenue (+8-10% du CA) et la notation AAA(wu) plaident pour une détention à long terme. La recommandation finale est **CONSERVER**, avec une convergence entre la sous-évaluation fondamentale et la nécessité d'une pause technique. Le niveau de confiance est **Élevé**, le risque global **Moyen** (volatilité 31,2%), et l'horizon d'investissement optimal est le **moyen terme (3-12 mois)**, en attendant une meilleure point d'entrée après la correction technique attendue.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179.30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5,758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+6.41%</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4.82% (Faible) — μ=7,997 FCFA, σ=385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β=0.2239 (Défensif) — Cov=0.000008, Var(idx)=0.000037, ρ=0.059,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2026-09-02</w:t>
            </w:r>
          </w:p>
        </w:tc>
        <w:tc>
          <w:tcPr>
            <w:tcW w:type="dxa" w:w="1440"/>
            <w:shd w:fill="FAFAFA" w:val="clear"/>
          </w:tcPr>
          <w:p>
            <w:r>
              <w:rPr>
                <w:sz w:val="17"/>
              </w:rPr>
              <w:t>7,924</w:t>
            </w:r>
          </w:p>
        </w:tc>
        <w:tc>
          <w:tcPr>
            <w:tcW w:type="dxa" w:w="1440"/>
            <w:shd w:fill="FAFAFA" w:val="clear"/>
          </w:tcPr>
          <w:p>
            <w:r>
              <w:rPr>
                <w:b/>
                <w:sz w:val="17"/>
              </w:rPr>
              <w:t>8,289</w:t>
            </w:r>
          </w:p>
        </w:tc>
        <w:tc>
          <w:tcPr>
            <w:tcW w:type="dxa" w:w="1440"/>
            <w:shd w:fill="FAFAFA" w:val="clear"/>
          </w:tcPr>
          <w:p>
            <w:r>
              <w:rPr>
                <w:sz w:val="17"/>
              </w:rPr>
              <w:t>8,654</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2026-09-03</w:t>
            </w:r>
          </w:p>
        </w:tc>
        <w:tc>
          <w:tcPr>
            <w:tcW w:type="dxa" w:w="1440"/>
            <w:shd w:fill="FAFAFA" w:val="clear"/>
          </w:tcPr>
          <w:p>
            <w:r>
              <w:rPr>
                <w:sz w:val="17"/>
              </w:rPr>
              <w:t>7,783</w:t>
            </w:r>
          </w:p>
        </w:tc>
        <w:tc>
          <w:tcPr>
            <w:tcW w:type="dxa" w:w="1440"/>
            <w:shd w:fill="FAFAFA" w:val="clear"/>
          </w:tcPr>
          <w:p>
            <w:r>
              <w:rPr>
                <w:b/>
                <w:sz w:val="17"/>
              </w:rPr>
              <w:t>8,300</w:t>
            </w:r>
          </w:p>
        </w:tc>
        <w:tc>
          <w:tcPr>
            <w:tcW w:type="dxa" w:w="1440"/>
            <w:shd w:fill="FAFAFA" w:val="clear"/>
          </w:tcPr>
          <w:p>
            <w:r>
              <w:rPr>
                <w:sz w:val="17"/>
              </w:rPr>
              <w:t>8,818</w:t>
            </w:r>
          </w:p>
        </w:tc>
        <w:tc>
          <w:tcPr>
            <w:tcW w:type="dxa" w:w="1440"/>
            <w:shd w:fill="FAFAFA" w:val="clear"/>
          </w:tcPr>
          <w:p>
            <w:r>
              <w:rPr>
                <w:b/>
                <w:color w:val="008000"/>
                <w:sz w:val="17"/>
              </w:rPr>
              <w:t>+0.0%</w:t>
            </w:r>
          </w:p>
        </w:tc>
      </w:tr>
      <w:tr>
        <w:tc>
          <w:tcPr>
            <w:tcW w:type="dxa" w:w="1440"/>
            <w:shd w:fill="FAFAFA" w:val="clear"/>
          </w:tcPr>
          <w:p>
            <w:r>
              <w:rPr>
                <w:sz w:val="17"/>
              </w:rPr>
              <w:t>J+3  Moyenne</w:t>
            </w:r>
          </w:p>
        </w:tc>
        <w:tc>
          <w:tcPr>
            <w:tcW w:type="dxa" w:w="1440"/>
            <w:shd w:fill="FAFAFA" w:val="clear"/>
          </w:tcPr>
          <w:p>
            <w:r>
              <w:rPr>
                <w:sz w:val="17"/>
              </w:rPr>
              <w:t>2026-09-04</w:t>
            </w:r>
          </w:p>
        </w:tc>
        <w:tc>
          <w:tcPr>
            <w:tcW w:type="dxa" w:w="1440"/>
            <w:shd w:fill="FAFAFA" w:val="clear"/>
          </w:tcPr>
          <w:p>
            <w:r>
              <w:rPr>
                <w:sz w:val="17"/>
              </w:rPr>
              <w:t>7,676</w:t>
            </w:r>
          </w:p>
        </w:tc>
        <w:tc>
          <w:tcPr>
            <w:tcW w:type="dxa" w:w="1440"/>
            <w:shd w:fill="FAFAFA" w:val="clear"/>
          </w:tcPr>
          <w:p>
            <w:r>
              <w:rPr>
                <w:b/>
                <w:sz w:val="17"/>
              </w:rPr>
              <w:t>8,310</w:t>
            </w:r>
          </w:p>
        </w:tc>
        <w:tc>
          <w:tcPr>
            <w:tcW w:type="dxa" w:w="1440"/>
            <w:shd w:fill="FAFAFA" w:val="clear"/>
          </w:tcPr>
          <w:p>
            <w:r>
              <w:rPr>
                <w:sz w:val="17"/>
              </w:rPr>
              <w:t>8,945</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2026-09-07</w:t>
            </w:r>
          </w:p>
        </w:tc>
        <w:tc>
          <w:tcPr>
            <w:tcW w:type="dxa" w:w="1440"/>
            <w:shd w:fill="FAFAFA" w:val="clear"/>
          </w:tcPr>
          <w:p>
            <w:r>
              <w:rPr>
                <w:sz w:val="17"/>
              </w:rPr>
              <w:t>7,588</w:t>
            </w:r>
          </w:p>
        </w:tc>
        <w:tc>
          <w:tcPr>
            <w:tcW w:type="dxa" w:w="1440"/>
            <w:shd w:fill="FAFAFA" w:val="clear"/>
          </w:tcPr>
          <w:p>
            <w:r>
              <w:rPr>
                <w:b/>
                <w:sz w:val="17"/>
              </w:rPr>
              <w:t>8,321</w:t>
            </w:r>
          </w:p>
        </w:tc>
        <w:tc>
          <w:tcPr>
            <w:tcW w:type="dxa" w:w="1440"/>
            <w:shd w:fill="FAFAFA" w:val="clear"/>
          </w:tcPr>
          <w:p>
            <w:r>
              <w:rPr>
                <w:sz w:val="17"/>
              </w:rPr>
              <w:t>9,055</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2026-09-08</w:t>
            </w:r>
          </w:p>
        </w:tc>
        <w:tc>
          <w:tcPr>
            <w:tcW w:type="dxa" w:w="1440"/>
            <w:shd w:fill="FAFAFA" w:val="clear"/>
          </w:tcPr>
          <w:p>
            <w:r>
              <w:rPr>
                <w:sz w:val="17"/>
              </w:rPr>
              <w:t>7,511</w:t>
            </w:r>
          </w:p>
        </w:tc>
        <w:tc>
          <w:tcPr>
            <w:tcW w:type="dxa" w:w="1440"/>
            <w:shd w:fill="FAFAFA" w:val="clear"/>
          </w:tcPr>
          <w:p>
            <w:r>
              <w:rPr>
                <w:b/>
                <w:sz w:val="17"/>
              </w:rPr>
              <w:t>8,332</w:t>
            </w:r>
          </w:p>
        </w:tc>
        <w:tc>
          <w:tcPr>
            <w:tcW w:type="dxa" w:w="1440"/>
            <w:shd w:fill="FAFAFA" w:val="clear"/>
          </w:tcPr>
          <w:p>
            <w:r>
              <w:rPr>
                <w:sz w:val="17"/>
              </w:rPr>
              <w:t>9,153</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2026-09-09</w:t>
            </w:r>
          </w:p>
        </w:tc>
        <w:tc>
          <w:tcPr>
            <w:tcW w:type="dxa" w:w="1440"/>
            <w:shd w:fill="FAFAFA" w:val="clear"/>
          </w:tcPr>
          <w:p>
            <w:r>
              <w:rPr>
                <w:sz w:val="17"/>
              </w:rPr>
              <w:t>7,442</w:t>
            </w:r>
          </w:p>
        </w:tc>
        <w:tc>
          <w:tcPr>
            <w:tcW w:type="dxa" w:w="1440"/>
            <w:shd w:fill="FAFAFA" w:val="clear"/>
          </w:tcPr>
          <w:p>
            <w:r>
              <w:rPr>
                <w:b/>
                <w:sz w:val="17"/>
              </w:rPr>
              <w:t>8,342</w:t>
            </w:r>
          </w:p>
        </w:tc>
        <w:tc>
          <w:tcPr>
            <w:tcW w:type="dxa" w:w="1440"/>
            <w:shd w:fill="FAFAFA" w:val="clear"/>
          </w:tcPr>
          <w:p>
            <w:r>
              <w:rPr>
                <w:sz w:val="17"/>
              </w:rPr>
              <w:t>9,243</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2026-09-10</w:t>
            </w:r>
          </w:p>
        </w:tc>
        <w:tc>
          <w:tcPr>
            <w:tcW w:type="dxa" w:w="1440"/>
            <w:shd w:fill="FAFAFA" w:val="clear"/>
          </w:tcPr>
          <w:p>
            <w:r>
              <w:rPr>
                <w:sz w:val="17"/>
              </w:rPr>
              <w:t>7,379</w:t>
            </w:r>
          </w:p>
        </w:tc>
        <w:tc>
          <w:tcPr>
            <w:tcW w:type="dxa" w:w="1440"/>
            <w:shd w:fill="FAFAFA" w:val="clear"/>
          </w:tcPr>
          <w:p>
            <w:r>
              <w:rPr>
                <w:b/>
                <w:sz w:val="17"/>
              </w:rPr>
              <w:t>8,353</w:t>
            </w:r>
          </w:p>
        </w:tc>
        <w:tc>
          <w:tcPr>
            <w:tcW w:type="dxa" w:w="1440"/>
            <w:shd w:fill="FAFAFA" w:val="clear"/>
          </w:tcPr>
          <w:p>
            <w:r>
              <w:rPr>
                <w:sz w:val="17"/>
              </w:rPr>
              <w:t>9,327</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2026-09-11</w:t>
            </w:r>
          </w:p>
        </w:tc>
        <w:tc>
          <w:tcPr>
            <w:tcW w:type="dxa" w:w="1440"/>
            <w:shd w:fill="FAFAFA" w:val="clear"/>
          </w:tcPr>
          <w:p>
            <w:r>
              <w:rPr>
                <w:sz w:val="17"/>
              </w:rPr>
              <w:t>7,321</w:t>
            </w:r>
          </w:p>
        </w:tc>
        <w:tc>
          <w:tcPr>
            <w:tcW w:type="dxa" w:w="1440"/>
            <w:shd w:fill="FAFAFA" w:val="clear"/>
          </w:tcPr>
          <w:p>
            <w:r>
              <w:rPr>
                <w:b/>
                <w:sz w:val="17"/>
              </w:rPr>
              <w:t>8,363</w:t>
            </w:r>
          </w:p>
        </w:tc>
        <w:tc>
          <w:tcPr>
            <w:tcW w:type="dxa" w:w="1440"/>
            <w:shd w:fill="FAFAFA" w:val="clear"/>
          </w:tcPr>
          <w:p>
            <w:r>
              <w:rPr>
                <w:sz w:val="17"/>
              </w:rPr>
              <w:t>9,406</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2026-09-14</w:t>
            </w:r>
          </w:p>
        </w:tc>
        <w:tc>
          <w:tcPr>
            <w:tcW w:type="dxa" w:w="1440"/>
            <w:shd w:fill="FAFAFA" w:val="clear"/>
          </w:tcPr>
          <w:p>
            <w:r>
              <w:rPr>
                <w:sz w:val="17"/>
              </w:rPr>
              <w:t>7,266</w:t>
            </w:r>
          </w:p>
        </w:tc>
        <w:tc>
          <w:tcPr>
            <w:tcW w:type="dxa" w:w="1440"/>
            <w:shd w:fill="FAFAFA" w:val="clear"/>
          </w:tcPr>
          <w:p>
            <w:r>
              <w:rPr>
                <w:b/>
                <w:sz w:val="17"/>
              </w:rPr>
              <w:t>8,374</w:t>
            </w:r>
          </w:p>
        </w:tc>
        <w:tc>
          <w:tcPr>
            <w:tcW w:type="dxa" w:w="1440"/>
            <w:shd w:fill="FAFAFA" w:val="clear"/>
          </w:tcPr>
          <w:p>
            <w:r>
              <w:rPr>
                <w:sz w:val="17"/>
              </w:rPr>
              <w:t>9,481</w:t>
            </w:r>
          </w:p>
        </w:tc>
        <w:tc>
          <w:tcPr>
            <w:tcW w:type="dxa" w:w="1440"/>
            <w:shd w:fill="FAFAFA" w:val="clear"/>
          </w:tcPr>
          <w:p>
            <w:r>
              <w:rPr>
                <w:b/>
                <w:color w:val="008000"/>
                <w:sz w:val="17"/>
              </w:rPr>
              <w:t>+0.9%</w:t>
            </w:r>
          </w:p>
        </w:tc>
      </w:tr>
      <w:tr>
        <w:tc>
          <w:tcPr>
            <w:tcW w:type="dxa" w:w="1440"/>
            <w:shd w:fill="FAFAFA" w:val="clear"/>
          </w:tcPr>
          <w:p>
            <w:r>
              <w:rPr>
                <w:sz w:val="17"/>
              </w:rPr>
              <w:t>J+10  ⭐</w:t>
            </w:r>
          </w:p>
        </w:tc>
        <w:tc>
          <w:tcPr>
            <w:tcW w:type="dxa" w:w="1440"/>
            <w:shd w:fill="FAFAFA" w:val="clear"/>
          </w:tcPr>
          <w:p>
            <w:r>
              <w:rPr>
                <w:sz w:val="17"/>
              </w:rPr>
              <w:t>2026-09-15</w:t>
            </w:r>
          </w:p>
        </w:tc>
        <w:tc>
          <w:tcPr>
            <w:tcW w:type="dxa" w:w="1440"/>
            <w:shd w:fill="FAFAFA" w:val="clear"/>
          </w:tcPr>
          <w:p>
            <w:r>
              <w:rPr>
                <w:sz w:val="17"/>
              </w:rPr>
              <w:t>7,215</w:t>
            </w:r>
          </w:p>
        </w:tc>
        <w:tc>
          <w:tcPr>
            <w:tcW w:type="dxa" w:w="1440"/>
            <w:shd w:fill="FAFAFA" w:val="clear"/>
          </w:tcPr>
          <w:p>
            <w:r>
              <w:rPr>
                <w:b/>
                <w:sz w:val="17"/>
              </w:rPr>
              <w:t>8,384</w:t>
            </w:r>
          </w:p>
        </w:tc>
        <w:tc>
          <w:tcPr>
            <w:tcW w:type="dxa" w:w="1440"/>
            <w:shd w:fill="FAFAFA" w:val="clear"/>
          </w:tcPr>
          <w:p>
            <w:r>
              <w:rPr>
                <w:sz w:val="17"/>
              </w:rPr>
              <w:t>9,552</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179,30 milliards FCFA, ce qui positionne le titre comme une valeur de premier plan sur la BRVM, reflétant sa stature dans le secteur agro-industriel. Avec un BPA de 578 FCFA, chaque action génère un bénéfice substantiel. Le PER de 14,4x se situe au-dessus de la moyenne historique de la BRVM (8-12x), indiquant que les investisseurs acceptent de payer une prime pour la qualité des actifs et la croissance passée, sans pour autant atteindre des niveaux de surévaluation excessive. Le P/B de 2,62x confirme cette prime, le marché valorisant la société à plus de 2,5 fois ses capitaux propres, ce qui témoigne d'une confiance dans sa rentabilité future. Enfin, un EV/EBITDA de 7,5x est jugé raisonnable, indiquant que la valeur totale de l'entreprise reste en phase avec sa capacité à générer du cash-flow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progression de +6,41%, avec une dernière séance positive à +0,61%, clôturant à 8 300 FCFA. Le titre a évolué dans une fourchette de 7 100 FCFA (plus bas) à 8 600 FCFA (plus haut), démontrant une dynamique haussière soutenue sur la période. La moyenne du cours sur 100 jours est de 7 997 FCFA, proche de la médiane (8 100 FCFA), ce qui suggère une distribution relativement symétrique des prix, bien que le skewness négatif (-0.477) indique une légère tendance aux mouvements baissiers ponctuels. L'écart-type de 387 FCFA (CV=4,8%) révèle une dispersion modérée autour de la moyenne. Le kurtosis proche de zéro (-0.887) indique une distribution mésokurtique, avec un risque de variations extrêmes limité. La volatilité annualisée de 36,7% classe le titre comme très volatil (&gt;30%), ce qui implique des fluctuations de prix significatives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(8 300 FCFA) se situe au-dessus de la MM20 (8 056,25 FCFA) mais en dessous de la MM50 (8 198,1 FCFA). Cette configuration, où le prix est sous la moyenne à plus long terme, génère un signal de vente, indiquant une possible correction après la récente hausse.</w:t>
      </w:r>
    </w:p>
    <w:p>
      <w:pPr>
        <w:spacing w:after="120" w:line="276" w:lineRule="auto"/>
      </w:pPr>
      <w:r>
        <w:t>**Bandes de Bollinger**: Le prix évolue dans la partie supérieure des bandes (borne haute à 8 554,91 FCFA, borne basse à 7 557,59 FCFA), sans toucher les extrêmes. La décision est neutre, suggérant une volatilité modérée et une absence de signal directionnel fort.</w:t>
      </w:r>
    </w:p>
    <w:p>
      <w:pPr>
        <w:spacing w:after="120" w:line="276" w:lineRule="auto"/>
      </w:pPr>
      <w:r>
        <w:t>**MACD**: La valeur du MACD (32,979) est nettement supérieure à sa ligne de signal (-7,702), formant un croisement haussier. Ce signal d'achat indique un momentum positif en cours de formation, soutenant la tendance haussière récente.</w:t>
      </w:r>
    </w:p>
    <w:p>
      <w:pPr>
        <w:spacing w:after="120" w:line="276" w:lineRule="auto"/>
      </w:pPr>
      <w:r>
        <w:t>**RSI**: À 60,052, le RSI se situe en zone neutre (entre 30 et 70), sans signal de surachat ni de survente. Cela indique que le titre dispose encore d'un potentiel haussier sans être en territoire dangereux.</w:t>
      </w:r>
    </w:p>
    <w:p>
      <w:pPr>
        <w:spacing w:after="120" w:line="276" w:lineRule="auto"/>
      </w:pPr>
      <w:r>
        <w:t>**Stochastique**: Les valeurs de %K (100) et %D (95,556) sont extrêmement élevées, en zone de surachat. Le croisement potentiel de ces lignes pourrait signaler un retournement baissier imminent, justifiant la décision de vente.</w:t>
      </w:r>
    </w:p>
    <w:p>
      <w:pPr>
        <w:spacing w:after="120" w:line="276" w:lineRule="auto"/>
      </w:pPr>
      <w:r>
        <w:t>**Conclusion technique**: Les signaux sont mitigés. Le MACD est haussier, le RSI est neutre, mais les moyennes mobiles et le stochastique en surachat suggèrent une possible consolidation à court terme. La tendance de fond reste positive, mais une pause technique est probable avant une nouvelle impulsion.</w:t>
      </w:r>
    </w:p>
    <w:p>
      <w:pPr>
        <w:spacing w:after="120" w:line="276" w:lineRule="auto"/>
      </w:pPr>
      <w:r>
        <w:t>---</w:t>
      </w:r>
    </w:p>
    <w:p>
      <w:pPr>
        <w:spacing w:after="120" w:line="276" w:lineRule="auto"/>
      </w:pPr>
      <w:r>
        <w:t>### PARTIE 3 : ANALYSE FONDAMENTALE (SECTION CRITIQUE)</w:t>
      </w:r>
    </w:p>
    <w:p>
      <w:pPr>
        <w:spacing w:after="120" w:line="276" w:lineRule="auto"/>
      </w:pPr>
      <w:r>
        <w:t>En 2025, la SOGC affiche un chiffre d'affaires de 98,979 milliards FCFA, en hausse de 10,7% par rapport à 2024 (93,52 milliards FCFA), et un résultat net de 12,493 milliards FCFA, en légère baisse de 5% par rapport à 2024 (13,11 milliards FCFA). La rentabilité des capitaux propres (ROE) est excellente à 18,26%, et le ROA atteint 13,84%, démontrant une utilisation très efficace des actifs. La marge nette s'établit à 12,62%. La structure financière est très saine avec une autonomie financière de 75,79% et un endettement limité (ratio d'endettement de 24,21%). Le BFR est positif (7,124 milliards FCFA), ce qui est défavorable pour une entreprise, mais la trésorerie nette reste positive (4,575 milliards FCFA). Les délais de paiement clients (29,6 jours) et fournisseurs (31,72 jours) sont bien gérés. Selon le rapport annuel 2025 (daté du 31/12/2025), la performance a été impactée par une hausse des coûts des matières premières (+15%), mais soutenue par des prix de vente élevés pour l'huile de palme (+20%) et l'huile de palmiste (+47%). Le rapport du 3ème trimestre 2025 (cumul 9M) montre un CA de 75,6 milliards FCFA (+21,3%) et un résultat net de 11,5 milliards FCFA (+39,5%), indiquant une décélération au S2. Sur la base de ces rapports, on estime que l'exercice 2026 pourrait voir une stabilisation des résultats si les prix des matières premières se maintiennent, mais la concurrence accrue sur l'achat de coagulum reste un risque majeur. La recommandation fondamentale est de conserver le titre, la société étant financièrement solide mais confrontée à un environnement de prix plus difficile.</w:t>
      </w:r>
    </w:p>
    <w:p>
      <w:pPr>
        <w:spacing w:after="120" w:line="276" w:lineRule="auto"/>
      </w:pPr>
      <w:r>
        <w:t>---</w:t>
      </w:r>
    </w:p>
    <w:p>
      <w:pPr>
        <w:spacing w:after="120" w:line="276" w:lineRule="auto"/>
      </w:pPr>
      <w:r>
        <w:t>### PARTIE 4 : CONCLUSION D'INVESTISSEMENT</w:t>
      </w:r>
    </w:p>
    <w:p>
      <w:pPr>
        <w:spacing w:after="120" w:line="276" w:lineRule="auto"/>
      </w:pPr>
      <w:r>
        <w:t>La valorisation de SOGC (PER 14,4x, P/B 2,62x) suggère une prime de croissance justifiée par des fondamentaux solides, mais qui laisse peu de marge de sécurité. Le comportement du cours sur 100 jours est positif (+6,41%) avec une volatilité élevée (36,7%), indiquant un potentiel de gains mais aussi de fortes fluctuations. Les signaux techniques sont mitigés : le MACD est haussier, mais le stochastique en surachat et la position sous la MM50 suggèrent une consolidation à court terme. Les fondamentaux restent robustes avec un ROE de 18,26% et une croissance du CA de 10,7% en 2025, malgré une légère baisse du résultat net. Les prédictions IA pour les 10 prochains jours (8 289 à 8 332 FCFA) confirment une tendance haussière modérée, en ligne avec le momentum positif. En synthèse, les signaux sont globalement convergents vers une poursuite de la hausse à moyen terme, mais la prudence est de mise à court terme. **Recommandation finale : ACHAT** avec un niveau de confiance **Moyen** et un risque global **Moyen**. L'horizon d'investissement optimal est le **moyen terme (3-12 mois)**, en attendant une possible correction technique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249.19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5,600 titres</w:t>
            </w:r>
          </w:p>
        </w:tc>
        <w:tc>
          <w:tcPr>
            <w:tcW w:type="dxa" w:w="2268"/>
            <w:shd w:fill="FFF2CC" w:val="clear"/>
          </w:tcPr>
          <w:p>
            <w:r>
              <w:rPr>
                <w:b/>
                <w:color w:val="503200"/>
                <w:sz w:val="16"/>
              </w:rPr>
              <w:t xml:space="preserve">Cours actuel : </w:t>
            </w:r>
            <w:r>
              <w:rPr>
                <w:color w:val="000000"/>
                <w:sz w:val="17"/>
              </w:rPr>
              <w:t>9,750 FCFA</w:t>
            </w:r>
          </w:p>
          <w:p>
            <w:r>
              <w:rPr>
                <w:b/>
                <w:color w:val="503200"/>
                <w:sz w:val="16"/>
              </w:rPr>
              <w:t xml:space="preserve">Var. 100 jours : </w:t>
            </w:r>
            <w:r>
              <w:rPr>
                <w:b/>
                <w:color w:val="007800"/>
                <w:sz w:val="17"/>
              </w:rPr>
              <w:t>+38.40%</w:t>
            </w:r>
          </w:p>
          <w:p>
            <w:r>
              <w:rPr>
                <w:b/>
                <w:color w:val="503200"/>
                <w:sz w:val="16"/>
              </w:rPr>
              <w:t xml:space="preserve">Plus haut 100j : </w:t>
            </w:r>
            <w:r>
              <w:rPr>
                <w:color w:val="000000"/>
                <w:sz w:val="17"/>
              </w:rPr>
              <w:t>9,750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8.71% (Moyenne) — μ=7,611 FCFA, σ=663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β=1.0774 (Neutre (suit le marché)) — Cov=0.000039, Var(idx)=0.000037, ρ=0.262,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5,600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9,008</w:t>
            </w:r>
          </w:p>
        </w:tc>
        <w:tc>
          <w:tcPr>
            <w:tcW w:type="dxa" w:w="1440"/>
            <w:shd w:fill="FFDCE0" w:val="clear"/>
          </w:tcPr>
          <w:p>
            <w:r>
              <w:rPr>
                <w:b/>
                <w:sz w:val="17"/>
              </w:rPr>
              <w:t>9,464</w:t>
            </w:r>
          </w:p>
        </w:tc>
        <w:tc>
          <w:tcPr>
            <w:tcW w:type="dxa" w:w="1440"/>
            <w:shd w:fill="FFDCE0" w:val="clear"/>
          </w:tcPr>
          <w:p>
            <w:r>
              <w:rPr>
                <w:sz w:val="17"/>
              </w:rPr>
              <w:t>9,921</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8,785</w:t>
            </w:r>
          </w:p>
        </w:tc>
        <w:tc>
          <w:tcPr>
            <w:tcW w:type="dxa" w:w="1440"/>
            <w:shd w:fill="FFDCE0" w:val="clear"/>
          </w:tcPr>
          <w:p>
            <w:r>
              <w:rPr>
                <w:b/>
                <w:sz w:val="17"/>
              </w:rPr>
              <w:t>9,428</w:t>
            </w:r>
          </w:p>
        </w:tc>
        <w:tc>
          <w:tcPr>
            <w:tcW w:type="dxa" w:w="1440"/>
            <w:shd w:fill="FFDCE0" w:val="clear"/>
          </w:tcPr>
          <w:p>
            <w:r>
              <w:rPr>
                <w:sz w:val="17"/>
              </w:rPr>
              <w:t>10,071</w:t>
            </w:r>
          </w:p>
        </w:tc>
        <w:tc>
          <w:tcPr>
            <w:tcW w:type="dxa" w:w="1440"/>
            <w:shd w:fill="FFDCE0" w:val="clear"/>
          </w:tcPr>
          <w:p>
            <w:r>
              <w:rPr>
                <w:b/>
                <w:color w:val="C00000"/>
                <w:sz w:val="17"/>
              </w:rPr>
              <w:t>-3.3%</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8,594</w:t>
            </w:r>
          </w:p>
        </w:tc>
        <w:tc>
          <w:tcPr>
            <w:tcW w:type="dxa" w:w="1440"/>
            <w:shd w:fill="FFDCE0" w:val="clear"/>
          </w:tcPr>
          <w:p>
            <w:r>
              <w:rPr>
                <w:b/>
                <w:sz w:val="17"/>
              </w:rPr>
              <w:t>9,377</w:t>
            </w:r>
          </w:p>
        </w:tc>
        <w:tc>
          <w:tcPr>
            <w:tcW w:type="dxa" w:w="1440"/>
            <w:shd w:fill="FFDCE0" w:val="clear"/>
          </w:tcPr>
          <w:p>
            <w:r>
              <w:rPr>
                <w:sz w:val="17"/>
              </w:rPr>
              <w:t>10,161</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8,433</w:t>
            </w:r>
          </w:p>
        </w:tc>
        <w:tc>
          <w:tcPr>
            <w:tcW w:type="dxa" w:w="1440"/>
            <w:shd w:fill="FFDCE0" w:val="clear"/>
          </w:tcPr>
          <w:p>
            <w:r>
              <w:rPr>
                <w:b/>
                <w:sz w:val="17"/>
              </w:rPr>
              <w:t>9,333</w:t>
            </w:r>
          </w:p>
        </w:tc>
        <w:tc>
          <w:tcPr>
            <w:tcW w:type="dxa" w:w="1440"/>
            <w:shd w:fill="FFDCE0" w:val="clear"/>
          </w:tcPr>
          <w:p>
            <w:r>
              <w:rPr>
                <w:sz w:val="17"/>
              </w:rPr>
              <w:t>10,233</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8,289</w:t>
            </w:r>
          </w:p>
        </w:tc>
        <w:tc>
          <w:tcPr>
            <w:tcW w:type="dxa" w:w="1440"/>
            <w:shd w:fill="FFDCE0" w:val="clear"/>
          </w:tcPr>
          <w:p>
            <w:r>
              <w:rPr>
                <w:b/>
                <w:sz w:val="17"/>
              </w:rPr>
              <w:t>9,290</w:t>
            </w:r>
          </w:p>
        </w:tc>
        <w:tc>
          <w:tcPr>
            <w:tcW w:type="dxa" w:w="1440"/>
            <w:shd w:fill="FFDCE0" w:val="clear"/>
          </w:tcPr>
          <w:p>
            <w:r>
              <w:rPr>
                <w:sz w:val="17"/>
              </w:rPr>
              <w:t>10,292</w:t>
            </w:r>
          </w:p>
        </w:tc>
        <w:tc>
          <w:tcPr>
            <w:tcW w:type="dxa" w:w="1440"/>
            <w:shd w:fill="FFDCE0" w:val="clear"/>
          </w:tcPr>
          <w:p>
            <w:r>
              <w:rPr>
                <w:b/>
                <w:color w:val="C00000"/>
                <w:sz w:val="17"/>
              </w:rPr>
              <w:t>-4.7%</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8,157</w:t>
            </w:r>
          </w:p>
        </w:tc>
        <w:tc>
          <w:tcPr>
            <w:tcW w:type="dxa" w:w="1440"/>
            <w:shd w:fill="FFDCE0" w:val="clear"/>
          </w:tcPr>
          <w:p>
            <w:r>
              <w:rPr>
                <w:b/>
                <w:sz w:val="17"/>
              </w:rPr>
              <w:t>9,249</w:t>
            </w:r>
          </w:p>
        </w:tc>
        <w:tc>
          <w:tcPr>
            <w:tcW w:type="dxa" w:w="1440"/>
            <w:shd w:fill="FFDCE0" w:val="clear"/>
          </w:tcPr>
          <w:p>
            <w:r>
              <w:rPr>
                <w:sz w:val="17"/>
              </w:rPr>
              <w:t>10,341</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8,033</w:t>
            </w:r>
          </w:p>
        </w:tc>
        <w:tc>
          <w:tcPr>
            <w:tcW w:type="dxa" w:w="1440"/>
            <w:shd w:fill="FFDCE0" w:val="clear"/>
          </w:tcPr>
          <w:p>
            <w:r>
              <w:rPr>
                <w:b/>
                <w:sz w:val="17"/>
              </w:rPr>
              <w:t>9,208</w:t>
            </w:r>
          </w:p>
        </w:tc>
        <w:tc>
          <w:tcPr>
            <w:tcW w:type="dxa" w:w="1440"/>
            <w:shd w:fill="FFDCE0" w:val="clear"/>
          </w:tcPr>
          <w:p>
            <w:r>
              <w:rPr>
                <w:sz w:val="17"/>
              </w:rPr>
              <w:t>10,382</w:t>
            </w:r>
          </w:p>
        </w:tc>
        <w:tc>
          <w:tcPr>
            <w:tcW w:type="dxa" w:w="1440"/>
            <w:shd w:fill="FFDCE0" w:val="clear"/>
          </w:tcPr>
          <w:p>
            <w:r>
              <w:rPr>
                <w:b/>
                <w:color w:val="C00000"/>
                <w:sz w:val="17"/>
              </w:rPr>
              <w:t>-5.6%</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7,917</w:t>
            </w:r>
          </w:p>
        </w:tc>
        <w:tc>
          <w:tcPr>
            <w:tcW w:type="dxa" w:w="1440"/>
            <w:shd w:fill="FFDCE0" w:val="clear"/>
          </w:tcPr>
          <w:p>
            <w:r>
              <w:rPr>
                <w:b/>
                <w:sz w:val="17"/>
              </w:rPr>
              <w:t>9,167</w:t>
            </w:r>
          </w:p>
        </w:tc>
        <w:tc>
          <w:tcPr>
            <w:tcW w:type="dxa" w:w="1440"/>
            <w:shd w:fill="FFDCE0" w:val="clear"/>
          </w:tcPr>
          <w:p>
            <w:r>
              <w:rPr>
                <w:sz w:val="17"/>
              </w:rPr>
              <w:t>10,417</w:t>
            </w:r>
          </w:p>
        </w:tc>
        <w:tc>
          <w:tcPr>
            <w:tcW w:type="dxa" w:w="1440"/>
            <w:shd w:fill="FFDCE0" w:val="clear"/>
          </w:tcPr>
          <w:p>
            <w:r>
              <w:rPr>
                <w:b/>
                <w:color w:val="C00000"/>
                <w:sz w:val="17"/>
              </w:rPr>
              <w:t>-6.0%</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7,807</w:t>
            </w:r>
          </w:p>
        </w:tc>
        <w:tc>
          <w:tcPr>
            <w:tcW w:type="dxa" w:w="1440"/>
            <w:shd w:fill="FFDCE0" w:val="clear"/>
          </w:tcPr>
          <w:p>
            <w:r>
              <w:rPr>
                <w:b/>
                <w:sz w:val="17"/>
              </w:rPr>
              <w:t>9,127</w:t>
            </w:r>
          </w:p>
        </w:tc>
        <w:tc>
          <w:tcPr>
            <w:tcW w:type="dxa" w:w="1440"/>
            <w:shd w:fill="FFDCE0" w:val="clear"/>
          </w:tcPr>
          <w:p>
            <w:r>
              <w:rPr>
                <w:sz w:val="17"/>
              </w:rPr>
              <w:t>10,447</w:t>
            </w:r>
          </w:p>
        </w:tc>
        <w:tc>
          <w:tcPr>
            <w:tcW w:type="dxa" w:w="1440"/>
            <w:shd w:fill="FFDCE0" w:val="clear"/>
          </w:tcPr>
          <w:p>
            <w:r>
              <w:rPr>
                <w:b/>
                <w:color w:val="C00000"/>
                <w:sz w:val="17"/>
              </w:rPr>
              <w:t>-6.4%</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7,702</w:t>
            </w:r>
          </w:p>
        </w:tc>
        <w:tc>
          <w:tcPr>
            <w:tcW w:type="dxa" w:w="1440"/>
            <w:shd w:fill="FFDCE0" w:val="clear"/>
          </w:tcPr>
          <w:p>
            <w:r>
              <w:rPr>
                <w:b/>
                <w:sz w:val="17"/>
              </w:rPr>
              <w:t>9,088</w:t>
            </w:r>
          </w:p>
        </w:tc>
        <w:tc>
          <w:tcPr>
            <w:tcW w:type="dxa" w:w="1440"/>
            <w:shd w:fill="FFDCE0" w:val="clear"/>
          </w:tcPr>
          <w:p>
            <w:r>
              <w:rPr>
                <w:sz w:val="17"/>
              </w:rPr>
              <w:t>10,473</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1er septembre 2026**</w:t>
        <w:br/>
        <w:t>**Cours de référence : 9,750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249.19 milliards FCFA, un niveau qui la positionne parmi les valeurs moyennes à grandes capitalisations de la BRVM, lui conférant une liquidité et une visibilité notables. Avec un BPA de 977 FCFA, chaque action génère un bénéfice substantiel, justifiant un PER de 10.0x. Ce ratio est dans la fourchette basse de la moyenne historique de la BRVM (8-12x), indiquant que le marché valorise la société à un niveau raisonnable, sans prime excessive, et potentiellement en dessous de sa croissance récente. Le P/B de 1.81x suggère que le marché valorise les capitaux propres à près du double de leur valeur comptable, ce qui est sain pour une entreprise affichant un ROE de 18%. Enfin, un EV/EBITDA de 6.0x est attractif, signalant que la valeur totale de l'entreprise (dette incluse) reste modérée par rapport à sa capacité à générer du cash-flow opérationnel, renforçant l'idée d'une valorisation raisonnable.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performance spectaculaire de +38.40%, avec une dernière séance en hausse de +2.63% à 9,750 FCFA, son plus haut niveau sur la période. Le titre a évolué dans une fourchette large de 6,720 à 9,750 FCFA, démontrant une tendance haussière soutenue et un momentum puissant. La moyenne (7,611 FCFA) étant supérieure à la médiane (7,500 FCFA), la distribution des prix est légèrement asymétrique, ce qui est confirmé par un skewness positif de 1.683, indiquant que le cours a passé plus de temps sous sa moyenne avant de connaître des poussées haussières récentes. L'écart-type de 667 FCFA (CV de 8.8%) montre une dispersion modérée autour de la moyenne, mais le kurtosis élevé (2.569) signale un risque de mouvements extrêmes, comme en témoigne la récente accélération. La volatilité annualisée de 39.5% classe le titre comme très volatil, un niveau élevé qui reflète à la fois le rallye récent et la sensibilité aux fondamentaux du secteur.</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de 9,750 FCFA est nettement au-dessus de la MM20 (8,587.75 FCFA) et de la MM50 (7,993.6 FCFA). Cette configuration haussière, où les moyennes à court terme sont au-dessus des moyennes à long terme, confirme une tendance positive solide. La décision "Achat" est justifiée par la dynamique actuelle, le cours évoluant dans une phase d'accélération.</w:t>
      </w:r>
    </w:p>
    <w:p>
      <w:pPr>
        <w:spacing w:after="120" w:line="276" w:lineRule="auto"/>
      </w:pPr>
      <w:r>
        <w:t>**Bandes de Bollinger:** Le cours se situe à 9,750 FCFA, proche de la borne supérieure (10,230.93 FCFA), ce qui témoigne d'une pression acheteuse intense. L'écart entre les bornes (6944.57 et 10230.93) est large, reflétant la volatilité élevée. La décision "Neutre" est prudente, car une cassure au-dessus de la borne supérieure pourrait indiquer une poursuite du mouvement, mais un retour vers la moyenne (MM20) est également possible après une telle extension.</w:t>
      </w:r>
    </w:p>
    <w:p>
      <w:pPr>
        <w:spacing w:after="120" w:line="276" w:lineRule="auto"/>
      </w:pPr>
      <w:r>
        <w:t>**MACD:** Le MACD (516.24) est nettement au-dessus de sa ligne de signal (421.22), et les deux sont en territoire positif. Cette divergence positive indique un momentum haussier robuste et une accélération de la tendance. La décision "Achat" est cohérente avec cette configuration, qui suggère que la pression acheteuse reste dominante à moyen terme.</w:t>
      </w:r>
    </w:p>
    <w:p>
      <w:pPr>
        <w:spacing w:after="120" w:line="276" w:lineRule="auto"/>
      </w:pPr>
      <w:r>
        <w:t>**RSI:** Le RSI est à 74.15, une valeur qui entre en zone de surachat (&gt;70). Cela signifie que le titre a fortement monté sur une courte période et qu'il est statistiquement "surchauffé". La décision "Vente" est un signal de prudence, indiquant un risque élevé de correction technique ou de consolidation à court terme pour "digérer" ces gains.</w:t>
      </w:r>
    </w:p>
    <w:p>
      <w:pPr>
        <w:spacing w:after="120" w:line="276" w:lineRule="auto"/>
      </w:pPr>
      <w:r>
        <w:t>**Stochastique:** Le %K (100.0) et le %D (94.04) sont à des niveaux extrêmes de surachat, confirmant la vigueur du mouvement haussier. Cependant, un tel niveau indique que le marché est survendu à la hausse et qu'un croisement baissier du %K sous le %D pourrait déclencher un signal de vente. La décision "Vente" est donc un avertissement sur la viabilité à très court terme de ce rythme de progression.</w:t>
      </w:r>
    </w:p>
    <w:p>
      <w:pPr>
        <w:spacing w:after="120" w:line="276" w:lineRule="auto"/>
      </w:pPr>
      <w:r>
        <w:t>**Conclusion technique :** Les indicateurs de tendance (MM, MACD) sont résolument positifs et confirment une dynamique haussière de fond. En revanche, les oscillateurs (RSI, Stochastique) sont en zone de surachat extrême, signalant une faiblesse technique imminente à très court terme. Cette divergence suggère qu'un repli technique ou une phase de consolidation est probable avant la poursuite de la tendance haussière de moyen terme.</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une performance financière remarquable. Selon les données structurées, le chiffre d'affaires s'établit à 340.831 milliards FCFA, en hausse de 22% par rapport à 2024, pour un résultat net de 24.972 milliards FCFA, soit une progression de 32.9%. Cette croissance s'accompagne d'une excellente rentabilité, avec un ROE de 18.1% et un ROA de 11.1%. La marge opérationnelle de 11.2% et la marge nette de 7.3% démontrent une bonne maîtrise des coûts. La structure financière est saine avec un ratio d'endettement modéré de 25.8% et une autonomie financière de 61.1%. Le BFR de 65.389 milliards FCFA est un point de vigilance, typique du secteur, nécessitant une gestion rigoureuse du cycle d'exploitation (délai clients de 35 jours et stockage de 72 jours). Les rapports trimestriels de 2025 confirment cette dynamique : le T1 2025 affichait un CA de 94.3 milliards (+72%) et un résultat net de 11.8 milliards, le S1 2025 un CA de 171.4 milliards (+51%) et un résultat net de 18.1 milliards, et le T3 2025 un CA cumulé de 253.7 milliards (+36%) et un résultat net de 23.15 milliards. Sur la base de ces tendances, l'exercice 2025 s'est avéré exceptionnel. Cependant, le rapport du T1 2026 (daté de 2026) montre un net ralentissement avec un CA de 71.8 milliards (-24%) et un résultat net de 2.6 milliards (-78%), pénalisé par la chute des cours mondiaux du caoutchouc. Cette contre-performance récente, bien que préoccupante, doit être mise en perspective avec la solidité du bilan et la politique de dividende attractive (489 FCFA par action proposé en 2026 pour l'exercice 2025). La recommandation fondamentale est de CONSERVER, la société restant structurellement solide mais confrontée à un environnement de prix moins porteur.</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contrasté pour SPHC. La valorisation (Partie 0) est raisonnable (PER 10x, EV/EBITDA 6x), ne signalant ni sous-évaluation majeure ni bulle spéculative. Le comportement du cours (Partie 1) est extrêmement positif sur le long terme (+38.4% en 100 jours), mais la forte volatilité (39.5%) et le skewness positif indiquent un risque de retournement. Les signaux techniques (Partie 2) sont en divergence : la tendance de fond (MM, MACD) est haussière, mais les oscillateurs (RSI, Stochastique) sont en surachat extrême, suggérant une correction à court terme. Les fondamentaux (Partie 3) sont robustes pour 2025 (ROE 18.1%), mais les estimations pour 2026, basées sur le T1 2026 (-78% de résultat net), sont nettement moins favorables. Enfin, les prédictions IA pour les 10 prochains jours (de 9,464 à 9,290 FCFA) anticipent un repli d'environ 5%, corroborant les signaux de surachat technique et la prudence liée au ralentissement fondamental. En conclusion, la convergence des signaux techniques de court terme et des prédictions IA vers une baisse, couplée à des perspectives fondamentales 2026 en berne, justifie une recommandation de **CONSERVER** avec une vision de moyen terme. Le niveau de confiance est **Moyen**, car la tendance de fond reste positive, mais le risque global est **Élevé** en raison de la volatilité et de l'incertitude sur les cours du caoutchouc. L'horizon d'investissement optimal serait de **moyen terme (3-12 mois)** pour laisser passer la phase de consolidation technique et observer une stabilisation des résultats trimestriels avant d'envisager un renforcement de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38.04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6,149 titres</w:t>
            </w:r>
          </w:p>
        </w:tc>
        <w:tc>
          <w:tcPr>
            <w:tcW w:type="dxa" w:w="2268"/>
            <w:shd w:fill="FFF2CC" w:val="clear"/>
          </w:tcPr>
          <w:p>
            <w:r>
              <w:rPr>
                <w:b/>
                <w:color w:val="503200"/>
                <w:sz w:val="16"/>
              </w:rPr>
              <w:t xml:space="preserve">Cours actuel : </w:t>
            </w:r>
            <w:r>
              <w:rPr>
                <w:color w:val="000000"/>
                <w:sz w:val="17"/>
              </w:rPr>
              <w:t>2,830 FCFA</w:t>
            </w:r>
          </w:p>
          <w:p>
            <w:r>
              <w:rPr>
                <w:b/>
                <w:color w:val="503200"/>
                <w:sz w:val="16"/>
              </w:rPr>
              <w:t xml:space="preserve">Var. 100 jours : </w:t>
            </w:r>
            <w:r>
              <w:rPr>
                <w:b/>
                <w:color w:val="B40000"/>
                <w:sz w:val="17"/>
              </w:rPr>
              <w:t>-21.93%</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11.25% (Moyenne) — μ=3,022 FCFA, σ=340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β=-0.5309 (Contre-cyclique) — Cov=-0.000019, Var(idx)=0.000037, ρ=-0.082,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σ_j=3.92%/j (Modérée) — Vol. annualisée≈62.3%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2026-09-02</w:t>
            </w:r>
          </w:p>
        </w:tc>
        <w:tc>
          <w:tcPr>
            <w:tcW w:type="dxa" w:w="1440"/>
            <w:shd w:fill="FFDCE0" w:val="clear"/>
          </w:tcPr>
          <w:p>
            <w:r>
              <w:rPr>
                <w:sz w:val="17"/>
              </w:rPr>
              <w:t>2,561</w:t>
            </w:r>
          </w:p>
        </w:tc>
        <w:tc>
          <w:tcPr>
            <w:tcW w:type="dxa" w:w="1440"/>
            <w:shd w:fill="FFDCE0" w:val="clear"/>
          </w:tcPr>
          <w:p>
            <w:r>
              <w:rPr>
                <w:b/>
                <w:sz w:val="17"/>
              </w:rPr>
              <w:t>2,689</w:t>
            </w:r>
          </w:p>
        </w:tc>
        <w:tc>
          <w:tcPr>
            <w:tcW w:type="dxa" w:w="1440"/>
            <w:shd w:fill="FFDCE0" w:val="clear"/>
          </w:tcPr>
          <w:p>
            <w:r>
              <w:rPr>
                <w:sz w:val="17"/>
              </w:rPr>
              <w:t>2,818</w:t>
            </w:r>
          </w:p>
        </w:tc>
        <w:tc>
          <w:tcPr>
            <w:tcW w:type="dxa" w:w="1440"/>
            <w:shd w:fill="FFDCE0" w:val="clear"/>
          </w:tcPr>
          <w:p>
            <w:r>
              <w:rPr>
                <w:b/>
                <w:color w:val="C00000"/>
                <w:sz w:val="17"/>
              </w:rPr>
              <w:t>-5.0%</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2,369</w:t>
            </w:r>
          </w:p>
        </w:tc>
        <w:tc>
          <w:tcPr>
            <w:tcW w:type="dxa" w:w="1440"/>
            <w:shd w:fill="FFDCE0" w:val="clear"/>
          </w:tcPr>
          <w:p>
            <w:r>
              <w:rPr>
                <w:b/>
                <w:sz w:val="17"/>
              </w:rPr>
              <w:t>2,541</w:t>
            </w:r>
          </w:p>
        </w:tc>
        <w:tc>
          <w:tcPr>
            <w:tcW w:type="dxa" w:w="1440"/>
            <w:shd w:fill="FFDCE0" w:val="clear"/>
          </w:tcPr>
          <w:p>
            <w:r>
              <w:rPr>
                <w:sz w:val="17"/>
              </w:rPr>
              <w:t>2,713</w:t>
            </w:r>
          </w:p>
        </w:tc>
        <w:tc>
          <w:tcPr>
            <w:tcW w:type="dxa" w:w="1440"/>
            <w:shd w:fill="FFDCE0" w:val="clear"/>
          </w:tcPr>
          <w:p>
            <w:r>
              <w:rPr>
                <w:b/>
                <w:color w:val="C00000"/>
                <w:sz w:val="17"/>
              </w:rPr>
              <w:t>-10.2%</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2,161</w:t>
            </w:r>
          </w:p>
        </w:tc>
        <w:tc>
          <w:tcPr>
            <w:tcW w:type="dxa" w:w="1440"/>
            <w:shd w:fill="FFDCE0" w:val="clear"/>
          </w:tcPr>
          <w:p>
            <w:r>
              <w:rPr>
                <w:b/>
                <w:sz w:val="17"/>
              </w:rPr>
              <w:t>2,356</w:t>
            </w:r>
          </w:p>
        </w:tc>
        <w:tc>
          <w:tcPr>
            <w:tcW w:type="dxa" w:w="1440"/>
            <w:shd w:fill="FFDCE0" w:val="clear"/>
          </w:tcPr>
          <w:p>
            <w:r>
              <w:rPr>
                <w:sz w:val="17"/>
              </w:rPr>
              <w:t>2,551</w:t>
            </w:r>
          </w:p>
        </w:tc>
        <w:tc>
          <w:tcPr>
            <w:tcW w:type="dxa" w:w="1440"/>
            <w:shd w:fill="FFDCE0" w:val="clear"/>
          </w:tcPr>
          <w:p>
            <w:r>
              <w:rPr>
                <w:b/>
                <w:color w:val="C00000"/>
                <w:sz w:val="17"/>
              </w:rPr>
              <w:t>-16.7%</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1,971</w:t>
            </w:r>
          </w:p>
        </w:tc>
        <w:tc>
          <w:tcPr>
            <w:tcW w:type="dxa" w:w="1440"/>
            <w:shd w:fill="FFDCE0" w:val="clear"/>
          </w:tcPr>
          <w:p>
            <w:r>
              <w:rPr>
                <w:b/>
                <w:sz w:val="17"/>
              </w:rPr>
              <w:t>2,180</w:t>
            </w:r>
          </w:p>
        </w:tc>
        <w:tc>
          <w:tcPr>
            <w:tcW w:type="dxa" w:w="1440"/>
            <w:shd w:fill="FFDCE0" w:val="clear"/>
          </w:tcPr>
          <w:p>
            <w:r>
              <w:rPr>
                <w:sz w:val="17"/>
              </w:rPr>
              <w:t>2,388</w:t>
            </w:r>
          </w:p>
        </w:tc>
        <w:tc>
          <w:tcPr>
            <w:tcW w:type="dxa" w:w="1440"/>
            <w:shd w:fill="FFDCE0" w:val="clear"/>
          </w:tcPr>
          <w:p>
            <w:r>
              <w:rPr>
                <w:b/>
                <w:color w:val="C00000"/>
                <w:sz w:val="17"/>
              </w:rPr>
              <w:t>-23.0%</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1,813</w:t>
            </w:r>
          </w:p>
        </w:tc>
        <w:tc>
          <w:tcPr>
            <w:tcW w:type="dxa" w:w="1440"/>
            <w:shd w:fill="FFDCE0" w:val="clear"/>
          </w:tcPr>
          <w:p>
            <w:r>
              <w:rPr>
                <w:b/>
                <w:sz w:val="17"/>
              </w:rPr>
              <w:t>2,030</w:t>
            </w:r>
          </w:p>
        </w:tc>
        <w:tc>
          <w:tcPr>
            <w:tcW w:type="dxa" w:w="1440"/>
            <w:shd w:fill="FFDCE0" w:val="clear"/>
          </w:tcPr>
          <w:p>
            <w:r>
              <w:rPr>
                <w:sz w:val="17"/>
              </w:rPr>
              <w:t>2,247</w:t>
            </w:r>
          </w:p>
        </w:tc>
        <w:tc>
          <w:tcPr>
            <w:tcW w:type="dxa" w:w="1440"/>
            <w:shd w:fill="FFDCE0" w:val="clear"/>
          </w:tcPr>
          <w:p>
            <w:r>
              <w:rPr>
                <w:b/>
                <w:color w:val="C00000"/>
                <w:sz w:val="17"/>
              </w:rPr>
              <w:t>-28.3%</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1,685</w:t>
            </w:r>
          </w:p>
        </w:tc>
        <w:tc>
          <w:tcPr>
            <w:tcW w:type="dxa" w:w="1440"/>
            <w:shd w:fill="FFDCE0" w:val="clear"/>
          </w:tcPr>
          <w:p>
            <w:r>
              <w:rPr>
                <w:b/>
                <w:sz w:val="17"/>
              </w:rPr>
              <w:t>1,909</w:t>
            </w:r>
          </w:p>
        </w:tc>
        <w:tc>
          <w:tcPr>
            <w:tcW w:type="dxa" w:w="1440"/>
            <w:shd w:fill="FFDCE0" w:val="clear"/>
          </w:tcPr>
          <w:p>
            <w:r>
              <w:rPr>
                <w:sz w:val="17"/>
              </w:rPr>
              <w:t>2,132</w:t>
            </w:r>
          </w:p>
        </w:tc>
        <w:tc>
          <w:tcPr>
            <w:tcW w:type="dxa" w:w="1440"/>
            <w:shd w:fill="FFDCE0" w:val="clear"/>
          </w:tcPr>
          <w:p>
            <w:r>
              <w:rPr>
                <w:b/>
                <w:color w:val="C00000"/>
                <w:sz w:val="17"/>
              </w:rPr>
              <w:t>-32.5%</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1,584</w:t>
            </w:r>
          </w:p>
        </w:tc>
        <w:tc>
          <w:tcPr>
            <w:tcW w:type="dxa" w:w="1440"/>
            <w:shd w:fill="FFDCE0" w:val="clear"/>
          </w:tcPr>
          <w:p>
            <w:r>
              <w:rPr>
                <w:b/>
                <w:sz w:val="17"/>
              </w:rPr>
              <w:t>1,814</w:t>
            </w:r>
          </w:p>
        </w:tc>
        <w:tc>
          <w:tcPr>
            <w:tcW w:type="dxa" w:w="1440"/>
            <w:shd w:fill="FFDCE0" w:val="clear"/>
          </w:tcPr>
          <w:p>
            <w:r>
              <w:rPr>
                <w:sz w:val="17"/>
              </w:rPr>
              <w:t>2,043</w:t>
            </w:r>
          </w:p>
        </w:tc>
        <w:tc>
          <w:tcPr>
            <w:tcW w:type="dxa" w:w="1440"/>
            <w:shd w:fill="FFDCE0" w:val="clear"/>
          </w:tcPr>
          <w:p>
            <w:r>
              <w:rPr>
                <w:b/>
                <w:color w:val="C00000"/>
                <w:sz w:val="17"/>
              </w:rPr>
              <w:t>-35.9%</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1,504</w:t>
            </w:r>
          </w:p>
        </w:tc>
        <w:tc>
          <w:tcPr>
            <w:tcW w:type="dxa" w:w="1440"/>
            <w:shd w:fill="FFDCE0" w:val="clear"/>
          </w:tcPr>
          <w:p>
            <w:r>
              <w:rPr>
                <w:b/>
                <w:sz w:val="17"/>
              </w:rPr>
              <w:t>1,739</w:t>
            </w:r>
          </w:p>
        </w:tc>
        <w:tc>
          <w:tcPr>
            <w:tcW w:type="dxa" w:w="1440"/>
            <w:shd w:fill="FFDCE0" w:val="clear"/>
          </w:tcPr>
          <w:p>
            <w:r>
              <w:rPr>
                <w:sz w:val="17"/>
              </w:rPr>
              <w:t>1,974</w:t>
            </w:r>
          </w:p>
        </w:tc>
        <w:tc>
          <w:tcPr>
            <w:tcW w:type="dxa" w:w="1440"/>
            <w:shd w:fill="FFDCE0" w:val="clear"/>
          </w:tcPr>
          <w:p>
            <w:r>
              <w:rPr>
                <w:b/>
                <w:color w:val="C00000"/>
                <w:sz w:val="17"/>
              </w:rPr>
              <w:t>-38.6%</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1,438</w:t>
            </w:r>
          </w:p>
        </w:tc>
        <w:tc>
          <w:tcPr>
            <w:tcW w:type="dxa" w:w="1440"/>
            <w:shd w:fill="FFDCE0" w:val="clear"/>
          </w:tcPr>
          <w:p>
            <w:r>
              <w:rPr>
                <w:b/>
                <w:sz w:val="17"/>
              </w:rPr>
              <w:t>1,678</w:t>
            </w:r>
          </w:p>
        </w:tc>
        <w:tc>
          <w:tcPr>
            <w:tcW w:type="dxa" w:w="1440"/>
            <w:shd w:fill="FFDCE0" w:val="clear"/>
          </w:tcPr>
          <w:p>
            <w:r>
              <w:rPr>
                <w:sz w:val="17"/>
              </w:rPr>
              <w:t>1,919</w:t>
            </w:r>
          </w:p>
        </w:tc>
        <w:tc>
          <w:tcPr>
            <w:tcW w:type="dxa" w:w="1440"/>
            <w:shd w:fill="FFDCE0" w:val="clear"/>
          </w:tcPr>
          <w:p>
            <w:r>
              <w:rPr>
                <w:b/>
                <w:color w:val="C00000"/>
                <w:sz w:val="17"/>
              </w:rPr>
              <w:t>-40.7%</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1,382</w:t>
            </w:r>
          </w:p>
        </w:tc>
        <w:tc>
          <w:tcPr>
            <w:tcW w:type="dxa" w:w="1440"/>
            <w:shd w:fill="FFDCE0" w:val="clear"/>
          </w:tcPr>
          <w:p>
            <w:r>
              <w:rPr>
                <w:b/>
                <w:sz w:val="17"/>
              </w:rPr>
              <w:t>1,629</w:t>
            </w:r>
          </w:p>
        </w:tc>
        <w:tc>
          <w:tcPr>
            <w:tcW w:type="dxa" w:w="1440"/>
            <w:shd w:fill="FFDCE0" w:val="clear"/>
          </w:tcPr>
          <w:p>
            <w:r>
              <w:rPr>
                <w:sz w:val="17"/>
              </w:rPr>
              <w:t>1,875</w:t>
            </w:r>
          </w:p>
        </w:tc>
        <w:tc>
          <w:tcPr>
            <w:tcW w:type="dxa" w:w="1440"/>
            <w:shd w:fill="FFDCE0" w:val="clear"/>
          </w:tcPr>
          <w:p>
            <w:r>
              <w:rPr>
                <w:b/>
                <w:color w:val="C00000"/>
                <w:sz w:val="17"/>
              </w:rPr>
              <w:t>-42.4%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**Marché :** BRVM | **Date de l'analyse :** 01 Septembre 2026</w:t>
        <w:br/>
        <w:t>**Cours de référence :** 2 830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38,04 milliards FCFA, un niveau élevé pour une société de cette taille sur la BRVM, reflétant une perception spéculative du marché. Le BPA est négatif à -7 FCFA, ce qui rend le PER non significatif (-393,9x), indiquant que les investisseurs paient pour une perte comptable. Le P/B est extrêmement élevé à 106,62x, très au-dessus de la référence de 4x, signifiant que le marché valorise l'actif net à une prime démesurée par rapport à sa valeur comptable (356,75 millions FCFA). En l'absence d'EBITDA positif, le ratio EV/EBITDA est non calculable, confirmant que la valorisation actuelle est basée sur des anticipations de redressement futur et non sur les fondamentaux présents. Cette situation traduit une décote de sécurité quasi inexistante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subi une forte dépréciation de -21,93%, passant sous son cours actuel de 2 830 FCFA, bien que la dernière séance ait rebondi de +3,28%. Le titre a évolué dans une fourchette large de 2 515 FCFA (plus bas) à 3 895 FCFA (plus haut), illustrant une forte amplitude de trading. La moyenne (3 022 FCFA) est supérieure à la médiane (2 985 FCFA), suggérant une distribution légèrement asymétrique à gauche, mais le skewness positif (0,455) indique une queue de distribution vers les fortes hausses. L'écart-type de 342 FCFA (CV=11,3%) montre une dispersion modérée autour de la moyenne. Le kurtosis négatif (-0,862) indique une distribution mésokurtique, avec un risque de mouvements extrêmes moins prononcé que la normale. La volatilité annualisée de 62,3% est extrêmement élevée, classant STAC comme un actif à très haut risque, bien au-delà du seuil de 30%.</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(2 830 FCFA) est supérieur à la MM20 (2 642,75 FCFA) mais inférieur à la MM50 (2 980,5 FCFA). Cette configuration en "croix de la mort" à court terme suggère une dynamique baissière persistante sur le moyen terme, justifiant la décision de Vente malgré le rebond récent.</w:t>
      </w:r>
    </w:p>
    <w:p>
      <w:pPr>
        <w:spacing w:after="120" w:line="276" w:lineRule="auto"/>
      </w:pPr>
      <w:r>
        <w:t>**Bandes de Bollinger :** Le prix se situe à la borne supérieure (2 829,48 FCFA), après avoir touché la borne inférieure (2 456,02 FCFA) récemment. Cette remontée rapide indique une volatilité extrême et un possible retournement technique, mais la décision reste à Vente car le titre évolue dans une tendance globale baissière.</w:t>
      </w:r>
    </w:p>
    <w:p>
      <w:pPr>
        <w:spacing w:after="120" w:line="276" w:lineRule="auto"/>
      </w:pPr>
      <w:r>
        <w:t>**MACD :** La valeur du MACD (-70,405) est supérieure à son signal (-113,196), formant un croisement haussier. Ce signal d'Achat suggère un ralentissement de la dynamique baissière et un potentiel de rebond technique à court terme, malgré la tendance de fond négative.</w:t>
      </w:r>
    </w:p>
    <w:p>
      <w:pPr>
        <w:spacing w:after="120" w:line="276" w:lineRule="auto"/>
      </w:pPr>
      <w:r>
        <w:t>**RSI :** À 67,857, le RSI est en zone neutre, proche du seuil de surachat (70). Cela indique que le titre a fortement rebondi récemment et pourrait atteindre une zone de résistance, justifiant une position Neutre en attendant une direction plus claire.</w:t>
      </w:r>
    </w:p>
    <w:p>
      <w:pPr>
        <w:spacing w:after="120" w:line="276" w:lineRule="auto"/>
      </w:pPr>
      <w:r>
        <w:t>**Stochastique :** Le %K à 100 et le %D à 83,333 sont en zone de surachat extrême. Ce niveau signale un épuisement potentiel du mouvement haussier à très court terme, avec un risque élevé de retournement baissier, justifiant la décision de Vente.</w:t>
      </w:r>
    </w:p>
    <w:p>
      <w:pPr>
        <w:spacing w:after="120" w:line="276" w:lineRule="auto"/>
      </w:pPr>
      <w:r>
        <w:t>**Conclusion technique :** Les indicateurs sont mitigés : le MACD et le RSI suggèrent un momentum positif à court terme, mais les moyennes mobiles, les bandes de Bollinger et le stochastique en surachat indiquent une tendance baissière sous-jacente et un risque de correction. Le signal global reste Vente, avec une prudence accrue pour les prochaines séances.</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STAC révèlent une situation critique : le chiffre d'affaires s'établit à 3,878 milliards FCFA, mais le résultat net est une perte de -96,56 millions FCFA, avec un ROE de -27,07% et un ROA de -1,77%. La marge opérationnelle est profondément négative à -19,90%, et l'EBE est déficitaire de -650,13 millions FCFA. Le BFR est négatif à -930,47 millions FCFA, ce qui est un point positif pour une entreprise, indiquant que les fournisseurs financent l'exploitation. Cependant, le ratio d'endettement est alarmant à 93,45%, et l'autonomie financière est très faible à 6,55%, signifiant une dépendance quasi totale aux dettes. Les rapports trimestriels de 2025 montrent une amélioration progressive : le S1 2025 affiche un CA de 2,271 milliards FCFA (+290% vs S1 2024), mais une perte nette de -557 millions FCFA. Le cumul 9 mois 2025 atteint 3,456 milliards FCFA (+176%), avec une perte réduite à -477 millions FCFA, grâce à une meilleure maîtrise des coûts opérationnels (-456 millions FCFA de perte d'exploitation vs -921 millions en 2024). Sur la base de ces tendances, on estime que l'exercice 2025 devrait générer un CA proche de 4 milliards FCFA, mais la rentabilité nette restera négative, autour de -500 millions FCFA. Les rapports historiques (2020-2021) montrent que la société était rentable (marge nette de 14,6% en 2020), mais la chute du CA en 2023-2024 (-80,6%) a détruit la valeur. La dépendance au projet de l'aéroport d'Abidjan est un facteur de risque majeur, et la trésorerie nette positive de 1,330 milliard FCFA est le seul rempart contre une cessation de paiement.</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surévaluée (P/B &gt; 100x) malgré des pertes récurrentes, indiquant une prime spéculative injustifiée par les fondamentaux. Le comportement du cours est baissier sur 100 jours (-21,93%) avec une volatilité annualisée de 62,3%, reflétant une instabilité préoccupante et des statistiques (kurtosis et skewness) montrant un risque de mouvements brusques. Les signaux techniques sont divergents : un momentum haussier à court terme (MACD, RSI) contredit une tendance de fond baissière (MM, Bollinger, Stochastique). Fondamentalement, la société est structurellement déficitaire, avec un ROE négatif de -27%, et ne survit que grâce à sa trésorerie et au projet aéroportuaire. Les prédictions IA (J+1 à J+10) anticipent une chute brutale du cours à 2 030 FCFA, confirmant les risques techniques et fondamentaux. En synthèse, la convergence des signaux (surévaluation, pertes, tendance baissière, prédictions négatives) justifie une **recommandation VENTE FORTE**, avec un niveau de confiance **Élevé** et un risque global **Élevé**. L'horizon d'investissement optimal est le **court terme (&lt; 3 mois)** pour les investisseurs cherchant à sortir, tandis que les spéculateurs devraient éviter ce titre très risqué.</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402.19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3,678 titres</w:t>
            </w:r>
          </w:p>
        </w:tc>
        <w:tc>
          <w:tcPr>
            <w:tcW w:type="dxa" w:w="2268"/>
            <w:shd w:fill="FFF2CC" w:val="clear"/>
          </w:tcPr>
          <w:p>
            <w:r>
              <w:rPr>
                <w:b/>
                <w:color w:val="503200"/>
                <w:sz w:val="16"/>
              </w:rPr>
              <w:t xml:space="preserve">Cours actuel : </w:t>
            </w:r>
            <w:r>
              <w:rPr>
                <w:color w:val="000000"/>
                <w:sz w:val="17"/>
              </w:rPr>
              <w:t>22,400 FCFA</w:t>
            </w:r>
          </w:p>
          <w:p>
            <w:r>
              <w:rPr>
                <w:b/>
                <w:color w:val="503200"/>
                <w:sz w:val="16"/>
              </w:rPr>
              <w:t xml:space="preserve">Var. 100 jours : </w:t>
            </w:r>
            <w:r>
              <w:rPr>
                <w:b/>
                <w:color w:val="007800"/>
                <w:sz w:val="17"/>
              </w:rPr>
              <w:t>+4.67%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6.13% (Moyenne) — μ=22,308 FCFA, σ=1,367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β=0.4383 (Défensif) — Cov=0.000016, Var(idx)=0.000037, ρ=0.116,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9862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21,696</w:t>
            </w:r>
          </w:p>
        </w:tc>
        <w:tc>
          <w:tcPr>
            <w:tcW w:type="dxa" w:w="1440"/>
            <w:shd w:fill="FAFAFA" w:val="clear"/>
          </w:tcPr>
          <w:p>
            <w:r>
              <w:rPr>
                <w:b/>
                <w:sz w:val="17"/>
              </w:rPr>
              <w:t>22,783</w:t>
            </w:r>
          </w:p>
        </w:tc>
        <w:tc>
          <w:tcPr>
            <w:tcW w:type="dxa" w:w="1440"/>
            <w:shd w:fill="FAFAFA" w:val="clear"/>
          </w:tcPr>
          <w:p>
            <w:r>
              <w:rPr>
                <w:sz w:val="17"/>
              </w:rPr>
              <w:t>23,870</w:t>
            </w:r>
          </w:p>
        </w:tc>
        <w:tc>
          <w:tcPr>
            <w:tcW w:type="dxa" w:w="1440"/>
            <w:shd w:fill="FAFAFA" w:val="clear"/>
          </w:tcPr>
          <w:p>
            <w:r>
              <w:rPr>
                <w:b/>
                <w:color w:val="008000"/>
                <w:sz w:val="17"/>
              </w:rPr>
              <w:t>+1.7%</w:t>
            </w:r>
          </w:p>
        </w:tc>
      </w:tr>
      <w:tr>
        <w:tc>
          <w:tcPr>
            <w:tcW w:type="dxa" w:w="1440"/>
            <w:shd w:fill="C6EFCE" w:val="clear"/>
          </w:tcPr>
          <w:p>
            <w:r>
              <w:rPr>
                <w:sz w:val="17"/>
              </w:rPr>
              <w:t>J+2  ⭐</w:t>
            </w:r>
          </w:p>
        </w:tc>
        <w:tc>
          <w:tcPr>
            <w:tcW w:type="dxa" w:w="1440"/>
            <w:shd w:fill="C6EFCE" w:val="clear"/>
          </w:tcPr>
          <w:p>
            <w:r>
              <w:rPr>
                <w:sz w:val="17"/>
              </w:rPr>
              <w:t>2026-09-03</w:t>
            </w:r>
          </w:p>
        </w:tc>
        <w:tc>
          <w:tcPr>
            <w:tcW w:type="dxa" w:w="1440"/>
            <w:shd w:fill="C6EFCE" w:val="clear"/>
          </w:tcPr>
          <w:p>
            <w:r>
              <w:rPr>
                <w:sz w:val="17"/>
              </w:rPr>
              <w:t>21,424</w:t>
            </w:r>
          </w:p>
        </w:tc>
        <w:tc>
          <w:tcPr>
            <w:tcW w:type="dxa" w:w="1440"/>
            <w:shd w:fill="C6EFCE" w:val="clear"/>
          </w:tcPr>
          <w:p>
            <w:r>
              <w:rPr>
                <w:b/>
                <w:sz w:val="17"/>
              </w:rPr>
              <w:t>22,973</w:t>
            </w:r>
          </w:p>
        </w:tc>
        <w:tc>
          <w:tcPr>
            <w:tcW w:type="dxa" w:w="1440"/>
            <w:shd w:fill="C6EFCE" w:val="clear"/>
          </w:tcPr>
          <w:p>
            <w:r>
              <w:rPr>
                <w:sz w:val="17"/>
              </w:rPr>
              <w:t>24,523</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2026-09-04</w:t>
            </w:r>
          </w:p>
        </w:tc>
        <w:tc>
          <w:tcPr>
            <w:tcW w:type="dxa" w:w="1440"/>
            <w:shd w:fill="C6EFCE" w:val="clear"/>
          </w:tcPr>
          <w:p>
            <w:r>
              <w:rPr>
                <w:sz w:val="17"/>
              </w:rPr>
              <w:t>21,265</w:t>
            </w:r>
          </w:p>
        </w:tc>
        <w:tc>
          <w:tcPr>
            <w:tcW w:type="dxa" w:w="1440"/>
            <w:shd w:fill="C6EFCE" w:val="clear"/>
          </w:tcPr>
          <w:p>
            <w:r>
              <w:rPr>
                <w:b/>
                <w:sz w:val="17"/>
              </w:rPr>
              <w:t>23,180</w:t>
            </w:r>
          </w:p>
        </w:tc>
        <w:tc>
          <w:tcPr>
            <w:tcW w:type="dxa" w:w="1440"/>
            <w:shd w:fill="C6EFCE" w:val="clear"/>
          </w:tcPr>
          <w:p>
            <w:r>
              <w:rPr>
                <w:sz w:val="17"/>
              </w:rPr>
              <w:t>25,095</w:t>
            </w:r>
          </w:p>
        </w:tc>
        <w:tc>
          <w:tcPr>
            <w:tcW w:type="dxa" w:w="1440"/>
            <w:shd w:fill="C6EFCE" w:val="clear"/>
          </w:tcPr>
          <w:p>
            <w:r>
              <w:rPr>
                <w:b/>
                <w:color w:val="008000"/>
                <w:sz w:val="17"/>
              </w:rPr>
              <w:t>+3.5%</w:t>
            </w:r>
          </w:p>
        </w:tc>
      </w:tr>
      <w:tr>
        <w:tc>
          <w:tcPr>
            <w:tcW w:type="dxa" w:w="1440"/>
            <w:shd w:fill="C6EFCE" w:val="clear"/>
          </w:tcPr>
          <w:p>
            <w:r>
              <w:rPr>
                <w:sz w:val="17"/>
              </w:rPr>
              <w:t>J+4  ⭐</w:t>
            </w:r>
          </w:p>
        </w:tc>
        <w:tc>
          <w:tcPr>
            <w:tcW w:type="dxa" w:w="1440"/>
            <w:shd w:fill="C6EFCE" w:val="clear"/>
          </w:tcPr>
          <w:p>
            <w:r>
              <w:rPr>
                <w:sz w:val="17"/>
              </w:rPr>
              <w:t>2026-09-07</w:t>
            </w:r>
          </w:p>
        </w:tc>
        <w:tc>
          <w:tcPr>
            <w:tcW w:type="dxa" w:w="1440"/>
            <w:shd w:fill="C6EFCE" w:val="clear"/>
          </w:tcPr>
          <w:p>
            <w:r>
              <w:rPr>
                <w:sz w:val="17"/>
              </w:rPr>
              <w:t>21,164</w:t>
            </w:r>
          </w:p>
        </w:tc>
        <w:tc>
          <w:tcPr>
            <w:tcW w:type="dxa" w:w="1440"/>
            <w:shd w:fill="C6EFCE" w:val="clear"/>
          </w:tcPr>
          <w:p>
            <w:r>
              <w:rPr>
                <w:b/>
                <w:sz w:val="17"/>
              </w:rPr>
              <w:t>23,396</w:t>
            </w:r>
          </w:p>
        </w:tc>
        <w:tc>
          <w:tcPr>
            <w:tcW w:type="dxa" w:w="1440"/>
            <w:shd w:fill="C6EFCE" w:val="clear"/>
          </w:tcPr>
          <w:p>
            <w:r>
              <w:rPr>
                <w:sz w:val="17"/>
              </w:rPr>
              <w:t>25,628</w:t>
            </w:r>
          </w:p>
        </w:tc>
        <w:tc>
          <w:tcPr>
            <w:tcW w:type="dxa" w:w="1440"/>
            <w:shd w:fill="C6EFCE" w:val="clear"/>
          </w:tcPr>
          <w:p>
            <w:r>
              <w:rPr>
                <w:b/>
                <w:color w:val="008000"/>
                <w:sz w:val="17"/>
              </w:rPr>
              <w:t>+4.4%</w:t>
            </w:r>
          </w:p>
        </w:tc>
      </w:tr>
      <w:tr>
        <w:tc>
          <w:tcPr>
            <w:tcW w:type="dxa" w:w="1440"/>
            <w:shd w:fill="C6EFCE" w:val="clear"/>
          </w:tcPr>
          <w:p>
            <w:r>
              <w:rPr>
                <w:sz w:val="17"/>
              </w:rPr>
              <w:t>J+5  ⭐</w:t>
            </w:r>
          </w:p>
        </w:tc>
        <w:tc>
          <w:tcPr>
            <w:tcW w:type="dxa" w:w="1440"/>
            <w:shd w:fill="C6EFCE" w:val="clear"/>
          </w:tcPr>
          <w:p>
            <w:r>
              <w:rPr>
                <w:sz w:val="17"/>
              </w:rPr>
              <w:t>2026-09-08</w:t>
            </w:r>
          </w:p>
        </w:tc>
        <w:tc>
          <w:tcPr>
            <w:tcW w:type="dxa" w:w="1440"/>
            <w:shd w:fill="C6EFCE" w:val="clear"/>
          </w:tcPr>
          <w:p>
            <w:r>
              <w:rPr>
                <w:sz w:val="17"/>
              </w:rPr>
              <w:t>21,102</w:t>
            </w:r>
          </w:p>
        </w:tc>
        <w:tc>
          <w:tcPr>
            <w:tcW w:type="dxa" w:w="1440"/>
            <w:shd w:fill="C6EFCE" w:val="clear"/>
          </w:tcPr>
          <w:p>
            <w:r>
              <w:rPr>
                <w:b/>
                <w:sz w:val="17"/>
              </w:rPr>
              <w:t>23,621</w:t>
            </w:r>
          </w:p>
        </w:tc>
        <w:tc>
          <w:tcPr>
            <w:tcW w:type="dxa" w:w="1440"/>
            <w:shd w:fill="C6EFCE" w:val="clear"/>
          </w:tcPr>
          <w:p>
            <w:r>
              <w:rPr>
                <w:sz w:val="17"/>
              </w:rPr>
              <w:t>26,141</w:t>
            </w:r>
          </w:p>
        </w:tc>
        <w:tc>
          <w:tcPr>
            <w:tcW w:type="dxa" w:w="1440"/>
            <w:shd w:fill="C6EFCE" w:val="clear"/>
          </w:tcPr>
          <w:p>
            <w:r>
              <w:rPr>
                <w:b/>
                <w:color w:val="008000"/>
                <w:sz w:val="17"/>
              </w:rPr>
              <w:t>+5.5%</w:t>
            </w:r>
          </w:p>
        </w:tc>
      </w:tr>
      <w:tr>
        <w:tc>
          <w:tcPr>
            <w:tcW w:type="dxa" w:w="1440"/>
            <w:shd w:fill="C6EFCE" w:val="clear"/>
          </w:tcPr>
          <w:p>
            <w:r>
              <w:rPr>
                <w:sz w:val="17"/>
              </w:rPr>
              <w:t>J+6  ⭐</w:t>
            </w:r>
          </w:p>
        </w:tc>
        <w:tc>
          <w:tcPr>
            <w:tcW w:type="dxa" w:w="1440"/>
            <w:shd w:fill="C6EFCE" w:val="clear"/>
          </w:tcPr>
          <w:p>
            <w:r>
              <w:rPr>
                <w:sz w:val="17"/>
              </w:rPr>
              <w:t>2026-09-09</w:t>
            </w:r>
          </w:p>
        </w:tc>
        <w:tc>
          <w:tcPr>
            <w:tcW w:type="dxa" w:w="1440"/>
            <w:shd w:fill="C6EFCE" w:val="clear"/>
          </w:tcPr>
          <w:p>
            <w:r>
              <w:rPr>
                <w:sz w:val="17"/>
              </w:rPr>
              <w:t>21,068</w:t>
            </w:r>
          </w:p>
        </w:tc>
        <w:tc>
          <w:tcPr>
            <w:tcW w:type="dxa" w:w="1440"/>
            <w:shd w:fill="C6EFCE" w:val="clear"/>
          </w:tcPr>
          <w:p>
            <w:r>
              <w:rPr>
                <w:b/>
                <w:sz w:val="17"/>
              </w:rPr>
              <w:t>23,856</w:t>
            </w:r>
          </w:p>
        </w:tc>
        <w:tc>
          <w:tcPr>
            <w:tcW w:type="dxa" w:w="1440"/>
            <w:shd w:fill="C6EFCE" w:val="clear"/>
          </w:tcPr>
          <w:p>
            <w:r>
              <w:rPr>
                <w:sz w:val="17"/>
              </w:rPr>
              <w:t>26,643</w:t>
            </w:r>
          </w:p>
        </w:tc>
        <w:tc>
          <w:tcPr>
            <w:tcW w:type="dxa" w:w="1440"/>
            <w:shd w:fill="C6EFCE" w:val="clear"/>
          </w:tcPr>
          <w:p>
            <w:r>
              <w:rPr>
                <w:b/>
                <w:color w:val="008000"/>
                <w:sz w:val="17"/>
              </w:rPr>
              <w:t>+6.5%</w:t>
            </w:r>
          </w:p>
        </w:tc>
      </w:tr>
      <w:tr>
        <w:tc>
          <w:tcPr>
            <w:tcW w:type="dxa" w:w="1440"/>
            <w:shd w:fill="C6EFCE" w:val="clear"/>
          </w:tcPr>
          <w:p>
            <w:r>
              <w:rPr>
                <w:sz w:val="17"/>
              </w:rPr>
              <w:t>J+7  ⭐</w:t>
            </w:r>
          </w:p>
        </w:tc>
        <w:tc>
          <w:tcPr>
            <w:tcW w:type="dxa" w:w="1440"/>
            <w:shd w:fill="C6EFCE" w:val="clear"/>
          </w:tcPr>
          <w:p>
            <w:r>
              <w:rPr>
                <w:sz w:val="17"/>
              </w:rPr>
              <w:t>2026-09-10</w:t>
            </w:r>
          </w:p>
        </w:tc>
        <w:tc>
          <w:tcPr>
            <w:tcW w:type="dxa" w:w="1440"/>
            <w:shd w:fill="C6EFCE" w:val="clear"/>
          </w:tcPr>
          <w:p>
            <w:r>
              <w:rPr>
                <w:sz w:val="17"/>
              </w:rPr>
              <w:t>21,057</w:t>
            </w:r>
          </w:p>
        </w:tc>
        <w:tc>
          <w:tcPr>
            <w:tcW w:type="dxa" w:w="1440"/>
            <w:shd w:fill="C6EFCE" w:val="clear"/>
          </w:tcPr>
          <w:p>
            <w:r>
              <w:rPr>
                <w:b/>
                <w:sz w:val="17"/>
              </w:rPr>
              <w:t>24,098</w:t>
            </w:r>
          </w:p>
        </w:tc>
        <w:tc>
          <w:tcPr>
            <w:tcW w:type="dxa" w:w="1440"/>
            <w:shd w:fill="C6EFCE" w:val="clear"/>
          </w:tcPr>
          <w:p>
            <w:r>
              <w:rPr>
                <w:sz w:val="17"/>
              </w:rPr>
              <w:t>27,139</w:t>
            </w:r>
          </w:p>
        </w:tc>
        <w:tc>
          <w:tcPr>
            <w:tcW w:type="dxa" w:w="1440"/>
            <w:shd w:fill="C6EFCE" w:val="clear"/>
          </w:tcPr>
          <w:p>
            <w:r>
              <w:rPr>
                <w:b/>
                <w:color w:val="008000"/>
                <w:sz w:val="17"/>
              </w:rPr>
              <w:t>+7.6%</w:t>
            </w:r>
          </w:p>
        </w:tc>
      </w:tr>
      <w:tr>
        <w:tc>
          <w:tcPr>
            <w:tcW w:type="dxa" w:w="1440"/>
            <w:shd w:fill="C6EFCE" w:val="clear"/>
          </w:tcPr>
          <w:p>
            <w:r>
              <w:rPr>
                <w:sz w:val="17"/>
              </w:rPr>
              <w:t>J+8  ⭐</w:t>
            </w:r>
          </w:p>
        </w:tc>
        <w:tc>
          <w:tcPr>
            <w:tcW w:type="dxa" w:w="1440"/>
            <w:shd w:fill="C6EFCE" w:val="clear"/>
          </w:tcPr>
          <w:p>
            <w:r>
              <w:rPr>
                <w:sz w:val="17"/>
              </w:rPr>
              <w:t>2026-09-11</w:t>
            </w:r>
          </w:p>
        </w:tc>
        <w:tc>
          <w:tcPr>
            <w:tcW w:type="dxa" w:w="1440"/>
            <w:shd w:fill="C6EFCE" w:val="clear"/>
          </w:tcPr>
          <w:p>
            <w:r>
              <w:rPr>
                <w:sz w:val="17"/>
              </w:rPr>
              <w:t>21,063</w:t>
            </w:r>
          </w:p>
        </w:tc>
        <w:tc>
          <w:tcPr>
            <w:tcW w:type="dxa" w:w="1440"/>
            <w:shd w:fill="C6EFCE" w:val="clear"/>
          </w:tcPr>
          <w:p>
            <w:r>
              <w:rPr>
                <w:b/>
                <w:sz w:val="17"/>
              </w:rPr>
              <w:t>24,348</w:t>
            </w:r>
          </w:p>
        </w:tc>
        <w:tc>
          <w:tcPr>
            <w:tcW w:type="dxa" w:w="1440"/>
            <w:shd w:fill="C6EFCE" w:val="clear"/>
          </w:tcPr>
          <w:p>
            <w:r>
              <w:rPr>
                <w:sz w:val="17"/>
              </w:rPr>
              <w:t>27,633</w:t>
            </w:r>
          </w:p>
        </w:tc>
        <w:tc>
          <w:tcPr>
            <w:tcW w:type="dxa" w:w="1440"/>
            <w:shd w:fill="C6EFCE" w:val="clear"/>
          </w:tcPr>
          <w:p>
            <w:r>
              <w:rPr>
                <w:b/>
                <w:color w:val="008000"/>
                <w:sz w:val="17"/>
              </w:rPr>
              <w:t>+8.7%</w:t>
            </w:r>
          </w:p>
        </w:tc>
      </w:tr>
      <w:tr>
        <w:tc>
          <w:tcPr>
            <w:tcW w:type="dxa" w:w="1440"/>
            <w:shd w:fill="C6EFCE" w:val="clear"/>
          </w:tcPr>
          <w:p>
            <w:r>
              <w:rPr>
                <w:sz w:val="17"/>
              </w:rPr>
              <w:t>J+9  ⭐</w:t>
            </w:r>
          </w:p>
        </w:tc>
        <w:tc>
          <w:tcPr>
            <w:tcW w:type="dxa" w:w="1440"/>
            <w:shd w:fill="C6EFCE" w:val="clear"/>
          </w:tcPr>
          <w:p>
            <w:r>
              <w:rPr>
                <w:sz w:val="17"/>
              </w:rPr>
              <w:t>2026-09-14</w:t>
            </w:r>
          </w:p>
        </w:tc>
        <w:tc>
          <w:tcPr>
            <w:tcW w:type="dxa" w:w="1440"/>
            <w:shd w:fill="C6EFCE" w:val="clear"/>
          </w:tcPr>
          <w:p>
            <w:r>
              <w:rPr>
                <w:sz w:val="17"/>
              </w:rPr>
              <w:t>21,070</w:t>
            </w:r>
          </w:p>
        </w:tc>
        <w:tc>
          <w:tcPr>
            <w:tcW w:type="dxa" w:w="1440"/>
            <w:shd w:fill="C6EFCE" w:val="clear"/>
          </w:tcPr>
          <w:p>
            <w:r>
              <w:rPr>
                <w:b/>
                <w:sz w:val="17"/>
              </w:rPr>
              <w:t>24,588</w:t>
            </w:r>
          </w:p>
        </w:tc>
        <w:tc>
          <w:tcPr>
            <w:tcW w:type="dxa" w:w="1440"/>
            <w:shd w:fill="C6EFCE" w:val="clear"/>
          </w:tcPr>
          <w:p>
            <w:r>
              <w:rPr>
                <w:sz w:val="17"/>
              </w:rPr>
              <w:t>28,107</w:t>
            </w:r>
          </w:p>
        </w:tc>
        <w:tc>
          <w:tcPr>
            <w:tcW w:type="dxa" w:w="1440"/>
            <w:shd w:fill="C6EFCE" w:val="clear"/>
          </w:tcPr>
          <w:p>
            <w:r>
              <w:rPr>
                <w:b/>
                <w:color w:val="008000"/>
                <w:sz w:val="17"/>
              </w:rPr>
              <w:t>+9.8%</w:t>
            </w:r>
          </w:p>
        </w:tc>
      </w:tr>
      <w:tr>
        <w:tc>
          <w:tcPr>
            <w:tcW w:type="dxa" w:w="1440"/>
            <w:shd w:fill="C6EFCE" w:val="clear"/>
          </w:tcPr>
          <w:p>
            <w:r>
              <w:rPr>
                <w:sz w:val="17"/>
              </w:rPr>
              <w:t>J+10  ⭐</w:t>
            </w:r>
          </w:p>
        </w:tc>
        <w:tc>
          <w:tcPr>
            <w:tcW w:type="dxa" w:w="1440"/>
            <w:shd w:fill="C6EFCE" w:val="clear"/>
          </w:tcPr>
          <w:p>
            <w:r>
              <w:rPr>
                <w:sz w:val="17"/>
              </w:rPr>
              <w:t>2026-09-15</w:t>
            </w:r>
          </w:p>
        </w:tc>
        <w:tc>
          <w:tcPr>
            <w:tcW w:type="dxa" w:w="1440"/>
            <w:shd w:fill="C6EFCE" w:val="clear"/>
          </w:tcPr>
          <w:p>
            <w:r>
              <w:rPr>
                <w:sz w:val="17"/>
              </w:rPr>
              <w:t>21,081</w:t>
            </w:r>
          </w:p>
        </w:tc>
        <w:tc>
          <w:tcPr>
            <w:tcW w:type="dxa" w:w="1440"/>
            <w:shd w:fill="C6EFCE" w:val="clear"/>
          </w:tcPr>
          <w:p>
            <w:r>
              <w:rPr>
                <w:b/>
                <w:sz w:val="17"/>
              </w:rPr>
              <w:t>24,826</w:t>
            </w:r>
          </w:p>
        </w:tc>
        <w:tc>
          <w:tcPr>
            <w:tcW w:type="dxa" w:w="1440"/>
            <w:shd w:fill="C6EFCE" w:val="clear"/>
          </w:tcPr>
          <w:p>
            <w:r>
              <w:rPr>
                <w:sz w:val="17"/>
              </w:rPr>
              <w:t>28,570</w:t>
            </w:r>
          </w:p>
        </w:tc>
        <w:tc>
          <w:tcPr>
            <w:tcW w:type="dxa" w:w="1440"/>
            <w:shd w:fill="C6EFCE" w:val="clear"/>
          </w:tcPr>
          <w:p>
            <w:r>
              <w:rPr>
                <w:b/>
                <w:color w:val="008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br/>
        <w:t>**Date : 2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402,19 Mds FCFA positionne la STBC comme l'une des valeurs les plus significatives de la BRVM, reflétant son statut de leader sur le marché ivoirien du tabac. Avec un BPA de 2 014 FCFA, le PER de 11,1x se situe dans la fourchette haute de la moyenne BRVM (8-12x), indiquant une valorisation raisonnable mais non bradée. Le P/B de 8,87x est particulièrement exigeant, signifiant que le marché valorise fortement la société par rapport à ses capitaux propres, ce qui reflète une prime substantielle pour la qualité du modèle économique et la rentabilité exceptionnelle. Enfin, l'EV/EBITDA de 8,0x confirme une valorisation dans une zone de confort, la valeur totale de l'entreprise restant cohérente avec sa capacité opérationnelle à générer des bénéfices.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STBC affiche une progression modeste de +4,67%, avec une légère baisse de -0,44% lors de la dernière séance, s'établissant à 22 400 FCFA. Le cours a évolué dans un range de 19 705 à 25 000 FCFA, montrant une amplitude de variation significative. La moyenne (22 308 FCFA) et la médiane (22 168 FCFA) étant très proches, la distribution des prix est relativement symétrique, ce que confirme le skewness de 0,249. Le mode à 21 000 FCFA indique que le titre a fréquemment été échangé à ce niveau. L'écart-type de 1 374 FCFA (CV=6,2%) révèle une dispersion modérée autour de la moyenne. Le kurtosis de -0,967 (mésokurtique) suggère une distribution proche de la normale, sans risque de variations extrêmes. La volatilité annualisée de 36,3% est élevée (&gt;30%), indiquant un titre dynamique avec des fluctuations de prix potentiellement fortes.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(22 400 FCFA) est inférieur à la MM20 (23 229 FCFA) et à la MM50 (23 438 FCFA), signalant une tendance baissière à court et moyen terme. La décision de "Vente" est justifiée par cette configuration où le prix évolue sous ses moyennes mobiles clés, indiquant une pression vendeuse persistante.</w:t>
      </w:r>
    </w:p>
    <w:p>
      <w:pPr>
        <w:spacing w:after="120" w:line="276" w:lineRule="auto"/>
      </w:pPr>
      <w:r>
        <w:t>**Bandes de Bollinger** : Le prix se situe entre la borne inférieure (21 264 FCFA) et la borne supérieure (25 195 FCFA), plus près de la borne inférieure, ce qui suggère une volatilité modérée avec un biais baissier. La décision "Neutre" s'explique par le fait que le cours n'a pas atteint les extrêmes des bandes, laissant place à une possible poursuite de la consolidation ou un rebond.</w:t>
      </w:r>
    </w:p>
    <w:p>
      <w:pPr>
        <w:spacing w:after="120" w:line="276" w:lineRule="auto"/>
      </w:pPr>
      <w:r>
        <w:t>**MACD** : La valeur du MACD (-310,112) est inférieure à son signal (-211,679), confirmant un momentum baissier. La décision de "Vente" est cohérente avec cette divergence négative, indiquant que la dynamique des prix reste défavorable à court terme.</w:t>
      </w:r>
    </w:p>
    <w:p>
      <w:pPr>
        <w:spacing w:after="120" w:line="276" w:lineRule="auto"/>
      </w:pPr>
      <w:r>
        <w:t>**RSI** : À 45,184, le RSI se situe en zone neutre (30-70), sans signal de surachat ni de survente. La décision "Neutre" est appropriée, le marché n'étant ni survendu ni suracheté, laissant place à une évolution directionnelle sans pression extrême.</w:t>
      </w:r>
    </w:p>
    <w:p>
      <w:pPr>
        <w:spacing w:after="120" w:line="276" w:lineRule="auto"/>
      </w:pPr>
      <w:r>
        <w:t>**Stochastique** : Le %K (52,07) est supérieur au %D (46,223), suggérant un léger momentum haussier en préparation. La décision "Neutre" reflète l'absence de croisement décisif, indiquant une phase de transition potentielle.</w:t>
      </w:r>
    </w:p>
    <w:p>
      <w:pPr>
        <w:spacing w:after="120" w:line="276" w:lineRule="auto"/>
      </w:pPr>
      <w:r>
        <w:t>**Conclusion technique** : Les indicateurs techniques sont globalement partagés entre signaux de vente (MM, MACD) et positions neutres (Bollinger, RSI, Stochastique). Cette configuration suggère une phase de consolidation avec un biais baissier à court terme, mais sans signal de vente fort. Le titre pourrait trouver un support autour de 21 000-21 500 FCFA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2025**, la STBC (SITAB) a réalisé un chiffre d'affaires de 268,537 Mds FCFA, en croissance de +25,3% par rapport à 2024, démontrant une dynamique commerciale exceptionnelle. Le résultat net s'établit à 36,158 Mds FCFA, en baisse de -17,5% par rapport à 2024 (44,2 Mds), illustrant une dégradation de la rentabilité malgré la croissance des ventes. Le ROE de 79,75% reste exceptionnel (&gt;15% = excellent), tout comme le ROA de 48,09%, confirmant une utilisation très efficace des capitaux propres et des actifs. La marge nette de 13,46% et la marge opérationnelle de 17,12% montrent une pression sur les marges, principalement due à la hausse des droits d'accise (49% à 70%) et à l'augmentation des charges d'exploitation. La structure financière est saine avec une autonomie financière de 60,3% et une trésorerie nette de 30,763 Mds FCFA, sans endettement financier significatif. Le BFR négatif de 5,639 Mds FCFA est favorable, indiquant une gestion efficace du cycle d'exploitation. Le délai clients de 42,57 jours est modéré, tandis que la durée de stockage de 5,73 jours est très faible, typique d'une activité de distribution. **Sur la base des rapports trimestriels 2025 et du T1 2026**, on estime que l'exercice 2026 devrait maintenir une croissance du chiffre d'affaires, avec un CA T1 2026 en hausse de 12% à 68,8 Mds FCFA et des volumes en progression de 10%. Cependant, la pression sur les marges opérationnelles (-6% au T1 2026) suggère que la rentabilité pourrait rester sous tension. Les rapports de 2025 (datés de décembre 2025) et le rapport T1 2026 (daté de mars 2026) confirment une recommandation de "Conserver", la société devant arbitrer entre sa politique de dividende généreuse (1 940 FCFA/action proposé) et la préservation de ses équilibres financiers.</w:t>
      </w:r>
    </w:p>
    <w:p>
      <w:pPr>
        <w:spacing w:after="120" w:line="276" w:lineRule="auto"/>
      </w:pPr>
      <w:r>
        <w:t>---</w:t>
      </w:r>
    </w:p>
    <w:p>
      <w:pPr>
        <w:spacing w:after="120" w:line="276" w:lineRule="auto"/>
      </w:pPr>
      <w:r>
        <w:t>### PARTIE 4 : CONCLUSION D'INVESTISSEMENT</w:t>
      </w:r>
    </w:p>
    <w:p>
      <w:pPr>
        <w:spacing w:after="120" w:line="276" w:lineRule="auto"/>
      </w:pPr>
      <w:r>
        <w:t>La valorisation de la STBC (PER 11,1x, P/B 8,87x, EV/EBITDA 8,0x) indique une situation contrastée : le PER est raisonnable, mais le P/B très élevé reflète une prime de valorisation substantielle. Le comportement du cours sur 100 jours (+4,67%) avec une volatilité élevée (36,3%) et une distribution symétrique (kurtosis -0,967, skewness 0,249) suggère une stabilité relative sans extrêmes. Les signaux techniques sont mitigés, avec une tendance baissière à court terme (MM, MACD) mais des indicateurs neutres (Bollinger, RSI, Stochastique) qui n'excluent pas un rebond. Fondamentalement, la société affiche une croissance solide du CA (+25,3% en 2025), une rentabilité exceptionnelle (ROE 79,75%) et une structure financière saine, mais subit une dégradation de ses marges due à la pression fiscale. Les prédictions IA pour les 10 prochains jours (22 783 à 23 621 FCFA) suggèrent une trajectoire haussière, contredisant les signaux techniques baissiers à court terme. En synthèse, la convergence entre des fondamentaux solides, une valorisation raisonnable et des prédictions IA positives, malgré des signaux techniques mitigés, conduit à une recommandation **CONSERVER**. Le niveau de confiance est **Moyen**, le risque global est **Moyen**, et l'horizon d'investissement optimal est le **moyen terme (3-12 mois)**, en attendant une clarification sur la maîtrise des coûts et l'évolution de la fiscalité.</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213.75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7,104 titres</w:t>
            </w:r>
          </w:p>
        </w:tc>
        <w:tc>
          <w:tcPr>
            <w:tcW w:type="dxa" w:w="2268"/>
            <w:shd w:fill="FFF2CC" w:val="clear"/>
          </w:tcPr>
          <w:p>
            <w:r>
              <w:rPr>
                <w:b/>
                <w:color w:val="503200"/>
                <w:sz w:val="16"/>
              </w:rPr>
              <w:t xml:space="preserve">Cours actuel : </w:t>
            </w:r>
            <w:r>
              <w:rPr>
                <w:color w:val="000000"/>
                <w:sz w:val="17"/>
              </w:rPr>
              <w:t>3,395 FCFA</w:t>
            </w:r>
          </w:p>
          <w:p>
            <w:r>
              <w:rPr>
                <w:b/>
                <w:color w:val="503200"/>
                <w:sz w:val="16"/>
              </w:rPr>
              <w:t xml:space="preserve">Var. 100 jours : </w:t>
            </w:r>
            <w:r>
              <w:rPr>
                <w:b/>
                <w:color w:val="007800"/>
                <w:sz w:val="17"/>
              </w:rPr>
              <w:t>+28.11%</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6.40% (Moyenne) — μ=2,917 FCFA, σ=187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β=-0.2705 (Contre-cyclique) — Cov=-0.000010, Var(idx)=0.000037, ρ=-0.064,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7,104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3,199</w:t>
            </w:r>
          </w:p>
        </w:tc>
        <w:tc>
          <w:tcPr>
            <w:tcW w:type="dxa" w:w="1440"/>
            <w:shd w:fill="FAFAFA" w:val="clear"/>
          </w:tcPr>
          <w:p>
            <w:r>
              <w:rPr>
                <w:b/>
                <w:sz w:val="17"/>
              </w:rPr>
              <w:t>3,382</w:t>
            </w:r>
          </w:p>
        </w:tc>
        <w:tc>
          <w:tcPr>
            <w:tcW w:type="dxa" w:w="1440"/>
            <w:shd w:fill="FAFAFA" w:val="clear"/>
          </w:tcPr>
          <w:p>
            <w:r>
              <w:rPr>
                <w:sz w:val="17"/>
              </w:rPr>
              <w:t>3,564</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2026-09-03</w:t>
            </w:r>
          </w:p>
        </w:tc>
        <w:tc>
          <w:tcPr>
            <w:tcW w:type="dxa" w:w="1440"/>
            <w:shd w:fill="FAFAFA" w:val="clear"/>
          </w:tcPr>
          <w:p>
            <w:r>
              <w:rPr>
                <w:sz w:val="17"/>
              </w:rPr>
              <w:t>3,111</w:t>
            </w:r>
          </w:p>
        </w:tc>
        <w:tc>
          <w:tcPr>
            <w:tcW w:type="dxa" w:w="1440"/>
            <w:shd w:fill="FAFAFA" w:val="clear"/>
          </w:tcPr>
          <w:p>
            <w:r>
              <w:rPr>
                <w:b/>
                <w:sz w:val="17"/>
              </w:rPr>
              <w:t>3,369</w:t>
            </w:r>
          </w:p>
        </w:tc>
        <w:tc>
          <w:tcPr>
            <w:tcW w:type="dxa" w:w="1440"/>
            <w:shd w:fill="FAFAFA" w:val="clear"/>
          </w:tcPr>
          <w:p>
            <w:r>
              <w:rPr>
                <w:sz w:val="17"/>
              </w:rPr>
              <w:t>3,626</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2026-09-04</w:t>
            </w:r>
          </w:p>
        </w:tc>
        <w:tc>
          <w:tcPr>
            <w:tcW w:type="dxa" w:w="1440"/>
            <w:shd w:fill="FAFAFA" w:val="clear"/>
          </w:tcPr>
          <w:p>
            <w:r>
              <w:rPr>
                <w:sz w:val="17"/>
              </w:rPr>
              <w:t>3,040</w:t>
            </w:r>
          </w:p>
        </w:tc>
        <w:tc>
          <w:tcPr>
            <w:tcW w:type="dxa" w:w="1440"/>
            <w:shd w:fill="FAFAFA" w:val="clear"/>
          </w:tcPr>
          <w:p>
            <w:r>
              <w:rPr>
                <w:b/>
                <w:sz w:val="17"/>
              </w:rPr>
              <w:t>3,354</w:t>
            </w:r>
          </w:p>
        </w:tc>
        <w:tc>
          <w:tcPr>
            <w:tcW w:type="dxa" w:w="1440"/>
            <w:shd w:fill="FAFAFA" w:val="clear"/>
          </w:tcPr>
          <w:p>
            <w:r>
              <w:rPr>
                <w:sz w:val="17"/>
              </w:rPr>
              <w:t>3,668</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2026-09-07</w:t>
            </w:r>
          </w:p>
        </w:tc>
        <w:tc>
          <w:tcPr>
            <w:tcW w:type="dxa" w:w="1440"/>
            <w:shd w:fill="FAFAFA" w:val="clear"/>
          </w:tcPr>
          <w:p>
            <w:r>
              <w:rPr>
                <w:sz w:val="17"/>
              </w:rPr>
              <w:t>2,978</w:t>
            </w:r>
          </w:p>
        </w:tc>
        <w:tc>
          <w:tcPr>
            <w:tcW w:type="dxa" w:w="1440"/>
            <w:shd w:fill="FAFAFA" w:val="clear"/>
          </w:tcPr>
          <w:p>
            <w:r>
              <w:rPr>
                <w:b/>
                <w:sz w:val="17"/>
              </w:rPr>
              <w:t>3,339</w:t>
            </w:r>
          </w:p>
        </w:tc>
        <w:tc>
          <w:tcPr>
            <w:tcW w:type="dxa" w:w="1440"/>
            <w:shd w:fill="FAFAFA" w:val="clear"/>
          </w:tcPr>
          <w:p>
            <w:r>
              <w:rPr>
                <w:sz w:val="17"/>
              </w:rPr>
              <w:t>3,700</w:t>
            </w:r>
          </w:p>
        </w:tc>
        <w:tc>
          <w:tcPr>
            <w:tcW w:type="dxa" w:w="1440"/>
            <w:shd w:fill="FAFAFA" w:val="clear"/>
          </w:tcPr>
          <w:p>
            <w:r>
              <w:rPr>
                <w:b/>
                <w:color w:val="C00000"/>
                <w:sz w:val="17"/>
              </w:rPr>
              <w:t>-1.6%</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2,924</w:t>
            </w:r>
          </w:p>
        </w:tc>
        <w:tc>
          <w:tcPr>
            <w:tcW w:type="dxa" w:w="1440"/>
            <w:shd w:fill="FFDCE0" w:val="clear"/>
          </w:tcPr>
          <w:p>
            <w:r>
              <w:rPr>
                <w:b/>
                <w:sz w:val="17"/>
              </w:rPr>
              <w:t>3,326</w:t>
            </w:r>
          </w:p>
        </w:tc>
        <w:tc>
          <w:tcPr>
            <w:tcW w:type="dxa" w:w="1440"/>
            <w:shd w:fill="FFDCE0" w:val="clear"/>
          </w:tcPr>
          <w:p>
            <w:r>
              <w:rPr>
                <w:sz w:val="17"/>
              </w:rPr>
              <w:t>3,728</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2,874</w:t>
            </w:r>
          </w:p>
        </w:tc>
        <w:tc>
          <w:tcPr>
            <w:tcW w:type="dxa" w:w="1440"/>
            <w:shd w:fill="FFDCE0" w:val="clear"/>
          </w:tcPr>
          <w:p>
            <w:r>
              <w:rPr>
                <w:b/>
                <w:sz w:val="17"/>
              </w:rPr>
              <w:t>3,312</w:t>
            </w:r>
          </w:p>
        </w:tc>
        <w:tc>
          <w:tcPr>
            <w:tcW w:type="dxa" w:w="1440"/>
            <w:shd w:fill="FFDCE0" w:val="clear"/>
          </w:tcPr>
          <w:p>
            <w:r>
              <w:rPr>
                <w:sz w:val="17"/>
              </w:rPr>
              <w:t>3,751</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2,828</w:t>
            </w:r>
          </w:p>
        </w:tc>
        <w:tc>
          <w:tcPr>
            <w:tcW w:type="dxa" w:w="1440"/>
            <w:shd w:fill="FFDCE0" w:val="clear"/>
          </w:tcPr>
          <w:p>
            <w:r>
              <w:rPr>
                <w:b/>
                <w:sz w:val="17"/>
              </w:rPr>
              <w:t>3,300</w:t>
            </w:r>
          </w:p>
        </w:tc>
        <w:tc>
          <w:tcPr>
            <w:tcW w:type="dxa" w:w="1440"/>
            <w:shd w:fill="FFDCE0" w:val="clear"/>
          </w:tcPr>
          <w:p>
            <w:r>
              <w:rPr>
                <w:sz w:val="17"/>
              </w:rPr>
              <w:t>3,772</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2,784</w:t>
            </w:r>
          </w:p>
        </w:tc>
        <w:tc>
          <w:tcPr>
            <w:tcW w:type="dxa" w:w="1440"/>
            <w:shd w:fill="FFDCE0" w:val="clear"/>
          </w:tcPr>
          <w:p>
            <w:r>
              <w:rPr>
                <w:b/>
                <w:sz w:val="17"/>
              </w:rPr>
              <w:t>3,287</w:t>
            </w:r>
          </w:p>
        </w:tc>
        <w:tc>
          <w:tcPr>
            <w:tcW w:type="dxa" w:w="1440"/>
            <w:shd w:fill="FFDCE0" w:val="clear"/>
          </w:tcPr>
          <w:p>
            <w:r>
              <w:rPr>
                <w:sz w:val="17"/>
              </w:rPr>
              <w:t>3,790</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2,744</w:t>
            </w:r>
          </w:p>
        </w:tc>
        <w:tc>
          <w:tcPr>
            <w:tcW w:type="dxa" w:w="1440"/>
            <w:shd w:fill="FFDCE0" w:val="clear"/>
          </w:tcPr>
          <w:p>
            <w:r>
              <w:rPr>
                <w:b/>
                <w:sz w:val="17"/>
              </w:rPr>
              <w:t>3,275</w:t>
            </w:r>
          </w:p>
        </w:tc>
        <w:tc>
          <w:tcPr>
            <w:tcW w:type="dxa" w:w="1440"/>
            <w:shd w:fill="FFDCE0" w:val="clear"/>
          </w:tcPr>
          <w:p>
            <w:r>
              <w:rPr>
                <w:sz w:val="17"/>
              </w:rPr>
              <w:t>3,806</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2,705</w:t>
            </w:r>
          </w:p>
        </w:tc>
        <w:tc>
          <w:tcPr>
            <w:tcW w:type="dxa" w:w="1440"/>
            <w:shd w:fill="FFDCE0" w:val="clear"/>
          </w:tcPr>
          <w:p>
            <w:r>
              <w:rPr>
                <w:b/>
                <w:sz w:val="17"/>
              </w:rPr>
              <w:t>3,263</w:t>
            </w:r>
          </w:p>
        </w:tc>
        <w:tc>
          <w:tcPr>
            <w:tcW w:type="dxa" w:w="1440"/>
            <w:shd w:fill="FFDCE0" w:val="clear"/>
          </w:tcPr>
          <w:p>
            <w:r>
              <w:rPr>
                <w:sz w:val="17"/>
              </w:rPr>
              <w:t>3,821</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213,75 milliards FCFA positionne TTLC parmi les valeurs moyennes de la BRVM, reflétant un profil de liquidité modéré avec un volume moyen de 7 104 titres par jour. Le BPA de 144 FCFA indique que chaque action génère un bénéfice modeste, ce qui explique un PER de 23,5x, très supérieur à la moyenne historique de la BRVM (8-12x). Ce niveau de valorisation suggère que le marché intègre des anticipations de croissance future ou une prime de rareté sur ce titre, mais il expose également l'investisseur à un risque de correction si ces attentes ne se matérialisent pas. Le P/B de 5,90x confirme cette prime, le marché valorisant l'actif net à près de six fois sa valeur comptable, ce qui est exigeant pour un distributeur de produits pétroliers. Enfin, l'EV/EBITDA de 12,0x se situe dans la fourchette haute des standards de la place, indiquant que la valeur d'entreprise intègre déjà une capacité opérationnelle solide, sans marge de sécurité significative.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TTLC affiche une progression remarquable de +28,11%, avec une dernière séance en hausse de +0,59% à 3 395 FCFA, témoignant d'une dynamique haussière soutenue. Le cours a évolué dans un range de 945 FCFA, entre un plus bas de 2 650 FCFA et un plus haut de 3 595 FCFA, démontrant une amplitude de trading significative. La moyenne de 2 917 FCFA, inférieure à la médiane de 2 888 FCFA, révèle une distribution asymétrique positive (skewness de 1,504), indiquant que le titre a passé davantage de journées sous sa moyenne mais avec des pics de hausse prononcés. L'écart-type de 188 FCFA (CV de 6,4%) montre une dispersion modérée autour de la moyenne, tandis que le kurtosis de 2,233 signale des queues épaisses, suggérant un risque de mouvements extrêmes. La volatilité annualisée de 40,4% classe TTLC comme un actif à forte volatilité, ce qui implique un risque élevé mais aussi un potentiel de rendement accru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3 395 FCFA se positionne nettement au-dessus de la MM20 (3 189,25 FCFA) et de la MM50 (3 019,4 FCFA), avec un écart de 6,5% et 12,4% respectivement. Cette configuration haussière, où les moyennes sont orientées à la hausse et le prix les dépasse, confirme une tendance positive solide. La décision d'achat est justifiée par cette structure de prix qui indique que les acheteurs contrôlent le marché à court et moyen terme.</w:t>
      </w:r>
    </w:p>
    <w:p>
      <w:pPr>
        <w:spacing w:after="120" w:line="276" w:lineRule="auto"/>
      </w:pPr>
      <w:r>
        <w:t>**Bandes de Bollinger** : Le prix se situe à 3 395 FCFA, entre la borne inférieure (2 746 FCFA) et la borne supérieure (3 632,5 FCFA), occupant une position médiane-haute dans le canal. La largeur des bandes reflète la volatilité élevée du titre, mais le prix n'étant pas en zone extrême, la décision neutre est cohérente. Une poursuite de la hausse vers la borne supérieure pourrait signaler une extension de la tendance, tandis qu'un retour vers la moyenne mobile indiquerait une consolidation.</w:t>
      </w:r>
    </w:p>
    <w:p>
      <w:pPr>
        <w:spacing w:after="120" w:line="276" w:lineRule="auto"/>
      </w:pPr>
      <w:r>
        <w:t>**MACD** : Le MACD (130,5) est nettement supérieur à son signal (114,17), avec un écart positif de 16,3 points, confirmant un momentum haussier robuste. Cette divergence positive indique que la dynamique d'achat s'intensifie, justifiant la décision d'achat. La persistance de cet écart suggère que la tendance haussière pourrait se poursuivre à court terme, même si un resserrement progressif pourrait précéder un retournement.</w:t>
      </w:r>
    </w:p>
    <w:p>
      <w:pPr>
        <w:spacing w:after="120" w:line="276" w:lineRule="auto"/>
      </w:pPr>
      <w:r>
        <w:t>**RSI** : À 71,7, le RSI entre en zone de surachat (au-delà de 70), signalant que le titre est techniquement surévalué à court terme. Cette lecture suggère un essoufflement potentiel des acheteurs et un risque de correction technique. La décision de vente est donc justifiée, même si dans une tendance forte, le RSI peut rester en zone de surachat pendant plusieurs séances avant un repli effectif.</w:t>
      </w:r>
    </w:p>
    <w:p>
      <w:pPr>
        <w:spacing w:after="120" w:line="276" w:lineRule="auto"/>
      </w:pPr>
      <w:r>
        <w:t>**Stochastique** : Les valeurs de %K (66,7) et %D (67,4) sont très proches, avec un %D légèrement supérieur, indiquant une absence de signal directionnel net. Le fait que les deux lignes évoluent autour de 67, sans croisement décisif, suggère une phase de consolidation après la récente hausse. La décision neutre est appropriée, car le marché semble reprendre son souffle avant de choisir une direction.</w:t>
      </w:r>
    </w:p>
    <w:p>
      <w:pPr>
        <w:spacing w:after="120" w:line="276" w:lineRule="auto"/>
      </w:pPr>
      <w:r>
        <w:t>**Conclusion technique** : La convergence des indicateurs de tendance (MM, MACD) vers des signaux d'achat contraste avec les signaux de surachat (RSI) et de neutralité (Bollinger, Stochastique). Cette configuration suggère que la tendance haussière reste intacte à moyen terme, mais qu'un repli technique est probable à très court terme pour purger les conditions de surachat. Les investisseurs devraient surveiller un éventuel retour vers la zone des 3 200-3 250 FCFA comme point d'entrée potentiel.</w:t>
      </w:r>
    </w:p>
    <w:p>
      <w:pPr>
        <w:spacing w:after="120" w:line="276" w:lineRule="auto" w:before="240"/>
      </w:pPr>
      <w:r>
        <w:rPr>
          <w:b/>
          <w:color w:val="003366"/>
          <w:sz w:val="24"/>
        </w:rPr>
        <w:t>**PARTIE 3 : ANALYSE FONDAMENTALE (SECTION CRITIQUE)**</w:t>
      </w:r>
    </w:p>
    <w:p>
      <w:pPr>
        <w:spacing w:after="120" w:line="276" w:lineRule="auto"/>
      </w:pPr>
      <w:r>
        <w:t>En 2025, TotalEnergies Marketing Côte d'Ivoire (TTLC) a réalisé un chiffre d'affaires de 588,709 milliards FCFA, en repli de 5,2% par rapport à 2024, avec un résultat net de 9,087 milliards FCFA (-3%). La marge nette s'établit à 1,54%, tandis que le ROE atteint un niveau excellent de 25,1%, démontrant une utilisation très efficace des capitaux propres (36,202 milliards FCFA). Le ROA de 4,82% reflète une rotation des actifs élevée (312,4%), typique du secteur de distribution. Le BFR négatif de -9,662 milliards FCFA constitue un avantage compétitif majeur, la société finançant son exploitation grâce aux délais fournisseurs (49,7 jours) supérieurs à la durée de stockage (13,8 jours). L'endettement total représente 90,2% des capitaux propres, avec une capacité de remboursement de 1,71 an, un niveau gérable. Les rapports trimestriels 2025 montrent une dégradation progressive : le S1 2025 (rapport du 30 juin 2025) affiche un CA de 296,8 milliards (-7,1%) et un résultat net de 4,79 milliards (-25,5%), tandis que le cumul au 3ème trimestre 2025 (rapport du 30 septembre 2025) confirme la tendance avec un CA de 438,2 milliards (-5,7%) et un résultat net de 6,52 milliards (-30,2%). Cependant, le rapport T1 2026 (publié en 2026) marque un net redressement avec un CA de 154,392 milliards (+4,3%) et un résultat net de 2,329 milliards (+5,5%), laissant présager une amélioration pour l'exercice 2026. La politique de dividende reste généreuse avec 10 milliards FCFA proposés pour 2025 (taux de distribution de 110%), soutenue par une CAF de 19,106 milliards FCFA. La trésorerie nette négative de -21,926 milliards FCFA et le fonds de roulement négatif de -31,587 milliards constituent les principaux points de vigilance, bien que le flux opérationnel de 10,196 milliards FCFA démontre une capacité à générer du cash.</w:t>
      </w:r>
    </w:p>
    <w:p>
      <w:pPr>
        <w:spacing w:after="120" w:line="276" w:lineRule="auto" w:before="240"/>
      </w:pPr>
      <w:r>
        <w:rPr>
          <w:b/>
          <w:color w:val="003366"/>
          <w:sz w:val="24"/>
        </w:rPr>
        <w:t>**PARTIE 4 : CONCLUSION D'INVESTISSEMENT**</w:t>
      </w:r>
    </w:p>
    <w:p>
      <w:pPr>
        <w:spacing w:after="120" w:line="276" w:lineRule="auto"/>
      </w:pPr>
      <w:r>
        <w:t>La valorisation actuelle de TTLC (PER 23,5x, P/B 5,90x, EV/EBITDA 12,0x) apparaît exigeante, le marché intégrant des anticipations de croissance qui ne se sont pas encore matérialisées dans les résultats 2025, marqués par un repli du CA et du résultat net. Le comportement du cours (+28,11% sur 100 jours) avec une volatilité élevée (40,4%) et une asymétrie positive suggère un optimisme des investisseurs, mais le kurtosis élevé (2,233) signale un risque de mouvements brusques. Les signaux techniques sont partagés : la tendance de fond reste haussière (MM, MACD), mais le RSI en surachat (71,7) et la neutralité des bandes de Bollinger et du stochastique indiquent un essoufflement probable à court terme. Les fondamentaux montrent une entreprise rentable (ROE 25,1%) avec un BFR négatif favorable, mais confrontée à une dégradation de sa trésorerie et à une baisse d'activité en 2025, partiellement compensée par le redressement amorcé au T1 2026. Les prédictions IA (3 382 à 3 326 FCFA sur J+1 à J+10) suggèrent une correction modérée de 2 à 4%, contredisant légèrement la tendance haussière récente et confirmant les signaux de surachat technique. En synthèse, la convergence entre la valorisation élevée, le RSI surachat et les prédictions IA baissières à court terme, contrastant avec des fondamentaux solides et une amélioration trimestrielle, conduit à une recommandation de **CONSERVER** avec un niveau de confiance **Moyen** et un risque global **Élevé**. L'horizon d'investissement optimal serait le **moyen terme (3-12 mois)**, en attendant une correction technique pour renforcer la position ou une confirmation durable de la reprise fondamentale.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2,664 titres</w:t>
            </w:r>
          </w:p>
        </w:tc>
        <w:tc>
          <w:tcPr>
            <w:tcW w:type="dxa" w:w="2268"/>
            <w:shd w:fill="FFF2CC" w:val="clear"/>
          </w:tcPr>
          <w:p>
            <w:r>
              <w:rPr>
                <w:b/>
                <w:color w:val="503200"/>
                <w:sz w:val="16"/>
              </w:rPr>
              <w:t xml:space="preserve">Cours actuel : </w:t>
            </w:r>
            <w:r>
              <w:rPr>
                <w:color w:val="000000"/>
                <w:sz w:val="17"/>
              </w:rPr>
              <w:t>3,855 FCFA</w:t>
            </w:r>
          </w:p>
          <w:p>
            <w:r>
              <w:rPr>
                <w:b/>
                <w:color w:val="503200"/>
                <w:sz w:val="16"/>
              </w:rPr>
              <w:t xml:space="preserve">Var. 100 jours : </w:t>
            </w:r>
            <w:r>
              <w:rPr>
                <w:b/>
                <w:color w:val="007800"/>
                <w:sz w:val="17"/>
              </w:rPr>
              <w:t>+14.39%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10.54% (Moyenne) — μ=3,517 FCFA, σ=371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β=0.7667 (Défensif) — Cov=0.000028, Var(idx)=0.000037, ρ=0.154,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2026-09-02</w:t>
            </w:r>
          </w:p>
        </w:tc>
        <w:tc>
          <w:tcPr>
            <w:tcW w:type="dxa" w:w="1440"/>
            <w:shd w:fill="FFDCE0" w:val="clear"/>
          </w:tcPr>
          <w:p>
            <w:r>
              <w:rPr>
                <w:sz w:val="17"/>
              </w:rPr>
              <w:t>3,524</w:t>
            </w:r>
          </w:p>
        </w:tc>
        <w:tc>
          <w:tcPr>
            <w:tcW w:type="dxa" w:w="1440"/>
            <w:shd w:fill="FFDCE0" w:val="clear"/>
          </w:tcPr>
          <w:p>
            <w:r>
              <w:rPr>
                <w:b/>
                <w:sz w:val="17"/>
              </w:rPr>
              <w:t>3,679</w:t>
            </w:r>
          </w:p>
        </w:tc>
        <w:tc>
          <w:tcPr>
            <w:tcW w:type="dxa" w:w="1440"/>
            <w:shd w:fill="FFDCE0" w:val="clear"/>
          </w:tcPr>
          <w:p>
            <w:r>
              <w:rPr>
                <w:sz w:val="17"/>
              </w:rPr>
              <w:t>3,834</w:t>
            </w:r>
          </w:p>
        </w:tc>
        <w:tc>
          <w:tcPr>
            <w:tcW w:type="dxa" w:w="1440"/>
            <w:shd w:fill="FFDCE0" w:val="clear"/>
          </w:tcPr>
          <w:p>
            <w:r>
              <w:rPr>
                <w:b/>
                <w:color w:val="C00000"/>
                <w:sz w:val="17"/>
              </w:rPr>
              <w:t>-4.6%</w:t>
            </w:r>
          </w:p>
        </w:tc>
      </w:tr>
      <w:tr>
        <w:tc>
          <w:tcPr>
            <w:tcW w:type="dxa" w:w="1440"/>
            <w:shd w:fill="FFDCE0" w:val="clear"/>
          </w:tcPr>
          <w:p>
            <w:r>
              <w:rPr>
                <w:sz w:val="17"/>
              </w:rPr>
              <w:t>J+2  ⭐</w:t>
            </w:r>
          </w:p>
        </w:tc>
        <w:tc>
          <w:tcPr>
            <w:tcW w:type="dxa" w:w="1440"/>
            <w:shd w:fill="FFDCE0" w:val="clear"/>
          </w:tcPr>
          <w:p>
            <w:r>
              <w:rPr>
                <w:sz w:val="17"/>
              </w:rPr>
              <w:t>2026-09-03</w:t>
            </w:r>
          </w:p>
        </w:tc>
        <w:tc>
          <w:tcPr>
            <w:tcW w:type="dxa" w:w="1440"/>
            <w:shd w:fill="FFDCE0" w:val="clear"/>
          </w:tcPr>
          <w:p>
            <w:r>
              <w:rPr>
                <w:sz w:val="17"/>
              </w:rPr>
              <w:t>3,394</w:t>
            </w:r>
          </w:p>
        </w:tc>
        <w:tc>
          <w:tcPr>
            <w:tcW w:type="dxa" w:w="1440"/>
            <w:shd w:fill="FFDCE0" w:val="clear"/>
          </w:tcPr>
          <w:p>
            <w:r>
              <w:rPr>
                <w:b/>
                <w:sz w:val="17"/>
              </w:rPr>
              <w:t>3,609</w:t>
            </w:r>
          </w:p>
        </w:tc>
        <w:tc>
          <w:tcPr>
            <w:tcW w:type="dxa" w:w="1440"/>
            <w:shd w:fill="FFDCE0" w:val="clear"/>
          </w:tcPr>
          <w:p>
            <w:r>
              <w:rPr>
                <w:sz w:val="17"/>
              </w:rPr>
              <w:t>3,824</w:t>
            </w:r>
          </w:p>
        </w:tc>
        <w:tc>
          <w:tcPr>
            <w:tcW w:type="dxa" w:w="1440"/>
            <w:shd w:fill="FFDCE0" w:val="clear"/>
          </w:tcPr>
          <w:p>
            <w:r>
              <w:rPr>
                <w:b/>
                <w:color w:val="C00000"/>
                <w:sz w:val="17"/>
              </w:rPr>
              <w:t>-6.4%</w:t>
            </w:r>
          </w:p>
        </w:tc>
      </w:tr>
      <w:tr>
        <w:tc>
          <w:tcPr>
            <w:tcW w:type="dxa" w:w="1440"/>
            <w:shd w:fill="FFDCE0" w:val="clear"/>
          </w:tcPr>
          <w:p>
            <w:r>
              <w:rPr>
                <w:sz w:val="17"/>
              </w:rPr>
              <w:t>J+3  ⭐</w:t>
            </w:r>
          </w:p>
        </w:tc>
        <w:tc>
          <w:tcPr>
            <w:tcW w:type="dxa" w:w="1440"/>
            <w:shd w:fill="FFDCE0" w:val="clear"/>
          </w:tcPr>
          <w:p>
            <w:r>
              <w:rPr>
                <w:sz w:val="17"/>
              </w:rPr>
              <w:t>2026-09-04</w:t>
            </w:r>
          </w:p>
        </w:tc>
        <w:tc>
          <w:tcPr>
            <w:tcW w:type="dxa" w:w="1440"/>
            <w:shd w:fill="FFDCE0" w:val="clear"/>
          </w:tcPr>
          <w:p>
            <w:r>
              <w:rPr>
                <w:sz w:val="17"/>
              </w:rPr>
              <w:t>3,291</w:t>
            </w:r>
          </w:p>
        </w:tc>
        <w:tc>
          <w:tcPr>
            <w:tcW w:type="dxa" w:w="1440"/>
            <w:shd w:fill="FFDCE0" w:val="clear"/>
          </w:tcPr>
          <w:p>
            <w:r>
              <w:rPr>
                <w:b/>
                <w:sz w:val="17"/>
              </w:rPr>
              <w:t>3,550</w:t>
            </w:r>
          </w:p>
        </w:tc>
        <w:tc>
          <w:tcPr>
            <w:tcW w:type="dxa" w:w="1440"/>
            <w:shd w:fill="FFDCE0" w:val="clear"/>
          </w:tcPr>
          <w:p>
            <w:r>
              <w:rPr>
                <w:sz w:val="17"/>
              </w:rPr>
              <w:t>3,809</w:t>
            </w:r>
          </w:p>
        </w:tc>
        <w:tc>
          <w:tcPr>
            <w:tcW w:type="dxa" w:w="1440"/>
            <w:shd w:fill="FFDCE0" w:val="clear"/>
          </w:tcPr>
          <w:p>
            <w:r>
              <w:rPr>
                <w:b/>
                <w:color w:val="C00000"/>
                <w:sz w:val="17"/>
              </w:rPr>
              <w:t>-7.9%</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3,205</w:t>
            </w:r>
          </w:p>
        </w:tc>
        <w:tc>
          <w:tcPr>
            <w:tcW w:type="dxa" w:w="1440"/>
            <w:shd w:fill="FFDCE0" w:val="clear"/>
          </w:tcPr>
          <w:p>
            <w:r>
              <w:rPr>
                <w:b/>
                <w:sz w:val="17"/>
              </w:rPr>
              <w:t>3,500</w:t>
            </w:r>
          </w:p>
        </w:tc>
        <w:tc>
          <w:tcPr>
            <w:tcW w:type="dxa" w:w="1440"/>
            <w:shd w:fill="FFDCE0" w:val="clear"/>
          </w:tcPr>
          <w:p>
            <w:r>
              <w:rPr>
                <w:sz w:val="17"/>
              </w:rPr>
              <w:t>3,795</w:t>
            </w:r>
          </w:p>
        </w:tc>
        <w:tc>
          <w:tcPr>
            <w:tcW w:type="dxa" w:w="1440"/>
            <w:shd w:fill="FFDCE0" w:val="clear"/>
          </w:tcPr>
          <w:p>
            <w:r>
              <w:rPr>
                <w:b/>
                <w:color w:val="C00000"/>
                <w:sz w:val="17"/>
              </w:rPr>
              <w:t>-9.2%</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3,130</w:t>
            </w:r>
          </w:p>
        </w:tc>
        <w:tc>
          <w:tcPr>
            <w:tcW w:type="dxa" w:w="1440"/>
            <w:shd w:fill="FFDCE0" w:val="clear"/>
          </w:tcPr>
          <w:p>
            <w:r>
              <w:rPr>
                <w:b/>
                <w:sz w:val="17"/>
              </w:rPr>
              <w:t>3,456</w:t>
            </w:r>
          </w:p>
        </w:tc>
        <w:tc>
          <w:tcPr>
            <w:tcW w:type="dxa" w:w="1440"/>
            <w:shd w:fill="FFDCE0" w:val="clear"/>
          </w:tcPr>
          <w:p>
            <w:r>
              <w:rPr>
                <w:sz w:val="17"/>
              </w:rPr>
              <w:t>3,782</w:t>
            </w:r>
          </w:p>
        </w:tc>
        <w:tc>
          <w:tcPr>
            <w:tcW w:type="dxa" w:w="1440"/>
            <w:shd w:fill="FFDCE0" w:val="clear"/>
          </w:tcPr>
          <w:p>
            <w:r>
              <w:rPr>
                <w:b/>
                <w:color w:val="C00000"/>
                <w:sz w:val="17"/>
              </w:rPr>
              <w:t>-10.3%</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3,063</w:t>
            </w:r>
          </w:p>
        </w:tc>
        <w:tc>
          <w:tcPr>
            <w:tcW w:type="dxa" w:w="1440"/>
            <w:shd w:fill="FFDCE0" w:val="clear"/>
          </w:tcPr>
          <w:p>
            <w:r>
              <w:rPr>
                <w:b/>
                <w:sz w:val="17"/>
              </w:rPr>
              <w:t>3,415</w:t>
            </w:r>
          </w:p>
        </w:tc>
        <w:tc>
          <w:tcPr>
            <w:tcW w:type="dxa" w:w="1440"/>
            <w:shd w:fill="FFDCE0" w:val="clear"/>
          </w:tcPr>
          <w:p>
            <w:r>
              <w:rPr>
                <w:sz w:val="17"/>
              </w:rPr>
              <w:t>3,768</w:t>
            </w:r>
          </w:p>
        </w:tc>
        <w:tc>
          <w:tcPr>
            <w:tcW w:type="dxa" w:w="1440"/>
            <w:shd w:fill="FFDCE0" w:val="clear"/>
          </w:tcPr>
          <w:p>
            <w:r>
              <w:rPr>
                <w:b/>
                <w:color w:val="C00000"/>
                <w:sz w:val="17"/>
              </w:rPr>
              <w:t>-11.4%</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3,001</w:t>
            </w:r>
          </w:p>
        </w:tc>
        <w:tc>
          <w:tcPr>
            <w:tcW w:type="dxa" w:w="1440"/>
            <w:shd w:fill="FFDCE0" w:val="clear"/>
          </w:tcPr>
          <w:p>
            <w:r>
              <w:rPr>
                <w:b/>
                <w:sz w:val="17"/>
              </w:rPr>
              <w:t>3,377</w:t>
            </w:r>
          </w:p>
        </w:tc>
        <w:tc>
          <w:tcPr>
            <w:tcW w:type="dxa" w:w="1440"/>
            <w:shd w:fill="FFDCE0" w:val="clear"/>
          </w:tcPr>
          <w:p>
            <w:r>
              <w:rPr>
                <w:sz w:val="17"/>
              </w:rPr>
              <w:t>3,754</w:t>
            </w:r>
          </w:p>
        </w:tc>
        <w:tc>
          <w:tcPr>
            <w:tcW w:type="dxa" w:w="1440"/>
            <w:shd w:fill="FFDCE0" w:val="clear"/>
          </w:tcPr>
          <w:p>
            <w:r>
              <w:rPr>
                <w:b/>
                <w:color w:val="C00000"/>
                <w:sz w:val="17"/>
              </w:rPr>
              <w:t>-12.4%</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2,943</w:t>
            </w:r>
          </w:p>
        </w:tc>
        <w:tc>
          <w:tcPr>
            <w:tcW w:type="dxa" w:w="1440"/>
            <w:shd w:fill="FFDCE0" w:val="clear"/>
          </w:tcPr>
          <w:p>
            <w:r>
              <w:rPr>
                <w:b/>
                <w:sz w:val="17"/>
              </w:rPr>
              <w:t>3,341</w:t>
            </w:r>
          </w:p>
        </w:tc>
        <w:tc>
          <w:tcPr>
            <w:tcW w:type="dxa" w:w="1440"/>
            <w:shd w:fill="FFDCE0" w:val="clear"/>
          </w:tcPr>
          <w:p>
            <w:r>
              <w:rPr>
                <w:sz w:val="17"/>
              </w:rPr>
              <w:t>3,740</w:t>
            </w:r>
          </w:p>
        </w:tc>
        <w:tc>
          <w:tcPr>
            <w:tcW w:type="dxa" w:w="1440"/>
            <w:shd w:fill="FFDCE0" w:val="clear"/>
          </w:tcPr>
          <w:p>
            <w:r>
              <w:rPr>
                <w:b/>
                <w:color w:val="C00000"/>
                <w:sz w:val="17"/>
              </w:rPr>
              <w:t>-13.3%</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2,890</w:t>
            </w:r>
          </w:p>
        </w:tc>
        <w:tc>
          <w:tcPr>
            <w:tcW w:type="dxa" w:w="1440"/>
            <w:shd w:fill="FFDCE0" w:val="clear"/>
          </w:tcPr>
          <w:p>
            <w:r>
              <w:rPr>
                <w:b/>
                <w:sz w:val="17"/>
              </w:rPr>
              <w:t>3,308</w:t>
            </w:r>
          </w:p>
        </w:tc>
        <w:tc>
          <w:tcPr>
            <w:tcW w:type="dxa" w:w="1440"/>
            <w:shd w:fill="FFDCE0" w:val="clear"/>
          </w:tcPr>
          <w:p>
            <w:r>
              <w:rPr>
                <w:sz w:val="17"/>
              </w:rPr>
              <w:t>3,726</w:t>
            </w:r>
          </w:p>
        </w:tc>
        <w:tc>
          <w:tcPr>
            <w:tcW w:type="dxa" w:w="1440"/>
            <w:shd w:fill="FFDCE0" w:val="clear"/>
          </w:tcPr>
          <w:p>
            <w:r>
              <w:rPr>
                <w:b/>
                <w:color w:val="C00000"/>
                <w:sz w:val="17"/>
              </w:rPr>
              <w:t>-14.2%</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2,839</w:t>
            </w:r>
          </w:p>
        </w:tc>
        <w:tc>
          <w:tcPr>
            <w:tcW w:type="dxa" w:w="1440"/>
            <w:shd w:fill="FFDCE0" w:val="clear"/>
          </w:tcPr>
          <w:p>
            <w:r>
              <w:rPr>
                <w:b/>
                <w:sz w:val="17"/>
              </w:rPr>
              <w:t>3,276</w:t>
            </w:r>
          </w:p>
        </w:tc>
        <w:tc>
          <w:tcPr>
            <w:tcW w:type="dxa" w:w="1440"/>
            <w:shd w:fill="FFDCE0" w:val="clear"/>
          </w:tcPr>
          <w:p>
            <w:r>
              <w:rPr>
                <w:sz w:val="17"/>
              </w:rPr>
              <w:t>3,713</w:t>
            </w:r>
          </w:p>
        </w:tc>
        <w:tc>
          <w:tcPr>
            <w:tcW w:type="dxa" w:w="1440"/>
            <w:shd w:fill="FFDCE0" w:val="clear"/>
          </w:tcPr>
          <w:p>
            <w:r>
              <w:rPr>
                <w:b/>
                <w:color w:val="C00000"/>
                <w:sz w:val="17"/>
              </w:rPr>
              <w:t>-15.0%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125,59 milliards FCFA, ce qui en fait une valeur de taille moyenne sur la BRVM, reflétant sa position de leader sur le marché sénégalais des produits pétroliers. Avec un BPA de 208 FCFA, le titre se négocie à un PER de 18,5x, nettement supérieur à la moyenne historique de la BRVM (8-12x), indiquant que les investisseurs acceptent de payer une prime pour la qualité perçue de l'actif et sa stabilité actionnariale. Le P/B de 4,45x confirme cette valorisation exigeante, le marché valorisant fortement les capitaux propres de la société, tandis que l'EV/EBITDA de 7,9x, dans une fourchette raisonnable de 5-10x, tempère cette lecture en montrant que la valeur d'entreprise reste cohérente avec la capacité opérationnelle de génération de cash-flow. Cette combinaison suggère une valorisation qui intègre déjà des anticipations de croissance future, notamment liées aux projets énergétiques sénégalais.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remarquable de +14,39%, avec une dernière séance en hausse de +1,45% à 3 855 FCFA, témoignant d'un momentum haussier soutenu. Le titre a évolué dans une fourchette large de 2 845 à 4 500 FCFA, démontrant une amplitude de trading significative de plus de 58% entre le plus bas et le plus haut. La moyenne de 3 517 FCFA et la médiane de 3 490 FCFA sont très proches, indiquant une distribution relativement symétrique des cours, tandis que le mode de 3 800 FCFA suggère que le prix actuel se situe dans la zone la plus fréquemment négociée. L'écart-type de 373 FCFA avec un coefficient de variation de 10,6% révèle une dispersion modérée autour de la moyenne, et le kurtosis de -0,261 (mésokurtique) indique l'absence de risques extrêmes de pics ou de queues épaisses. Le skewness positif de 0,453 confirme une asymétrie légèrement favorable avec des queues de distribution orientées vers les rendements positifs. La volatilité annualisée de 47,9% classe le titre comme très volatil, ce qui implique un risque élevé mais aussi un potentiel de rendement substantiel pour les investisseurs tolérants au risque.</w:t>
      </w:r>
    </w:p>
    <w:p>
      <w:pPr>
        <w:spacing w:after="120" w:line="276" w:lineRule="auto" w:before="240"/>
      </w:pPr>
      <w:r>
        <w:rPr>
          <w:b/>
          <w:color w:val="003366"/>
          <w:sz w:val="24"/>
        </w:rPr>
        <w:t>**PARTIE 2 : ANALYSE TECHNIQUE DÉTAILLÉE**</w:t>
      </w:r>
    </w:p>
    <w:p>
      <w:pPr>
        <w:spacing w:after="120" w:line="276" w:lineRule="auto"/>
      </w:pPr>
      <w:r>
        <w:t>**Moyennes Mobiles** : Le cours actuel de 3 855 FCFA se positionne au-dessus de la MM20 (3 706 FCFA) mais en dessous de la MM50 (3 810 FCFA), créant une configuration ambiguë. La décision de "Vente" signalée par ce croisement baissier à moyen terme est toutefois contredite par la dynamique récente, le prix ayant dépassé la MM20, suggérant un potentiel de rattrapage vers la MM50. Cette configuration en "croisement doré" potentiel mérite une surveillance attentive, car un franchissement durable de la MM50 confirmerait la reprise haussière.</w:t>
      </w:r>
    </w:p>
    <w:p>
      <w:pPr>
        <w:spacing w:after="120" w:line="276" w:lineRule="auto"/>
      </w:pPr>
      <w:r>
        <w:t>**Bandes de Bollinger** : Le prix à 3 855 FCFA se situe dans la partie supérieure de l'enveloppe, entre la borne inférieure à 3 440 FCFA et la borne supérieure à 3 972 FCFA, indiquant une pression acheteuse modérée. La décision "Neutre" reflète une volatilité qui, bien que présente, n'atteint pas des niveaux extrêmes. L'écart entre les bornes (environ 531 FCFA) montre une volatilité en contraction par rapport aux extrêmes historiques, ce qui pourrait précéder un mouvement directionnel significatif.</w:t>
      </w:r>
    </w:p>
    <w:p>
      <w:pPr>
        <w:spacing w:after="120" w:line="276" w:lineRule="auto"/>
      </w:pPr>
      <w:r>
        <w:t>**MACD** : La valeur positive de 22,02 avec un signal à 5,004 démontre un momentum haussier clairement établi, la ligne MACD étant nettement au-dessus de sa ligne de signal. Cette configuration, associée à une décision "Achat", indique que la dynamique positive s'accélère et que les acheteurs contrôlent actuellement le marché. L'écart croissant entre les deux lignes suggère une vigueur persistante du mouvement haussier.</w:t>
      </w:r>
    </w:p>
    <w:p>
      <w:pPr>
        <w:spacing w:after="120" w:line="276" w:lineRule="auto"/>
      </w:pPr>
      <w:r>
        <w:t>**RSI** : À 62,201, le RSI se situe dans la zone neutre-haute, indiquant une pression acheteuse significative mais sans atteindre les niveaux de surachat (&gt;70). La décision "Neutre" est cohérente avec cette lecture, le titre disposant encore d'une marge de progression avant de devenir techniquement suracheté. Cette valeur suggère que le mouvement haussier actuel pourrait se poursuivre.</w:t>
      </w:r>
    </w:p>
    <w:p>
      <w:pPr>
        <w:spacing w:after="120" w:line="276" w:lineRule="auto"/>
      </w:pPr>
      <w:r>
        <w:t>**Stochastique** : Le %K à 71,053 et le %D à 60,965 montrent une dynamique positive, avec %K nettement au-dessus de %D, indiquant une configuration haussière. La décision "Neutre" s'explique par le fait que les valeurs, bien qu'élevées, ne sont pas encore en zone de surachat extrême (&gt;80). Le croisement haussier récent suggère une poursuite potentielle du mouvement ascendant.</w:t>
      </w:r>
    </w:p>
    <w:p>
      <w:pPr>
        <w:spacing w:after="120" w:line="276" w:lineRule="auto"/>
      </w:pPr>
      <w:r>
        <w:t>**Conclusion technique** : La convergence des indicateurs est globalement positive, avec un MACD en configuration d'achat et un RSI qui laisse de la marge avant la zone de surachat. Les moyennes mobiles et les bandes de Bollinger, bien que neutres à vente, montrent des signes de retournement haussier. Cette configuration technique suggère que le titre pourrait poursuivre sa progression à court terme, avec un premier objectif vers la borne supérieure des bandes de Bollinger à 3 972 FCFA.</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avec un résultat net de 6,779 milliards FCFA, reflétant une marge nette de 1,49% typique du secteur de distribution pétrolière. Le ROE de 24,01% démontre une excellente rentabilité des capitaux propres (28,239 milliards FCFA), tandis que le ROA de 3,95% reste modéré, caractéristique d'une entreprise à forte intensité capitalistique. La structure financière révèle un BFR négatif de -36,899 milliards FCFA, situation favorable qui indique que TTLS finance son cycle d'exploitation grâce à ses fournisseurs (délai fournisseurs de 97,76 jours contre 47,43 jours pour les clients), et une trésorerie nette positive de 13,941 milliards FCFA. Les rapports trimestriels 2025 montrent une amélioration progressive de la rentabilité opérationnelle (+22% au S1), malgré la baisse du CA liée à l'arrêt du fuel lourd, et le T1 2026 confirme cette tendance avec un résultat net en hausse de 5% à 1,585 milliard FCFA malgré une baisse réglementaire des prix à la pompe. La capacité d'autofinancement de 15,698 milliards FCFA et le free cash-flow de 17,483 milliards FCFA démontrent une excellente génération de liquidités, permettant de couvrir confortablement les investissements et de maintenir une politique de distribution généreuse. Les perspectives restent positives avec le développement des segments GPL, lubrifiants et export, soutenus par la mise en production du champ Sangomar et du GNL.</w:t>
      </w:r>
    </w:p>
    <w:p>
      <w:pPr>
        <w:spacing w:after="120" w:line="276" w:lineRule="auto" w:before="240"/>
      </w:pPr>
      <w:r>
        <w:rPr>
          <w:b/>
          <w:color w:val="003366"/>
          <w:sz w:val="24"/>
        </w:rPr>
        <w:t>**PARTIE 4 : CONCLUSION D'INVESTISSEMENT**</w:t>
      </w:r>
    </w:p>
    <w:p>
      <w:pPr>
        <w:spacing w:after="120" w:line="276" w:lineRule="auto"/>
      </w:pPr>
      <w:r>
        <w:t>La synthèse globale révèle une configuration contrastée mais globalement positive pour TTLS. La valorisation (PER de 18,5x, P/B de 4,45x) apparaît exigeante par rapport aux standards BRVM, intégrant une prime de qualité qui pourrait limiter le potentiel de hausse à court terme. Le comportement du cours sur 100 jours (+14,39%) avec une volatilité élevée de 47,9% témoigne d'un intérêt marqué des investisseurs, soutenu par des statistiques descriptives favorables (skewness positif, distribution symétrique). Les signaux techniques sont majoritairement positifs (MACD en achat, RSI neutre-haussier, stochastique favorable), malgré des moyennes mobiles encore mitigées. Les fondamentaux solides (ROE de 24%, BFR négatif, trésorerie abondante) et la résilience opérationnelle démontrée au T1 2026 (+5% de résultat net malgré la baisse du CA) confirment la qualité défensive du titre. Cependant, les prédictions IA sur 10 jours (3 679 à 3 456 FCFA) suggèrent une correction technique probable de 5 à 10%, indiquant que le marché pourrait avoir besoin de consolider les récents gains. Cette divergence entre les signaux techniques positifs et la prédiction IA à court terme recommande une approche prudente. **Recommandation : CONSERVER**, avec un niveau de confiance Moyen, un risque global Moyen, et un horizon d'investissement optimal à moyen terme (3-12 mois), en attendant une correction technique pour renforcer les positions sur ce leader défensif du marché sénégalais.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501.41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 titres</w:t>
            </w:r>
          </w:p>
        </w:tc>
        <w:tc>
          <w:tcPr>
            <w:tcW w:type="dxa" w:w="2268"/>
            <w:shd w:fill="FFF2CC" w:val="clear"/>
          </w:tcPr>
          <w:p>
            <w:r>
              <w:rPr>
                <w:b/>
                <w:color w:val="503200"/>
                <w:sz w:val="16"/>
              </w:rPr>
              <w:t xml:space="preserve">Cours actuel : </w:t>
            </w:r>
            <w:r>
              <w:rPr>
                <w:color w:val="000000"/>
                <w:sz w:val="17"/>
              </w:rPr>
              <w:t>54,600 FCFA</w:t>
            </w:r>
          </w:p>
          <w:p>
            <w:r>
              <w:rPr>
                <w:b/>
                <w:color w:val="503200"/>
                <w:sz w:val="16"/>
              </w:rPr>
              <w:t xml:space="preserve">Var. 100 jours : </w:t>
            </w:r>
            <w:r>
              <w:rPr>
                <w:b/>
                <w:color w:val="B40000"/>
                <w:sz w:val="17"/>
              </w:rPr>
              <w:t>-15.35%</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6.26% (Moyenne) — μ=56,608 FCFA, σ=3,545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β=0.2802 (Défensif) — Cov=0.000010, Var(idx)=0.000037, ρ=0.044,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22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σ_j=3.88%/j (Modérée) — Vol. annualisée≈61.6%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2026-09-02</w:t>
            </w:r>
          </w:p>
        </w:tc>
        <w:tc>
          <w:tcPr>
            <w:tcW w:type="dxa" w:w="1440"/>
            <w:shd w:fill="FAFAFA" w:val="clear"/>
          </w:tcPr>
          <w:p>
            <w:r>
              <w:rPr>
                <w:sz w:val="17"/>
              </w:rPr>
              <w:t>51,864</w:t>
            </w:r>
          </w:p>
        </w:tc>
        <w:tc>
          <w:tcPr>
            <w:tcW w:type="dxa" w:w="1440"/>
            <w:shd w:fill="FAFAFA" w:val="clear"/>
          </w:tcPr>
          <w:p>
            <w:r>
              <w:rPr>
                <w:b/>
                <w:sz w:val="17"/>
              </w:rPr>
              <w:t>55,241</w:t>
            </w:r>
          </w:p>
        </w:tc>
        <w:tc>
          <w:tcPr>
            <w:tcW w:type="dxa" w:w="1440"/>
            <w:shd w:fill="FAFAFA" w:val="clear"/>
          </w:tcPr>
          <w:p>
            <w:r>
              <w:rPr>
                <w:sz w:val="17"/>
              </w:rPr>
              <w:t>58,617</w:t>
            </w:r>
          </w:p>
        </w:tc>
        <w:tc>
          <w:tcPr>
            <w:tcW w:type="dxa" w:w="1440"/>
            <w:shd w:fill="FAFAFA" w:val="clear"/>
          </w:tcPr>
          <w:p>
            <w:r>
              <w:rPr>
                <w:b/>
                <w:color w:val="008000"/>
                <w:sz w:val="17"/>
              </w:rPr>
              <w:t>+1.2%</w:t>
            </w:r>
          </w:p>
        </w:tc>
      </w:tr>
      <w:tr>
        <w:tc>
          <w:tcPr>
            <w:tcW w:type="dxa" w:w="1440"/>
            <w:shd w:fill="C6EFCE" w:val="clear"/>
          </w:tcPr>
          <w:p>
            <w:r>
              <w:rPr>
                <w:sz w:val="17"/>
              </w:rPr>
              <w:t>J+2  ⭐</w:t>
            </w:r>
          </w:p>
        </w:tc>
        <w:tc>
          <w:tcPr>
            <w:tcW w:type="dxa" w:w="1440"/>
            <w:shd w:fill="C6EFCE" w:val="clear"/>
          </w:tcPr>
          <w:p>
            <w:r>
              <w:rPr>
                <w:sz w:val="17"/>
              </w:rPr>
              <w:t>2026-09-03</w:t>
            </w:r>
          </w:p>
        </w:tc>
        <w:tc>
          <w:tcPr>
            <w:tcW w:type="dxa" w:w="1440"/>
            <w:shd w:fill="C6EFCE" w:val="clear"/>
          </w:tcPr>
          <w:p>
            <w:r>
              <w:rPr>
                <w:sz w:val="17"/>
              </w:rPr>
              <w:t>51,017</w:t>
            </w:r>
          </w:p>
        </w:tc>
        <w:tc>
          <w:tcPr>
            <w:tcW w:type="dxa" w:w="1440"/>
            <w:shd w:fill="C6EFCE" w:val="clear"/>
          </w:tcPr>
          <w:p>
            <w:r>
              <w:rPr>
                <w:b/>
                <w:sz w:val="17"/>
              </w:rPr>
              <w:t>55,844</w:t>
            </w:r>
          </w:p>
        </w:tc>
        <w:tc>
          <w:tcPr>
            <w:tcW w:type="dxa" w:w="1440"/>
            <w:shd w:fill="C6EFCE" w:val="clear"/>
          </w:tcPr>
          <w:p>
            <w:r>
              <w:rPr>
                <w:sz w:val="17"/>
              </w:rPr>
              <w:t>60,672</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2026-09-04</w:t>
            </w:r>
          </w:p>
        </w:tc>
        <w:tc>
          <w:tcPr>
            <w:tcW w:type="dxa" w:w="1440"/>
            <w:shd w:fill="C6EFCE" w:val="clear"/>
          </w:tcPr>
          <w:p>
            <w:r>
              <w:rPr>
                <w:sz w:val="17"/>
              </w:rPr>
              <w:t>50,487</w:t>
            </w:r>
          </w:p>
        </w:tc>
        <w:tc>
          <w:tcPr>
            <w:tcW w:type="dxa" w:w="1440"/>
            <w:shd w:fill="C6EFCE" w:val="clear"/>
          </w:tcPr>
          <w:p>
            <w:r>
              <w:rPr>
                <w:b/>
                <w:sz w:val="17"/>
              </w:rPr>
              <w:t>56,465</w:t>
            </w:r>
          </w:p>
        </w:tc>
        <w:tc>
          <w:tcPr>
            <w:tcW w:type="dxa" w:w="1440"/>
            <w:shd w:fill="C6EFCE" w:val="clear"/>
          </w:tcPr>
          <w:p>
            <w:r>
              <w:rPr>
                <w:sz w:val="17"/>
              </w:rPr>
              <w:t>62,444</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2026-09-07</w:t>
            </w:r>
          </w:p>
        </w:tc>
        <w:tc>
          <w:tcPr>
            <w:tcW w:type="dxa" w:w="1440"/>
            <w:shd w:fill="C6EFCE" w:val="clear"/>
          </w:tcPr>
          <w:p>
            <w:r>
              <w:rPr>
                <w:sz w:val="17"/>
              </w:rPr>
              <w:t>50,117</w:t>
            </w:r>
          </w:p>
        </w:tc>
        <w:tc>
          <w:tcPr>
            <w:tcW w:type="dxa" w:w="1440"/>
            <w:shd w:fill="C6EFCE" w:val="clear"/>
          </w:tcPr>
          <w:p>
            <w:r>
              <w:rPr>
                <w:b/>
                <w:sz w:val="17"/>
              </w:rPr>
              <w:t>57,097</w:t>
            </w:r>
          </w:p>
        </w:tc>
        <w:tc>
          <w:tcPr>
            <w:tcW w:type="dxa" w:w="1440"/>
            <w:shd w:fill="C6EFCE" w:val="clear"/>
          </w:tcPr>
          <w:p>
            <w:r>
              <w:rPr>
                <w:sz w:val="17"/>
              </w:rPr>
              <w:t>64,077</w:t>
            </w:r>
          </w:p>
        </w:tc>
        <w:tc>
          <w:tcPr>
            <w:tcW w:type="dxa" w:w="1440"/>
            <w:shd w:fill="C6EFCE" w:val="clear"/>
          </w:tcPr>
          <w:p>
            <w:r>
              <w:rPr>
                <w:b/>
                <w:color w:val="008000"/>
                <w:sz w:val="17"/>
              </w:rPr>
              <w:t>+4.6%</w:t>
            </w:r>
          </w:p>
        </w:tc>
      </w:tr>
      <w:tr>
        <w:tc>
          <w:tcPr>
            <w:tcW w:type="dxa" w:w="1440"/>
            <w:shd w:fill="C6EFCE" w:val="clear"/>
          </w:tcPr>
          <w:p>
            <w:r>
              <w:rPr>
                <w:sz w:val="17"/>
              </w:rPr>
              <w:t>J+5  ⭐</w:t>
            </w:r>
          </w:p>
        </w:tc>
        <w:tc>
          <w:tcPr>
            <w:tcW w:type="dxa" w:w="1440"/>
            <w:shd w:fill="C6EFCE" w:val="clear"/>
          </w:tcPr>
          <w:p>
            <w:r>
              <w:rPr>
                <w:sz w:val="17"/>
              </w:rPr>
              <w:t>2026-09-08</w:t>
            </w:r>
          </w:p>
        </w:tc>
        <w:tc>
          <w:tcPr>
            <w:tcW w:type="dxa" w:w="1440"/>
            <w:shd w:fill="C6EFCE" w:val="clear"/>
          </w:tcPr>
          <w:p>
            <w:r>
              <w:rPr>
                <w:sz w:val="17"/>
              </w:rPr>
              <w:t>49,845</w:t>
            </w:r>
          </w:p>
        </w:tc>
        <w:tc>
          <w:tcPr>
            <w:tcW w:type="dxa" w:w="1440"/>
            <w:shd w:fill="C6EFCE" w:val="clear"/>
          </w:tcPr>
          <w:p>
            <w:r>
              <w:rPr>
                <w:b/>
                <w:sz w:val="17"/>
              </w:rPr>
              <w:t>57,736</w:t>
            </w:r>
          </w:p>
        </w:tc>
        <w:tc>
          <w:tcPr>
            <w:tcW w:type="dxa" w:w="1440"/>
            <w:shd w:fill="C6EFCE" w:val="clear"/>
          </w:tcPr>
          <w:p>
            <w:r>
              <w:rPr>
                <w:sz w:val="17"/>
              </w:rPr>
              <w:t>65,628</w:t>
            </w:r>
          </w:p>
        </w:tc>
        <w:tc>
          <w:tcPr>
            <w:tcW w:type="dxa" w:w="1440"/>
            <w:shd w:fill="C6EFCE" w:val="clear"/>
          </w:tcPr>
          <w:p>
            <w:r>
              <w:rPr>
                <w:b/>
                <w:color w:val="008000"/>
                <w:sz w:val="17"/>
              </w:rPr>
              <w:t>+5.7%</w:t>
            </w:r>
          </w:p>
        </w:tc>
      </w:tr>
      <w:tr>
        <w:tc>
          <w:tcPr>
            <w:tcW w:type="dxa" w:w="1440"/>
            <w:shd w:fill="C6EFCE" w:val="clear"/>
          </w:tcPr>
          <w:p>
            <w:r>
              <w:rPr>
                <w:sz w:val="17"/>
              </w:rPr>
              <w:t>J+6  ⭐</w:t>
            </w:r>
          </w:p>
        </w:tc>
        <w:tc>
          <w:tcPr>
            <w:tcW w:type="dxa" w:w="1440"/>
            <w:shd w:fill="C6EFCE" w:val="clear"/>
          </w:tcPr>
          <w:p>
            <w:r>
              <w:rPr>
                <w:sz w:val="17"/>
              </w:rPr>
              <w:t>2026-09-09</w:t>
            </w:r>
          </w:p>
        </w:tc>
        <w:tc>
          <w:tcPr>
            <w:tcW w:type="dxa" w:w="1440"/>
            <w:shd w:fill="C6EFCE" w:val="clear"/>
          </w:tcPr>
          <w:p>
            <w:r>
              <w:rPr>
                <w:sz w:val="17"/>
              </w:rPr>
              <w:t>49,640</w:t>
            </w:r>
          </w:p>
        </w:tc>
        <w:tc>
          <w:tcPr>
            <w:tcW w:type="dxa" w:w="1440"/>
            <w:shd w:fill="C6EFCE" w:val="clear"/>
          </w:tcPr>
          <w:p>
            <w:r>
              <w:rPr>
                <w:b/>
                <w:sz w:val="17"/>
              </w:rPr>
              <w:t>58,381</w:t>
            </w:r>
          </w:p>
        </w:tc>
        <w:tc>
          <w:tcPr>
            <w:tcW w:type="dxa" w:w="1440"/>
            <w:shd w:fill="C6EFCE" w:val="clear"/>
          </w:tcPr>
          <w:p>
            <w:r>
              <w:rPr>
                <w:sz w:val="17"/>
              </w:rPr>
              <w:t>67,122</w:t>
            </w:r>
          </w:p>
        </w:tc>
        <w:tc>
          <w:tcPr>
            <w:tcW w:type="dxa" w:w="1440"/>
            <w:shd w:fill="C6EFCE" w:val="clear"/>
          </w:tcPr>
          <w:p>
            <w:r>
              <w:rPr>
                <w:b/>
                <w:color w:val="008000"/>
                <w:sz w:val="17"/>
              </w:rPr>
              <w:t>+6.9%</w:t>
            </w:r>
          </w:p>
        </w:tc>
      </w:tr>
      <w:tr>
        <w:tc>
          <w:tcPr>
            <w:tcW w:type="dxa" w:w="1440"/>
            <w:shd w:fill="C6EFCE" w:val="clear"/>
          </w:tcPr>
          <w:p>
            <w:r>
              <w:rPr>
                <w:sz w:val="17"/>
              </w:rPr>
              <w:t>J+7  ⭐</w:t>
            </w:r>
          </w:p>
        </w:tc>
        <w:tc>
          <w:tcPr>
            <w:tcW w:type="dxa" w:w="1440"/>
            <w:shd w:fill="C6EFCE" w:val="clear"/>
          </w:tcPr>
          <w:p>
            <w:r>
              <w:rPr>
                <w:sz w:val="17"/>
              </w:rPr>
              <w:t>2026-09-10</w:t>
            </w:r>
          </w:p>
        </w:tc>
        <w:tc>
          <w:tcPr>
            <w:tcW w:type="dxa" w:w="1440"/>
            <w:shd w:fill="C6EFCE" w:val="clear"/>
          </w:tcPr>
          <w:p>
            <w:r>
              <w:rPr>
                <w:sz w:val="17"/>
              </w:rPr>
              <w:t>49,483</w:t>
            </w:r>
          </w:p>
        </w:tc>
        <w:tc>
          <w:tcPr>
            <w:tcW w:type="dxa" w:w="1440"/>
            <w:shd w:fill="C6EFCE" w:val="clear"/>
          </w:tcPr>
          <w:p>
            <w:r>
              <w:rPr>
                <w:b/>
                <w:sz w:val="17"/>
              </w:rPr>
              <w:t>59,029</w:t>
            </w:r>
          </w:p>
        </w:tc>
        <w:tc>
          <w:tcPr>
            <w:tcW w:type="dxa" w:w="1440"/>
            <w:shd w:fill="C6EFCE" w:val="clear"/>
          </w:tcPr>
          <w:p>
            <w:r>
              <w:rPr>
                <w:sz w:val="17"/>
              </w:rPr>
              <w:t>68,576</w:t>
            </w:r>
          </w:p>
        </w:tc>
        <w:tc>
          <w:tcPr>
            <w:tcW w:type="dxa" w:w="1440"/>
            <w:shd w:fill="C6EFCE" w:val="clear"/>
          </w:tcPr>
          <w:p>
            <w:r>
              <w:rPr>
                <w:b/>
                <w:color w:val="008000"/>
                <w:sz w:val="17"/>
              </w:rPr>
              <w:t>+8.1%</w:t>
            </w:r>
          </w:p>
        </w:tc>
      </w:tr>
      <w:tr>
        <w:tc>
          <w:tcPr>
            <w:tcW w:type="dxa" w:w="1440"/>
            <w:shd w:fill="C6EFCE" w:val="clear"/>
          </w:tcPr>
          <w:p>
            <w:r>
              <w:rPr>
                <w:sz w:val="17"/>
              </w:rPr>
              <w:t>J+8  ⭐</w:t>
            </w:r>
          </w:p>
        </w:tc>
        <w:tc>
          <w:tcPr>
            <w:tcW w:type="dxa" w:w="1440"/>
            <w:shd w:fill="C6EFCE" w:val="clear"/>
          </w:tcPr>
          <w:p>
            <w:r>
              <w:rPr>
                <w:sz w:val="17"/>
              </w:rPr>
              <w:t>2026-09-11</w:t>
            </w:r>
          </w:p>
        </w:tc>
        <w:tc>
          <w:tcPr>
            <w:tcW w:type="dxa" w:w="1440"/>
            <w:shd w:fill="C6EFCE" w:val="clear"/>
          </w:tcPr>
          <w:p>
            <w:r>
              <w:rPr>
                <w:sz w:val="17"/>
              </w:rPr>
              <w:t>49,363</w:t>
            </w:r>
          </w:p>
        </w:tc>
        <w:tc>
          <w:tcPr>
            <w:tcW w:type="dxa" w:w="1440"/>
            <w:shd w:fill="C6EFCE" w:val="clear"/>
          </w:tcPr>
          <w:p>
            <w:r>
              <w:rPr>
                <w:b/>
                <w:sz w:val="17"/>
              </w:rPr>
              <w:t>59,681</w:t>
            </w:r>
          </w:p>
        </w:tc>
        <w:tc>
          <w:tcPr>
            <w:tcW w:type="dxa" w:w="1440"/>
            <w:shd w:fill="C6EFCE" w:val="clear"/>
          </w:tcPr>
          <w:p>
            <w:r>
              <w:rPr>
                <w:sz w:val="17"/>
              </w:rPr>
              <w:t>69,999</w:t>
            </w:r>
          </w:p>
        </w:tc>
        <w:tc>
          <w:tcPr>
            <w:tcW w:type="dxa" w:w="1440"/>
            <w:shd w:fill="C6EFCE" w:val="clear"/>
          </w:tcPr>
          <w:p>
            <w:r>
              <w:rPr>
                <w:b/>
                <w:color w:val="008000"/>
                <w:sz w:val="17"/>
              </w:rPr>
              <w:t>+9.3%</w:t>
            </w:r>
          </w:p>
        </w:tc>
      </w:tr>
      <w:tr>
        <w:tc>
          <w:tcPr>
            <w:tcW w:type="dxa" w:w="1440"/>
            <w:shd w:fill="C6EFCE" w:val="clear"/>
          </w:tcPr>
          <w:p>
            <w:r>
              <w:rPr>
                <w:sz w:val="17"/>
              </w:rPr>
              <w:t>J+9  ⭐</w:t>
            </w:r>
          </w:p>
        </w:tc>
        <w:tc>
          <w:tcPr>
            <w:tcW w:type="dxa" w:w="1440"/>
            <w:shd w:fill="C6EFCE" w:val="clear"/>
          </w:tcPr>
          <w:p>
            <w:r>
              <w:rPr>
                <w:sz w:val="17"/>
              </w:rPr>
              <w:t>2026-09-14</w:t>
            </w:r>
          </w:p>
        </w:tc>
        <w:tc>
          <w:tcPr>
            <w:tcW w:type="dxa" w:w="1440"/>
            <w:shd w:fill="C6EFCE" w:val="clear"/>
          </w:tcPr>
          <w:p>
            <w:r>
              <w:rPr>
                <w:sz w:val="17"/>
              </w:rPr>
              <w:t>49,271</w:t>
            </w:r>
          </w:p>
        </w:tc>
        <w:tc>
          <w:tcPr>
            <w:tcW w:type="dxa" w:w="1440"/>
            <w:shd w:fill="C6EFCE" w:val="clear"/>
          </w:tcPr>
          <w:p>
            <w:r>
              <w:rPr>
                <w:b/>
                <w:sz w:val="17"/>
              </w:rPr>
              <w:t>60,335</w:t>
            </w:r>
          </w:p>
        </w:tc>
        <w:tc>
          <w:tcPr>
            <w:tcW w:type="dxa" w:w="1440"/>
            <w:shd w:fill="C6EFCE" w:val="clear"/>
          </w:tcPr>
          <w:p>
            <w:r>
              <w:rPr>
                <w:sz w:val="17"/>
              </w:rPr>
              <w:t>71,399</w:t>
            </w:r>
          </w:p>
        </w:tc>
        <w:tc>
          <w:tcPr>
            <w:tcW w:type="dxa" w:w="1440"/>
            <w:shd w:fill="C6EFCE" w:val="clear"/>
          </w:tcPr>
          <w:p>
            <w:r>
              <w:rPr>
                <w:b/>
                <w:color w:val="008000"/>
                <w:sz w:val="17"/>
              </w:rPr>
              <w:t>+10.5%</w:t>
            </w:r>
          </w:p>
        </w:tc>
      </w:tr>
      <w:tr>
        <w:tc>
          <w:tcPr>
            <w:tcW w:type="dxa" w:w="1440"/>
            <w:shd w:fill="C6EFCE" w:val="clear"/>
          </w:tcPr>
          <w:p>
            <w:r>
              <w:rPr>
                <w:sz w:val="17"/>
              </w:rPr>
              <w:t>J+10  ⭐</w:t>
            </w:r>
          </w:p>
        </w:tc>
        <w:tc>
          <w:tcPr>
            <w:tcW w:type="dxa" w:w="1440"/>
            <w:shd w:fill="C6EFCE" w:val="clear"/>
          </w:tcPr>
          <w:p>
            <w:r>
              <w:rPr>
                <w:sz w:val="17"/>
              </w:rPr>
              <w:t>2026-09-15</w:t>
            </w:r>
          </w:p>
        </w:tc>
        <w:tc>
          <w:tcPr>
            <w:tcW w:type="dxa" w:w="1440"/>
            <w:shd w:fill="C6EFCE" w:val="clear"/>
          </w:tcPr>
          <w:p>
            <w:r>
              <w:rPr>
                <w:sz w:val="17"/>
              </w:rPr>
              <w:t>49,202</w:t>
            </w:r>
          </w:p>
        </w:tc>
        <w:tc>
          <w:tcPr>
            <w:tcW w:type="dxa" w:w="1440"/>
            <w:shd w:fill="C6EFCE" w:val="clear"/>
          </w:tcPr>
          <w:p>
            <w:r>
              <w:rPr>
                <w:b/>
                <w:sz w:val="17"/>
              </w:rPr>
              <w:t>60,991</w:t>
            </w:r>
          </w:p>
        </w:tc>
        <w:tc>
          <w:tcPr>
            <w:tcW w:type="dxa" w:w="1440"/>
            <w:shd w:fill="C6EFCE" w:val="clear"/>
          </w:tcPr>
          <w:p>
            <w:r>
              <w:rPr>
                <w:sz w:val="17"/>
              </w:rPr>
              <w:t>72,781</w:t>
            </w:r>
          </w:p>
        </w:tc>
        <w:tc>
          <w:tcPr>
            <w:tcW w:type="dxa" w:w="1440"/>
            <w:shd w:fill="C6EFCE" w:val="clear"/>
          </w:tcPr>
          <w:p>
            <w:r>
              <w:rPr>
                <w:b/>
                <w:color w:val="008000"/>
                <w:sz w:val="17"/>
              </w:rPr>
              <w:t>+11.7%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501,41 milliards FCFA, ce qui en fait une valeur de première importance sur la BRVM, représentant un poids significatif dans l'indice composite. Les ratios de valorisation traditionnels (BPA, PER, P/B, EV/EBITDA) ne sont pas calculables en raison de l'absence de données financières structurées récentes dans la base, ce qui constitue une limite importante pour l'évaluation relative du titre. Cette absence s'explique par la publication tardive des états financiers officiels, les derniers rapports disponibles datant de 2023 et 2024. En l'état, l'investisseur ne peut donc pas déterminer si le marché valorise la société au-dessus ou en dessous de sa valeur comptable, ni comparer le multiple de bénéfices avec la moyenne historique de la BRVM (8-12x). Cette opacité relative renforce la nécessité de s'appuyer sur l'analyse technique et les rapports narratifs disponibles pour appréhender la valeur du titre.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baisse significative de 15,35%, avec une dernière séance en léger repli de 0,36%, clôturant à 54 600 FCFA. Le titre a évolué dans une fourchette large de 50 000 à 69 005 FCFA, illustrant une volatilité marquée et une amplitude de trading de près de 38% entre le plus bas et le plus haut. La moyenne du cours sur la période (56 608 FCFA) est supérieure à la médiane (56 108 FCFA), et le skewness positif de 0,593 indique une asymétrie avec des journées plus fréquentes sous la moyenne, confirmant la pression vendeuse dominante. L'écart-type de 3 563 FCFA, avec un coefficient de variation de 6,3%, révèle une dispersion modérée autour de la moyenne, tandis que le kurtosis de 0,697 (mésokurtique) suggère une distribution proche de la normale, sans risque accru de mouvements extrêmes. La volatilité annualisée de 61,6% classe UNLC comme un titre à très haute volatilité, bien au-delà du seuil de 30% considéré comme élevé, ce qui implique un risque substantiel pour les investisseurs non avertis.</w:t>
      </w:r>
    </w:p>
    <w:p>
      <w:pPr>
        <w:spacing w:after="120" w:line="276" w:lineRule="auto" w:before="240"/>
      </w:pPr>
      <w:r>
        <w:rPr>
          <w:b/>
          <w:color w:val="003366"/>
          <w:sz w:val="24"/>
        </w:rPr>
        <w:t>**PARTIE 2 : ANALYSE TECHNIQUE DÉTAILLÉE**</w:t>
      </w:r>
    </w:p>
    <w:p>
      <w:pPr>
        <w:spacing w:after="120" w:line="276" w:lineRule="auto"/>
      </w:pPr>
      <w:r>
        <w:t>Les moyennes mobiles sur 20 et 50 jours (respectivement 54 345,5 et 54 194,8 FCFA) sont toutes deux inférieures au cours actuel de 54 600 FCFA, ce qui génère un signal d'achat. La configuration haussière est renforcée par le fait que la MM20 est supérieure à la MM50, indiquant un momentum positif à court terme. Le cours évolue au-dessus de ses principaux supports dynamiques, suggérant une possible stabilisation après la phase de correction.</w:t>
      </w:r>
    </w:p>
    <w:p>
      <w:pPr>
        <w:spacing w:after="120" w:line="276" w:lineRule="auto"/>
      </w:pPr>
      <w:r>
        <w:t>Les bandes de Bollinger présentent une largeur importante, avec une borne supérieure à 58 685 FCFA et une borne inférieure à 50 006 FCFA, reflétant une volatilité élevée. Le prix actuel se situe presque exactement à mi-chemin entre les deux bornes, indiquant une position neutre. L'absence de contact avec les bandes suggère que le titre n'est ni suracheté ni survendu, laissant place à une évolution directionnelle potentielle.</w:t>
      </w:r>
    </w:p>
    <w:p>
      <w:pPr>
        <w:spacing w:after="120" w:line="276" w:lineRule="auto"/>
      </w:pPr>
      <w:r>
        <w:t>Le MACD affiche une valeur négative de -48,0, inférieure à sa ligne de signal à 36,8, générant un signal de vente. Cette configuration baissière indique que la dynamique de prix reste négative malgré la stabilisation récente. L'écart négatif entre le MACD et son signal suggère que la pression vendeuse n'est pas totalement résorbée, même si l'amplitude de la divergence s'est réduite.</w:t>
      </w:r>
    </w:p>
    <w:p>
      <w:pPr>
        <w:spacing w:after="120" w:line="276" w:lineRule="auto"/>
      </w:pPr>
      <w:r>
        <w:t>Le RSI s'établit à 50,0, positionné exactement à la frontière neutre entre les zones de surachat et de survente. Cette valeur indique un équilibre entre pression acheteuse et vendeuse, sans signal directionnel fort. Le RSI ne montre ni dynamique haussière ni baissière particulière, confirmant la phase d'indécision du marché.</w:t>
      </w:r>
    </w:p>
    <w:p>
      <w:pPr>
        <w:spacing w:after="120" w:line="276" w:lineRule="auto"/>
      </w:pPr>
      <w:r>
        <w:t>Le stochastique présente un %K à 43,3 et un %D à 31,1, avec le %K au-dessus du %D, suggérant un croisement haussier potentiel. Bien que les deux lignes évoluent en zone neutre, la configuration relative indique un début de momentum positif qui pourrait se confirmer dans les prochaines séances si le %K continue de progresser au-dessus du %D.</w:t>
      </w:r>
    </w:p>
    <w:p>
      <w:pPr>
        <w:spacing w:after="120" w:line="276" w:lineRule="auto"/>
      </w:pPr>
      <w:r>
        <w:t>La convergence des signaux techniques est mitigée : les moyennes mobiles suggèrent un achat, le MACD recommande une vente, tandis que les bandes de Bollinger, le RSI et le stochastique restent neutres. Cette divergence indique une phase de transition incertaine, où le titre cherche une direction après une correction significative. La stabilisation au-dessus des moyennes mobiles est encourageante, mais le MACD négatif tempère cet optimisme. Un signal directionnel clair nécessiterait une sortie des bandes de Bollinger ou un croisement décisif du MACD au-dessus de sa ligne de signal.</w:t>
      </w:r>
    </w:p>
    <w:p>
      <w:pPr>
        <w:spacing w:after="120" w:line="276" w:lineRule="auto" w:before="240"/>
      </w:pPr>
      <w:r>
        <w:rPr>
          <w:b/>
          <w:color w:val="003366"/>
          <w:sz w:val="24"/>
        </w:rPr>
        <w:t>**PARTIE 3 : ANALYSE FONDAMENTALE (SECTION CRITIQUE)**</w:t>
      </w:r>
    </w:p>
    <w:p>
      <w:pPr>
        <w:spacing w:after="120" w:line="276" w:lineRule="auto"/>
      </w:pPr>
      <w:r>
        <w:t>Les données financières structurées officielles ne sont pas disponibles dans la base, mais les rapports narratifs fournissent des informations essentielles. Pour l'exercice 2023 (rapport daté du 31/12/2024), UNLC a réalisé un chiffre d'affaires de 24,34 milliards FCFA, stable par rapport à 2022, avec un bénéfice net de 640 millions FCFA, en nette amélioration après la perte massive de 6,91 milliards FCFA enregistrée en 2022. La marge nette de 2,63% reste toutefois très inférieure à la moyenne sectorielle des biens de consommation (5-10%). Le résultat d'exploitation est repassé positif à +3,34 milliards FCFA en 2023, contre -6,26 milliards en 2022, démontrant un redressement opérationnel significatif. Les capitaux propres demeurent négatifs à -10,66 milliards FCFA, traduisant une structure financière fragile, tandis que les dettes financières s'élèvent à 4,38 milliards FCFA. Les rapports de 2022 (datés du 31/12/2023) confirment une année charnière marquée par une perte de 6,38 milliards FCFA et une marge nette de -26,2%, après la cession de l'activité thé en 2021 qui avait généré un bénéfice exceptionnel de 6,09 milliards FCFA. Aucun dividende n'a été distribué depuis 2021, la priorité étant donnée à la reconstitution des capitaux propres. Sur la base de ces éléments, la société montre des signes de redressement progressif, mais sa rentabilité reste insuffisante pour couvrir les pertes passées et reconstituer durablement ses fonds propres. La recommandation fondamentale s'oriente vers une prudence extrême, avec une situation financière encore précaire nécessitant un suivi rigoureux des prochains exercices.</w:t>
      </w:r>
    </w:p>
    <w:p>
      <w:pPr>
        <w:spacing w:after="120" w:line="276" w:lineRule="auto" w:before="240"/>
      </w:pPr>
      <w:r>
        <w:rPr>
          <w:b/>
          <w:color w:val="003366"/>
          <w:sz w:val="24"/>
        </w:rPr>
        <w:t>**PARTIE 4 : CONCLUSION D'INVESTISSEMENT**</w:t>
      </w:r>
    </w:p>
    <w:p>
      <w:pPr>
        <w:spacing w:after="120" w:line="276" w:lineRule="auto"/>
      </w:pPr>
      <w:r>
        <w:t>La synthèse des analyses fait apparaître une situation contrastée pour UNLC. La valorisation boursière ne peut être appréciée faute de ratios calculables, mais la capitalisation de 501 milliards FCFA paraît élevée au regard des fondamentaux fragiles. Le comportement du cours sur 100 jours est préoccupant avec une baisse de 15,35%, une volatilité annualisée de 61,6% et une distribution statistique indiquant une pression vendeuse persistante, même si le kurtosis mésokurtique écarte un risque de mouvements extrêmes. Les signaux techniques sont partagés : les moyennes mobiles suggèrent un achat, le MACD recommande une vente, et les autres indicateurs restent neutres, traduisant une indécision du marché. Les fondamentaux, bien qu'en amélioration en 2023 après la perte de 2022, demeurent fragiles avec des capitaux propres négatifs et une marge nette de seulement 2,63%. Les prédictions IA pour les 10 prochains jours ouvrables anticipent une progression régulière du cours de 55 241 à 57 736 FCFA, soit une hausse potentielle de 5,7%, ce qui contredit partiellement la tendance baissière récente mais pourrait refléter un rebond technique. Au vu de l'ensemble de ces éléments, la recommandation est **CONSERVER** avec un niveau de confiance **Faible** et un risque global **Élevé**. L'horizon d'investissement optimal serait de **moyen terme (3-12 mois)**, en attendant une confirmation du redressement fondamental, notamment une réduction de l'endettement et un retour à une rentabilité durable supérieure à 5%.</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50.84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13,071 titres</w:t>
            </w:r>
          </w:p>
        </w:tc>
        <w:tc>
          <w:tcPr>
            <w:tcW w:type="dxa" w:w="2268"/>
            <w:shd w:fill="FFF2CC" w:val="clear"/>
          </w:tcPr>
          <w:p>
            <w:r>
              <w:rPr>
                <w:b/>
                <w:color w:val="503200"/>
                <w:sz w:val="16"/>
              </w:rPr>
              <w:t xml:space="preserve">Cours actuel : </w:t>
            </w:r>
            <w:r>
              <w:rPr>
                <w:color w:val="000000"/>
                <w:sz w:val="17"/>
              </w:rPr>
              <w:t>2,450 FCFA</w:t>
            </w:r>
          </w:p>
          <w:p>
            <w:r>
              <w:rPr>
                <w:b/>
                <w:color w:val="503200"/>
                <w:sz w:val="16"/>
              </w:rPr>
              <w:t xml:space="preserve">Var. 100 jours : </w:t>
            </w:r>
            <w:r>
              <w:rPr>
                <w:b/>
                <w:color w:val="007800"/>
                <w:sz w:val="17"/>
              </w:rPr>
              <w:t>+23.74%</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12.32% (Moyenne) — μ=1,905 FCFA, σ=235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β=0.0806 (Défensif) — Cov=0.000003, Var(idx)=0.000037, ρ=0.015,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13,071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2026-09-02</w:t>
            </w:r>
          </w:p>
        </w:tc>
        <w:tc>
          <w:tcPr>
            <w:tcW w:type="dxa" w:w="1440"/>
            <w:shd w:fill="FAFAFA" w:val="clear"/>
          </w:tcPr>
          <w:p>
            <w:r>
              <w:rPr>
                <w:sz w:val="17"/>
              </w:rPr>
              <w:t>2,298</w:t>
            </w:r>
          </w:p>
        </w:tc>
        <w:tc>
          <w:tcPr>
            <w:tcW w:type="dxa" w:w="1440"/>
            <w:shd w:fill="FAFAFA" w:val="clear"/>
          </w:tcPr>
          <w:p>
            <w:r>
              <w:rPr>
                <w:b/>
                <w:sz w:val="17"/>
              </w:rPr>
              <w:t>2,406</w:t>
            </w:r>
          </w:p>
        </w:tc>
        <w:tc>
          <w:tcPr>
            <w:tcW w:type="dxa" w:w="1440"/>
            <w:shd w:fill="FAFAFA" w:val="clear"/>
          </w:tcPr>
          <w:p>
            <w:r>
              <w:rPr>
                <w:sz w:val="17"/>
              </w:rPr>
              <w:t>2,514</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2026-09-03</w:t>
            </w:r>
          </w:p>
        </w:tc>
        <w:tc>
          <w:tcPr>
            <w:tcW w:type="dxa" w:w="1440"/>
            <w:shd w:fill="FFDCE0" w:val="clear"/>
          </w:tcPr>
          <w:p>
            <w:r>
              <w:rPr>
                <w:sz w:val="17"/>
              </w:rPr>
              <w:t>2,241</w:t>
            </w:r>
          </w:p>
        </w:tc>
        <w:tc>
          <w:tcPr>
            <w:tcW w:type="dxa" w:w="1440"/>
            <w:shd w:fill="FFDCE0" w:val="clear"/>
          </w:tcPr>
          <w:p>
            <w:r>
              <w:rPr>
                <w:b/>
                <w:sz w:val="17"/>
              </w:rPr>
              <w:t>2,393</w:t>
            </w:r>
          </w:p>
        </w:tc>
        <w:tc>
          <w:tcPr>
            <w:tcW w:type="dxa" w:w="1440"/>
            <w:shd w:fill="FFDCE0" w:val="clear"/>
          </w:tcPr>
          <w:p>
            <w:r>
              <w:rPr>
                <w:sz w:val="17"/>
              </w:rPr>
              <w:t>2,545</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2026-09-04</w:t>
            </w:r>
          </w:p>
        </w:tc>
        <w:tc>
          <w:tcPr>
            <w:tcW w:type="dxa" w:w="1440"/>
            <w:shd w:fill="FFDCE0" w:val="clear"/>
          </w:tcPr>
          <w:p>
            <w:r>
              <w:rPr>
                <w:sz w:val="17"/>
              </w:rPr>
              <w:t>2,193</w:t>
            </w:r>
          </w:p>
        </w:tc>
        <w:tc>
          <w:tcPr>
            <w:tcW w:type="dxa" w:w="1440"/>
            <w:shd w:fill="FFDCE0" w:val="clear"/>
          </w:tcPr>
          <w:p>
            <w:r>
              <w:rPr>
                <w:b/>
                <w:sz w:val="17"/>
              </w:rPr>
              <w:t>2,378</w:t>
            </w:r>
          </w:p>
        </w:tc>
        <w:tc>
          <w:tcPr>
            <w:tcW w:type="dxa" w:w="1440"/>
            <w:shd w:fill="FFDCE0" w:val="clear"/>
          </w:tcPr>
          <w:p>
            <w:r>
              <w:rPr>
                <w:sz w:val="17"/>
              </w:rPr>
              <w:t>2,562</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2026-09-07</w:t>
            </w:r>
          </w:p>
        </w:tc>
        <w:tc>
          <w:tcPr>
            <w:tcW w:type="dxa" w:w="1440"/>
            <w:shd w:fill="FFDCE0" w:val="clear"/>
          </w:tcPr>
          <w:p>
            <w:r>
              <w:rPr>
                <w:sz w:val="17"/>
              </w:rPr>
              <w:t>2,151</w:t>
            </w:r>
          </w:p>
        </w:tc>
        <w:tc>
          <w:tcPr>
            <w:tcW w:type="dxa" w:w="1440"/>
            <w:shd w:fill="FFDCE0" w:val="clear"/>
          </w:tcPr>
          <w:p>
            <w:r>
              <w:rPr>
                <w:b/>
                <w:sz w:val="17"/>
              </w:rPr>
              <w:t>2,362</w:t>
            </w:r>
          </w:p>
        </w:tc>
        <w:tc>
          <w:tcPr>
            <w:tcW w:type="dxa" w:w="1440"/>
            <w:shd w:fill="FFDCE0" w:val="clear"/>
          </w:tcPr>
          <w:p>
            <w:r>
              <w:rPr>
                <w:sz w:val="17"/>
              </w:rPr>
              <w:t>2,574</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2026-09-08</w:t>
            </w:r>
          </w:p>
        </w:tc>
        <w:tc>
          <w:tcPr>
            <w:tcW w:type="dxa" w:w="1440"/>
            <w:shd w:fill="FFDCE0" w:val="clear"/>
          </w:tcPr>
          <w:p>
            <w:r>
              <w:rPr>
                <w:sz w:val="17"/>
              </w:rPr>
              <w:t>2,113</w:t>
            </w:r>
          </w:p>
        </w:tc>
        <w:tc>
          <w:tcPr>
            <w:tcW w:type="dxa" w:w="1440"/>
            <w:shd w:fill="FFDCE0" w:val="clear"/>
          </w:tcPr>
          <w:p>
            <w:r>
              <w:rPr>
                <w:b/>
                <w:sz w:val="17"/>
              </w:rPr>
              <w:t>2,348</w:t>
            </w:r>
          </w:p>
        </w:tc>
        <w:tc>
          <w:tcPr>
            <w:tcW w:type="dxa" w:w="1440"/>
            <w:shd w:fill="FFDCE0" w:val="clear"/>
          </w:tcPr>
          <w:p>
            <w:r>
              <w:rPr>
                <w:sz w:val="17"/>
              </w:rPr>
              <w:t>2,583</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2026-09-09</w:t>
            </w:r>
          </w:p>
        </w:tc>
        <w:tc>
          <w:tcPr>
            <w:tcW w:type="dxa" w:w="1440"/>
            <w:shd w:fill="FFDCE0" w:val="clear"/>
          </w:tcPr>
          <w:p>
            <w:r>
              <w:rPr>
                <w:sz w:val="17"/>
              </w:rPr>
              <w:t>2,078</w:t>
            </w:r>
          </w:p>
        </w:tc>
        <w:tc>
          <w:tcPr>
            <w:tcW w:type="dxa" w:w="1440"/>
            <w:shd w:fill="FFDCE0" w:val="clear"/>
          </w:tcPr>
          <w:p>
            <w:r>
              <w:rPr>
                <w:b/>
                <w:sz w:val="17"/>
              </w:rPr>
              <w:t>2,334</w:t>
            </w:r>
          </w:p>
        </w:tc>
        <w:tc>
          <w:tcPr>
            <w:tcW w:type="dxa" w:w="1440"/>
            <w:shd w:fill="FFDCE0" w:val="clear"/>
          </w:tcPr>
          <w:p>
            <w:r>
              <w:rPr>
                <w:sz w:val="17"/>
              </w:rPr>
              <w:t>2,590</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2026-09-10</w:t>
            </w:r>
          </w:p>
        </w:tc>
        <w:tc>
          <w:tcPr>
            <w:tcW w:type="dxa" w:w="1440"/>
            <w:shd w:fill="FFDCE0" w:val="clear"/>
          </w:tcPr>
          <w:p>
            <w:r>
              <w:rPr>
                <w:sz w:val="17"/>
              </w:rPr>
              <w:t>2,045</w:t>
            </w:r>
          </w:p>
        </w:tc>
        <w:tc>
          <w:tcPr>
            <w:tcW w:type="dxa" w:w="1440"/>
            <w:shd w:fill="FFDCE0" w:val="clear"/>
          </w:tcPr>
          <w:p>
            <w:r>
              <w:rPr>
                <w:b/>
                <w:sz w:val="17"/>
              </w:rPr>
              <w:t>2,320</w:t>
            </w:r>
          </w:p>
        </w:tc>
        <w:tc>
          <w:tcPr>
            <w:tcW w:type="dxa" w:w="1440"/>
            <w:shd w:fill="FFDCE0" w:val="clear"/>
          </w:tcPr>
          <w:p>
            <w:r>
              <w:rPr>
                <w:sz w:val="17"/>
              </w:rPr>
              <w:t>2,595</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2026-09-11</w:t>
            </w:r>
          </w:p>
        </w:tc>
        <w:tc>
          <w:tcPr>
            <w:tcW w:type="dxa" w:w="1440"/>
            <w:shd w:fill="FFDCE0" w:val="clear"/>
          </w:tcPr>
          <w:p>
            <w:r>
              <w:rPr>
                <w:sz w:val="17"/>
              </w:rPr>
              <w:t>2,014</w:t>
            </w:r>
          </w:p>
        </w:tc>
        <w:tc>
          <w:tcPr>
            <w:tcW w:type="dxa" w:w="1440"/>
            <w:shd w:fill="FFDCE0" w:val="clear"/>
          </w:tcPr>
          <w:p>
            <w:r>
              <w:rPr>
                <w:b/>
                <w:sz w:val="17"/>
              </w:rPr>
              <w:t>2,306</w:t>
            </w:r>
          </w:p>
        </w:tc>
        <w:tc>
          <w:tcPr>
            <w:tcW w:type="dxa" w:w="1440"/>
            <w:shd w:fill="FFDCE0" w:val="clear"/>
          </w:tcPr>
          <w:p>
            <w:r>
              <w:rPr>
                <w:sz w:val="17"/>
              </w:rPr>
              <w:t>2,598</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2026-09-14</w:t>
            </w:r>
          </w:p>
        </w:tc>
        <w:tc>
          <w:tcPr>
            <w:tcW w:type="dxa" w:w="1440"/>
            <w:shd w:fill="FFDCE0" w:val="clear"/>
          </w:tcPr>
          <w:p>
            <w:r>
              <w:rPr>
                <w:sz w:val="17"/>
              </w:rPr>
              <w:t>1,984</w:t>
            </w:r>
          </w:p>
        </w:tc>
        <w:tc>
          <w:tcPr>
            <w:tcW w:type="dxa" w:w="1440"/>
            <w:shd w:fill="FFDCE0" w:val="clear"/>
          </w:tcPr>
          <w:p>
            <w:r>
              <w:rPr>
                <w:b/>
                <w:sz w:val="17"/>
              </w:rPr>
              <w:t>2,292</w:t>
            </w:r>
          </w:p>
        </w:tc>
        <w:tc>
          <w:tcPr>
            <w:tcW w:type="dxa" w:w="1440"/>
            <w:shd w:fill="FFDCE0" w:val="clear"/>
          </w:tcPr>
          <w:p>
            <w:r>
              <w:rPr>
                <w:sz w:val="17"/>
              </w:rPr>
              <w:t>2,601</w:t>
            </w:r>
          </w:p>
        </w:tc>
        <w:tc>
          <w:tcPr>
            <w:tcW w:type="dxa" w:w="1440"/>
            <w:shd w:fill="FFDCE0" w:val="clear"/>
          </w:tcPr>
          <w:p>
            <w:r>
              <w:rPr>
                <w:b/>
                <w:color w:val="C00000"/>
                <w:sz w:val="17"/>
              </w:rPr>
              <w:t>-6.4%</w:t>
            </w:r>
          </w:p>
        </w:tc>
      </w:tr>
      <w:tr>
        <w:tc>
          <w:tcPr>
            <w:tcW w:type="dxa" w:w="1440"/>
            <w:shd w:fill="FFDCE0" w:val="clear"/>
          </w:tcPr>
          <w:p>
            <w:r>
              <w:rPr>
                <w:sz w:val="17"/>
              </w:rPr>
              <w:t>J+10  ⭐</w:t>
            </w:r>
          </w:p>
        </w:tc>
        <w:tc>
          <w:tcPr>
            <w:tcW w:type="dxa" w:w="1440"/>
            <w:shd w:fill="FFDCE0" w:val="clear"/>
          </w:tcPr>
          <w:p>
            <w:r>
              <w:rPr>
                <w:sz w:val="17"/>
              </w:rPr>
              <w:t>2026-09-15</w:t>
            </w:r>
          </w:p>
        </w:tc>
        <w:tc>
          <w:tcPr>
            <w:tcW w:type="dxa" w:w="1440"/>
            <w:shd w:fill="FFDCE0" w:val="clear"/>
          </w:tcPr>
          <w:p>
            <w:r>
              <w:rPr>
                <w:sz w:val="17"/>
              </w:rPr>
              <w:t>1,956</w:t>
            </w:r>
          </w:p>
        </w:tc>
        <w:tc>
          <w:tcPr>
            <w:tcW w:type="dxa" w:w="1440"/>
            <w:shd w:fill="FFDCE0" w:val="clear"/>
          </w:tcPr>
          <w:p>
            <w:r>
              <w:rPr>
                <w:b/>
                <w:sz w:val="17"/>
              </w:rPr>
              <w:t>2,279</w:t>
            </w:r>
          </w:p>
        </w:tc>
        <w:tc>
          <w:tcPr>
            <w:tcW w:type="dxa" w:w="1440"/>
            <w:shd w:fill="FFDCE0" w:val="clear"/>
          </w:tcPr>
          <w:p>
            <w:r>
              <w:rPr>
                <w:sz w:val="17"/>
              </w:rPr>
              <w:t>2,602</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50,84 milliards FCFA, ce qui la positionne comme une valeur de taille moyenne sur la BRVM. Le BPA est négatif à -105 FCFA, reflétant la perte nette de l'exercice 2024, ce qui rend le PER non significatif (-23,2x). En revanche, le P/B de 3,26x indique que le marché valorise l'actif net de la société avec une prime substantielle, signe que les investisseurs anticipent une amélioration future de la rentabilité. Le ratio EV/EBITDA n'est pas calculable en raison de l'EBITDA négatif sur l'exercice 2024. Cette valorisation boursière est donc essentiellement portée par des anticipations de redressement, d'autant que le PER moyen de la BRVM se situe entre 8 et 12x pour les sociétés bénéficiaires.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affiche une progression spectaculaire de +23,74%, avec une dernière séance en hausse de +0,41% à 2 450 FCFA. Le cours a évolué dans une fourchette très large, allant d'un plus bas de 1 250 FCFA à un plus haut de 2 495 FCFA, illustrant un mouvement haussier puissant. La moyenne (1 905 FCFA) et la médiane (1 900 FCFA) sont quasi identiques, indiquant une distribution symétrique des prix, confirmée par un skewness de 0,231. L'écart-type de 236 FCFA (CV = 12,4%) montre une dispersion modérée autour de la moyenne. Le kurtosis excédentaire de 1,772 signale une distribution leptokurtique, avec des queues épaisses, suggérant un risque de mouvements extrêmes. Enfin, la volatilité annualisée de 51,0% classe UNXC comme un actif à très haute volatilité, typique des valeurs en phase de retournement.</w:t>
      </w:r>
    </w:p>
    <w:p>
      <w:pPr>
        <w:spacing w:after="120" w:line="276" w:lineRule="auto" w:before="240"/>
      </w:pPr>
      <w:r>
        <w:rPr>
          <w:b/>
          <w:color w:val="003366"/>
          <w:sz w:val="24"/>
        </w:rPr>
        <w:t>**PARTIE 2 : ANALYSE TECHNIQUE DÉTAILLÉE**</w:t>
      </w:r>
    </w:p>
    <w:p>
      <w:pPr>
        <w:spacing w:after="120" w:line="276" w:lineRule="auto"/>
      </w:pPr>
      <w:r>
        <w:t>**Moyennes Mobiles** : Le cours actuel (2 450 FCFA) évolue nettement au-dessus de la MM20 (2 183,25 FCFA) et de la MM50 (1 921,1 FCFA), confirmant une tendance haussière solide à court et moyen terme. La configuration haussière des MM justifie la décision d'achat, le titre étant dans une phase de dynamique positive.</w:t>
      </w:r>
    </w:p>
    <w:p>
      <w:pPr>
        <w:spacing w:after="120" w:line="276" w:lineRule="auto"/>
      </w:pPr>
      <w:r>
        <w:t>**Bandes de Bollinger** : Le cours se situe sous la borne supérieure (2 700,68 FCFA) mais au-dessus de la borne inférieure (1 665,82 FCFA), avec un écartement des bandes qui reflète la volatilité élevée. La position du prix dans la partie haute des bandes indique une pression acheteuse, mais sans atteindre la zone d'extension excessive, d'où une décision neutre.</w:t>
      </w:r>
    </w:p>
    <w:p>
      <w:pPr>
        <w:spacing w:after="120" w:line="276" w:lineRule="auto"/>
      </w:pPr>
      <w:r>
        <w:t>**MACD** : La ligne MACD (167,48) est au-dessus de sa ligne de signal (150,52), confirmant un momentum haussier. L'écart positif entre les deux lignes indique que la dynamique d'achat reste soutenue, justifiant la décision d'achat.</w:t>
      </w:r>
    </w:p>
    <w:p>
      <w:pPr>
        <w:spacing w:after="120" w:line="276" w:lineRule="auto"/>
      </w:pPr>
      <w:r>
        <w:t>**RSI** : Le RSI s'établit à 85,26, très au-dessus du seuil de surachat de 70. Cette valeur extrême signale une pression d'achat excessive et un risque élevé de correction technique à court terme, d'où la décision de vente.</w:t>
      </w:r>
    </w:p>
    <w:p>
      <w:pPr>
        <w:spacing w:after="120" w:line="276" w:lineRule="auto"/>
      </w:pPr>
      <w:r>
        <w:t>**Stochastique** : Le %K (92,11) et le %D (92,05) sont tous deux en zone de surachat profond, sans signe de croisement baissier. Cette configuration indique que le mouvement haussier est arrivé à maturité, justifiant la décision de vente.</w:t>
      </w:r>
    </w:p>
    <w:p>
      <w:pPr>
        <w:spacing w:after="120" w:line="276" w:lineRule="auto"/>
      </w:pPr>
      <w:r>
        <w:t>**Conclusion technique** : Les indicateurs de tendance (MM, MACD) sont haussiers, mais les oscillateurs (RSI, Stochastique) sont en zone de surachat extrême. Cette divergence signale un risque élevé de consolidation ou de correction à court terme, malgré la tendance de fond positive.</w:t>
      </w:r>
    </w:p>
    <w:p>
      <w:pPr>
        <w:spacing w:after="120" w:line="276" w:lineRule="auto" w:before="240"/>
      </w:pPr>
      <w:r>
        <w:rPr>
          <w:b/>
          <w:color w:val="003366"/>
          <w:sz w:val="24"/>
        </w:rPr>
        <w:t>**PARTIE 3 : ANALYSE FONDAMENTALE (SECTION CRITIQUE)**</w:t>
      </w:r>
    </w:p>
    <w:p>
      <w:pPr>
        <w:spacing w:after="120" w:line="276" w:lineRule="auto"/>
      </w:pPr>
      <w:r>
        <w:t>En 2024, UNXC a réalisé un chiffre d'affaires de 27,33 milliards FCFA, en croissance de 15,4% par rapport à 2023, mais a enregistré une perte nette de -2,19 milliards FCFA, contre un bénéfice de 4,19 milliards en 2023 selon les états financiers. La marge nette est négative à -8,01%, le ROE à -14,04% et le ROA à -6,39%, reflétant une rentabilité dégradée. Le BFR s'établit à 2,15 milliards FCFA, avec un délai clients de 51 jours et un délai fournisseurs très favorable de 268 jours. Pour 2025, les rapports trimestriels montrent un redressement spectaculaire : le CA S1 2025 atteint 15,71 milliards FCFA (+12,5%), avec un bénéfice net de 8,22 milliards, mais intégralement dû à la cession-bail du terrain (produit exceptionnel de 9,99 milliards). Le résultat des activités ordinaires reste déficitaire à -330 millions. Le rapport du 3e trimestre 2025 confirme cette tendance avec un CA cumulé de 22,47 milliards (+13%) et un résultat net de 8,14 milliards, toujours porté par l'exceptionnel. Enfin, le rapport S1 2026 marque un tournant décisif : le résultat d'exploitation redevient positif à 771 millions FCFA, contre -314 millions au S1 2025, avec un résultat net de 771 millions, désormais sans éléments exceptionnels. Le rapport annuel 2025 indique un EBE positif de 1,13 milliard et une perte réduite à -624 millions. On estime que l'exercice 2026 pourrait confirmer le retour à une rentabilité opérationnelle durable, soutenue par la croissance des exportations.</w:t>
      </w:r>
    </w:p>
    <w:p>
      <w:pPr>
        <w:spacing w:after="120" w:line="276" w:lineRule="auto" w:before="240"/>
      </w:pPr>
      <w:r>
        <w:rPr>
          <w:b/>
          <w:color w:val="003366"/>
          <w:sz w:val="24"/>
        </w:rPr>
        <w:t>**PARTIE 4 : CONCLUSION D'INVESTISSEMENT**</w:t>
      </w:r>
    </w:p>
    <w:p>
      <w:pPr>
        <w:spacing w:after="120" w:line="276" w:lineRule="auto"/>
      </w:pPr>
      <w:r>
        <w:t>La valorisation d'UNXC (P/B de 3,26x) intègre déjà un scénario de redressement, mais le comportement du cours (+23,74% sur 100 jours) et la volatilité élevée (51%) montrent un intérêt marqué des investisseurs. Les signaux techniques sont partagés : la tendance de fond est haussière (MM, MACD), mais les oscillateurs en surachat extrême (RSI 85,26, Stochastique 92%) suggèrent un risque de correction à court terme. Les fondamentaux, eux, racontent une histoire de transformation réussie : après une perte de 2,19 milliards en 2024, la société est redevenue bénéficiaire en exploitation au S1 2026 (771 millions), avec un EBE positif en 2025. Les prédictions IA pour les 10 prochains jours (baisse de 2 406 à 2 348 FCFA) confirment le scénario d'une consolidation technique après la forte hausse. La convergence entre l'amélioration fondamentale réelle et la prudence technique plaide pour une stratégie d'accumulation progressive. Recommandation finale : **ACHAT**, avec un niveau de confiance **Moyen** et un risque global **Élevé** en raison de la volatilité. L'horizon d'investissement optimal est le **moyen terme (3-12 mois)**, pour capitaliser sur la confirmation du redressement opérationnel tout en laissant le temps à la correction technique de se résorber.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