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22/08/2026 à 04:53</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LNBB  (score 79/100)</w:t>
      </w:r>
    </w:p>
    <w:p>
      <w:pPr>
        <w:spacing w:before="20" w:after="20"/>
        <w:ind w:left="360" w:right="360"/>
        <w:shd w:val="clear" w:color="auto" w:fill="EBF5FB"/>
      </w:pPr>
      <w:r>
        <w:rPr>
          <w:b/>
          <w:sz w:val="19"/>
        </w:rPr>
        <w:t xml:space="preserve">Secteur surperformant :  </w:t>
      </w:r>
      <w:r>
        <w:rPr>
          <w:color w:val="008000"/>
          <w:sz w:val="19"/>
        </w:rPr>
        <w:t>SERVICES PUBLICS  (+87.5%)</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19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529.15 points </w:t>
      </w:r>
      <w:r>
        <w:rPr>
          <w:color w:val="008000"/>
        </w:rPr>
        <w:t>(+1.84%)</w:t>
      </w:r>
      <w:r>
        <w:t xml:space="preserve"> sur la séance. </w:t>
      </w:r>
      <w:r>
        <w:t>La capitalisation globale du marché atteint 2 040,458 milliards FCFA.</w:t>
      </w:r>
    </w:p>
    <w:p/>
    <w:p>
      <w:pPr>
        <w:pStyle w:val="Heading3"/>
      </w:pPr>
      <w:r>
        <w:t>📊 Évolution de l'indice BRVM Composite (100 derniers jours)</w:t>
      </w:r>
    </w:p>
    <w:p>
      <w:r>
        <w:rPr>
          <w:b/>
        </w:rPr>
        <w:t xml:space="preserve">BRVM Composite — </w:t>
      </w:r>
      <w:r>
        <w:t xml:space="preserve">Sur les 100 derniers jours de cotation (2026-03-27 au 2026-08-21), l'indice BRVM Composite a évolué de </w:t>
      </w:r>
      <w:r>
        <w:rPr>
          <w:b/>
          <w:color w:val="008000"/>
        </w:rPr>
        <w:t>+30.27%</w:t>
      </w:r>
      <w:r>
        <w:t>, passant de 406.18 pts à 529.15 pts. Le plus haut atteint est 529.15 pts et le plus bas 397.33 pts. Sur l'ensemble de la période, la moyenne de l'indice s'établit à 442.78 pts, la médiane à 436.64 pts et le mode à 403.36 pts</w:t>
      </w:r>
      <w:r>
        <w:t xml:space="preserve"> (asymétrie positive — plus de jours sous la moyenne). </w:t>
      </w:r>
      <w:r>
        <w:t xml:space="preserve">L'écart-type de 35.53 pts (CV=8.0%) traduit une modérée dispersion des cotations. Le kurtosis de -1.06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-86.97%</w:t>
      </w:r>
      <w:r>
        <w:t xml:space="preserve"> sur la période, passant de 15 660,630 Mds FCFA à 2 040,458 Mds FCFA. Le pic de capitalisation observé est de 19 886,911 Mds FCFA et le plancher de 2 003,618 Mds FCFA. La moyenne de la capitalisation sur la période s'établit à 16 700,785 Mds FCFA, la médiane à 16 816,942 Mds FCFA et le mode à 2 003,618 Mds FCFA</w:t>
      </w:r>
      <w:r>
        <w:t xml:space="preserve"> (asymétrie négative). </w:t>
      </w:r>
      <w:r>
        <w:t>L'écart-type de 2 470,674 Mds FCFA (CV=14.8%) reflète une modérée variabilité de la valorisation du marché. Le kurtosis de 22.61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NSBC - NSBC - NSIA BANQUE COTE D'IVOIRE</w:t>
      </w:r>
      <w:r>
        <w:t xml:space="preserve"> | Prix: 22900 FCFA | </w:t>
      </w:r>
      <w:r>
        <w:rPr>
          <w:b/>
          <w:color w:val="008000"/>
        </w:rPr>
        <w:t>ACHAT FORT</w:t>
      </w:r>
      <w:r>
        <w:t xml:space="preserve"> | Confiance: Élevée | Risque: Moyen</w:t>
      </w:r>
    </w:p>
    <w:p>
      <w:pPr>
        <w:pStyle w:val="ListNumber"/>
      </w:pPr>
      <w:r>
        <w:rPr>
          <w:b/>
        </w:rPr>
        <w:t>ABJC - ABJC - SERVAIR ABIDJAN CI</w:t>
      </w:r>
      <w:r>
        <w:t xml:space="preserve"> | Prix: 3350 FCFA | </w:t>
      </w:r>
      <w:r>
        <w:rPr>
          <w:b/>
          <w:color w:val="008000"/>
        </w:rPr>
        <w:t>ACHAT</w:t>
      </w:r>
      <w:r>
        <w:t xml:space="preserve"> | Confiance: Faible | Risque: Faible</w:t>
      </w:r>
    </w:p>
    <w:p>
      <w:pPr>
        <w:pStyle w:val="ListNumber"/>
      </w:pPr>
      <w:r>
        <w:rPr>
          <w:b/>
        </w:rPr>
        <w:t>BICB - BIIC BN - Banque internationale pour le commerce du benin</w:t>
      </w:r>
      <w:r>
        <w:t xml:space="preserve"> | Prix: 8200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28800 FCFA | </w:t>
      </w:r>
      <w:r>
        <w:rPr>
          <w:b/>
          <w:color w:val="008000"/>
        </w:rPr>
        <w:t>ACHAT</w:t>
      </w:r>
      <w:r>
        <w:t xml:space="preserve"> | Confiance: Moyen | Risque: Moyen</w:t>
      </w:r>
    </w:p>
    <w:p>
      <w:pPr>
        <w:pStyle w:val="ListNumber"/>
      </w:pPr>
      <w:r>
        <w:rPr>
          <w:b/>
        </w:rPr>
        <w:t>BNBC - BNBC - BERNABE CI</w:t>
      </w:r>
      <w:r>
        <w:t xml:space="preserve"> | Prix: 1990 FCFA | </w:t>
      </w:r>
      <w:r>
        <w:rPr>
          <w:b/>
          <w:color w:val="008000"/>
        </w:rPr>
        <w:t>ACHAT</w:t>
      </w:r>
      <w:r>
        <w:t xml:space="preserve"> | Confiance: Moyen | Risque: Moyen</w:t>
      </w:r>
    </w:p>
    <w:p>
      <w:pPr>
        <w:pStyle w:val="ListNumber"/>
      </w:pPr>
      <w:r>
        <w:rPr>
          <w:b/>
        </w:rPr>
        <w:t>BOAB - BANK OF AFRICA BENIN</w:t>
      </w:r>
      <w:r>
        <w:t xml:space="preserve"> | Prix: 9985 FCFA | </w:t>
      </w:r>
      <w:r>
        <w:rPr>
          <w:b/>
          <w:color w:val="008000"/>
        </w:rPr>
        <w:t>ACHAT</w:t>
      </w:r>
      <w:r>
        <w:t xml:space="preserve"> | Confiance: Faible | Risque: Moyen</w:t>
      </w:r>
    </w:p>
    <w:p>
      <w:pPr>
        <w:pStyle w:val="ListNumber"/>
      </w:pPr>
      <w:r>
        <w:rPr>
          <w:b/>
        </w:rPr>
        <w:t>BOABF - BANK OF AFRICA BURKINA FASO</w:t>
      </w:r>
      <w:r>
        <w:t xml:space="preserve"> | Prix: 7600 FCFA | </w:t>
      </w:r>
      <w:r>
        <w:rPr>
          <w:b/>
          <w:color w:val="008000"/>
        </w:rPr>
        <w:t>ACHAT</w:t>
      </w:r>
      <w:r>
        <w:t xml:space="preserve"> | Confiance: Faible | Risque: Faible</w:t>
      </w:r>
    </w:p>
    <w:p>
      <w:pPr>
        <w:pStyle w:val="ListNumber"/>
      </w:pPr>
      <w:r>
        <w:rPr>
          <w:b/>
        </w:rPr>
        <w:t>BOAC - BANK OF AFRICA COTE D'IVOIRE</w:t>
      </w:r>
      <w:r>
        <w:t xml:space="preserve"> | Prix: 12985 FCFA | </w:t>
      </w:r>
      <w:r>
        <w:rPr>
          <w:b/>
          <w:color w:val="008000"/>
        </w:rPr>
        <w:t>ACHAT</w:t>
      </w:r>
      <w:r>
        <w:t xml:space="preserve"> | Confiance: Élevée | Risque: Faible</w:t>
      </w:r>
    </w:p>
    <w:p>
      <w:pPr>
        <w:pStyle w:val="ListNumber"/>
      </w:pPr>
      <w:r>
        <w:rPr>
          <w:b/>
        </w:rPr>
        <w:t>BOAM - BANK OF AFRICA MALI</w:t>
      </w:r>
      <w:r>
        <w:t xml:space="preserve"> | Prix: 6490 FCFA | </w:t>
      </w:r>
      <w:r>
        <w:rPr>
          <w:b/>
          <w:color w:val="008000"/>
        </w:rPr>
        <w:t>ACHAT</w:t>
      </w:r>
      <w:r>
        <w:t xml:space="preserve"> | Confiance: Moyen | Risque: Faible</w:t>
      </w:r>
    </w:p>
    <w:p>
      <w:pPr>
        <w:pStyle w:val="ListNumber"/>
      </w:pPr>
      <w:r>
        <w:rPr>
          <w:b/>
        </w:rPr>
        <w:t>BOAN - BANK OF AFRICA NIGER</w:t>
      </w:r>
      <w:r>
        <w:t xml:space="preserve"> | Prix: 5280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87.48%</w:t>
      </w:r>
      <w:r>
        <w:t xml:space="preserve">  |  </w:t>
      </w:r>
      <w:r>
        <w:rPr>
          <w:b/>
        </w:rPr>
        <w:t xml:space="preserve">vs BRVM Composite: </w:t>
      </w:r>
      <w:r>
        <w:rPr>
          <w:b/>
          <w:color w:val="008000"/>
        </w:rPr>
        <w:t>+57.21%  🟢 Surperformance</w:t>
      </w:r>
      <w:r>
        <w:br/>
      </w:r>
      <w:r>
        <w:rPr>
          <w:b/>
        </w:rPr>
        <w:t xml:space="preserve">Sentiment général: </w:t>
      </w:r>
      <w:r>
        <w:t xml:space="preserve">ACHAT  |  </w:t>
      </w:r>
      <w:r>
        <w:rPr>
          <w:b/>
        </w:rPr>
        <w:t xml:space="preserve">Risque moyen: </w:t>
      </w:r>
      <w:r>
        <w:t xml:space="preserve">Moyen  |  </w:t>
      </w:r>
      <w:r>
        <w:rPr>
          <w:b/>
        </w:rPr>
        <w:t xml:space="preserve">Prix moyen: </w:t>
      </w:r>
      <w:r>
        <w:t>9522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41.35%</w:t>
      </w:r>
      <w:r>
        <w:t xml:space="preserve">  |  </w:t>
      </w:r>
      <w:r>
        <w:rPr>
          <w:b/>
        </w:rPr>
        <w:t xml:space="preserve">vs BRVM Composite: </w:t>
      </w:r>
      <w:r>
        <w:rPr>
          <w:b/>
          <w:color w:val="008000"/>
        </w:rPr>
        <w:t>+11.08%  🟢 Surperformance</w:t>
      </w:r>
      <w:r>
        <w:br/>
      </w:r>
      <w:r>
        <w:rPr>
          <w:b/>
        </w:rPr>
        <w:t xml:space="preserve">Sentiment général: </w:t>
      </w:r>
      <w:r>
        <w:t xml:space="preserve">ACHAT  |  </w:t>
      </w:r>
      <w:r>
        <w:rPr>
          <w:b/>
        </w:rPr>
        <w:t xml:space="preserve">Risque moyen: </w:t>
      </w:r>
      <w:r>
        <w:t xml:space="preserve">Moyen  |  </w:t>
      </w:r>
      <w:r>
        <w:rPr>
          <w:b/>
        </w:rPr>
        <w:t xml:space="preserve">Prix moyen: </w:t>
      </w:r>
      <w:r>
        <w:t>13383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33.27%</w:t>
      </w:r>
      <w:r>
        <w:t xml:space="preserve">  |  </w:t>
      </w:r>
      <w:r>
        <w:rPr>
          <w:b/>
        </w:rPr>
        <w:t xml:space="preserve">vs BRVM Composite: </w:t>
      </w:r>
      <w:r>
        <w:rPr>
          <w:b/>
          <w:color w:val="008000"/>
        </w:rPr>
        <w:t>+2.99%  🟢 Surperformance</w:t>
      </w:r>
      <w:r>
        <w:br/>
      </w:r>
      <w:r>
        <w:rPr>
          <w:b/>
        </w:rPr>
        <w:t xml:space="preserve">Sentiment général: </w:t>
      </w:r>
      <w:r>
        <w:t xml:space="preserve">ACHAT  |  </w:t>
      </w:r>
      <w:r>
        <w:rPr>
          <w:b/>
        </w:rPr>
        <w:t xml:space="preserve">Risque moyen: </w:t>
      </w:r>
      <w:r>
        <w:t xml:space="preserve">Moyen  |  </w:t>
      </w:r>
      <w:r>
        <w:rPr>
          <w:b/>
        </w:rPr>
        <w:t xml:space="preserve">Prix moyen: </w:t>
      </w:r>
      <w:r>
        <w:t>18709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21.79%</w:t>
      </w:r>
      <w:r>
        <w:t xml:space="preserve">  |  </w:t>
      </w:r>
      <w:r>
        <w:rPr>
          <w:b/>
        </w:rPr>
        <w:t xml:space="preserve">vs BRVM Composite: </w:t>
      </w:r>
      <w:r>
        <w:rPr>
          <w:b/>
          <w:color w:val="C00000"/>
        </w:rPr>
        <w:t>-8.49%  🔴 Sous-performance</w:t>
      </w:r>
      <w:r>
        <w:br/>
      </w:r>
      <w:r>
        <w:rPr>
          <w:b/>
        </w:rPr>
        <w:t xml:space="preserve">Sentiment général: </w:t>
      </w:r>
      <w:r>
        <w:t xml:space="preserve">ACHAT  |  </w:t>
      </w:r>
      <w:r>
        <w:rPr>
          <w:b/>
        </w:rPr>
        <w:t xml:space="preserve">Risque moyen: </w:t>
      </w:r>
      <w:r>
        <w:t xml:space="preserve">Moyen  |  </w:t>
      </w:r>
      <w:r>
        <w:rPr>
          <w:b/>
        </w:rPr>
        <w:t xml:space="preserve">Prix moyen: </w:t>
      </w:r>
      <w:r>
        <w:t>20293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20.83%</w:t>
      </w:r>
      <w:r>
        <w:t xml:space="preserve">  |  </w:t>
      </w:r>
      <w:r>
        <w:rPr>
          <w:b/>
        </w:rPr>
        <w:t xml:space="preserve">vs BRVM Composite: </w:t>
      </w:r>
      <w:r>
        <w:rPr>
          <w:b/>
          <w:color w:val="C00000"/>
        </w:rPr>
        <w:t>-9.44%  🔴 Sous-performance</w:t>
      </w:r>
      <w:r>
        <w:br/>
      </w:r>
      <w:r>
        <w:rPr>
          <w:b/>
        </w:rPr>
        <w:t xml:space="preserve">Sentiment général: </w:t>
      </w:r>
      <w:r>
        <w:t xml:space="preserve">ACHAT  |  </w:t>
      </w:r>
      <w:r>
        <w:rPr>
          <w:b/>
        </w:rPr>
        <w:t xml:space="preserve">Risque moyen: </w:t>
      </w:r>
      <w:r>
        <w:t xml:space="preserve">Moyen  |  </w:t>
      </w:r>
      <w:r>
        <w:rPr>
          <w:b/>
        </w:rPr>
        <w:t xml:space="preserve">Prix moyen: </w:t>
      </w:r>
      <w:r>
        <w:t>6595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15.62%</w:t>
      </w:r>
      <w:r>
        <w:t xml:space="preserve">  |  </w:t>
      </w:r>
      <w:r>
        <w:rPr>
          <w:b/>
        </w:rPr>
        <w:t xml:space="preserve">vs BRVM Composite: </w:t>
      </w:r>
      <w:r>
        <w:rPr>
          <w:b/>
          <w:color w:val="C00000"/>
        </w:rPr>
        <w:t>-14.66%  🔴 Sous-performance</w:t>
      </w:r>
      <w:r>
        <w:br/>
      </w:r>
      <w:r>
        <w:rPr>
          <w:b/>
        </w:rPr>
        <w:t xml:space="preserve">Sentiment général: </w:t>
      </w:r>
      <w:r>
        <w:t xml:space="preserve">ACHAT  |  </w:t>
      </w:r>
      <w:r>
        <w:rPr>
          <w:b/>
        </w:rPr>
        <w:t xml:space="preserve">Risque moyen: </w:t>
      </w:r>
      <w:r>
        <w:t xml:space="preserve">Moyen  |  </w:t>
      </w:r>
      <w:r>
        <w:rPr>
          <w:b/>
        </w:rPr>
        <w:t xml:space="preserve">Prix moyen: </w:t>
      </w:r>
      <w:r>
        <w:t>2930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-0.64%</w:t>
      </w:r>
      <w:r>
        <w:t xml:space="preserve">  |  </w:t>
      </w:r>
      <w:r>
        <w:rPr>
          <w:b/>
        </w:rPr>
        <w:t xml:space="preserve">vs BRVM Composite: </w:t>
      </w:r>
      <w:r>
        <w:rPr>
          <w:b/>
          <w:color w:val="C00000"/>
        </w:rPr>
        <w:t>-30.92%  🔴 Sous-performance</w:t>
      </w:r>
      <w:r>
        <w:br/>
      </w:r>
      <w:r>
        <w:rPr>
          <w:b/>
        </w:rPr>
        <w:t xml:space="preserve">Sentiment général: </w:t>
      </w:r>
      <w:r>
        <w:t xml:space="preserve">ACHAT  |  </w:t>
      </w:r>
      <w:r>
        <w:rPr>
          <w:b/>
        </w:rPr>
        <w:t xml:space="preserve">Risque moyen: </w:t>
      </w:r>
      <w:r>
        <w:t xml:space="preserve">Moyen  |  </w:t>
      </w:r>
      <w:r>
        <w:rPr>
          <w:b/>
        </w:rPr>
        <w:t xml:space="preserve">Prix moyen: </w:t>
      </w:r>
      <w:r>
        <w:t>2519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LNBB, NSBC, SAFC, SCRC, SICC, SLBC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BICC, BNBC, BOAM, CABC, CIEC, ETIT, FTSC, NEIC, NTLC, ONTBF, ORGT, PALC, SEMC, SHEC, SIBC, SOGC, STAC, STBC,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BOABF, BOAN, CBIBF, CFAC, ECOC, ORAC, PRSC, SDCC, SDSC, SGBC, SIVC, SMBC, SNTS, SPHC, TTLS, UNLC, UNXC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1787119</w:t>
            </w:r>
          </w:p>
        </w:tc>
        <w:tc>
          <w:tcPr>
            <w:tcW w:type="dxa" w:w="1728"/>
          </w:tcPr>
          <w:p>
            <w:r>
              <w:t>119874989 FCFA</w:t>
            </w:r>
          </w:p>
        </w:tc>
        <w:tc>
          <w:tcPr>
            <w:tcW w:type="dxa" w:w="1728"/>
          </w:tcPr>
          <w:p>
            <w:r>
              <w:t>106.25%</w:t>
            </w:r>
          </w:p>
        </w:tc>
        <w:tc>
          <w:tcPr>
            <w:tcW w:type="dxa" w:w="1728"/>
          </w:tcPr>
          <w:p>
            <w:r>
              <w:t>ACHAT</w:t>
            </w:r>
          </w:p>
        </w:tc>
      </w:tr>
      <w:tr>
        <w:tc>
          <w:tcPr>
            <w:tcW w:type="dxa" w:w="1728"/>
          </w:tcPr>
          <w:p>
            <w:r>
              <w:t>BICB (BIIC BN - Banque internationale pour le commerce du benin)</w:t>
            </w:r>
          </w:p>
        </w:tc>
        <w:tc>
          <w:tcPr>
            <w:tcW w:type="dxa" w:w="1728"/>
          </w:tcPr>
          <w:p>
            <w:r>
              <w:t>19668</w:t>
            </w:r>
          </w:p>
        </w:tc>
        <w:tc>
          <w:tcPr>
            <w:tcW w:type="dxa" w:w="1728"/>
          </w:tcPr>
          <w:p>
            <w:r>
              <w:t>157696799 FCFA</w:t>
            </w:r>
          </w:p>
        </w:tc>
        <w:tc>
          <w:tcPr>
            <w:tcW w:type="dxa" w:w="1728"/>
          </w:tcPr>
          <w:p>
            <w:r>
              <w:t>61.10%</w:t>
            </w:r>
          </w:p>
        </w:tc>
        <w:tc>
          <w:tcPr>
            <w:tcW w:type="dxa" w:w="1728"/>
          </w:tcPr>
          <w:p>
            <w:r>
              <w:t>ACHAT</w:t>
            </w:r>
          </w:p>
        </w:tc>
      </w:tr>
      <w:tr>
        <w:tc>
          <w:tcPr>
            <w:tcW w:type="dxa" w:w="1728"/>
          </w:tcPr>
          <w:p>
            <w:r>
              <w:t>SDSC (SDSC - AFRICA GLOBAL LOGISTICS CI)</w:t>
            </w:r>
          </w:p>
        </w:tc>
        <w:tc>
          <w:tcPr>
            <w:tcW w:type="dxa" w:w="1728"/>
          </w:tcPr>
          <w:p>
            <w:r>
              <w:t>16371</w:t>
            </w:r>
          </w:p>
        </w:tc>
        <w:tc>
          <w:tcPr>
            <w:tcW w:type="dxa" w:w="1728"/>
          </w:tcPr>
          <w:p>
            <w:r>
              <w:t>42023433 FCFA</w:t>
            </w:r>
          </w:p>
        </w:tc>
        <w:tc>
          <w:tcPr>
            <w:tcW w:type="dxa" w:w="1728"/>
          </w:tcPr>
          <w:p>
            <w:r>
              <w:t>39.35%</w:t>
            </w:r>
          </w:p>
        </w:tc>
        <w:tc>
          <w:tcPr>
            <w:tcW w:type="dxa" w:w="1728"/>
          </w:tcPr>
          <w:p>
            <w:r>
              <w:t>ACHAT</w:t>
            </w:r>
          </w:p>
        </w:tc>
      </w:tr>
      <w:tr>
        <w:tc>
          <w:tcPr>
            <w:tcW w:type="dxa" w:w="1728"/>
          </w:tcPr>
          <w:p>
            <w:r>
              <w:t>UNXC (UNXC - UNIWAX COTE D'IVOIRE)</w:t>
            </w:r>
          </w:p>
        </w:tc>
        <w:tc>
          <w:tcPr>
            <w:tcW w:type="dxa" w:w="1728"/>
          </w:tcPr>
          <w:p>
            <w:r>
              <w:t>12664</w:t>
            </w:r>
          </w:p>
        </w:tc>
        <w:tc>
          <w:tcPr>
            <w:tcW w:type="dxa" w:w="1728"/>
          </w:tcPr>
          <w:p>
            <w:r>
              <w:t>26345507 FCFA</w:t>
            </w:r>
          </w:p>
        </w:tc>
        <w:tc>
          <w:tcPr>
            <w:tcW w:type="dxa" w:w="1728"/>
          </w:tcPr>
          <w:p>
            <w:r>
              <w:t>17.66%</w:t>
            </w:r>
          </w:p>
        </w:tc>
        <w:tc>
          <w:tcPr>
            <w:tcW w:type="dxa" w:w="1728"/>
          </w:tcPr>
          <w:p>
            <w:r>
              <w:t>ACHAT</w:t>
            </w:r>
          </w:p>
        </w:tc>
      </w:tr>
      <w:tr>
        <w:tc>
          <w:tcPr>
            <w:tcW w:type="dxa" w:w="1728"/>
          </w:tcPr>
          <w:p>
            <w:r>
              <w:t>SNTS (SNTS - SONATEL SN)</w:t>
            </w:r>
          </w:p>
        </w:tc>
        <w:tc>
          <w:tcPr>
            <w:tcW w:type="dxa" w:w="1728"/>
          </w:tcPr>
          <w:p>
            <w:r>
              <w:t>12167</w:t>
            </w:r>
          </w:p>
        </w:tc>
        <w:tc>
          <w:tcPr>
            <w:tcW w:type="dxa" w:w="1728"/>
          </w:tcPr>
          <w:p>
            <w:r>
              <w:t>384293130 FCFA</w:t>
            </w:r>
          </w:p>
        </w:tc>
        <w:tc>
          <w:tcPr>
            <w:tcW w:type="dxa" w:w="1728"/>
          </w:tcPr>
          <w:p>
            <w:r>
              <w:t>30.21%</w:t>
            </w:r>
          </w:p>
        </w:tc>
        <w:tc>
          <w:tcPr>
            <w:tcW w:type="dxa" w:w="1728"/>
          </w:tcPr>
          <w:p>
            <w:r>
              <w:t>ACHAT</w:t>
            </w:r>
          </w:p>
        </w:tc>
      </w:tr>
      <w:tr>
        <w:tc>
          <w:tcPr>
            <w:tcW w:type="dxa" w:w="1728"/>
          </w:tcPr>
          <w:p>
            <w:r>
              <w:t>SOGC (SOGC - Société des caoutchoucs de Grand-Béréby)</w:t>
            </w:r>
          </w:p>
        </w:tc>
        <w:tc>
          <w:tcPr>
            <w:tcW w:type="dxa" w:w="1728"/>
          </w:tcPr>
          <w:p>
            <w:r>
              <w:t>10614</w:t>
            </w:r>
          </w:p>
        </w:tc>
        <w:tc>
          <w:tcPr>
            <w:tcW w:type="dxa" w:w="1728"/>
          </w:tcPr>
          <w:p>
            <w:r>
              <w:t>79993927 FCFA</w:t>
            </w:r>
          </w:p>
        </w:tc>
        <w:tc>
          <w:tcPr>
            <w:tcW w:type="dxa" w:w="1728"/>
          </w:tcPr>
          <w:p>
            <w:r>
              <w:t>-0.30%</w:t>
            </w:r>
          </w:p>
        </w:tc>
        <w:tc>
          <w:tcPr>
            <w:tcW w:type="dxa" w:w="1728"/>
          </w:tcPr>
          <w:p>
            <w:r>
              <w:t>ACHAT</w:t>
            </w:r>
          </w:p>
        </w:tc>
      </w:tr>
      <w:tr>
        <w:tc>
          <w:tcPr>
            <w:tcW w:type="dxa" w:w="1728"/>
          </w:tcPr>
          <w:p>
            <w:r>
              <w:t>BOAS (BANK OF AFRICA SENEGAL)</w:t>
            </w:r>
          </w:p>
        </w:tc>
        <w:tc>
          <w:tcPr>
            <w:tcW w:type="dxa" w:w="1728"/>
          </w:tcPr>
          <w:p>
            <w:r>
              <w:t>10341</w:t>
            </w:r>
          </w:p>
        </w:tc>
        <w:tc>
          <w:tcPr>
            <w:tcW w:type="dxa" w:w="1728"/>
          </w:tcPr>
          <w:p>
            <w:r>
              <w:t>79963101 FCFA</w:t>
            </w:r>
          </w:p>
        </w:tc>
        <w:tc>
          <w:tcPr>
            <w:tcW w:type="dxa" w:w="1728"/>
          </w:tcPr>
          <w:p>
            <w:r>
              <w:t>21.40%</w:t>
            </w:r>
          </w:p>
        </w:tc>
        <w:tc>
          <w:tcPr>
            <w:tcW w:type="dxa" w:w="1728"/>
          </w:tcPr>
          <w:p>
            <w:r>
              <w:t>ACHAT</w:t>
            </w:r>
          </w:p>
        </w:tc>
      </w:tr>
      <w:tr>
        <w:tc>
          <w:tcPr>
            <w:tcW w:type="dxa" w:w="1728"/>
          </w:tcPr>
          <w:p>
            <w:r>
              <w:t>BOAC (BANK OF AFRICA COTE D'IVOIRE)</w:t>
            </w:r>
          </w:p>
        </w:tc>
        <w:tc>
          <w:tcPr>
            <w:tcW w:type="dxa" w:w="1728"/>
          </w:tcPr>
          <w:p>
            <w:r>
              <w:t>9411</w:t>
            </w:r>
          </w:p>
        </w:tc>
        <w:tc>
          <w:tcPr>
            <w:tcW w:type="dxa" w:w="1728"/>
          </w:tcPr>
          <w:p>
            <w:r>
              <w:t>112289238 FCFA</w:t>
            </w:r>
          </w:p>
        </w:tc>
        <w:tc>
          <w:tcPr>
            <w:tcW w:type="dxa" w:w="1728"/>
          </w:tcPr>
          <w:p>
            <w:r>
              <w:t>49.25%</w:t>
            </w:r>
          </w:p>
        </w:tc>
        <w:tc>
          <w:tcPr>
            <w:tcW w:type="dxa" w:w="1728"/>
          </w:tcPr>
          <w:p>
            <w:r>
              <w:t>ACHAT</w:t>
            </w:r>
          </w:p>
        </w:tc>
      </w:tr>
      <w:tr>
        <w:tc>
          <w:tcPr>
            <w:tcW w:type="dxa" w:w="1728"/>
          </w:tcPr>
          <w:p>
            <w:r>
              <w:t>SIBC (SIBC - SOCIETE IVOIRIENNE DE BANQUE)</w:t>
            </w:r>
          </w:p>
        </w:tc>
        <w:tc>
          <w:tcPr>
            <w:tcW w:type="dxa" w:w="1728"/>
          </w:tcPr>
          <w:p>
            <w:r>
              <w:t>8686</w:t>
            </w:r>
          </w:p>
        </w:tc>
        <w:tc>
          <w:tcPr>
            <w:tcW w:type="dxa" w:w="1728"/>
          </w:tcPr>
          <w:p>
            <w:r>
              <w:t>79198051 FCFA</w:t>
            </w:r>
          </w:p>
        </w:tc>
        <w:tc>
          <w:tcPr>
            <w:tcW w:type="dxa" w:w="1728"/>
          </w:tcPr>
          <w:p>
            <w:r>
              <w:t>27.66%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3315</w:t>
            </w:r>
          </w:p>
        </w:tc>
        <w:tc>
          <w:tcPr>
            <w:tcW w:type="dxa" w:w="1728"/>
          </w:tcPr>
          <w:p>
            <w:r>
              <w:t>7468984 FCFA</w:t>
            </w:r>
          </w:p>
        </w:tc>
        <w:tc>
          <w:tcPr>
            <w:tcW w:type="dxa" w:w="1728"/>
          </w:tcPr>
          <w:p>
            <w:r>
              <w:t>-20.87%</w:t>
            </w:r>
          </w:p>
        </w:tc>
        <w:tc>
          <w:tcPr>
            <w:tcW w:type="dxa" w:w="1728"/>
          </w:tcPr>
          <w:p>
            <w:r>
              <w:t>ACHAT</w:t>
            </w:r>
          </w:p>
        </w:tc>
      </w:tr>
      <w:tr>
        <w:tc>
          <w:tcPr>
            <w:tcW w:type="dxa" w:w="1728"/>
          </w:tcPr>
          <w:p>
            <w:r>
              <w:t>ABJC (ABJC - SERVAIR ABIDJAN CI)</w:t>
            </w:r>
          </w:p>
        </w:tc>
        <w:tc>
          <w:tcPr>
            <w:tcW w:type="dxa" w:w="1728"/>
          </w:tcPr>
          <w:p>
            <w:r>
              <w:t>3217</w:t>
            </w:r>
          </w:p>
        </w:tc>
        <w:tc>
          <w:tcPr>
            <w:tcW w:type="dxa" w:w="1728"/>
          </w:tcPr>
          <w:p>
            <w:r>
              <w:t>10063190 FCFA</w:t>
            </w:r>
          </w:p>
        </w:tc>
        <w:tc>
          <w:tcPr>
            <w:tcW w:type="dxa" w:w="1728"/>
          </w:tcPr>
          <w:p>
            <w:r>
              <w:t>-4.29%</w:t>
            </w:r>
          </w:p>
        </w:tc>
        <w:tc>
          <w:tcPr>
            <w:tcW w:type="dxa" w:w="1728"/>
          </w:tcPr>
          <w:p>
            <w:r>
              <w:t>ACHAT</w:t>
            </w:r>
          </w:p>
        </w:tc>
      </w:tr>
      <w:tr>
        <w:tc>
          <w:tcPr>
            <w:tcW w:type="dxa" w:w="1728"/>
          </w:tcPr>
          <w:p>
            <w:r>
              <w:t>CFAC (CFAC - CFAO MOTORS CI)</w:t>
            </w:r>
          </w:p>
        </w:tc>
        <w:tc>
          <w:tcPr>
            <w:tcW w:type="dxa" w:w="1728"/>
          </w:tcPr>
          <w:p>
            <w:r>
              <w:t>2689</w:t>
            </w:r>
          </w:p>
        </w:tc>
        <w:tc>
          <w:tcPr>
            <w:tcW w:type="dxa" w:w="1728"/>
          </w:tcPr>
          <w:p>
            <w:r>
              <w:t>4481180 FCFA</w:t>
            </w:r>
          </w:p>
        </w:tc>
        <w:tc>
          <w:tcPr>
            <w:tcW w:type="dxa" w:w="1728"/>
          </w:tcPr>
          <w:p>
            <w:r>
              <w:t>6.75%</w:t>
            </w:r>
          </w:p>
        </w:tc>
        <w:tc>
          <w:tcPr>
            <w:tcW w:type="dxa" w:w="1728"/>
          </w:tcPr>
          <w:p>
            <w:r>
              <w:t>ACHAT</w:t>
            </w:r>
          </w:p>
        </w:tc>
      </w:tr>
      <w:tr>
        <w:tc>
          <w:tcPr>
            <w:tcW w:type="dxa" w:w="1728"/>
          </w:tcPr>
          <w:p>
            <w:r>
              <w:t>CABC (CABC - SICABLE COTE D'IVOIRE)</w:t>
            </w:r>
          </w:p>
        </w:tc>
        <w:tc>
          <w:tcPr>
            <w:tcW w:type="dxa" w:w="1728"/>
          </w:tcPr>
          <w:p>
            <w:r>
              <w:t>2647</w:t>
            </w:r>
          </w:p>
        </w:tc>
        <w:tc>
          <w:tcPr>
            <w:tcW w:type="dxa" w:w="1728"/>
          </w:tcPr>
          <w:p>
            <w:r>
              <w:t>9422160 FCFA</w:t>
            </w:r>
          </w:p>
        </w:tc>
        <w:tc>
          <w:tcPr>
            <w:tcW w:type="dxa" w:w="1728"/>
          </w:tcPr>
          <w:p>
            <w:r>
              <w:t>10.98%</w:t>
            </w:r>
          </w:p>
        </w:tc>
        <w:tc>
          <w:tcPr>
            <w:tcW w:type="dxa" w:w="1728"/>
          </w:tcPr>
          <w:p>
            <w:r>
              <w:t>ACHAT</w:t>
            </w:r>
          </w:p>
        </w:tc>
      </w:tr>
      <w:tr>
        <w:tc>
          <w:tcPr>
            <w:tcW w:type="dxa" w:w="1728"/>
          </w:tcPr>
          <w:p>
            <w:r>
              <w:t>PALC (PALC - PALM COTE D'IVOIRE)</w:t>
            </w:r>
          </w:p>
        </w:tc>
        <w:tc>
          <w:tcPr>
            <w:tcW w:type="dxa" w:w="1728"/>
          </w:tcPr>
          <w:p>
            <w:r>
              <w:t>2360</w:t>
            </w:r>
          </w:p>
        </w:tc>
        <w:tc>
          <w:tcPr>
            <w:tcW w:type="dxa" w:w="1728"/>
          </w:tcPr>
          <w:p>
            <w:r>
              <w:t>21395418 FCFA</w:t>
            </w:r>
          </w:p>
        </w:tc>
        <w:tc>
          <w:tcPr>
            <w:tcW w:type="dxa" w:w="1728"/>
          </w:tcPr>
          <w:p>
            <w:r>
              <w:t>17.44%</w:t>
            </w:r>
          </w:p>
        </w:tc>
        <w:tc>
          <w:tcPr>
            <w:tcW w:type="dxa" w:w="1728"/>
          </w:tcPr>
          <w:p>
            <w:r>
              <w:t>ACHAT</w:t>
            </w:r>
          </w:p>
        </w:tc>
      </w:tr>
      <w:tr>
        <w:tc>
          <w:tcPr>
            <w:tcW w:type="dxa" w:w="1728"/>
          </w:tcPr>
          <w:p>
            <w:r>
              <w:t>TTLS (TTLS - TOTAL ENERGIES MARKETING SENEGAL)</w:t>
            </w:r>
          </w:p>
        </w:tc>
        <w:tc>
          <w:tcPr>
            <w:tcW w:type="dxa" w:w="1728"/>
          </w:tcPr>
          <w:p>
            <w:r>
              <w:t>2305</w:t>
            </w:r>
          </w:p>
        </w:tc>
        <w:tc>
          <w:tcPr>
            <w:tcW w:type="dxa" w:w="1728"/>
          </w:tcPr>
          <w:p>
            <w:r>
              <w:t>8470145 FCFA</w:t>
            </w:r>
          </w:p>
        </w:tc>
        <w:tc>
          <w:tcPr>
            <w:tcW w:type="dxa" w:w="1728"/>
          </w:tcPr>
          <w:p>
            <w:r>
              <w:t>20.00%</w:t>
            </w:r>
          </w:p>
        </w:tc>
        <w:tc>
          <w:tcPr>
            <w:tcW w:type="dxa" w:w="1728"/>
          </w:tcPr>
          <w:p>
            <w:r>
              <w:t>ACHAT</w:t>
            </w:r>
          </w:p>
        </w:tc>
      </w:tr>
      <w:tr>
        <w:tc>
          <w:tcPr>
            <w:tcW w:type="dxa" w:w="1728"/>
          </w:tcPr>
          <w:p>
            <w:r>
              <w:t>SLBC (SLBC - SOLIBRA COTE D'IVOIRE)</w:t>
            </w:r>
          </w:p>
        </w:tc>
        <w:tc>
          <w:tcPr>
            <w:tcW w:type="dxa" w:w="1728"/>
          </w:tcPr>
          <w:p>
            <w:r>
              <w:t>1958</w:t>
            </w:r>
          </w:p>
        </w:tc>
        <w:tc>
          <w:tcPr>
            <w:tcW w:type="dxa" w:w="1728"/>
          </w:tcPr>
          <w:p>
            <w:r>
              <w:t>75023950 FCFA</w:t>
            </w:r>
          </w:p>
        </w:tc>
        <w:tc>
          <w:tcPr>
            <w:tcW w:type="dxa" w:w="1728"/>
          </w:tcPr>
          <w:p>
            <w:r>
              <w:t>-4.63%</w:t>
            </w:r>
          </w:p>
        </w:tc>
        <w:tc>
          <w:tcPr>
            <w:tcW w:type="dxa" w:w="1728"/>
          </w:tcPr>
          <w:p>
            <w:r>
              <w:t>ACHAT</w:t>
            </w:r>
          </w:p>
        </w:tc>
      </w:tr>
      <w:tr>
        <w:tc>
          <w:tcPr>
            <w:tcW w:type="dxa" w:w="1728"/>
          </w:tcPr>
          <w:p>
            <w:r>
              <w:t>NSBC (NSBC - NSIA BANQUE COTE D'IVOIRE)</w:t>
            </w:r>
          </w:p>
        </w:tc>
        <w:tc>
          <w:tcPr>
            <w:tcW w:type="dxa" w:w="1728"/>
          </w:tcPr>
          <w:p>
            <w:r>
              <w:t>1907</w:t>
            </w:r>
          </w:p>
        </w:tc>
        <w:tc>
          <w:tcPr>
            <w:tcW w:type="dxa" w:w="1728"/>
          </w:tcPr>
          <w:p>
            <w:r>
              <w:t>44405348 FCFA</w:t>
            </w:r>
          </w:p>
        </w:tc>
        <w:tc>
          <w:tcPr>
            <w:tcW w:type="dxa" w:w="1728"/>
          </w:tcPr>
          <w:p>
            <w:r>
              <w:t>61.89%</w:t>
            </w:r>
          </w:p>
        </w:tc>
        <w:tc>
          <w:tcPr>
            <w:tcW w:type="dxa" w:w="1728"/>
          </w:tcPr>
          <w:p>
            <w:r>
              <w:t>ACHAT FORT</w:t>
            </w:r>
          </w:p>
        </w:tc>
      </w:tr>
      <w:tr>
        <w:tc>
          <w:tcPr>
            <w:tcW w:type="dxa" w:w="1728"/>
          </w:tcPr>
          <w:p>
            <w:r>
              <w:t>BNBC (BNBC - BERNABE CI)</w:t>
            </w:r>
          </w:p>
        </w:tc>
        <w:tc>
          <w:tcPr>
            <w:tcW w:type="dxa" w:w="1728"/>
          </w:tcPr>
          <w:p>
            <w:r>
              <w:t>1879</w:t>
            </w:r>
          </w:p>
        </w:tc>
        <w:tc>
          <w:tcPr>
            <w:tcW w:type="dxa" w:w="1728"/>
          </w:tcPr>
          <w:p>
            <w:r>
              <w:t>3660451 FCFA</w:t>
            </w:r>
          </w:p>
        </w:tc>
        <w:tc>
          <w:tcPr>
            <w:tcW w:type="dxa" w:w="1728"/>
          </w:tcPr>
          <w:p>
            <w:r>
              <w:t>23.60%</w:t>
            </w:r>
          </w:p>
        </w:tc>
        <w:tc>
          <w:tcPr>
            <w:tcW w:type="dxa" w:w="1728"/>
          </w:tcPr>
          <w:p>
            <w:r>
              <w:t>ACHAT</w:t>
            </w:r>
          </w:p>
        </w:tc>
      </w:tr>
      <w:tr>
        <w:tc>
          <w:tcPr>
            <w:tcW w:type="dxa" w:w="1728"/>
          </w:tcPr>
          <w:p>
            <w:r>
              <w:t>SMBC (SMBC - Société Multinationale de Bitumes COTE D'IVOIRE)</w:t>
            </w:r>
          </w:p>
        </w:tc>
        <w:tc>
          <w:tcPr>
            <w:tcW w:type="dxa" w:w="1728"/>
          </w:tcPr>
          <w:p>
            <w:r>
              <w:t>1725</w:t>
            </w:r>
          </w:p>
        </w:tc>
        <w:tc>
          <w:tcPr>
            <w:tcW w:type="dxa" w:w="1728"/>
          </w:tcPr>
          <w:p>
            <w:r>
              <w:t>27585906 FCFA</w:t>
            </w:r>
          </w:p>
        </w:tc>
        <w:tc>
          <w:tcPr>
            <w:tcW w:type="dxa" w:w="1728"/>
          </w:tcPr>
          <w:p>
            <w:r>
              <w:t>35.67%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BOABF - BANK OF AFRICA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3. CBIBF - CBIBF - CORIS BANK INTERNATIONAL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4. CFAC - CFAC - CFAO MOTORS CI</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6.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hausse de l'indice MXV des matières premières, qui dépasse les 2 900 points à son plus haut niveau depuis fin mai, signale une pression inflationniste persistante sur les coûts des intrants industriels et alimentaires. Parallèlement, la Réserve fédérale américaine examine les risques liés à l'IA et à l'inflation, avec un impact limité sur les changes selon MUFG, ce qui suggère un statu quo monétaire à court terme. Enfin, le débat sur l'annulation de la dette publique en France, bien que théorique, rappelle la sensibilité des marchés aux questions de soutenabilité budgétaire dans les économies avancées.</w:t>
      </w:r>
    </w:p>
    <w:p>
      <w:pPr>
        <w:pStyle w:val="Heading3"/>
      </w:pPr>
      <w:r>
        <w:rPr>
          <w:color w:val="500050"/>
        </w:rPr>
        <w:t>⚡ Impact estimé sur la BRVM</w:t>
      </w:r>
    </w:p>
    <w:p>
      <w:pPr>
        <w:spacing w:before="20" w:after="40"/>
        <w:ind w:left="280"/>
      </w:pPr>
      <w:r>
        <w:rPr>
          <w:i/>
          <w:sz w:val="18"/>
        </w:rPr>
        <w:t>La hausse des matières premières profite aux valeurs énergétiques comme TTLC et SHEC, qui pourraient voir leurs marges s'améliorer si elles sont productrices. En revanche, les sociétés de consommation de base (SCRC, SLBC, PALC) subissent des coûts d'approvisionnement plus élevés, compressant leurs marges. Le maintien des taux américains n'affecte pas directement la BRVM, mais un dollar fort pourrait soutenir les exportateurs de la zone.</w:t>
      </w:r>
    </w:p>
    <w:p>
      <w:pPr>
        <w:pStyle w:val="Heading2"/>
      </w:pPr>
      <w:r>
        <w:rPr>
          <w:color w:val="006E32"/>
        </w:rPr>
        <w:t>🌍 Plan Africain</w:t>
      </w:r>
    </w:p>
    <w:p>
      <w:pPr>
        <w:spacing w:before="20" w:after="40"/>
        <w:ind w:left="0"/>
      </w:pPr>
      <w:r>
        <w:rPr>
          <w:sz w:val="18"/>
        </w:rPr>
        <w:t>Les secteurs porteurs identifiés par Bpifrance en Afrique — infrastructures, agro-industrie, énergies renouvelables — correspondent aux secteurs déjà représentés à la BRVM, confirmant l'attractivité structurelle de la place. L'investissement dans l'économie des soins est présenté comme un levier de croissance stratégique, notamment au Sénégal, ce qui pourrait ouvrir des perspectives pour les services financiers spécialisés. Enfin, l'émission de 108 milliards de FCFA de dette verte par Senelec à la Bourse de Luxembourg illustre l'appétit des investisseurs internationaux pour les actifs africains à impact.</w:t>
      </w:r>
    </w:p>
    <w:p>
      <w:pPr>
        <w:pStyle w:val="Heading3"/>
      </w:pPr>
      <w:r>
        <w:rPr>
          <w:color w:val="500050"/>
        </w:rPr>
        <w:t>⚡ Impact estimé sur la BRVM</w:t>
      </w:r>
    </w:p>
    <w:p>
      <w:pPr>
        <w:spacing w:before="20" w:after="40"/>
        <w:ind w:left="280"/>
      </w:pPr>
      <w:r>
        <w:rPr>
          <w:i/>
          <w:sz w:val="18"/>
        </w:rPr>
        <w:t>Les secteurs mis en avant par Bpifrance — infrastructures et énergie — sont directement représentés par des valeurs comme TTLC et SHEC, qui pourraient bénéficier d'un regain d'intérêt des investisseurs institutionnels. L'économie des soins pourrait indirectement soutenir les banques de la place (BOAC, BOAS, NSBC, BOAM) via le financement de ce secteur en croissance. La dette verte de Senelec démontre la capacité des émetteurs de la zone à accéder aux marchés internationaux, renforçant la crédibilité de la région.</w:t>
      </w:r>
    </w:p>
    <w:p>
      <w:pPr>
        <w:pStyle w:val="Heading2"/>
      </w:pPr>
      <w:r>
        <w:rPr>
          <w:color w:val="145A28"/>
        </w:rPr>
        <w:t>🌍 Plan Afrique de l'Ouest</w:t>
      </w:r>
    </w:p>
    <w:p>
      <w:pPr>
        <w:spacing w:before="20" w:after="40"/>
        <w:ind w:left="0"/>
      </w:pPr>
      <w:r>
        <w:rPr>
          <w:sz w:val="18"/>
        </w:rPr>
        <w:t>La CEDEAO engage ses États membres vers des statistiques migratoires plus fiables, une initiative qui améliore la gouvernance régionale et la prévisibilité économique. La signature prochaine d'un mémorandum de coopération entre la Russie et la CEDEAO, annoncée par Lavrov, pourrait ouvrir de nouvelles opportunités commerciales et d'investissement pour la sous-région. Ces deux développements renforcent l'intégration régionale et la stabilité institutionnelle, des facteurs positifs pour l'environnement des affaires.</w:t>
      </w:r>
    </w:p>
    <w:p>
      <w:pPr>
        <w:pStyle w:val="Heading3"/>
      </w:pPr>
      <w:r>
        <w:rPr>
          <w:color w:val="500050"/>
        </w:rPr>
        <w:t>⚡ Impact estimé sur la BRVM</w:t>
      </w:r>
    </w:p>
    <w:p>
      <w:pPr>
        <w:spacing w:before="20" w:after="40"/>
        <w:ind w:left="280"/>
      </w:pPr>
      <w:r>
        <w:rPr>
          <w:i/>
          <w:sz w:val="18"/>
        </w:rPr>
        <w:t>L'amélioration des statistiques régionales et la coopération avec la Russie renforcent la stabilité macroéconomique de la zone, bénéfique pour l'ensemble des sociétés cotées opérant en Afrique de l'Ouest, notamment les banques panafricaines comme BOAC et BOAS. Les entreprises industrielles (FTSC) et de télécommunications (ORAC) pourraient également profiter d'un climat d'affaires plus prévisible.</w:t>
      </w:r>
    </w:p>
    <w:p>
      <w:pPr>
        <w:pStyle w:val="Heading2"/>
      </w:pPr>
      <w:r>
        <w:rPr>
          <w:color w:val="8C4600"/>
        </w:rPr>
        <w:t>🏦 Plan UEMOA / Zone Franc</w:t>
      </w:r>
    </w:p>
    <w:p>
      <w:pPr>
        <w:spacing w:before="20" w:after="40"/>
        <w:ind w:left="0"/>
      </w:pPr>
      <w:r>
        <w:rPr>
          <w:sz w:val="18"/>
        </w:rPr>
        <w:t>Données insuffisantes. Aucune actualité spécifique sur les décisions de la BCEAO, l'inflation de la zone, le FCFA ou la liquidité bancaire n'a été fournie dans le corpus. Les matières premières clés de la zone (cacao, caoutchouc) ne font pas l'objet d'actualités dédiées dans les données collectées.</w:t>
      </w:r>
    </w:p>
    <w:p>
      <w:pPr>
        <w:pStyle w:val="Heading3"/>
      </w:pPr>
      <w:r>
        <w:rPr>
          <w:color w:val="500050"/>
        </w:rPr>
        <w:t>⚡ Impact estimé sur la BRVM</w:t>
      </w:r>
    </w:p>
    <w:p>
      <w:pPr>
        <w:spacing w:before="20" w:after="40"/>
        <w:ind w:left="280"/>
      </w:pPr>
      <w:r>
        <w:rPr>
          <w:i/>
          <w:sz w:val="18"/>
        </w:rPr>
        <w:t>En l'absence de données spécifiques, il est impossible d'évaluer précisément l'impact des politiques monétaires de la BCEAO sur les secteurs bancaires et agro-industriels de la BRVM. Une vigilance est recommandée sur les prochaines communications de la Banque centrale.</w:t>
      </w:r>
    </w:p>
    <w:p>
      <w:pPr>
        <w:pStyle w:val="Heading2"/>
      </w:pPr>
      <w:r>
        <w:rPr>
          <w:color w:val="003366"/>
        </w:rPr>
        <w:t>📈 Plan BRVM</w:t>
      </w:r>
    </w:p>
    <w:p>
      <w:pPr>
        <w:spacing w:before="20" w:after="40"/>
        <w:ind w:left="0"/>
      </w:pPr>
      <w:r>
        <w:rPr>
          <w:sz w:val="18"/>
        </w:rPr>
        <w:t>Les résultats encourageants des sociétés cotées ivoiriennes, rapportés par La Tribune, confirment la dynamique positive du marché. L'indice BRVM Composite se situe à 529,15 points, dans un contexte de confiance retrouvée des investisseurs. Les secteurs de la consommation discrétionnaire (LNBB, UNXC, BNBC) et des services financiers semblent porter la performance du marché.</w:t>
      </w:r>
    </w:p>
    <w:p>
      <w:pPr>
        <w:pStyle w:val="Heading3"/>
      </w:pPr>
      <w:r>
        <w:rPr>
          <w:color w:val="500050"/>
        </w:rPr>
        <w:t>⚡ Impact estimé sur la BRVM</w:t>
      </w:r>
    </w:p>
    <w:p>
      <w:pPr>
        <w:spacing w:before="20" w:after="40"/>
        <w:ind w:left="280"/>
      </w:pPr>
      <w:r>
        <w:rPr>
          <w:i/>
          <w:sz w:val="18"/>
        </w:rPr>
        <w:t>Les résultats encourageants des sociétés ivoiriennes soutiennent la tendance haussière de l'indice. Les valeurs de consommation discrétionnaire (LNBB, UNXC, BNBC) et les banques (BOAC, BOAS, NSBC, BOAM) sont les principales bénéficiaires de cette dynamique. Il est recommandé de surveiller les publications de résultats des prochaines semaines pour confirmer la tendance.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débat français sur l'annulation de la dette publique, bien que non applicable, reflète une inquiétude plus large sur la soutenabilité budgétaire des économies avancées. La Fed examine les risques liés à l'IA et à l'inflation, sans impact majeur attendu sur les changes, ce qui suggère une stabilité relative des politiques monétaires mondiales. Aucun conflit majeur ou sanction récente n'est rapporté dans le corpus.</w:t>
      </w:r>
    </w:p>
    <w:p>
      <w:pPr>
        <w:pStyle w:val="Heading3"/>
      </w:pPr>
      <w:r>
        <w:rPr>
          <w:color w:val="500050"/>
        </w:rPr>
        <w:t>⚡ Impact estimé sur la BRVM</w:t>
      </w:r>
    </w:p>
    <w:p>
      <w:pPr>
        <w:spacing w:before="20" w:after="40"/>
        <w:ind w:left="280"/>
      </w:pPr>
      <w:r>
        <w:rPr>
          <w:i/>
          <w:sz w:val="18"/>
        </w:rPr>
        <w:t>L'absence de chocs géopolitiques majeurs et la stabilité monétaire mondiale sont favorables à l'appétit pour le risque des investisseurs, y compris sur les marchés émergents comme la BRVM. Les flux de capitaux vers les actifs africains pourraient se maintenir.</w:t>
      </w:r>
    </w:p>
    <w:p>
      <w:pPr>
        <w:pStyle w:val="Heading2"/>
      </w:pPr>
      <w:r>
        <w:rPr>
          <w:color w:val="006E32"/>
        </w:rPr>
        <w:t>🌍 Plan Africain</w:t>
      </w:r>
    </w:p>
    <w:p>
      <w:pPr>
        <w:spacing w:before="20" w:after="40"/>
        <w:ind w:left="0"/>
      </w:pPr>
      <w:r>
        <w:rPr>
          <w:sz w:val="18"/>
        </w:rPr>
        <w:t>L'actualité africaine est dominée par des sujets de gouvernance et de sécurité. Au Sénégal, les révélations confirmées par le DG de la SN-HLM sur des malversations présumées créent un climat politique intérieur tendu. Au Mali, l'opération militaire réussie du GTI « Tata » contre un groupe armé à Diongaga illustre la persistance des défis sécuritaires dans la région.</w:t>
      </w:r>
    </w:p>
    <w:p>
      <w:pPr>
        <w:pStyle w:val="Heading3"/>
      </w:pPr>
      <w:r>
        <w:rPr>
          <w:color w:val="500050"/>
        </w:rPr>
        <w:t>⚡ Impact estimé sur la BRVM</w:t>
      </w:r>
    </w:p>
    <w:p>
      <w:pPr>
        <w:spacing w:before="20" w:after="40"/>
        <w:ind w:left="280"/>
      </w:pPr>
      <w:r>
        <w:rPr>
          <w:i/>
          <w:sz w:val="18"/>
        </w:rPr>
        <w:t>Les tensions politiques au Sénégal et les opérations militaires au Mali pourraient accroître la perception du risque pays dans la région, affectant la confiance des investisseurs. Les sociétés cotées ayant une exposition significative à ces marchés, notamment les banques (BOAS, BOAM) et les industriels (FTSC), pourraient subir une pression sur leur valorisation.</w:t>
      </w:r>
    </w:p>
    <w:p>
      <w:pPr>
        <w:pStyle w:val="Heading2"/>
      </w:pPr>
      <w:r>
        <w:rPr>
          <w:color w:val="145A28"/>
        </w:rPr>
        <w:t>🌍 Plan Afrique de l'Ouest</w:t>
      </w:r>
    </w:p>
    <w:p>
      <w:pPr>
        <w:spacing w:before="20" w:after="40"/>
        <w:ind w:left="0"/>
      </w:pPr>
      <w:r>
        <w:rPr>
          <w:sz w:val="18"/>
        </w:rPr>
        <w:t>La coopération Russie-CEDEAO annoncée par Lavrov est un signal géopolitique majeur, diversifiant les partenariats de la région. Les initiatives de la CEDEAO sur les statistiques migratoires renforcent la gouvernance régionale. La situation sécuritaire au Mali reste un point de vigilance pour l'ensemble de la sous-région.</w:t>
      </w:r>
    </w:p>
    <w:p>
      <w:pPr>
        <w:pStyle w:val="Heading3"/>
      </w:pPr>
      <w:r>
        <w:rPr>
          <w:color w:val="500050"/>
        </w:rPr>
        <w:t>⚡ Impact estimé sur la BRVM</w:t>
      </w:r>
    </w:p>
    <w:p>
      <w:pPr>
        <w:spacing w:before="20" w:after="40"/>
        <w:ind w:left="280"/>
      </w:pPr>
      <w:r>
        <w:rPr>
          <w:i/>
          <w:sz w:val="18"/>
        </w:rPr>
        <w:t>Le rapprochement avec la Russie pourrait ouvrir de nouvelles opportunités économiques mais aussi créer des tensions avec les partenaires traditionnels. Les entreprises cotées opérant dans la région, comme ORAC et FTSC, doivent surveiller l'évolution de ces relations diplomatiques.</w:t>
      </w:r>
    </w:p>
    <w:p>
      <w:pPr>
        <w:pStyle w:val="Heading2"/>
      </w:pPr>
      <w:r>
        <w:rPr>
          <w:color w:val="8C4600"/>
        </w:rPr>
        <w:t>🏦 Plan UEMOA / Zone Franc</w:t>
      </w:r>
    </w:p>
    <w:p>
      <w:pPr>
        <w:spacing w:before="20" w:after="40"/>
        <w:ind w:left="0"/>
      </w:pPr>
      <w:r>
        <w:rPr>
          <w:sz w:val="18"/>
        </w:rPr>
        <w:t>La situation politique au Sénégal, avec les révélations sur la SN-HLM, est le principal fait politique de la zone. Au Mali, les opérations militaires se poursuivent. Aucune réforme institutionnelle majeure n'est rapportée dans le corpus.</w:t>
      </w:r>
    </w:p>
    <w:p>
      <w:pPr>
        <w:pStyle w:val="Heading3"/>
      </w:pPr>
      <w:r>
        <w:rPr>
          <w:color w:val="500050"/>
        </w:rPr>
        <w:t>⚡ Impact estimé sur la BRVM</w:t>
      </w:r>
    </w:p>
    <w:p>
      <w:pPr>
        <w:spacing w:before="20" w:after="40"/>
        <w:ind w:left="280"/>
      </w:pPr>
      <w:r>
        <w:rPr>
          <w:i/>
          <w:sz w:val="18"/>
        </w:rPr>
        <w:t>Les tensions politiques au Sénégal et l'instabilité sécuritaire au Mali pourraient peser sur la confiance des investisseurs régionaux. Les banques présentes dans ces pays (BOAS, BOAM) et les entreprises de consommation (SLBC, SPHC) pourraient être affectées par une dégradation du climat des affaires.</w:t>
      </w:r>
    </w:p>
    <w:p>
      <w:pPr>
        <w:pStyle w:val="Heading2"/>
      </w:pPr>
      <w:r>
        <w:rPr>
          <w:color w:val="003366"/>
        </w:rPr>
        <w:t>📈 Plan BRVM</w:t>
      </w:r>
    </w:p>
    <w:p>
      <w:pPr>
        <w:spacing w:before="20" w:after="40"/>
        <w:ind w:left="0"/>
      </w:pPr>
      <w:r>
        <w:rPr>
          <w:sz w:val="18"/>
        </w:rPr>
        <w:t>Données insuffisantes. Aucune actualité spécifique sur la réglementation CREPMF, de nouvelles cotations ou la gouvernance des sociétés cotées n'a été fournie dans le corpus.</w:t>
      </w:r>
    </w:p>
    <w:p>
      <w:pPr>
        <w:pStyle w:val="Heading3"/>
      </w:pPr>
      <w:r>
        <w:rPr>
          <w:color w:val="500050"/>
        </w:rPr>
        <w:t>⚡ Impact estimé sur la BRVM</w:t>
      </w:r>
    </w:p>
    <w:p>
      <w:pPr>
        <w:spacing w:before="20" w:after="40"/>
        <w:ind w:left="280"/>
      </w:pPr>
      <w:r>
        <w:rPr>
          <w:i/>
          <w:sz w:val="18"/>
        </w:rPr>
        <w:t>En l'absence de nouvelles réglementaires, l'impact est neutre à court terme. Il convient de surveiller les prochaines communications du régulateur.</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hausse de l'indice MXV des matières premières est le principal événement financier mondial, signalant une vigueur des prix des commodités. La Fed maintient une position attentiste sur les taux, avec un impact limité sur les changes. Le débat sur la dette en France n'a pas d'effet direct sur les marchés émergents.</w:t>
      </w:r>
    </w:p>
    <w:p>
      <w:pPr>
        <w:pStyle w:val="Heading3"/>
      </w:pPr>
      <w:r>
        <w:rPr>
          <w:color w:val="500050"/>
        </w:rPr>
        <w:t>⚡ Impact estimé sur la BRVM</w:t>
      </w:r>
    </w:p>
    <w:p>
      <w:pPr>
        <w:spacing w:before="20" w:after="40"/>
        <w:ind w:left="280"/>
      </w:pPr>
      <w:r>
        <w:rPr>
          <w:i/>
          <w:sz w:val="18"/>
        </w:rPr>
        <w:t>La hausse des matières premières est globalement positive pour la BRVM, qui abrite des valeurs énergétiques (TTLC, SHEC) et agro-industrielles (PALC, SCRC). Un environnement de prix élevés des commodités soutient les revenus de ces sociétés et pourrait attirer des investisseurs en quête de rendement.</w:t>
      </w:r>
    </w:p>
    <w:p>
      <w:pPr>
        <w:pStyle w:val="Heading2"/>
      </w:pPr>
      <w:r>
        <w:rPr>
          <w:color w:val="006E32"/>
        </w:rPr>
        <w:t>🌍 Plan Africain</w:t>
      </w:r>
    </w:p>
    <w:p>
      <w:pPr>
        <w:spacing w:before="20" w:after="40"/>
        <w:ind w:left="0"/>
      </w:pPr>
      <w:r>
        <w:rPr>
          <w:sz w:val="18"/>
        </w:rPr>
        <w:t>L'émission de dette verte de Senelec à la Bourse de Luxembourg est un signal fort de l'accès des émetteurs africains aux marchés internationaux de capitaux. Cette opération de 108 milliards de FCFA démontre l'intérêt des investisseurs pour les actifs africains à impact. Les secteurs porteurs identifiés par Bpifrance (infrastructures, agro-industrie, énergies renouvelables) confirment l'attractivité structurelle du continent.</w:t>
      </w:r>
    </w:p>
    <w:p>
      <w:pPr>
        <w:pStyle w:val="Heading3"/>
      </w:pPr>
      <w:r>
        <w:rPr>
          <w:color w:val="500050"/>
        </w:rPr>
        <w:t>⚡ Impact estimé sur la BRVM</w:t>
      </w:r>
    </w:p>
    <w:p>
      <w:pPr>
        <w:spacing w:before="20" w:after="40"/>
        <w:ind w:left="280"/>
      </w:pPr>
      <w:r>
        <w:rPr>
          <w:i/>
          <w:sz w:val="18"/>
        </w:rPr>
        <w:t>Le succès de l'émission de Senelec pourrait inspirer d'autres émetteurs de la zone UEMOA et renforcer la crédibilité de la région auprès des investisseurs internationaux. Les valeurs BRVM liées aux infrastructures et à l'énergie (TTLC, SHEC, FTSC) pourraient bénéficier de cet engouement.</w:t>
      </w:r>
    </w:p>
    <w:p>
      <w:pPr>
        <w:pStyle w:val="Heading2"/>
      </w:pPr>
      <w:r>
        <w:rPr>
          <w:color w:val="145A28"/>
        </w:rPr>
        <w:t>🌍 Plan Afrique de l'Ouest</w:t>
      </w:r>
    </w:p>
    <w:p>
      <w:pPr>
        <w:spacing w:before="20" w:after="40"/>
        <w:ind w:left="0"/>
      </w:pPr>
      <w:r>
        <w:rPr>
          <w:sz w:val="18"/>
        </w:rPr>
        <w:t>Données insuffisantes. Aucune actualité spécifique sur les bourses régionales concurrentes ou les flux de capitaux sous-régionaux n'a été fournie dans le corpus.</w:t>
      </w:r>
    </w:p>
    <w:p>
      <w:pPr>
        <w:pStyle w:val="Heading3"/>
      </w:pPr>
      <w:r>
        <w:rPr>
          <w:color w:val="500050"/>
        </w:rPr>
        <w:t>⚡ Impact estimé sur la BRVM</w:t>
      </w:r>
    </w:p>
    <w:p>
      <w:pPr>
        <w:spacing w:before="20" w:after="40"/>
        <w:ind w:left="280"/>
      </w:pPr>
      <w:r>
        <w:rPr>
          <w:i/>
          <w:sz w:val="18"/>
        </w:rPr>
        <w:t>En l'absence de données sur les places concurrentes, il est difficile d'évaluer le positionnement de la BRVM. La place reste néanmoins la référence de la zone UEMOA.</w:t>
      </w:r>
    </w:p>
    <w:p>
      <w:pPr>
        <w:pStyle w:val="Heading2"/>
      </w:pPr>
      <w:r>
        <w:rPr>
          <w:color w:val="8C4600"/>
        </w:rPr>
        <w:t>🏦 Plan UEMOA / Zone Franc</w:t>
      </w:r>
    </w:p>
    <w:p>
      <w:pPr>
        <w:spacing w:before="20" w:after="40"/>
        <w:ind w:left="0"/>
      </w:pPr>
      <w:r>
        <w:rPr>
          <w:sz w:val="18"/>
        </w:rPr>
        <w:t>Données insuffisantes. Aucune actualité spécifique sur le marché des titres publics UEMOA, le taux interbancaire ou la liquidité n'a été fournie dans le corpus.</w:t>
      </w:r>
    </w:p>
    <w:p>
      <w:pPr>
        <w:pStyle w:val="Heading3"/>
      </w:pPr>
      <w:r>
        <w:rPr>
          <w:color w:val="500050"/>
        </w:rPr>
        <w:t>⚡ Impact estimé sur la BRVM</w:t>
      </w:r>
    </w:p>
    <w:p>
      <w:pPr>
        <w:spacing w:before="20" w:after="40"/>
        <w:ind w:left="280"/>
      </w:pPr>
      <w:r>
        <w:rPr>
          <w:i/>
          <w:sz w:val="18"/>
        </w:rPr>
        <w:t>L'arbitrage entre titres publics et actions BRVM ne peut pas être évalué avec les données disponibles. Une attention particulière doit être portée aux prochaines émissions de titres publics.</w:t>
      </w:r>
    </w:p>
    <w:p>
      <w:pPr>
        <w:pStyle w:val="Heading2"/>
      </w:pPr>
      <w:r>
        <w:rPr>
          <w:color w:val="003366"/>
        </w:rPr>
        <w:t>📈 Plan BRVM</w:t>
      </w:r>
    </w:p>
    <w:p>
      <w:pPr>
        <w:spacing w:before="20" w:after="40"/>
        <w:ind w:left="0"/>
      </w:pPr>
      <w:r>
        <w:rPr>
          <w:sz w:val="18"/>
        </w:rPr>
        <w:t>L'indice BRVM Composite se maintient à 529,15 points, soutenu par les résultats encourageants des sociétés cotées ivoiriennes. La dynamique positive du marché est portée par les secteurs de la consommation discrétionnaire et des services financiers. La hausse des matières premières profite aux valeurs énergétiques.</w:t>
      </w:r>
    </w:p>
    <w:p>
      <w:pPr>
        <w:pStyle w:val="Heading3"/>
      </w:pPr>
      <w:r>
        <w:rPr>
          <w:color w:val="500050"/>
        </w:rPr>
        <w:t>⚡ Impact estimé sur la BRVM</w:t>
      </w:r>
    </w:p>
    <w:p>
      <w:pPr>
        <w:spacing w:before="20" w:after="40"/>
        <w:ind w:left="280"/>
      </w:pPr>
      <w:r>
        <w:rPr>
          <w:i/>
          <w:sz w:val="18"/>
        </w:rPr>
        <w:t>Les valeurs de consommation discrétionnaire (LNBB, UNXC, BNBC) et les banques (BOAC, BOAS, NSBC, BOAM) sont les principales opportunités d'achat. Les valeurs énergétiques (TTLC, SHEC) bénéficient de la hausse des matières premières. Les sociétés de consommation de base (SCRC, SLBC, PALC) pourraient être sous pression en raison des coûts d'approvisionnement. Il est recommandé de renforcer les positions sur les valeurs financières et énergétiques, tout en restant prudent sur les valeurs de consommation de base.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favorable pour la BRVM, porté par la hausse des matières premières, des résultats d'entreprises encourageants et une stabilité géopolitique relative. Les tensions politiques au Sénégal et les défis sécuritaires au Mali constituent des points de vigilance, mais ne remettent pas en cause la tendance positive du marché. Il est recommandé de maintenir une exposition aux valeurs financières (BOAC, BOAS, NSBC, BOAM) et énergétiques (TTLC, SHEC), tout en surveillant les publications de résultats et les évolutions politiques régionales.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Russie-CEDEAO : après les ruptures au Sahel, avec qui l’Afrique de l’O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2026-08-21</w:t>
            </w:r>
          </w:p>
        </w:tc>
        <w:tc>
          <w:tcPr>
            <w:tcW w:type="dxa" w:w="1728"/>
          </w:tcPr>
          <w:p>
            <w:r>
              <w:rPr>
                <w:sz w:val="14"/>
              </w:rPr>
              <w:t>La BRVM dépasse pour la première fois 20 000 milliards de FCFA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2026-08-22</w:t>
            </w:r>
          </w:p>
        </w:tc>
        <w:tc>
          <w:tcPr>
            <w:tcW w:type="dxa" w:w="1728"/>
          </w:tcPr>
          <w:p>
            <w:r>
              <w:rPr>
                <w:sz w:val="14"/>
              </w:rPr>
              <w:t xml:space="preserve">La BRVM franchit le cap historique des 20 000 milliards de francs CFA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 xml:space="preserve">La BRVM franchit le cap historique des 20 000 milliards de francs CFA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 xml:space="preserve">La BRVM franchit le cap historique des 20 000 milliards de francs CFA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Patrick Vieira devient le nouveau sélectionneur de l'équipe 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BRVM: la capitalisation boursière du marché des actions franchit le Ca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marche_financier  (4 alerte(s))</w:t>
      </w:r>
    </w:p>
    <w:p>
      <w:pPr>
        <w:spacing w:before="40" w:after="40"/>
        <w:ind w:left="360"/>
      </w:pPr>
      <w:r>
        <w:rPr>
          <w:color w:val="646464"/>
          <w:sz w:val="17"/>
        </w:rPr>
        <w:t xml:space="preserve">[22/08/2026] 🟢  </w:t>
      </w:r>
      <w:r>
        <w:rPr>
          <w:b/>
          <w:color w:val="008000"/>
          <w:sz w:val="18"/>
        </w:rPr>
        <w:t>La BRVM franchit le cap historique des 20 000 milliards de francs CFA de capitalisation - Forbes Afrique</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20 000 milliards de francs CFA, un record pour le marché financier de l'UEMOA. Cette performance reflète la dynamique positive des entreprises cotées et l'attractivité croissante de la place financière régionale. Le franchisse</w:t>
      </w:r>
    </w:p>
    <w:p>
      <w:pPr>
        <w:spacing w:before="0" w:after="40"/>
        <w:ind w:left="600"/>
      </w:pPr>
      <w:r>
        <w:rPr>
          <w:color w:val="00643C"/>
          <w:sz w:val="16"/>
        </w:rPr>
        <w:t>Points clés : Capitalisation boursière record de 20 000 milliards FCFA atteinte par la BRVM.  •  Confirmation de la dynamique haussière du marché financier de l'UEMOA.  •  Attractivité accrue de la BRVM auprès des investisseurs régionaux et internationaux.</w:t>
      </w:r>
    </w:p>
    <w:p>
      <w:pPr>
        <w:spacing w:before="0" w:after="60"/>
        <w:ind w:left="600"/>
      </w:pPr>
      <w:r>
        <w:rPr>
          <w:color w:val="0064B4"/>
          <w:sz w:val="15"/>
        </w:rPr>
        <w:t>Source : https://news.google.com/rss/articles/CBMitAFBVV95cUxNc3RLNHNFd3NwNEdyMFBHUDdOblF</w:t>
      </w:r>
    </w:p>
    <w:p>
      <w:pPr>
        <w:spacing w:before="40" w:after="40"/>
        <w:ind w:left="360"/>
      </w:pPr>
      <w:r>
        <w:rPr>
          <w:color w:val="646464"/>
          <w:sz w:val="17"/>
        </w:rPr>
        <w:t xml:space="preserve">[21/08/2026] 🟢  </w:t>
      </w:r>
      <w:r>
        <w:rPr>
          <w:b/>
          <w:color w:val="008000"/>
          <w:sz w:val="18"/>
        </w:rPr>
        <w:t>BRVM: la capitalisation boursière du marché des actions franchit le Cap des 20.000 milliards FCFA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plus de 20 000 milliards de FCFA sur le marché des actions. Cette performance reflète la dynamique positive du marché financier de l'UEMOA, portée par la confiance des investisseurs et la bonne tenue des valeurs cotées. Ce seu</w:t>
      </w:r>
    </w:p>
    <w:p>
      <w:pPr>
        <w:spacing w:before="0" w:after="40"/>
        <w:ind w:left="600"/>
      </w:pPr>
      <w:r>
        <w:rPr>
          <w:color w:val="00643C"/>
          <w:sz w:val="16"/>
        </w:rPr>
        <w:t>Points clés : La capitalisation boursière du marché des actions de la BRVM dépasse 20 000 milliards FCFA.  •  Cette progression témoigne de la vitalité du marché financier de l'UEMOA.  •  Le franchissement de ce cap renforce l'attractivité de la BRVM auprès des investisseurs.</w:t>
      </w:r>
    </w:p>
    <w:p>
      <w:pPr>
        <w:spacing w:before="0" w:after="60"/>
        <w:ind w:left="600"/>
      </w:pPr>
      <w:r>
        <w:rPr>
          <w:color w:val="0064B4"/>
          <w:sz w:val="15"/>
        </w:rPr>
        <w:t>Source : https://news.google.com/rss/articles/CBMi0gFBVV95cUxQVGJBZ3F1amtfMEVCcGRZUHZUeUx</w:t>
      </w:r>
    </w:p>
    <w:p>
      <w:pPr>
        <w:spacing w:before="40" w:after="40"/>
        <w:ind w:left="360"/>
      </w:pPr>
      <w:r>
        <w:rPr>
          <w:color w:val="646464"/>
          <w:sz w:val="17"/>
        </w:rPr>
        <w:t xml:space="preserve">[21/08/2026] 🟢  </w:t>
      </w:r>
      <w:r>
        <w:rPr>
          <w:b/>
          <w:color w:val="008000"/>
          <w:sz w:val="18"/>
        </w:rPr>
        <w:t>La BRVM dépasse pour la première fois 20 000 milliards de FCFA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pour la première fois de son histoire le cap symbolique des 20 000 milliards de FCFA de capitalisation boursière. Cette performance témoigne de la dynamique positive du marché financier de l'UEMOA, portée par la confiance des investisseurs et la bonne tenue des valeurs cotées. Ce seuil his</w:t>
      </w:r>
    </w:p>
    <w:p>
      <w:pPr>
        <w:spacing w:before="0" w:after="40"/>
        <w:ind w:left="600"/>
      </w:pPr>
      <w:r>
        <w:rPr>
          <w:color w:val="00643C"/>
          <w:sz w:val="16"/>
        </w:rPr>
        <w:t>Points clés : Franchissement historique du seuil de 20 000 milliards de FCFA de capitalisation boursière.  •  Confirmation de la tendance haussière du marché financier de l'UEMOA.</w:t>
      </w:r>
    </w:p>
    <w:p>
      <w:pPr>
        <w:spacing w:before="0" w:after="60"/>
        <w:ind w:left="600"/>
      </w:pPr>
      <w:r>
        <w:rPr>
          <w:color w:val="0064B4"/>
          <w:sz w:val="15"/>
        </w:rPr>
        <w:t>Source : https://news.google.com/rss/articles/CBMimwFBVV95cUxOZFBrNTAyNlZkaFJTXzRfZk5HdGV</w:t>
      </w:r>
    </w:p>
    <w:p>
      <w:pPr>
        <w:spacing w:before="40" w:after="40"/>
        <w:ind w:left="360"/>
      </w:pPr>
      <w:r>
        <w:rPr>
          <w:color w:val="646464"/>
          <w:sz w:val="17"/>
        </w:rPr>
        <w:t xml:space="preserve">[20/08/2026] 🟢  </w:t>
      </w:r>
      <w:r>
        <w:rPr>
          <w:b/>
          <w:color w:val="008000"/>
          <w:sz w:val="18"/>
        </w:rPr>
        <w:t>BRVM : la flambée de Sonatel de 190 milliards FCFA hisse les indices à un record - Capmad</w:t>
      </w:r>
      <w:r>
        <w:rPr>
          <w:color w:val="787878"/>
          <w:sz w:val="15"/>
        </w:rPr>
        <w:t xml:space="preserve">  [marche_financier]</w:t>
      </w:r>
      <w:r>
        <w:rPr>
          <w:color w:val="B47800"/>
          <w:sz w:val="16"/>
        </w:rPr>
        <w:t xml:space="preserve">  ★ 50/10</w:t>
      </w:r>
    </w:p>
    <w:p>
      <w:pPr>
        <w:spacing w:before="0" w:after="20"/>
        <w:ind w:left="600"/>
      </w:pPr>
      <w:r>
        <w:rPr>
          <w:color w:val="323232"/>
          <w:sz w:val="17"/>
        </w:rPr>
        <w:t>La BRVM a enregistré une hausse record de ses indices, portée principalement par la flambée du titre Sonatel qui a gagné 190 milliards FCFA de capitalisation boursière. Cette performance exceptionnelle a propulsé l'indice composite et l'indice BRVM 10 à des niveaux historiques. Le marché financier de l'UEMOA montre ainsi une dynamique positive, sou</w:t>
      </w:r>
    </w:p>
    <w:p>
      <w:pPr>
        <w:spacing w:before="0" w:after="40"/>
        <w:ind w:left="600"/>
      </w:pPr>
      <w:r>
        <w:rPr>
          <w:color w:val="00643C"/>
          <w:sz w:val="16"/>
        </w:rPr>
        <w:t>Points clés : Hausse record des indices de la BRVM grâce à Sonatel.  •  Gain de 190 milliards FCFA de capitalisation pour Sonatel.  •  Nouveaux sommets historiques pour les indices BRVM.</w:t>
      </w:r>
    </w:p>
    <w:p>
      <w:pPr>
        <w:spacing w:before="0" w:after="60"/>
        <w:ind w:left="600"/>
      </w:pPr>
      <w:r>
        <w:rPr>
          <w:color w:val="0064B4"/>
          <w:sz w:val="15"/>
        </w:rPr>
        <w:t>Source : https://news.google.com/rss/articles/CBMirgFBVV95cUxPU2kyZ3hrU0tRNFJxYzVEa2xlNG5</w:t>
      </w:r>
    </w:p>
    <w:p>
      <w:pPr>
        <w:spacing w:before="120" w:after="40"/>
      </w:pPr>
      <w:r>
        <w:rPr>
          <w:b/>
          <w:color w:val="00467F"/>
          <w:sz w:val="20"/>
        </w:rPr>
        <w:t>🔑 politique  (9 alerte(s))</w:t>
      </w:r>
    </w:p>
    <w:p>
      <w:pPr>
        <w:spacing w:before="40" w:after="40"/>
        <w:ind w:left="360"/>
      </w:pPr>
      <w:r>
        <w:rPr>
          <w:color w:val="646464"/>
          <w:sz w:val="17"/>
        </w:rPr>
        <w:t xml:space="preserve">[22/08/2026] ⚪  </w:t>
      </w:r>
      <w:r>
        <w:rPr>
          <w:b/>
          <w:color w:val="505050"/>
          <w:sz w:val="18"/>
        </w:rPr>
        <w:t>Sénégal: Patrick Vieira devient le nouveau sélectionneur de l'équipe nationale de football - tv5monde</w:t>
      </w:r>
      <w:r>
        <w:rPr>
          <w:color w:val="787878"/>
          <w:sz w:val="15"/>
        </w:rPr>
        <w:t xml:space="preserve">  [politique]</w:t>
      </w:r>
      <w:r>
        <w:rPr>
          <w:color w:val="B47800"/>
          <w:sz w:val="16"/>
        </w:rPr>
        <w:t xml:space="preserve">  ★ 50/10</w:t>
      </w:r>
    </w:p>
    <w:p>
      <w:pPr>
        <w:spacing w:before="0" w:after="20"/>
        <w:ind w:left="600"/>
      </w:pPr>
      <w:r>
        <w:rPr>
          <w:color w:val="323232"/>
          <w:sz w:val="17"/>
        </w:rPr>
        <w:t>Le Sénégal a nommé Patrick Vieira comme nouveau sélectionneur de son équipe nationale de football, selon une information rapportée par TV5Monde. Cette décision intervient dans un contexte de renouvellement de l'encadrement technique de la sélection sénégalaise. L'annonce est principalement d'ordre sportif et politique, sans lien direct avec les mar</w:t>
      </w:r>
    </w:p>
    <w:p>
      <w:pPr>
        <w:spacing w:before="0" w:after="40"/>
        <w:ind w:left="600"/>
      </w:pPr>
      <w:r>
        <w:rPr>
          <w:color w:val="00643C"/>
          <w:sz w:val="16"/>
        </w:rPr>
        <w:t>Points clés : Nomination de Patrick Vieira à la tête de l'équipe nationale du Sénégal  •  Information relayée par TV5Monde, catégorie politique</w:t>
      </w:r>
    </w:p>
    <w:p>
      <w:pPr>
        <w:spacing w:before="0" w:after="60"/>
        <w:ind w:left="600"/>
      </w:pPr>
      <w:r>
        <w:rPr>
          <w:color w:val="0064B4"/>
          <w:sz w:val="15"/>
        </w:rPr>
        <w:t>Source : https://news.google.com/rss/articles/CBMi0wFBVV95cUxNT1RwSVlvWHllRG43djFrZGp0S3M</w:t>
      </w:r>
    </w:p>
    <w:p>
      <w:pPr>
        <w:spacing w:before="40" w:after="40"/>
        <w:ind w:left="360"/>
      </w:pPr>
      <w:r>
        <w:rPr>
          <w:color w:val="646464"/>
          <w:sz w:val="17"/>
        </w:rPr>
        <w:t xml:space="preserve">[21/08/2026] ⚪  </w:t>
      </w:r>
      <w:r>
        <w:rPr>
          <w:b/>
          <w:color w:val="505050"/>
          <w:sz w:val="18"/>
        </w:rPr>
        <w:t>Mali : Le GTI « Tata » met en déroute un groupe armé à Diongaga - koaci.com</w:t>
      </w:r>
      <w:r>
        <w:rPr>
          <w:color w:val="787878"/>
          <w:sz w:val="15"/>
        </w:rPr>
        <w:t xml:space="preserve">  [politique]</w:t>
      </w:r>
      <w:r>
        <w:rPr>
          <w:color w:val="B47800"/>
          <w:sz w:val="16"/>
        </w:rPr>
        <w:t xml:space="preserve">  ★ 50/10</w:t>
      </w:r>
    </w:p>
    <w:p>
      <w:pPr>
        <w:spacing w:before="0" w:after="20"/>
        <w:ind w:left="600"/>
      </w:pPr>
      <w:r>
        <w:rPr>
          <w:color w:val="323232"/>
          <w:sz w:val="17"/>
        </w:rPr>
        <w:t>L'article rapporte une opération militaire réussie au Mali, où le GTI « Tata » a mis en déroute un groupe armé à Diongaga. Cette action s'inscrit dans le contexte sécuritaire de la zone UEMOA, marquée par des défis liés à l'instabilité. Bien que l'information soit d'ordre politique et sécuritaire, elle n'a pas de lien direct avec les marchés financ</w:t>
      </w:r>
    </w:p>
    <w:p>
      <w:pPr>
        <w:spacing w:before="0" w:after="40"/>
        <w:ind w:left="600"/>
      </w:pPr>
      <w:r>
        <w:rPr>
          <w:color w:val="00643C"/>
          <w:sz w:val="16"/>
        </w:rPr>
        <w:t>Points clés : Succès militaire du GTI « Tata » contre un groupe armé au Mali.  •  Contexte sécuritaire dans la zone UEMOA, sans impact direct sur les entreprises cotées.</w:t>
      </w:r>
    </w:p>
    <w:p>
      <w:pPr>
        <w:spacing w:before="0" w:after="60"/>
        <w:ind w:left="600"/>
      </w:pPr>
      <w:r>
        <w:rPr>
          <w:color w:val="0064B4"/>
          <w:sz w:val="15"/>
        </w:rPr>
        <w:t>Source : https://news.google.com/rss/articles/CBMiwwFBVV95cUxNeXJSbkFzdGVZSEZqNDJDdkhua1R</w:t>
      </w:r>
    </w:p>
    <w:p>
      <w:pPr>
        <w:spacing w:before="40" w:after="40"/>
        <w:ind w:left="360"/>
      </w:pPr>
      <w:r>
        <w:rPr>
          <w:color w:val="646464"/>
          <w:sz w:val="17"/>
        </w:rPr>
        <w:t xml:space="preserve">[21/08/2026] 🔴  </w:t>
      </w:r>
      <w:r>
        <w:rPr>
          <w:b/>
          <w:color w:val="C00000"/>
          <w:sz w:val="18"/>
        </w:rPr>
        <w:t>Sénégal : le DG de la SN-HLM confirme les révélations d’Aminata Touré - Africtelegraph</w:t>
      </w:r>
      <w:r>
        <w:rPr>
          <w:color w:val="787878"/>
          <w:sz w:val="15"/>
        </w:rPr>
        <w:t xml:space="preserve">  [politique]</w:t>
      </w:r>
      <w:r>
        <w:rPr>
          <w:color w:val="B47800"/>
          <w:sz w:val="16"/>
        </w:rPr>
        <w:t xml:space="preserve">  ★ 50/10</w:t>
      </w:r>
    </w:p>
    <w:p>
      <w:pPr>
        <w:spacing w:before="0" w:after="20"/>
        <w:ind w:left="600"/>
      </w:pPr>
      <w:r>
        <w:rPr>
          <w:color w:val="323232"/>
          <w:sz w:val="17"/>
        </w:rPr>
        <w:t>Le directeur général de la SN-HLM (Société Nationale des Habitations à Loyer Modéré) du Sénégal a confirmé les révélations faites par l'ancienne Première ministre Aminata Touré, concernant des irrégularités ou des malversations au sein de l'entreprise. Cette confirmation intervient dans un contexte politique tendu, où des accusations de mauvaise ge</w:t>
      </w:r>
    </w:p>
    <w:p>
      <w:pPr>
        <w:spacing w:before="0" w:after="40"/>
        <w:ind w:left="600"/>
      </w:pPr>
      <w:r>
        <w:rPr>
          <w:color w:val="00643C"/>
          <w:sz w:val="16"/>
        </w:rPr>
        <w:t>Points clés : Le DG de la SN-HLM confirme les révélations d'Aminata Touré sur des irrégularités.  •  L'affaire concerne la gestion du logement social au Sénégal, un secteur clé pour l'économie.  •  La confirmation intervient dans un climat politique sensible, avec des implications pour la gouvernance publique.</w:t>
      </w:r>
    </w:p>
    <w:p>
      <w:pPr>
        <w:spacing w:before="0" w:after="60"/>
        <w:ind w:left="600"/>
      </w:pPr>
      <w:r>
        <w:rPr>
          <w:color w:val="0064B4"/>
          <w:sz w:val="15"/>
        </w:rPr>
        <w:t>Source : https://news.google.com/rss/articles/CBMioAFBVV95cUxPQ1djZmU5S3Y1NThwUTBPd01SRkl</w:t>
      </w:r>
    </w:p>
    <w:p>
      <w:pPr>
        <w:spacing w:before="40" w:after="40"/>
        <w:ind w:left="360"/>
      </w:pPr>
      <w:r>
        <w:rPr>
          <w:color w:val="646464"/>
          <w:sz w:val="17"/>
        </w:rPr>
        <w:t xml:space="preserve">[20/08/2026] ⚪  </w:t>
      </w:r>
      <w:r>
        <w:rPr>
          <w:b/>
          <w:color w:val="505050"/>
          <w:sz w:val="18"/>
        </w:rPr>
        <w:t>Le Sénégal pleinement solidaire des juges de la Cpi visés par des sanctions américaines - Anadolu Ajansı</w:t>
      </w:r>
      <w:r>
        <w:rPr>
          <w:color w:val="787878"/>
          <w:sz w:val="15"/>
        </w:rPr>
        <w:t xml:space="preserve">  [politique]</w:t>
      </w:r>
      <w:r>
        <w:rPr>
          <w:color w:val="B47800"/>
          <w:sz w:val="16"/>
        </w:rPr>
        <w:t xml:space="preserve">  ★ 50/10</w:t>
      </w:r>
    </w:p>
    <w:p>
      <w:pPr>
        <w:spacing w:before="0" w:after="20"/>
        <w:ind w:left="600"/>
      </w:pPr>
      <w:r>
        <w:rPr>
          <w:color w:val="323232"/>
          <w:sz w:val="17"/>
        </w:rPr>
        <w:t>Le Sénégal a exprimé sa pleine solidarité avec les juges de la Cour pénale internationale (CPI) visés par des sanctions américaines. Cette déclaration intervient dans un contexte de tensions entre les États-Unis et la CPI. Le Sénégal réaffirme ainsi son soutien à la justice internationale et à l'indépendance de la Cour. Cette position pourrait renf</w:t>
      </w:r>
    </w:p>
    <w:p>
      <w:pPr>
        <w:spacing w:before="0" w:after="40"/>
        <w:ind w:left="600"/>
      </w:pPr>
      <w:r>
        <w:rPr>
          <w:color w:val="00643C"/>
          <w:sz w:val="16"/>
        </w:rPr>
        <w:t>Points clés : Le Sénégal soutient pleinement les juges de la CPI face aux sanctions américaines.  •  Cette position réaffirme l'engagement du Sénégal envers la justice internationale.  •  Le contexte est celui de tensions entre les États-Unis et la CPI.</w:t>
      </w:r>
    </w:p>
    <w:p>
      <w:pPr>
        <w:spacing w:before="0" w:after="60"/>
        <w:ind w:left="600"/>
      </w:pPr>
      <w:r>
        <w:rPr>
          <w:color w:val="0064B4"/>
          <w:sz w:val="15"/>
        </w:rPr>
        <w:t>Source : https://news.google.com/rss/articles/CBMi5AFBVV95cUxOOGdWWWs5WHlfNHNnTE5WSXhLb0x</w:t>
      </w:r>
    </w:p>
    <w:p>
      <w:pPr>
        <w:spacing w:before="40" w:after="40"/>
        <w:ind w:left="360"/>
      </w:pPr>
      <w:r>
        <w:rPr>
          <w:color w:val="646464"/>
          <w:sz w:val="17"/>
        </w:rPr>
        <w:t xml:space="preserve">[20/08/2026] ⚪  </w:t>
      </w:r>
      <w:r>
        <w:rPr>
          <w:b/>
          <w:color w:val="505050"/>
          <w:sz w:val="18"/>
        </w:rPr>
        <w:t>Sénégal : Le gouvernement saisit le Conseil constitutionnel sur les crédits spéciaux - koaci.com</w:t>
      </w:r>
      <w:r>
        <w:rPr>
          <w:color w:val="787878"/>
          <w:sz w:val="15"/>
        </w:rPr>
        <w:t xml:space="preserve">  [politique]</w:t>
      </w:r>
      <w:r>
        <w:rPr>
          <w:color w:val="B47800"/>
          <w:sz w:val="16"/>
        </w:rPr>
        <w:t xml:space="preserve">  ★ 50/10</w:t>
      </w:r>
    </w:p>
    <w:p>
      <w:pPr>
        <w:spacing w:before="0" w:after="20"/>
        <w:ind w:left="600"/>
      </w:pPr>
      <w:r>
        <w:rPr>
          <w:color w:val="323232"/>
          <w:sz w:val="17"/>
        </w:rPr>
        <w:t>Le gouvernement sénégalais a saisi le Conseil constitutionnel au sujet des crédits spéciaux, une procédure qui vise à clarifier la constitutionnalité de ces dépenses budgétaires. Cette action s'inscrit dans un contexte de gestion des finances publiques et de transparence, avec des implications potentielles pour la politique budgétaire du pays. La d</w:t>
      </w:r>
    </w:p>
    <w:p>
      <w:pPr>
        <w:spacing w:before="0" w:after="40"/>
        <w:ind w:left="600"/>
      </w:pPr>
      <w:r>
        <w:rPr>
          <w:color w:val="00643C"/>
          <w:sz w:val="16"/>
        </w:rPr>
        <w:t>Points clés : Saisine du Conseil constitutionnel par le gouvernement sénégalais sur les crédits spéciaux.  •  Question de constitutionnalité liée à la gestion budgétaire et à la transparence des dépenses publiques.  •  Décision attendue pourrait affecter la politique budgétaire future du Sénégal.</w:t>
      </w:r>
    </w:p>
    <w:p>
      <w:pPr>
        <w:spacing w:before="0" w:after="60"/>
        <w:ind w:left="600"/>
      </w:pPr>
      <w:r>
        <w:rPr>
          <w:color w:val="0064B4"/>
          <w:sz w:val="15"/>
        </w:rPr>
        <w:t>Source : https://news.google.com/rss/articles/CBMi6AFBVV95cUxPbmFweklfQ040b3dPRzVrdDVIRnp</w:t>
      </w:r>
    </w:p>
    <w:p>
      <w:pPr>
        <w:spacing w:before="120" w:after="40"/>
      </w:pPr>
      <w:r>
        <w:rPr>
          <w:b/>
          <w:color w:val="00467F"/>
          <w:sz w:val="20"/>
        </w:rPr>
        <w:t>🔑 politique_monetaire  (2 alerte(s))</w:t>
      </w:r>
    </w:p>
    <w:p>
      <w:pPr>
        <w:spacing w:before="40" w:after="40"/>
        <w:ind w:left="360"/>
      </w:pPr>
      <w:r>
        <w:rPr>
          <w:color w:val="646464"/>
          <w:sz w:val="17"/>
        </w:rPr>
        <w:t xml:space="preserve">[21/08/2026] 🔴  </w:t>
      </w:r>
      <w:r>
        <w:rPr>
          <w:b/>
          <w:color w:val="C00000"/>
          <w:sz w:val="18"/>
        </w:rPr>
        <w:t>Dette : pourquoi l'annulation proposée par Jean-Luc Mélenchon ne peut pas fonctionner - Les Echos</w:t>
      </w:r>
      <w:r>
        <w:rPr>
          <w:color w:val="787878"/>
          <w:sz w:val="15"/>
        </w:rPr>
        <w:t xml:space="preserve">  [politique_monetaire]</w:t>
      </w:r>
      <w:r>
        <w:rPr>
          <w:color w:val="B47800"/>
          <w:sz w:val="16"/>
        </w:rPr>
        <w:t xml:space="preserve">  ★ 50/10</w:t>
      </w:r>
    </w:p>
    <w:p>
      <w:pPr>
        <w:spacing w:before="0" w:after="20"/>
        <w:ind w:left="600"/>
      </w:pPr>
      <w:r>
        <w:rPr>
          <w:color w:val="323232"/>
          <w:sz w:val="17"/>
        </w:rPr>
        <w:t>L'article des Echos critique la proposition de Jean-Luc Mélenchon d'annuler la dette publique, arguant que cette mesure est irréaliste et dangereuse pour l'économie. Il souligne que l'annulation unilatérale de la dette entraînerait une perte de confiance des investisseurs, une hausse des taux d'intérêt et une exclusion des marchés financiers. L'art</w:t>
      </w:r>
    </w:p>
    <w:p>
      <w:pPr>
        <w:spacing w:before="0" w:after="40"/>
        <w:ind w:left="600"/>
      </w:pPr>
      <w:r>
        <w:rPr>
          <w:color w:val="00643C"/>
          <w:sz w:val="16"/>
        </w:rPr>
        <w:t>Points clés : L'annulation de la dette est jugée irréaliste et contre-productive.  •  Elle provoquerait une défiance des marchés et une hausse des coûts de financement.  •  Les conséquences seraient graves pour la stabilité économique de la zone euro.  •  L'article défend une approche de gestion de la dette plutôt que son annulation.</w:t>
      </w:r>
    </w:p>
    <w:p>
      <w:pPr>
        <w:spacing w:before="0" w:after="60"/>
        <w:ind w:left="600"/>
      </w:pPr>
      <w:r>
        <w:rPr>
          <w:color w:val="0064B4"/>
          <w:sz w:val="15"/>
        </w:rPr>
        <w:t>Source : https://news.google.com/rss/articles/CBMi4AFBVV95cUxNZGdWbVFpckg4MTdSWmxybU5YaEx</w:t>
      </w:r>
    </w:p>
    <w:p>
      <w:pPr>
        <w:spacing w:before="40" w:after="40"/>
        <w:ind w:left="360"/>
      </w:pPr>
      <w:r>
        <w:rPr>
          <w:color w:val="646464"/>
          <w:sz w:val="17"/>
        </w:rPr>
        <w:t xml:space="preserve">[20/08/2026] ⚪  </w:t>
      </w:r>
      <w:r>
        <w:rPr>
          <w:b/>
          <w:color w:val="505050"/>
          <w:sz w:val="18"/>
        </w:rPr>
        <w:t>Federal Reserve: AI, inflation risks and limited FX impact – MUFG - tmgm.com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Réserve fédérale américaine (Fed) examine les risques liés à l'intelligence artificielle (IA) et à l'inflation, mais selon MUFG, l'impact sur les changes serait limité. Cette analyse suggère que la Fed pourrait maintenir une politique monétaire prudente, sans changements majeurs à court terme. Pour la BRVM, les implications sont indirectes, via </w:t>
      </w:r>
    </w:p>
    <w:p>
      <w:pPr>
        <w:spacing w:before="0" w:after="40"/>
        <w:ind w:left="600"/>
      </w:pPr>
      <w:r>
        <w:rPr>
          <w:color w:val="00643C"/>
          <w:sz w:val="16"/>
        </w:rPr>
        <w:t>Points clés : La Fed surveille les risques d'inflation et l'impact de l'IA sur l'économie.  •  MUFG estime que l'effet sur les taux de change sera limité.  •  La politique monétaire américaine reste un facteur clé pour les marchés émergents.</w:t>
      </w:r>
    </w:p>
    <w:p>
      <w:pPr>
        <w:spacing w:before="0" w:after="60"/>
        <w:ind w:left="600"/>
      </w:pPr>
      <w:r>
        <w:rPr>
          <w:color w:val="0064B4"/>
          <w:sz w:val="15"/>
        </w:rPr>
        <w:t>Source : https://news.google.com/rss/articles/CBMixgFBVV95cUxNVUx5cTdsd1VWTVNPWkpnYXV1dTY</w:t>
      </w:r>
    </w:p>
    <w:p>
      <w:pPr>
        <w:spacing w:before="120" w:after="40"/>
      </w:pPr>
      <w:r>
        <w:rPr>
          <w:b/>
          <w:color w:val="00467F"/>
          <w:sz w:val="20"/>
        </w:rPr>
        <w:t>🔑 matieres_premieres  (1 alerte(s))</w:t>
      </w:r>
    </w:p>
    <w:p>
      <w:pPr>
        <w:spacing w:before="40" w:after="40"/>
        <w:ind w:left="360"/>
      </w:pPr>
      <w:r>
        <w:rPr>
          <w:color w:val="646464"/>
          <w:sz w:val="17"/>
        </w:rPr>
        <w:t xml:space="preserve">[21/08/2026] 🟢  </w:t>
      </w:r>
      <w:r>
        <w:rPr>
          <w:b/>
          <w:color w:val="008000"/>
          <w:sz w:val="18"/>
        </w:rPr>
        <w:t>Marché des matières premières : l'indice MXV dépasse les 2 900 points, atteignant son plus haut niveau depuis fin mai. -</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dépassé les 2 900 points, atteignant son plus haut niveau depuis fin mai. Cette hausse reflète une dynamique positive sur les marchés internationaux des matières premières. Les investisseurs suivent de près cette évolution qui pourrait influencer les coûts des intrants et les revenus des exp</w:t>
      </w:r>
    </w:p>
    <w:p>
      <w:pPr>
        <w:spacing w:before="0" w:after="40"/>
        <w:ind w:left="600"/>
      </w:pPr>
      <w:r>
        <w:rPr>
          <w:color w:val="00643C"/>
          <w:sz w:val="16"/>
        </w:rPr>
        <w:t>Points clés : L'indice MXV a franchi le seuil des 2 900 points, un niveau inédit depuis fin mai.  •  Cette hausse témoigne d'un regain d'appétit pour les matières premières sur les marchés internationaux.</w:t>
      </w:r>
    </w:p>
    <w:p>
      <w:pPr>
        <w:spacing w:before="0" w:after="60"/>
        <w:ind w:left="600"/>
      </w:pPr>
      <w:r>
        <w:rPr>
          <w:color w:val="0064B4"/>
          <w:sz w:val="15"/>
        </w:rPr>
        <w:t>Source : https://news.google.com/rss/articles/CBMipwFBVV95cUxNeTQtYTFhekt1MWVKMFFKWnFBVGR</w:t>
      </w:r>
    </w:p>
    <w:p>
      <w:pPr>
        <w:spacing w:before="120" w:after="40"/>
      </w:pPr>
      <w:r>
        <w:rPr>
          <w:b/>
          <w:color w:val="00467F"/>
          <w:sz w:val="20"/>
        </w:rPr>
        <w:t>🔑 geopolitique  (2 alerte(s))</w:t>
      </w:r>
    </w:p>
    <w:p>
      <w:pPr>
        <w:spacing w:before="40" w:after="40"/>
        <w:ind w:left="360"/>
      </w:pPr>
      <w:r>
        <w:rPr>
          <w:color w:val="646464"/>
          <w:sz w:val="17"/>
        </w:rPr>
        <w:t xml:space="preserve">[20/08/2026] 🔴  </w:t>
      </w:r>
      <w:r>
        <w:rPr>
          <w:b/>
          <w:color w:val="C00000"/>
          <w:sz w:val="18"/>
        </w:rPr>
        <w:t>Les Émirats arabes unis rejoignent la “guerre économique totale” contre l’Iran - Courrier international</w:t>
      </w:r>
      <w:r>
        <w:rPr>
          <w:color w:val="787878"/>
          <w:sz w:val="15"/>
        </w:rPr>
        <w:t xml:space="preserve">  [geopolitique]</w:t>
      </w:r>
      <w:r>
        <w:rPr>
          <w:color w:val="B47800"/>
          <w:sz w:val="16"/>
        </w:rPr>
        <w:t xml:space="preserve">  ★ 50/10</w:t>
      </w:r>
    </w:p>
    <w:p>
      <w:pPr>
        <w:spacing w:before="0" w:after="20"/>
        <w:ind w:left="600"/>
      </w:pPr>
      <w:r>
        <w:rPr>
          <w:color w:val="323232"/>
          <w:sz w:val="17"/>
        </w:rPr>
        <w:t>Les Émirats arabes unis s'engagent dans une guerre économique totale contre l'Iran, rejoignant ainsi les efforts internationaux pour intensifier les sanctions et la pression économique. Cette décision pourrait affecter les flux commerciaux et les investissements dans la région du Golfe, avec des répercussions potentielles sur les marchés financiers</w:t>
      </w:r>
    </w:p>
    <w:p>
      <w:pPr>
        <w:spacing w:before="0" w:after="40"/>
        <w:ind w:left="600"/>
      </w:pPr>
      <w:r>
        <w:rPr>
          <w:color w:val="00643C"/>
          <w:sz w:val="16"/>
        </w:rPr>
        <w:t>Points clés : Les Émirats arabes unis rejoignent la coalition économique contre l'Iran.  •  Cette action s'inscrit dans une escalade des tensions géopolitiques au Moyen-Orient.  •  Risque de perturbations sur les routes commerciales et les prix de l'énergie.</w:t>
      </w:r>
    </w:p>
    <w:p>
      <w:pPr>
        <w:spacing w:before="0" w:after="60"/>
        <w:ind w:left="600"/>
      </w:pPr>
      <w:r>
        <w:rPr>
          <w:color w:val="0064B4"/>
          <w:sz w:val="15"/>
        </w:rPr>
        <w:t>Source : https://news.google.com/rss/articles/CBMi2gFBVV95cUxOczZpZEhadm0yMGVTazg3Tk1kZHl</w:t>
      </w:r>
    </w:p>
    <w:p>
      <w:pPr>
        <w:spacing w:before="40" w:after="40"/>
        <w:ind w:left="360"/>
      </w:pPr>
      <w:r>
        <w:rPr>
          <w:color w:val="646464"/>
          <w:sz w:val="17"/>
        </w:rPr>
        <w:t xml:space="preserve">[19/08/2026] 🔴  </w:t>
      </w:r>
      <w:r>
        <w:rPr>
          <w:b/>
          <w:color w:val="C00000"/>
          <w:sz w:val="18"/>
        </w:rPr>
        <w:t>Justice internationale en péril : les États-Unis déclarent la guerre à la Cour pénale internationale - Mali Actu</w:t>
      </w:r>
      <w:r>
        <w:rPr>
          <w:color w:val="787878"/>
          <w:sz w:val="15"/>
        </w:rPr>
        <w:t xml:space="preserve">  [geopolitique]</w:t>
      </w:r>
      <w:r>
        <w:rPr>
          <w:color w:val="B47800"/>
          <w:sz w:val="16"/>
        </w:rPr>
        <w:t xml:space="preserve">  ★ 50/10</w:t>
      </w:r>
    </w:p>
    <w:p>
      <w:pPr>
        <w:spacing w:before="0" w:after="20"/>
        <w:ind w:left="600"/>
      </w:pPr>
      <w:r>
        <w:rPr>
          <w:color w:val="323232"/>
          <w:sz w:val="17"/>
        </w:rPr>
        <w:t>Les États-Unis ont annoncé des sanctions contre la Cour pénale internationale (CPI), menaçant la justice internationale. Cette décision intervient après que la CPI a émis des mandats d'arrêt contre des responsables américains et israéliens. Elle affaiblit la crédibilité de la CPI et crée des tensions diplomatiques majeures. L'impact sur les marchés</w:t>
      </w:r>
    </w:p>
    <w:p>
      <w:pPr>
        <w:spacing w:before="0" w:after="40"/>
        <w:ind w:left="600"/>
      </w:pPr>
      <w:r>
        <w:rPr>
          <w:color w:val="00643C"/>
          <w:sz w:val="16"/>
        </w:rPr>
        <w:t>Points clés : Sanctions américaines contre la CPI  •  Menace sur la justice internationale  •  Tensions diplomatiques accrues  •  Impact indirect sur les marchés africains</w:t>
      </w:r>
    </w:p>
    <w:p>
      <w:pPr>
        <w:spacing w:before="0" w:after="60"/>
        <w:ind w:left="600"/>
      </w:pPr>
      <w:r>
        <w:rPr>
          <w:color w:val="0064B4"/>
          <w:sz w:val="15"/>
        </w:rPr>
        <w:t>Source : https://news.google.com/rss/articles/CBMib0FVX3lxTE9RUi1ERHhURXBGZlhscFVIcDNhakd</w:t>
      </w:r>
    </w:p>
    <w:p>
      <w:pPr>
        <w:spacing w:before="120" w:after="40"/>
      </w:pPr>
      <w:r>
        <w:rPr>
          <w:b/>
          <w:color w:val="00467F"/>
          <w:sz w:val="20"/>
        </w:rPr>
        <w:t>🔑 économique  (2 alerte(s))</w:t>
      </w:r>
    </w:p>
    <w:p>
      <w:pPr>
        <w:spacing w:before="40" w:after="40"/>
        <w:ind w:left="360"/>
      </w:pPr>
      <w:r>
        <w:rPr>
          <w:color w:val="646464"/>
          <w:sz w:val="17"/>
        </w:rPr>
        <w:t xml:space="preserve">[19/08/2026] 🟢  </w:t>
      </w:r>
      <w:r>
        <w:rPr>
          <w:b/>
          <w:color w:val="008000"/>
          <w:sz w:val="18"/>
        </w:rPr>
        <w:t xml:space="preserve">Migration en Afrique de l’Ouest: la CEDEAO engage ses États membres vers des statistiques plus fiables et harmonisées - </w:t>
      </w:r>
      <w:r>
        <w:rPr>
          <w:color w:val="787878"/>
          <w:sz w:val="15"/>
        </w:rPr>
        <w:t xml:space="preserve">  [économique]</w:t>
      </w:r>
      <w:r>
        <w:rPr>
          <w:color w:val="B47800"/>
          <w:sz w:val="16"/>
        </w:rPr>
        <w:t xml:space="preserve">  ★ 50/10</w:t>
      </w:r>
    </w:p>
    <w:p>
      <w:pPr>
        <w:spacing w:before="0" w:after="20"/>
        <w:ind w:left="600"/>
      </w:pPr>
      <w:r>
        <w:rPr>
          <w:color w:val="323232"/>
          <w:sz w:val="17"/>
        </w:rPr>
        <w:t>La CEDEAO lance une initiative visant à harmoniser et fiabiliser les statistiques migratoires dans ses États membres, afin de mieux comprendre et gérer les flux migratoires en Afrique de l'Ouest. Cette démarche devrait améliorer la planification économique et sociale, et renforcer la coopération régionale. Pour les investisseurs, des données plus p</w:t>
      </w:r>
    </w:p>
    <w:p>
      <w:pPr>
        <w:spacing w:before="0" w:after="40"/>
        <w:ind w:left="600"/>
      </w:pPr>
      <w:r>
        <w:rPr>
          <w:color w:val="00643C"/>
          <w:sz w:val="16"/>
        </w:rPr>
        <w:t>Points clés : Harmonisation des statistiques migratoires dans les pays membres de la CEDEAO.  •  Amélioration de la fiabilité des données pour une meilleure gestion des flux migratoires.  •  Renforcement de la coopération régionale et de la planification économique.</w:t>
      </w:r>
    </w:p>
    <w:p>
      <w:pPr>
        <w:spacing w:before="0" w:after="60"/>
        <w:ind w:left="600"/>
      </w:pPr>
      <w:r>
        <w:rPr>
          <w:color w:val="0064B4"/>
          <w:sz w:val="15"/>
        </w:rPr>
        <w:t>Source : https://news.google.com/rss/articles/CBMiTkFVX3lxTE5lb3RZRG4waDB0azB1NDFoSFlJbHh</w:t>
      </w:r>
    </w:p>
    <w:p>
      <w:pPr>
        <w:spacing w:before="40" w:after="40"/>
        <w:ind w:left="360"/>
      </w:pPr>
      <w:r>
        <w:rPr>
          <w:color w:val="646464"/>
          <w:sz w:val="17"/>
        </w:rPr>
        <w:t xml:space="preserve">[19/08/2026] ⚪  </w:t>
      </w:r>
      <w:r>
        <w:rPr>
          <w:b/>
          <w:color w:val="505050"/>
          <w:sz w:val="18"/>
        </w:rPr>
        <w:t>Russie-CEDEAO : après les ruptures au Sahel, avec qui l’Afrique de l’Ouest construit-elle ses nouvelles alliances ? - af</w:t>
      </w:r>
      <w:r>
        <w:rPr>
          <w:color w:val="787878"/>
          <w:sz w:val="15"/>
        </w:rPr>
        <w:t xml:space="preserve">  [économique]</w:t>
      </w:r>
      <w:r>
        <w:rPr>
          <w:color w:val="B47800"/>
          <w:sz w:val="16"/>
        </w:rPr>
        <w:t xml:space="preserve">  ★ 50/10</w:t>
      </w:r>
    </w:p>
    <w:p>
      <w:pPr>
        <w:spacing w:before="0" w:after="20"/>
        <w:ind w:left="600"/>
      </w:pPr>
      <w:r>
        <w:rPr>
          <w:color w:val="323232"/>
          <w:sz w:val="17"/>
        </w:rPr>
        <w:t>L'article examine les nouvelles alliances géopolitiques et économiques de l'Afrique de l'Ouest après les ruptures entre la Russie et la CEDEAO, notamment suite aux coups d'État au Sahel. Il analyse les partenariats émergents avec d'autres puissances (comme la Chine, la Turquie ou les Émirats) et leurs implications pour la région. La question centra</w:t>
      </w:r>
    </w:p>
    <w:p>
      <w:pPr>
        <w:spacing w:before="0" w:after="40"/>
        <w:ind w:left="600"/>
      </w:pPr>
      <w:r>
        <w:rPr>
          <w:color w:val="00643C"/>
          <w:sz w:val="16"/>
        </w:rPr>
        <w:t>Points clés : Ruptures entre la Russie et la CEDEAO après les changements de régime au Sahel.  •  Recherche de nouvelles alliances économiques et sécuritaires par les pays ouest-africains.  •  Impact potentiel sur les flux commerciaux et les investissements dans la région.  •  Incertitude géopolitique pour les marchés financiers régionaux.</w:t>
      </w:r>
    </w:p>
    <w:p>
      <w:pPr>
        <w:spacing w:before="0" w:after="60"/>
        <w:ind w:left="600"/>
      </w:pPr>
      <w:r>
        <w:rPr>
          <w:color w:val="0064B4"/>
          <w:sz w:val="15"/>
        </w:rPr>
        <w:t>Source : https://news.google.com/rss/articles/CBMi6wFBVV95cUxPemxJS05jUmJDRE5XQVRTSkFLd19</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12,985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2,465</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3,380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9,630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9,440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36,980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8,175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17,000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3,125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3,350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9,985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1,740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16,620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12,145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8,650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39,195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28,800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4,095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12,985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2,465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16,795</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4,095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12,985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2,465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3,380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22,900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4,095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12,985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2,465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3,380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22,900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 — BANK OF AFRICA BENIN</w:t>
      </w:r>
    </w:p>
    <w:p>
      <w:pPr>
        <w:pStyle w:val="ListBullet"/>
        <w:spacing w:before="20"/>
        <w:ind w:left="400"/>
      </w:pPr>
      <w:r>
        <w:rPr>
          <w:sz w:val="18"/>
        </w:rPr>
        <w:t>🔴 RSI surachat (81.3 &gt; 70) — risque de correction</w:t>
      </w:r>
    </w:p>
    <w:p>
      <w:pPr>
        <w:pStyle w:val="ListBullet"/>
        <w:spacing w:before="20"/>
        <w:ind w:left="400"/>
      </w:pPr>
      <w:r>
        <w:rPr>
          <w:sz w:val="18"/>
        </w:rPr>
        <w:t>⚠️ Cours à 0.0% du plus haut 100j (9,985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(72.7 &gt; 70) — risque de correction</w:t>
      </w:r>
    </w:p>
    <w:p>
      <w:pPr>
        <w:pStyle w:val="ListBullet"/>
        <w:spacing w:before="20"/>
        <w:ind w:left="400"/>
      </w:pPr>
      <w:r>
        <w:rPr>
          <w:sz w:val="18"/>
        </w:rPr>
        <w:t>⚠️ Cours à 0.0% du plus haut 100j (7,600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(76.7 &gt; 70) — risque de correction</w:t>
      </w:r>
    </w:p>
    <w:p>
      <w:pPr>
        <w:pStyle w:val="ListBullet"/>
        <w:spacing w:before="20"/>
        <w:ind w:left="400"/>
      </w:pPr>
      <w:r>
        <w:rPr>
          <w:sz w:val="18"/>
        </w:rPr>
        <w:t>⚠️ Cours à 0.0% du plus haut 100j (30,005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(21,015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(36,980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(76.7 &gt; 70) — risque de correction</w:t>
      </w:r>
    </w:p>
    <w:p>
      <w:pPr>
        <w:pStyle w:val="ListBullet"/>
        <w:spacing w:before="20"/>
        <w:ind w:left="400"/>
      </w:pPr>
      <w:r>
        <w:rPr>
          <w:sz w:val="18"/>
        </w:rPr>
        <w:t>⚠️ Cours à 2.3% du plus haut 100j (9,660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(86.6 &gt; 70) — risque de correction</w:t>
      </w:r>
    </w:p>
    <w:p>
      <w:pPr>
        <w:pStyle w:val="ListBullet"/>
        <w:spacing w:before="20"/>
        <w:ind w:left="400"/>
      </w:pPr>
      <w:r>
        <w:rPr>
          <w:sz w:val="18"/>
        </w:rPr>
        <w:t>⚠️ Cours à 0.2% du plus haut 100j (2,470 FCFA)</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(6,490 FCFA)</w:t>
      </w:r>
    </w:p>
    <w:p>
      <w:pPr>
        <w:spacing w:before="120"/>
      </w:pPr>
      <w:r>
        <w:rPr>
          <w:b/>
          <w:color w:val="0050A0"/>
          <w:sz w:val="20"/>
        </w:rPr>
        <w:t>BOAN — BANK OF AFRICA NIGER</w:t>
      </w:r>
    </w:p>
    <w:p>
      <w:pPr>
        <w:pStyle w:val="ListBullet"/>
        <w:spacing w:before="20"/>
        <w:ind w:left="400"/>
      </w:pPr>
      <w:r>
        <w:rPr>
          <w:sz w:val="18"/>
        </w:rPr>
        <w:t>⚠️ Cours à 2.2%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2.8%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(77.9 &gt; 70) — risque de correction</w:t>
      </w:r>
    </w:p>
    <w:p>
      <w:pPr>
        <w:pStyle w:val="ListBullet"/>
        <w:spacing w:before="20"/>
        <w:ind w:left="400"/>
      </w:pPr>
      <w:r>
        <w:rPr>
          <w:sz w:val="18"/>
        </w:rPr>
        <w:t>⚠️ Cours à 0.1% du plus haut 100j (9,640 FCFA)</w:t>
      </w:r>
    </w:p>
    <w:p>
      <w:pPr>
        <w:spacing w:before="120"/>
      </w:pPr>
      <w:r>
        <w:rPr>
          <w:b/>
          <w:color w:val="0050A0"/>
          <w:sz w:val="20"/>
        </w:rPr>
        <w:t>SDCC — SDCC - Société de Distribution d'Eau de Côte d'Ivoire</w:t>
      </w:r>
    </w:p>
    <w:p>
      <w:pPr>
        <w:pStyle w:val="ListBullet"/>
        <w:spacing w:before="20"/>
        <w:ind w:left="400"/>
      </w:pPr>
      <w:r>
        <w:rPr>
          <w:sz w:val="18"/>
        </w:rPr>
        <w:t>⚠️ Cours à 0.4%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1.4%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0.3%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(75.5 &gt; 70) — risque de correction</w:t>
      </w:r>
    </w:p>
    <w:p>
      <w:pPr>
        <w:pStyle w:val="ListBullet"/>
        <w:spacing w:before="20"/>
        <w:ind w:left="400"/>
      </w:pPr>
      <w:r>
        <w:rPr>
          <w:sz w:val="18"/>
        </w:rPr>
        <w:t>⚠️ Cours à 0.0% du plus haut 100j (2,460 FCFA)</w:t>
      </w:r>
    </w:p>
    <w:p>
      <w:pPr>
        <w:spacing w:before="120"/>
      </w:pPr>
      <w:r>
        <w:rPr>
          <w:b/>
          <w:color w:val="0050A0"/>
          <w:sz w:val="20"/>
        </w:rPr>
        <w:t>SMBC — SMBC - Société Multinationale de Bitumes COTE D'IVOIRE</w:t>
      </w:r>
    </w:p>
    <w:p>
      <w:pPr>
        <w:pStyle w:val="ListBullet"/>
        <w:spacing w:before="20"/>
        <w:ind w:left="400"/>
      </w:pPr>
      <w:r>
        <w:rPr>
          <w:sz w:val="18"/>
        </w:rPr>
        <w:t>🔴 RSI surachat (84.0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2.3% du plus haut 100j (29,490 FCFA)</w:t>
      </w:r>
    </w:p>
    <w:p>
      <w:pPr>
        <w:spacing w:before="120"/>
      </w:pPr>
      <w:r>
        <w:rPr>
          <w:b/>
          <w:color w:val="0050A0"/>
          <w:sz w:val="20"/>
        </w:rPr>
        <w:t>BNBC — BNBC - BERNABE CI</w:t>
      </w:r>
    </w:p>
    <w:p>
      <w:pPr>
        <w:pStyle w:val="ListBullet"/>
        <w:spacing w:before="20"/>
        <w:ind w:left="400"/>
      </w:pPr>
      <w:r>
        <w:rPr>
          <w:sz w:val="18"/>
        </w:rPr>
        <w:t>🔴 RSI surachat (75.0 &gt; 70) — risque de correction</w:t>
      </w:r>
    </w:p>
    <w:p>
      <w:pPr>
        <w:spacing w:before="120"/>
      </w:pPr>
      <w:r>
        <w:rPr>
          <w:b/>
          <w:color w:val="0050A0"/>
          <w:sz w:val="20"/>
        </w:rPr>
        <w:t>BOAC — BANK OF AFRICA COTE D'IVOIRE</w:t>
      </w:r>
    </w:p>
    <w:p>
      <w:pPr>
        <w:pStyle w:val="ListBullet"/>
        <w:spacing w:before="20"/>
        <w:ind w:left="400"/>
      </w:pPr>
      <w:r>
        <w:rPr>
          <w:sz w:val="18"/>
        </w:rPr>
        <w:t>🔴 RSI surachat (85.0 &gt; 70) — risque de correction</w:t>
      </w:r>
    </w:p>
    <w:p>
      <w:pPr>
        <w:spacing w:before="120"/>
      </w:pPr>
      <w:r>
        <w:rPr>
          <w:b/>
          <w:color w:val="0050A0"/>
          <w:sz w:val="20"/>
        </w:rPr>
        <w:t>BOAS — BANK OF AFRICA SENEGAL</w:t>
      </w:r>
    </w:p>
    <w:p>
      <w:pPr>
        <w:pStyle w:val="ListBullet"/>
        <w:spacing w:before="20"/>
        <w:ind w:left="400"/>
      </w:pPr>
      <w:r>
        <w:rPr>
          <w:sz w:val="18"/>
        </w:rPr>
        <w:t>⚠️ Cours à 0.6% du plus haut 100j (8,050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(88.2 &gt; 70) — risque de correction</w:t>
      </w:r>
    </w:p>
    <w:p>
      <w:pPr>
        <w:spacing w:before="120"/>
      </w:pPr>
      <w:r>
        <w:rPr>
          <w:b/>
          <w:color w:val="0050A0"/>
          <w:sz w:val="20"/>
        </w:rPr>
        <w:t>FTSC — FTSC - FILTISAC COTE D'IVOIRE</w:t>
      </w:r>
    </w:p>
    <w:p>
      <w:pPr>
        <w:pStyle w:val="ListBullet"/>
        <w:spacing w:before="20"/>
        <w:ind w:left="400"/>
      </w:pPr>
      <w:r>
        <w:rPr>
          <w:sz w:val="18"/>
        </w:rPr>
        <w:t>🔴 RSI surachat (72.3 &gt; 70) — risque de correction</w:t>
      </w:r>
    </w:p>
    <w:p>
      <w:pPr>
        <w:spacing w:before="120"/>
      </w:pPr>
      <w:r>
        <w:rPr>
          <w:b/>
          <w:color w:val="0050A0"/>
          <w:sz w:val="20"/>
        </w:rPr>
        <w:t>LNBB — LNBB - LOTERIE NATIONALE DU BENIN</w:t>
      </w:r>
    </w:p>
    <w:p>
      <w:pPr>
        <w:pStyle w:val="ListBullet"/>
        <w:spacing w:before="20"/>
        <w:ind w:left="400"/>
      </w:pPr>
      <w:r>
        <w:rPr>
          <w:sz w:val="18"/>
        </w:rPr>
        <w:t>🟢 RSI survente (29.2 &lt; 30) — opportunité potentielle</w:t>
      </w:r>
    </w:p>
    <w:p>
      <w:pPr>
        <w:spacing w:before="120"/>
      </w:pPr>
      <w:r>
        <w:rPr>
          <w:b/>
          <w:color w:val="0050A0"/>
          <w:sz w:val="20"/>
        </w:rPr>
        <w:t>NEIC — NEIC - NEI-CEDA CI</w:t>
      </w:r>
    </w:p>
    <w:p>
      <w:pPr>
        <w:pStyle w:val="ListBullet"/>
        <w:spacing w:before="20"/>
        <w:ind w:left="400"/>
      </w:pPr>
      <w:r>
        <w:rPr>
          <w:sz w:val="18"/>
        </w:rPr>
        <w:t>⚠️ Cours à 0.0% du plus haut 100j (2,400 FCFA)</w:t>
      </w:r>
    </w:p>
    <w:p>
      <w:pPr>
        <w:spacing w:before="120"/>
      </w:pPr>
      <w:r>
        <w:rPr>
          <w:b/>
          <w:color w:val="0050A0"/>
          <w:sz w:val="20"/>
        </w:rPr>
        <w:t>NTLC — NTLC - NESTLE COTE D'IVOIRE</w:t>
      </w:r>
    </w:p>
    <w:p>
      <w:pPr>
        <w:pStyle w:val="ListBullet"/>
        <w:spacing w:before="20"/>
        <w:ind w:left="400"/>
      </w:pPr>
      <w:r>
        <w:rPr>
          <w:sz w:val="18"/>
        </w:rPr>
        <w:t>⚠️ Cours à 2.6% du plus haut 100j (17,450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(71.0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(3,400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21.4/100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21.4/100).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-12.30%  |  Médiane : -9.10%</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38 sociétés sur 47 sont orientées à la baisse avec une variation moyenne de -12.30%.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3,640 FCFA</w:t>
            </w:r>
          </w:p>
        </w:tc>
        <w:tc>
          <w:tcPr>
            <w:tcW w:type="dxa" w:w="1417"/>
            <w:shd w:fill="FFFFFF" w:val="clear"/>
          </w:tcPr>
          <w:p>
            <w:r>
              <w:rPr>
                <w:sz w:val="16"/>
              </w:rPr>
              <w:t>6,549 FCFA</w:t>
            </w:r>
          </w:p>
        </w:tc>
        <w:tc>
          <w:tcPr>
            <w:tcW w:type="dxa" w:w="1134"/>
            <w:shd w:fill="C6EFCE" w:val="clear"/>
          </w:tcPr>
          <w:p>
            <w:r>
              <w:rPr>
                <w:b/>
                <w:color w:val="007800"/>
                <w:sz w:val="16"/>
              </w:rPr>
              <w:t>+79.91%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22,900 FCFA</w:t>
            </w:r>
          </w:p>
        </w:tc>
        <w:tc>
          <w:tcPr>
            <w:tcW w:type="dxa" w:w="1417"/>
            <w:shd w:fill="FFFFFF" w:val="clear"/>
          </w:tcPr>
          <w:p>
            <w:r>
              <w:rPr>
                <w:sz w:val="16"/>
              </w:rPr>
              <w:t>27,008 FCFA</w:t>
            </w:r>
          </w:p>
        </w:tc>
        <w:tc>
          <w:tcPr>
            <w:tcW w:type="dxa" w:w="1134"/>
            <w:shd w:fill="C6EFCE" w:val="clear"/>
          </w:tcPr>
          <w:p>
            <w:r>
              <w:rPr>
                <w:b/>
                <w:color w:val="007800"/>
                <w:sz w:val="16"/>
              </w:rPr>
              <w:t>+17.94%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59,025 FCFA</w:t>
            </w:r>
          </w:p>
        </w:tc>
        <w:tc>
          <w:tcPr>
            <w:tcW w:type="dxa" w:w="1134"/>
            <w:shd w:fill="C6EFCE" w:val="clear"/>
          </w:tcPr>
          <w:p>
            <w:r>
              <w:rPr>
                <w:b/>
                <w:color w:val="007800"/>
                <w:sz w:val="16"/>
              </w:rPr>
              <w:t>+13.08%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22,900 FCFA</w:t>
            </w:r>
          </w:p>
        </w:tc>
        <w:tc>
          <w:tcPr>
            <w:tcW w:type="dxa" w:w="1417"/>
            <w:shd w:fill="FFFFFF" w:val="clear"/>
          </w:tcPr>
          <w:p>
            <w:r>
              <w:rPr>
                <w:sz w:val="16"/>
              </w:rPr>
              <w:t>25,368 FCFA</w:t>
            </w:r>
          </w:p>
        </w:tc>
        <w:tc>
          <w:tcPr>
            <w:tcW w:type="dxa" w:w="1134"/>
            <w:shd w:fill="C6EFCE" w:val="clear"/>
          </w:tcPr>
          <w:p>
            <w:r>
              <w:rPr>
                <w:b/>
                <w:color w:val="007800"/>
                <w:sz w:val="16"/>
              </w:rPr>
              <w:t>+10.78%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2,180 FCFA</w:t>
            </w:r>
          </w:p>
        </w:tc>
        <w:tc>
          <w:tcPr>
            <w:tcW w:type="dxa" w:w="1417"/>
            <w:shd w:fill="FFFFFF" w:val="clear"/>
          </w:tcPr>
          <w:p>
            <w:r>
              <w:rPr>
                <w:sz w:val="16"/>
              </w:rPr>
              <w:t>2,276 FCFA</w:t>
            </w:r>
          </w:p>
        </w:tc>
        <w:tc>
          <w:tcPr>
            <w:tcW w:type="dxa" w:w="1134"/>
            <w:shd w:fill="C6EFCE" w:val="clear"/>
          </w:tcPr>
          <w:p>
            <w:r>
              <w:rPr>
                <w:b/>
                <w:color w:val="007800"/>
                <w:sz w:val="16"/>
              </w:rPr>
              <w:t>+4.42%</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(+79.9%) — signal potentiellement excessif, à croiser avec l'analyse technique. Trajectoire : 📈 Hausse continue. Cours actuel : 3,640 FCFA → prédit J+10 : 6,549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(+17.9%) — potentiel de revalorisation notable. Trajectoire : 📈 Hausse continue. Cours actuel : 22,900 FCFA → prédit J+10 : 27,008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(+13.1%) — potentiel de revalorisation notable. Trajectoire : 📈 Hausse continue. Cours actuel : 52,200 FCFA → prédit J+10 : 59,025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(+10.8%) — potentiel de revalorisation notable. Trajectoire : 📈 Hausse continue. Cours actuel : 22,900 FCFA → prédit J+10 : 25,368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(+4.4%) — progression graduelle attendue. Trajectoire : 📈 Hausse continue. Cours actuel : 2,180 FCFA → prédit J+10 : 2,276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2,614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3,380 FCFA</w:t>
            </w:r>
          </w:p>
        </w:tc>
        <w:tc>
          <w:tcPr>
            <w:tcW w:type="dxa" w:w="1417"/>
            <w:shd w:fill="FFFFFF" w:val="clear"/>
          </w:tcPr>
          <w:p>
            <w:r>
              <w:rPr>
                <w:sz w:val="16"/>
              </w:rPr>
              <w:t>1,550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6,900 FCFA</w:t>
            </w:r>
          </w:p>
        </w:tc>
        <w:tc>
          <w:tcPr>
            <w:tcW w:type="dxa" w:w="1417"/>
            <w:shd w:fill="FFFFFF" w:val="clear"/>
          </w:tcPr>
          <w:p>
            <w:r>
              <w:rPr>
                <w:sz w:val="16"/>
              </w:rPr>
              <w:t>3,265 FCFA</w:t>
            </w:r>
          </w:p>
        </w:tc>
        <w:tc>
          <w:tcPr>
            <w:tcW w:type="dxa" w:w="1134"/>
            <w:shd w:fill="FFC7CE" w:val="clear"/>
          </w:tcPr>
          <w:p>
            <w:r>
              <w:rPr>
                <w:b/>
                <w:color w:val="B40000"/>
                <w:sz w:val="16"/>
              </w:rPr>
              <w:t>-52.69%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30,000 FCFA</w:t>
            </w:r>
          </w:p>
        </w:tc>
        <w:tc>
          <w:tcPr>
            <w:tcW w:type="dxa" w:w="1417"/>
            <w:shd w:fill="FFFFFF" w:val="clear"/>
          </w:tcPr>
          <w:p>
            <w:r>
              <w:rPr>
                <w:sz w:val="16"/>
              </w:rPr>
              <w:t>17,468 FCFA</w:t>
            </w:r>
          </w:p>
        </w:tc>
        <w:tc>
          <w:tcPr>
            <w:tcW w:type="dxa" w:w="1134"/>
            <w:shd w:fill="FFC7CE" w:val="clear"/>
          </w:tcPr>
          <w:p>
            <w:r>
              <w:rPr>
                <w:b/>
                <w:color w:val="B40000"/>
                <w:sz w:val="16"/>
              </w:rPr>
              <w:t>-41.77%</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5,700 FCFA → prédit J+10 : 2,614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3,380 FCFA → prédit J+10 : 1,550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(-52.7%) — amplitude potentiellement surestimée par le modèle. Trajectoire : 📉 Baisse continue. Cours actuel : 6,900 FCFA → prédit J+10 : 3,265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(-41.8%) — amplitude potentiellement surestimée par le modèle. Trajectoire : 📉 Baisse continue. Cours actuel : 30,000 FCFA → prédit J+10 : 17,468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3,640</w:t>
            </w:r>
          </w:p>
        </w:tc>
        <w:tc>
          <w:tcPr>
            <w:tcW w:type="dxa" w:w="1417"/>
            <w:shd w:fill="FFFFFF" w:val="clear"/>
          </w:tcPr>
          <w:p>
            <w:r>
              <w:rPr>
                <w:sz w:val="16"/>
              </w:rPr>
              <w:t>6,549</w:t>
            </w:r>
          </w:p>
        </w:tc>
        <w:tc>
          <w:tcPr>
            <w:tcW w:type="dxa" w:w="1134"/>
            <w:shd w:fill="C6EFCE" w:val="clear"/>
          </w:tcPr>
          <w:p>
            <w:r>
              <w:rPr>
                <w:b/>
                <w:color w:val="007800"/>
                <w:sz w:val="16"/>
              </w:rPr>
              <w:t>+79.91%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22,900</w:t>
            </w:r>
          </w:p>
        </w:tc>
        <w:tc>
          <w:tcPr>
            <w:tcW w:type="dxa" w:w="1417"/>
            <w:shd w:fill="FFFFFF" w:val="clear"/>
          </w:tcPr>
          <w:p>
            <w:r>
              <w:rPr>
                <w:sz w:val="16"/>
              </w:rPr>
              <w:t>27,008</w:t>
            </w:r>
          </w:p>
        </w:tc>
        <w:tc>
          <w:tcPr>
            <w:tcW w:type="dxa" w:w="1134"/>
            <w:shd w:fill="C6EFCE" w:val="clear"/>
          </w:tcPr>
          <w:p>
            <w:r>
              <w:rPr>
                <w:b/>
                <w:color w:val="007800"/>
                <w:sz w:val="16"/>
              </w:rPr>
              <w:t>+17.94%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59,025</w:t>
            </w:r>
          </w:p>
        </w:tc>
        <w:tc>
          <w:tcPr>
            <w:tcW w:type="dxa" w:w="1134"/>
            <w:shd w:fill="C6EFCE" w:val="clear"/>
          </w:tcPr>
          <w:p>
            <w:r>
              <w:rPr>
                <w:b/>
                <w:color w:val="007800"/>
                <w:sz w:val="16"/>
              </w:rPr>
              <w:t>+13.08%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22,900</w:t>
            </w:r>
          </w:p>
        </w:tc>
        <w:tc>
          <w:tcPr>
            <w:tcW w:type="dxa" w:w="1417"/>
            <w:shd w:fill="FFFFFF" w:val="clear"/>
          </w:tcPr>
          <w:p>
            <w:r>
              <w:rPr>
                <w:sz w:val="16"/>
              </w:rPr>
              <w:t>25,368</w:t>
            </w:r>
          </w:p>
        </w:tc>
        <w:tc>
          <w:tcPr>
            <w:tcW w:type="dxa" w:w="1134"/>
            <w:shd w:fill="C6EFCE" w:val="clear"/>
          </w:tcPr>
          <w:p>
            <w:r>
              <w:rPr>
                <w:b/>
                <w:color w:val="007800"/>
                <w:sz w:val="16"/>
              </w:rPr>
              <w:t>+10.78%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2,180</w:t>
            </w:r>
          </w:p>
        </w:tc>
        <w:tc>
          <w:tcPr>
            <w:tcW w:type="dxa" w:w="1417"/>
            <w:shd w:fill="FFFFFF" w:val="clear"/>
          </w:tcPr>
          <w:p>
            <w:r>
              <w:rPr>
                <w:sz w:val="16"/>
              </w:rPr>
              <w:t>2,276</w:t>
            </w:r>
          </w:p>
        </w:tc>
        <w:tc>
          <w:tcPr>
            <w:tcW w:type="dxa" w:w="1134"/>
            <w:shd w:fill="C6EFCE" w:val="clear"/>
          </w:tcPr>
          <w:p>
            <w:r>
              <w:rPr>
                <w:b/>
                <w:color w:val="007800"/>
                <w:sz w:val="16"/>
              </w:rPr>
              <w:t>+4.42%</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9,630</w:t>
            </w:r>
          </w:p>
        </w:tc>
        <w:tc>
          <w:tcPr>
            <w:tcW w:type="dxa" w:w="1417"/>
            <w:shd w:fill="FFFFFF" w:val="clear"/>
          </w:tcPr>
          <w:p>
            <w:r>
              <w:rPr>
                <w:sz w:val="16"/>
              </w:rPr>
              <w:t>9,885</w:t>
            </w:r>
          </w:p>
        </w:tc>
        <w:tc>
          <w:tcPr>
            <w:tcW w:type="dxa" w:w="1134"/>
            <w:shd w:fill="C6EFCE" w:val="clear"/>
          </w:tcPr>
          <w:p>
            <w:r>
              <w:rPr>
                <w:b/>
                <w:color w:val="007800"/>
                <w:sz w:val="16"/>
              </w:rPr>
              <w:t>+2.65%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8,175</w:t>
            </w:r>
          </w:p>
        </w:tc>
        <w:tc>
          <w:tcPr>
            <w:tcW w:type="dxa" w:w="1417"/>
            <w:shd w:fill="FFFFFF" w:val="clear"/>
          </w:tcPr>
          <w:p>
            <w:r>
              <w:rPr>
                <w:sz w:val="16"/>
              </w:rPr>
              <w:t>8,285</w:t>
            </w:r>
          </w:p>
        </w:tc>
        <w:tc>
          <w:tcPr>
            <w:tcW w:type="dxa" w:w="1134"/>
            <w:shd w:fill="C6EFCE" w:val="clear"/>
          </w:tcPr>
          <w:p>
            <w:r>
              <w:rPr>
                <w:b/>
                <w:color w:val="007800"/>
                <w:sz w:val="16"/>
              </w:rPr>
              <w:t>+1.35%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37,005</w:t>
            </w:r>
          </w:p>
        </w:tc>
        <w:tc>
          <w:tcPr>
            <w:tcW w:type="dxa" w:w="1417"/>
            <w:shd w:fill="FFFFFF" w:val="clear"/>
          </w:tcPr>
          <w:p>
            <w:r>
              <w:rPr>
                <w:sz w:val="16"/>
              </w:rPr>
              <w:t>36,982</w:t>
            </w:r>
          </w:p>
        </w:tc>
        <w:tc>
          <w:tcPr>
            <w:tcW w:type="dxa" w:w="1134"/>
            <w:shd w:fill="FFEB9C" w:val="clear"/>
          </w:tcPr>
          <w:p>
            <w:r>
              <w:rPr>
                <w:b/>
                <w:color w:val="646400"/>
                <w:sz w:val="16"/>
              </w:rPr>
              <w:t>-0.06%</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3,090</w:t>
            </w:r>
          </w:p>
        </w:tc>
        <w:tc>
          <w:tcPr>
            <w:tcW w:type="dxa" w:w="1134"/>
            <w:shd w:fill="FFC7CE" w:val="clear"/>
          </w:tcPr>
          <w:p>
            <w:r>
              <w:rPr>
                <w:b/>
                <w:color w:val="B40000"/>
                <w:sz w:val="16"/>
              </w:rPr>
              <w:t>-1.12%</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2,885</w:t>
            </w:r>
          </w:p>
        </w:tc>
        <w:tc>
          <w:tcPr>
            <w:tcW w:type="dxa" w:w="1417"/>
            <w:shd w:fill="FFFFFF" w:val="clear"/>
          </w:tcPr>
          <w:p>
            <w:r>
              <w:rPr>
                <w:sz w:val="16"/>
              </w:rPr>
              <w:t>2,845</w:t>
            </w:r>
          </w:p>
        </w:tc>
        <w:tc>
          <w:tcPr>
            <w:tcW w:type="dxa" w:w="1134"/>
            <w:shd w:fill="FFC7CE" w:val="clear"/>
          </w:tcPr>
          <w:p>
            <w:r>
              <w:rPr>
                <w:b/>
                <w:color w:val="B40000"/>
                <w:sz w:val="16"/>
              </w:rPr>
              <w:t>-1.40%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16,459</w:t>
            </w:r>
          </w:p>
        </w:tc>
        <w:tc>
          <w:tcPr>
            <w:tcW w:type="dxa" w:w="1134"/>
            <w:shd w:fill="FFC7CE" w:val="clear"/>
          </w:tcPr>
          <w:p>
            <w:r>
              <w:rPr>
                <w:b/>
                <w:color w:val="B40000"/>
                <w:sz w:val="16"/>
              </w:rPr>
              <w:t>-2.00%</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5,280</w:t>
            </w:r>
          </w:p>
        </w:tc>
        <w:tc>
          <w:tcPr>
            <w:tcW w:type="dxa" w:w="1417"/>
            <w:shd w:fill="FFFFFF" w:val="clear"/>
          </w:tcPr>
          <w:p>
            <w:r>
              <w:rPr>
                <w:sz w:val="16"/>
              </w:rPr>
              <w:t>5,146</w:t>
            </w:r>
          </w:p>
        </w:tc>
        <w:tc>
          <w:tcPr>
            <w:tcW w:type="dxa" w:w="1134"/>
            <w:shd w:fill="FFC7CE" w:val="clear"/>
          </w:tcPr>
          <w:p>
            <w:r>
              <w:rPr>
                <w:b/>
                <w:color w:val="B40000"/>
                <w:sz w:val="16"/>
              </w:rPr>
              <w:t>-2.54%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17,000</w:t>
            </w:r>
          </w:p>
        </w:tc>
        <w:tc>
          <w:tcPr>
            <w:tcW w:type="dxa" w:w="1417"/>
            <w:shd w:fill="FFFFFF" w:val="clear"/>
          </w:tcPr>
          <w:p>
            <w:r>
              <w:rPr>
                <w:sz w:val="16"/>
              </w:rPr>
              <w:t>16,408</w:t>
            </w:r>
          </w:p>
        </w:tc>
        <w:tc>
          <w:tcPr>
            <w:tcW w:type="dxa" w:w="1134"/>
            <w:shd w:fill="FFC7CE" w:val="clear"/>
          </w:tcPr>
          <w:p>
            <w:r>
              <w:rPr>
                <w:b/>
                <w:color w:val="B40000"/>
                <w:sz w:val="16"/>
              </w:rPr>
              <w:t>-3.48%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4,095</w:t>
            </w:r>
          </w:p>
        </w:tc>
        <w:tc>
          <w:tcPr>
            <w:tcW w:type="dxa" w:w="1417"/>
            <w:shd w:fill="FFFFFF" w:val="clear"/>
          </w:tcPr>
          <w:p>
            <w:r>
              <w:rPr>
                <w:sz w:val="16"/>
              </w:rPr>
              <w:t>3,944</w:t>
            </w:r>
          </w:p>
        </w:tc>
        <w:tc>
          <w:tcPr>
            <w:tcW w:type="dxa" w:w="1134"/>
            <w:shd w:fill="FFC7CE" w:val="clear"/>
          </w:tcPr>
          <w:p>
            <w:r>
              <w:rPr>
                <w:b/>
                <w:color w:val="B40000"/>
                <w:sz w:val="16"/>
              </w:rPr>
              <w:t>-3.69%</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39,195</w:t>
            </w:r>
          </w:p>
        </w:tc>
        <w:tc>
          <w:tcPr>
            <w:tcW w:type="dxa" w:w="1417"/>
            <w:shd w:fill="FFFFFF" w:val="clear"/>
          </w:tcPr>
          <w:p>
            <w:r>
              <w:rPr>
                <w:sz w:val="16"/>
              </w:rPr>
              <w:t>37,716</w:t>
            </w:r>
          </w:p>
        </w:tc>
        <w:tc>
          <w:tcPr>
            <w:tcW w:type="dxa" w:w="1134"/>
            <w:shd w:fill="FFC7CE" w:val="clear"/>
          </w:tcPr>
          <w:p>
            <w:r>
              <w:rPr>
                <w:b/>
                <w:color w:val="B40000"/>
                <w:sz w:val="16"/>
              </w:rPr>
              <w:t>-3.77%</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16,620</w:t>
            </w:r>
          </w:p>
        </w:tc>
        <w:tc>
          <w:tcPr>
            <w:tcW w:type="dxa" w:w="1417"/>
            <w:shd w:fill="FFFFFF" w:val="clear"/>
          </w:tcPr>
          <w:p>
            <w:r>
              <w:rPr>
                <w:sz w:val="16"/>
              </w:rPr>
              <w:t>15,947</w:t>
            </w:r>
          </w:p>
        </w:tc>
        <w:tc>
          <w:tcPr>
            <w:tcW w:type="dxa" w:w="1134"/>
            <w:shd w:fill="FFC7CE" w:val="clear"/>
          </w:tcPr>
          <w:p>
            <w:r>
              <w:rPr>
                <w:b/>
                <w:color w:val="B40000"/>
                <w:sz w:val="16"/>
              </w:rPr>
              <w:t>-4.05%</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3,258</w:t>
            </w:r>
          </w:p>
        </w:tc>
        <w:tc>
          <w:tcPr>
            <w:tcW w:type="dxa" w:w="1134"/>
            <w:shd w:fill="FFC7CE" w:val="clear"/>
          </w:tcPr>
          <w:p>
            <w:r>
              <w:rPr>
                <w:b/>
                <w:color w:val="B40000"/>
                <w:sz w:val="16"/>
              </w:rPr>
              <w:t>-4.19%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4,470</w:t>
            </w:r>
          </w:p>
        </w:tc>
        <w:tc>
          <w:tcPr>
            <w:tcW w:type="dxa" w:w="1417"/>
            <w:shd w:fill="FFFFFF" w:val="clear"/>
          </w:tcPr>
          <w:p>
            <w:r>
              <w:rPr>
                <w:sz w:val="16"/>
              </w:rPr>
              <w:t>4,246</w:t>
            </w:r>
          </w:p>
        </w:tc>
        <w:tc>
          <w:tcPr>
            <w:tcW w:type="dxa" w:w="1134"/>
            <w:shd w:fill="FFC7CE" w:val="clear"/>
          </w:tcPr>
          <w:p>
            <w:r>
              <w:rPr>
                <w:b/>
                <w:color w:val="B40000"/>
                <w:sz w:val="16"/>
              </w:rPr>
              <w:t>-5.01%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9,440</w:t>
            </w:r>
          </w:p>
        </w:tc>
        <w:tc>
          <w:tcPr>
            <w:tcW w:type="dxa" w:w="1417"/>
            <w:shd w:fill="FFFFFF" w:val="clear"/>
          </w:tcPr>
          <w:p>
            <w:r>
              <w:rPr>
                <w:sz w:val="16"/>
              </w:rPr>
              <w:t>8,809</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2,780</w:t>
            </w:r>
          </w:p>
        </w:tc>
        <w:tc>
          <w:tcPr>
            <w:tcW w:type="dxa" w:w="1417"/>
            <w:shd w:fill="FFFFFF" w:val="clear"/>
          </w:tcPr>
          <w:p>
            <w:r>
              <w:rPr>
                <w:sz w:val="16"/>
              </w:rPr>
              <w:t>2,534</w:t>
            </w:r>
          </w:p>
        </w:tc>
        <w:tc>
          <w:tcPr>
            <w:tcW w:type="dxa" w:w="1134"/>
            <w:shd w:fill="FFC7CE" w:val="clear"/>
          </w:tcPr>
          <w:p>
            <w:r>
              <w:rPr>
                <w:b/>
                <w:color w:val="B40000"/>
                <w:sz w:val="16"/>
              </w:rPr>
              <w:t>-8.84%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2,465</w:t>
            </w:r>
          </w:p>
        </w:tc>
        <w:tc>
          <w:tcPr>
            <w:tcW w:type="dxa" w:w="1417"/>
            <w:shd w:fill="FFFFFF" w:val="clear"/>
          </w:tcPr>
          <w:p>
            <w:r>
              <w:rPr>
                <w:sz w:val="16"/>
              </w:rPr>
              <w:t>2,244</w:t>
            </w:r>
          </w:p>
        </w:tc>
        <w:tc>
          <w:tcPr>
            <w:tcW w:type="dxa" w:w="1134"/>
            <w:shd w:fill="FFC7CE" w:val="clear"/>
          </w:tcPr>
          <w:p>
            <w:r>
              <w:rPr>
                <w:b/>
                <w:color w:val="B40000"/>
                <w:sz w:val="16"/>
              </w:rPr>
              <w:t>-8.95%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36,980</w:t>
            </w:r>
          </w:p>
        </w:tc>
        <w:tc>
          <w:tcPr>
            <w:tcW w:type="dxa" w:w="1417"/>
            <w:shd w:fill="FFFFFF" w:val="clear"/>
          </w:tcPr>
          <w:p>
            <w:r>
              <w:rPr>
                <w:sz w:val="16"/>
              </w:rPr>
              <w:t>33,635</w:t>
            </w:r>
          </w:p>
        </w:tc>
        <w:tc>
          <w:tcPr>
            <w:tcW w:type="dxa" w:w="1134"/>
            <w:shd w:fill="FFC7CE" w:val="clear"/>
          </w:tcPr>
          <w:p>
            <w:r>
              <w:rPr>
                <w:b/>
                <w:color w:val="B40000"/>
                <w:sz w:val="16"/>
              </w:rPr>
              <w:t>-9.05%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28,800</w:t>
            </w:r>
          </w:p>
        </w:tc>
        <w:tc>
          <w:tcPr>
            <w:tcW w:type="dxa" w:w="1417"/>
            <w:shd w:fill="FFFFFF" w:val="clear"/>
          </w:tcPr>
          <w:p>
            <w:r>
              <w:rPr>
                <w:sz w:val="16"/>
              </w:rPr>
              <w:t>26,179</w:t>
            </w:r>
          </w:p>
        </w:tc>
        <w:tc>
          <w:tcPr>
            <w:tcW w:type="dxa" w:w="1134"/>
            <w:shd w:fill="FFC7CE" w:val="clear"/>
          </w:tcPr>
          <w:p>
            <w:r>
              <w:rPr>
                <w:b/>
                <w:color w:val="B40000"/>
                <w:sz w:val="16"/>
              </w:rPr>
              <w:t>-9.10%</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21,015</w:t>
            </w:r>
          </w:p>
        </w:tc>
        <w:tc>
          <w:tcPr>
            <w:tcW w:type="dxa" w:w="1417"/>
            <w:shd w:fill="FFFFFF" w:val="clear"/>
          </w:tcPr>
          <w:p>
            <w:r>
              <w:rPr>
                <w:sz w:val="16"/>
              </w:rPr>
              <w:t>18,964</w:t>
            </w:r>
          </w:p>
        </w:tc>
        <w:tc>
          <w:tcPr>
            <w:tcW w:type="dxa" w:w="1134"/>
            <w:shd w:fill="FFC7CE" w:val="clear"/>
          </w:tcPr>
          <w:p>
            <w:r>
              <w:rPr>
                <w:b/>
                <w:color w:val="B40000"/>
                <w:sz w:val="16"/>
              </w:rPr>
              <w:t>-9.76%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1,392</w:t>
            </w:r>
          </w:p>
        </w:tc>
        <w:tc>
          <w:tcPr>
            <w:tcW w:type="dxa" w:w="1134"/>
            <w:shd w:fill="FFC7CE" w:val="clear"/>
          </w:tcPr>
          <w:p>
            <w:r>
              <w:rPr>
                <w:b/>
                <w:color w:val="B40000"/>
                <w:sz w:val="16"/>
              </w:rPr>
              <w:t>-10.19%</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12,145</w:t>
            </w:r>
          </w:p>
        </w:tc>
        <w:tc>
          <w:tcPr>
            <w:tcW w:type="dxa" w:w="1417"/>
            <w:shd w:fill="FFFFFF" w:val="clear"/>
          </w:tcPr>
          <w:p>
            <w:r>
              <w:rPr>
                <w:sz w:val="16"/>
              </w:rPr>
              <w:t>10,906</w:t>
            </w:r>
          </w:p>
        </w:tc>
        <w:tc>
          <w:tcPr>
            <w:tcW w:type="dxa" w:w="1134"/>
            <w:shd w:fill="FFC7CE" w:val="clear"/>
          </w:tcPr>
          <w:p>
            <w:r>
              <w:rPr>
                <w:b/>
                <w:color w:val="B40000"/>
                <w:sz w:val="16"/>
              </w:rPr>
              <w:t>-10.21%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7,600</w:t>
            </w:r>
          </w:p>
        </w:tc>
        <w:tc>
          <w:tcPr>
            <w:tcW w:type="dxa" w:w="1417"/>
            <w:shd w:fill="FFFFFF" w:val="clear"/>
          </w:tcPr>
          <w:p>
            <w:r>
              <w:rPr>
                <w:sz w:val="16"/>
              </w:rPr>
              <w:t>6,664</w:t>
            </w:r>
          </w:p>
        </w:tc>
        <w:tc>
          <w:tcPr>
            <w:tcW w:type="dxa" w:w="1134"/>
            <w:shd w:fill="FFC7CE" w:val="clear"/>
          </w:tcPr>
          <w:p>
            <w:r>
              <w:rPr>
                <w:b/>
                <w:color w:val="B40000"/>
                <w:sz w:val="16"/>
              </w:rPr>
              <w:t>-12.31%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3,350</w:t>
            </w:r>
          </w:p>
        </w:tc>
        <w:tc>
          <w:tcPr>
            <w:tcW w:type="dxa" w:w="1417"/>
            <w:shd w:fill="FFFFFF" w:val="clear"/>
          </w:tcPr>
          <w:p>
            <w:r>
              <w:rPr>
                <w:sz w:val="16"/>
              </w:rPr>
              <w:t>2,908</w:t>
            </w:r>
          </w:p>
        </w:tc>
        <w:tc>
          <w:tcPr>
            <w:tcW w:type="dxa" w:w="1134"/>
            <w:shd w:fill="FFC7CE" w:val="clear"/>
          </w:tcPr>
          <w:p>
            <w:r>
              <w:rPr>
                <w:b/>
                <w:color w:val="B40000"/>
                <w:sz w:val="16"/>
              </w:rPr>
              <w:t>-13.20%</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8,000</w:t>
            </w:r>
          </w:p>
        </w:tc>
        <w:tc>
          <w:tcPr>
            <w:tcW w:type="dxa" w:w="1417"/>
            <w:shd w:fill="FFFFFF" w:val="clear"/>
          </w:tcPr>
          <w:p>
            <w:r>
              <w:rPr>
                <w:sz w:val="16"/>
              </w:rPr>
              <w:t>6,872</w:t>
            </w:r>
          </w:p>
        </w:tc>
        <w:tc>
          <w:tcPr>
            <w:tcW w:type="dxa" w:w="1134"/>
            <w:shd w:fill="FFC7CE" w:val="clear"/>
          </w:tcPr>
          <w:p>
            <w:r>
              <w:rPr>
                <w:b/>
                <w:color w:val="B40000"/>
                <w:sz w:val="16"/>
              </w:rPr>
              <w:t>-14.10%</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6,490</w:t>
            </w:r>
          </w:p>
        </w:tc>
        <w:tc>
          <w:tcPr>
            <w:tcW w:type="dxa" w:w="1417"/>
            <w:shd w:fill="FFFFFF" w:val="clear"/>
          </w:tcPr>
          <w:p>
            <w:r>
              <w:rPr>
                <w:sz w:val="16"/>
              </w:rPr>
              <w:t>5,486</w:t>
            </w:r>
          </w:p>
        </w:tc>
        <w:tc>
          <w:tcPr>
            <w:tcW w:type="dxa" w:w="1134"/>
            <w:shd w:fill="FFC7CE" w:val="clear"/>
          </w:tcPr>
          <w:p>
            <w:r>
              <w:rPr>
                <w:b/>
                <w:color w:val="B40000"/>
                <w:sz w:val="16"/>
              </w:rPr>
              <w:t>-15.47%</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3,900</w:t>
            </w:r>
          </w:p>
        </w:tc>
        <w:tc>
          <w:tcPr>
            <w:tcW w:type="dxa" w:w="1417"/>
            <w:shd w:fill="FFFFFF" w:val="clear"/>
          </w:tcPr>
          <w:p>
            <w:r>
              <w:rPr>
                <w:sz w:val="16"/>
              </w:rPr>
              <w:t>3,286</w:t>
            </w:r>
          </w:p>
        </w:tc>
        <w:tc>
          <w:tcPr>
            <w:tcW w:type="dxa" w:w="1134"/>
            <w:shd w:fill="FFC7CE" w:val="clear"/>
          </w:tcPr>
          <w:p>
            <w:r>
              <w:rPr>
                <w:b/>
                <w:color w:val="B40000"/>
                <w:sz w:val="16"/>
              </w:rPr>
              <w:t>-15.76%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1,458</w:t>
            </w:r>
          </w:p>
        </w:tc>
        <w:tc>
          <w:tcPr>
            <w:tcW w:type="dxa" w:w="1134"/>
            <w:shd w:fill="FFC7CE" w:val="clear"/>
          </w:tcPr>
          <w:p>
            <w:r>
              <w:rPr>
                <w:b/>
                <w:color w:val="B40000"/>
                <w:sz w:val="16"/>
              </w:rPr>
              <w:t>-16.20%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9,985</w:t>
            </w:r>
          </w:p>
        </w:tc>
        <w:tc>
          <w:tcPr>
            <w:tcW w:type="dxa" w:w="1417"/>
            <w:shd w:fill="FFFFFF" w:val="clear"/>
          </w:tcPr>
          <w:p>
            <w:r>
              <w:rPr>
                <w:sz w:val="16"/>
              </w:rPr>
              <w:t>8,141</w:t>
            </w:r>
          </w:p>
        </w:tc>
        <w:tc>
          <w:tcPr>
            <w:tcW w:type="dxa" w:w="1134"/>
            <w:shd w:fill="FFC7CE" w:val="clear"/>
          </w:tcPr>
          <w:p>
            <w:r>
              <w:rPr>
                <w:b/>
                <w:color w:val="B40000"/>
                <w:sz w:val="16"/>
              </w:rPr>
              <w:t>-18.47%</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7,158</w:t>
            </w:r>
          </w:p>
        </w:tc>
        <w:tc>
          <w:tcPr>
            <w:tcW w:type="dxa" w:w="1134"/>
            <w:shd w:fill="FFC7CE" w:val="clear"/>
          </w:tcPr>
          <w:p>
            <w:r>
              <w:rPr>
                <w:b/>
                <w:color w:val="B40000"/>
                <w:sz w:val="16"/>
              </w:rPr>
              <w:t>-20.47%</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8,650</w:t>
            </w:r>
          </w:p>
        </w:tc>
        <w:tc>
          <w:tcPr>
            <w:tcW w:type="dxa" w:w="1417"/>
            <w:shd w:fill="FFFFFF" w:val="clear"/>
          </w:tcPr>
          <w:p>
            <w:r>
              <w:rPr>
                <w:sz w:val="16"/>
              </w:rPr>
              <w:t>6,736</w:t>
            </w:r>
          </w:p>
        </w:tc>
        <w:tc>
          <w:tcPr>
            <w:tcW w:type="dxa" w:w="1134"/>
            <w:shd w:fill="FFC7CE" w:val="clear"/>
          </w:tcPr>
          <w:p>
            <w:r>
              <w:rPr>
                <w:b/>
                <w:color w:val="B40000"/>
                <w:sz w:val="16"/>
              </w:rPr>
              <w:t>-22.12%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2,370</w:t>
            </w:r>
          </w:p>
        </w:tc>
        <w:tc>
          <w:tcPr>
            <w:tcW w:type="dxa" w:w="1417"/>
            <w:shd w:fill="FFFFFF" w:val="clear"/>
          </w:tcPr>
          <w:p>
            <w:r>
              <w:rPr>
                <w:sz w:val="16"/>
              </w:rPr>
              <w:t>1,831</w:t>
            </w:r>
          </w:p>
        </w:tc>
        <w:tc>
          <w:tcPr>
            <w:tcW w:type="dxa" w:w="1134"/>
            <w:shd w:fill="FFC7CE" w:val="clear"/>
          </w:tcPr>
          <w:p>
            <w:r>
              <w:rPr>
                <w:b/>
                <w:color w:val="B40000"/>
                <w:sz w:val="16"/>
              </w:rPr>
              <w:t>-22.76%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2,460</w:t>
            </w:r>
          </w:p>
        </w:tc>
        <w:tc>
          <w:tcPr>
            <w:tcW w:type="dxa" w:w="1417"/>
            <w:shd w:fill="FFFFFF" w:val="clear"/>
          </w:tcPr>
          <w:p>
            <w:r>
              <w:rPr>
                <w:sz w:val="16"/>
              </w:rPr>
              <w:t>1,699</w:t>
            </w:r>
          </w:p>
        </w:tc>
        <w:tc>
          <w:tcPr>
            <w:tcW w:type="dxa" w:w="1134"/>
            <w:shd w:fill="FFC7CE" w:val="clear"/>
          </w:tcPr>
          <w:p>
            <w:r>
              <w:rPr>
                <w:b/>
                <w:color w:val="B40000"/>
                <w:sz w:val="16"/>
              </w:rPr>
              <w:t>-30.93%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12,985</w:t>
            </w:r>
          </w:p>
        </w:tc>
        <w:tc>
          <w:tcPr>
            <w:tcW w:type="dxa" w:w="1417"/>
            <w:shd w:fill="FFFFFF" w:val="clear"/>
          </w:tcPr>
          <w:p>
            <w:r>
              <w:rPr>
                <w:sz w:val="16"/>
              </w:rPr>
              <w:t>8,837</w:t>
            </w:r>
          </w:p>
        </w:tc>
        <w:tc>
          <w:tcPr>
            <w:tcW w:type="dxa" w:w="1134"/>
            <w:shd w:fill="FFC7CE" w:val="clear"/>
          </w:tcPr>
          <w:p>
            <w:r>
              <w:rPr>
                <w:b/>
                <w:color w:val="B40000"/>
                <w:sz w:val="16"/>
              </w:rPr>
              <w:t>-31.94%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8,200</w:t>
            </w:r>
          </w:p>
        </w:tc>
        <w:tc>
          <w:tcPr>
            <w:tcW w:type="dxa" w:w="1417"/>
            <w:shd w:fill="FFFFFF" w:val="clear"/>
          </w:tcPr>
          <w:p>
            <w:r>
              <w:rPr>
                <w:sz w:val="16"/>
              </w:rPr>
              <w:t>5,498</w:t>
            </w:r>
          </w:p>
        </w:tc>
        <w:tc>
          <w:tcPr>
            <w:tcW w:type="dxa" w:w="1134"/>
            <w:shd w:fill="FFC7CE" w:val="clear"/>
          </w:tcPr>
          <w:p>
            <w:r>
              <w:rPr>
                <w:b/>
                <w:color w:val="B40000"/>
                <w:sz w:val="16"/>
              </w:rPr>
              <w:t>-32.95%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1,605</w:t>
            </w:r>
          </w:p>
        </w:tc>
        <w:tc>
          <w:tcPr>
            <w:tcW w:type="dxa" w:w="1134"/>
            <w:shd w:fill="FFC7CE" w:val="clear"/>
          </w:tcPr>
          <w:p>
            <w:r>
              <w:rPr>
                <w:b/>
                <w:color w:val="B40000"/>
                <w:sz w:val="16"/>
              </w:rPr>
              <w:t>-38.15%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2,400</w:t>
            </w:r>
          </w:p>
        </w:tc>
        <w:tc>
          <w:tcPr>
            <w:tcW w:type="dxa" w:w="1417"/>
            <w:shd w:fill="FFFFFF" w:val="clear"/>
          </w:tcPr>
          <w:p>
            <w:r>
              <w:rPr>
                <w:sz w:val="16"/>
              </w:rPr>
              <w:t>1,402</w:t>
            </w:r>
          </w:p>
        </w:tc>
        <w:tc>
          <w:tcPr>
            <w:tcW w:type="dxa" w:w="1134"/>
            <w:shd w:fill="FFC7CE" w:val="clear"/>
          </w:tcPr>
          <w:p>
            <w:r>
              <w:rPr>
                <w:b/>
                <w:color w:val="B40000"/>
                <w:sz w:val="16"/>
              </w:rPr>
              <w:t>-41.58%</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30,000</w:t>
            </w:r>
          </w:p>
        </w:tc>
        <w:tc>
          <w:tcPr>
            <w:tcW w:type="dxa" w:w="1417"/>
            <w:shd w:fill="FFFFFF" w:val="clear"/>
          </w:tcPr>
          <w:p>
            <w:r>
              <w:rPr>
                <w:sz w:val="16"/>
              </w:rPr>
              <w:t>17,468</w:t>
            </w:r>
          </w:p>
        </w:tc>
        <w:tc>
          <w:tcPr>
            <w:tcW w:type="dxa" w:w="1134"/>
            <w:shd w:fill="FFC7CE" w:val="clear"/>
          </w:tcPr>
          <w:p>
            <w:r>
              <w:rPr>
                <w:b/>
                <w:color w:val="B40000"/>
                <w:sz w:val="16"/>
              </w:rPr>
              <w:t>-41.77%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6,900</w:t>
            </w:r>
          </w:p>
        </w:tc>
        <w:tc>
          <w:tcPr>
            <w:tcW w:type="dxa" w:w="1417"/>
            <w:shd w:fill="FFFFFF" w:val="clear"/>
          </w:tcPr>
          <w:p>
            <w:r>
              <w:rPr>
                <w:sz w:val="16"/>
              </w:rPr>
              <w:t>3,265</w:t>
            </w:r>
          </w:p>
        </w:tc>
        <w:tc>
          <w:tcPr>
            <w:tcW w:type="dxa" w:w="1134"/>
            <w:shd w:fill="FFC7CE" w:val="clear"/>
          </w:tcPr>
          <w:p>
            <w:r>
              <w:rPr>
                <w:b/>
                <w:color w:val="B40000"/>
                <w:sz w:val="16"/>
              </w:rPr>
              <w:t>-52.69%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3,380</w:t>
            </w:r>
          </w:p>
        </w:tc>
        <w:tc>
          <w:tcPr>
            <w:tcW w:type="dxa" w:w="1417"/>
            <w:shd w:fill="FFFFFF" w:val="clear"/>
          </w:tcPr>
          <w:p>
            <w:r>
              <w:rPr>
                <w:sz w:val="16"/>
              </w:rPr>
              <w:t>1,550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5,700</w:t>
            </w:r>
          </w:p>
        </w:tc>
        <w:tc>
          <w:tcPr>
            <w:tcW w:type="dxa" w:w="1417"/>
            <w:shd w:fill="FFFFFF" w:val="clear"/>
          </w:tcPr>
          <w:p>
            <w:r>
              <w:rPr>
                <w:sz w:val="16"/>
              </w:rPr>
              <w:t>2,614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3,195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B40000"/>
                <w:sz w:val="17"/>
              </w:rPr>
              <w:t>-4.29%</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7.18% (Moyenne) — μ=3,208 FCFA, σ=230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β=0.2559 (Défensif) — Cov=0.000008, Var(idx)=0.000033, ρ=0.047,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3,127</w:t>
            </w:r>
          </w:p>
        </w:tc>
        <w:tc>
          <w:tcPr>
            <w:tcW w:type="dxa" w:w="1440"/>
            <w:shd w:fill="FAFAFA" w:val="clear"/>
          </w:tcPr>
          <w:p>
            <w:r>
              <w:rPr>
                <w:b/>
                <w:sz w:val="17"/>
              </w:rPr>
              <w:t>3,285</w:t>
            </w:r>
          </w:p>
        </w:tc>
        <w:tc>
          <w:tcPr>
            <w:tcW w:type="dxa" w:w="1440"/>
            <w:shd w:fill="FAFAFA" w:val="clear"/>
          </w:tcPr>
          <w:p>
            <w:r>
              <w:rPr>
                <w:sz w:val="17"/>
              </w:rPr>
              <w:t>3,443</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3,009</w:t>
            </w:r>
          </w:p>
        </w:tc>
        <w:tc>
          <w:tcPr>
            <w:tcW w:type="dxa" w:w="1440"/>
            <w:shd w:fill="FFDCE0" w:val="clear"/>
          </w:tcPr>
          <w:p>
            <w:r>
              <w:rPr>
                <w:b/>
                <w:sz w:val="17"/>
              </w:rPr>
              <w:t>3,229</w:t>
            </w:r>
          </w:p>
        </w:tc>
        <w:tc>
          <w:tcPr>
            <w:tcW w:type="dxa" w:w="1440"/>
            <w:shd w:fill="FFDCE0" w:val="clear"/>
          </w:tcPr>
          <w:p>
            <w:r>
              <w:rPr>
                <w:sz w:val="17"/>
              </w:rPr>
              <w:t>3,449</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2,912</w:t>
            </w:r>
          </w:p>
        </w:tc>
        <w:tc>
          <w:tcPr>
            <w:tcW w:type="dxa" w:w="1440"/>
            <w:shd w:fill="FFDCE0" w:val="clear"/>
          </w:tcPr>
          <w:p>
            <w:r>
              <w:rPr>
                <w:b/>
                <w:sz w:val="17"/>
              </w:rPr>
              <w:t>3,177</w:t>
            </w:r>
          </w:p>
        </w:tc>
        <w:tc>
          <w:tcPr>
            <w:tcW w:type="dxa" w:w="1440"/>
            <w:shd w:fill="FFDCE0" w:val="clear"/>
          </w:tcPr>
          <w:p>
            <w:r>
              <w:rPr>
                <w:sz w:val="17"/>
              </w:rPr>
              <w:t>3,442</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2,829</w:t>
            </w:r>
          </w:p>
        </w:tc>
        <w:tc>
          <w:tcPr>
            <w:tcW w:type="dxa" w:w="1440"/>
            <w:shd w:fill="FFDCE0" w:val="clear"/>
          </w:tcPr>
          <w:p>
            <w:r>
              <w:rPr>
                <w:b/>
                <w:sz w:val="17"/>
              </w:rPr>
              <w:t>3,131</w:t>
            </w:r>
          </w:p>
        </w:tc>
        <w:tc>
          <w:tcPr>
            <w:tcW w:type="dxa" w:w="1440"/>
            <w:shd w:fill="FFDCE0" w:val="clear"/>
          </w:tcPr>
          <w:p>
            <w:r>
              <w:rPr>
                <w:sz w:val="17"/>
              </w:rPr>
              <w:t>3,432</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2,755</w:t>
            </w:r>
          </w:p>
        </w:tc>
        <w:tc>
          <w:tcPr>
            <w:tcW w:type="dxa" w:w="1440"/>
            <w:shd w:fill="FFDCE0" w:val="clear"/>
          </w:tcPr>
          <w:p>
            <w:r>
              <w:rPr>
                <w:b/>
                <w:sz w:val="17"/>
              </w:rPr>
              <w:t>3,088</w:t>
            </w:r>
          </w:p>
        </w:tc>
        <w:tc>
          <w:tcPr>
            <w:tcW w:type="dxa" w:w="1440"/>
            <w:shd w:fill="FFDCE0" w:val="clear"/>
          </w:tcPr>
          <w:p>
            <w:r>
              <w:rPr>
                <w:sz w:val="17"/>
              </w:rPr>
              <w:t>3,420</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2,688</w:t>
            </w:r>
          </w:p>
        </w:tc>
        <w:tc>
          <w:tcPr>
            <w:tcW w:type="dxa" w:w="1440"/>
            <w:shd w:fill="FFDCE0" w:val="clear"/>
          </w:tcPr>
          <w:p>
            <w:r>
              <w:rPr>
                <w:b/>
                <w:sz w:val="17"/>
              </w:rPr>
              <w:t>3,048</w:t>
            </w:r>
          </w:p>
        </w:tc>
        <w:tc>
          <w:tcPr>
            <w:tcW w:type="dxa" w:w="1440"/>
            <w:shd w:fill="FFDCE0" w:val="clear"/>
          </w:tcPr>
          <w:p>
            <w:r>
              <w:rPr>
                <w:sz w:val="17"/>
              </w:rPr>
              <w:t>3,408</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2,627</w:t>
            </w:r>
          </w:p>
        </w:tc>
        <w:tc>
          <w:tcPr>
            <w:tcW w:type="dxa" w:w="1440"/>
            <w:shd w:fill="FFDCE0" w:val="clear"/>
          </w:tcPr>
          <w:p>
            <w:r>
              <w:rPr>
                <w:b/>
                <w:sz w:val="17"/>
              </w:rPr>
              <w:t>3,010</w:t>
            </w:r>
          </w:p>
        </w:tc>
        <w:tc>
          <w:tcPr>
            <w:tcW w:type="dxa" w:w="1440"/>
            <w:shd w:fill="FFDCE0" w:val="clear"/>
          </w:tcPr>
          <w:p>
            <w:r>
              <w:rPr>
                <w:sz w:val="17"/>
              </w:rPr>
              <w:t>3,394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2,569</w:t>
            </w:r>
          </w:p>
        </w:tc>
        <w:tc>
          <w:tcPr>
            <w:tcW w:type="dxa" w:w="1440"/>
            <w:shd w:fill="FFDCE0" w:val="clear"/>
          </w:tcPr>
          <w:p>
            <w:r>
              <w:rPr>
                <w:b/>
                <w:sz w:val="17"/>
              </w:rPr>
              <w:t>2,975</w:t>
            </w:r>
          </w:p>
        </w:tc>
        <w:tc>
          <w:tcPr>
            <w:tcW w:type="dxa" w:w="1440"/>
            <w:shd w:fill="FFDCE0" w:val="clear"/>
          </w:tcPr>
          <w:p>
            <w:r>
              <w:rPr>
                <w:sz w:val="17"/>
              </w:rPr>
              <w:t>3,380</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2,516</w:t>
            </w:r>
          </w:p>
        </w:tc>
        <w:tc>
          <w:tcPr>
            <w:tcW w:type="dxa" w:w="1440"/>
            <w:shd w:fill="FFDCE0" w:val="clear"/>
          </w:tcPr>
          <w:p>
            <w:r>
              <w:rPr>
                <w:b/>
                <w:sz w:val="17"/>
              </w:rPr>
              <w:t>2,940</w:t>
            </w:r>
          </w:p>
        </w:tc>
        <w:tc>
          <w:tcPr>
            <w:tcW w:type="dxa" w:w="1440"/>
            <w:shd w:fill="FFDCE0" w:val="clear"/>
          </w:tcPr>
          <w:p>
            <w:r>
              <w:rPr>
                <w:sz w:val="17"/>
              </w:rPr>
              <w:t>3,365</w:t>
            </w:r>
          </w:p>
        </w:tc>
        <w:tc>
          <w:tcPr>
            <w:tcW w:type="dxa" w:w="1440"/>
            <w:shd w:fill="FFDCE0" w:val="clear"/>
          </w:tcPr>
          <w:p>
            <w:r>
              <w:rPr>
                <w:b/>
                <w:color w:val="C00000"/>
                <w:sz w:val="17"/>
              </w:rPr>
              <w:t>-12.2%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2,465</w:t>
            </w:r>
          </w:p>
        </w:tc>
        <w:tc>
          <w:tcPr>
            <w:tcW w:type="dxa" w:w="1440"/>
            <w:shd w:fill="FFDCE0" w:val="clear"/>
          </w:tcPr>
          <w:p>
            <w:r>
              <w:rPr>
                <w:b/>
                <w:sz w:val="17"/>
              </w:rPr>
              <w:t>2,908</w:t>
            </w:r>
          </w:p>
        </w:tc>
        <w:tc>
          <w:tcPr>
            <w:tcW w:type="dxa" w:w="1440"/>
            <w:shd w:fill="FFDCE0" w:val="clear"/>
          </w:tcPr>
          <w:p>
            <w:r>
              <w:rPr>
                <w:sz w:val="17"/>
              </w:rPr>
              <w:t>3,351</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36,56 milliards FCFA, un niveau significatif pour une valeur moyenne de la BRVM, reflétant la position de l'entreprise dans les services aéroportuaires. Le BPA de 124 FCFA indique que chaque action génère ce bénéfice annuel. Le PER de 27,1x est nettement supérieur à la moyenne historique de la BRVM (8-12x), signalant que les investisseurs paient une prime substantielle pour les bénéfices, anticipant une forte croissance future ou une surévaluation. Le P/B de 7,09x confirme cette prime, le marché valorisant l'actif net comptable plus de sept fois au-dessus de sa valeur, un niveau exigeant. Enfin, l'EV/EBITDA de 13,7x, dans la fourchette haute (10-15x), indique que la valeur totale de l'entreprise (capitalisation + dette nette) est élevée par rapport à sa capacité opérationnelle, renforçant l'idée d'une valorisation qui intègre des attentes de performance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variation totale de -4,29%, avec une baisse de -1,47% lors de la dernière séance, montrant une pression vendeuse récente. Le cours a évolué dans une fourchette de 2 800 FCFA (plus bas) à 3 780 FCFA (plus haut), indiquant une amplitude de trading de près de 35%, signe d'une volatilité notable. La moyenne (3 208 FCFA) et la médiane (3 182 FCFA) sont très proches, suggérant une distribution des prix symétrique, confirmée par un skewness de 0,287. L'écart-type de 232 FCFA (CV=7,2%) montre une dispersion modérée autour de la moyenne. Le kurtosis de -0,661 (mésokurtique) indique une distribution proche de la normale, sans risque de variations extrêmes fréquentes. La volatilité annualisée de 48,6% classe le titre dans la catégorie "élevée" (&gt;30%), reflétant un risque de prix important pour les investisseurs, typique des valeurs de croissance sur ce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(3 350 FCFA) est supérieur à la MM20 (3 135 FCFA) et à la MM50 (3 195,2 FCFA), indiquant une dynamique haussière à court terme. Cependant, la décision globale est "Vente", ce qui suggère que la tendance de fond pourrait s'inverser, ou que le croisement des moyennes n'est pas encore confirmé. La position du prix au-dessus des deux moyennes est un signal positif, mais la prudence est de mise.</w:t>
      </w:r>
    </w:p>
    <w:p>
      <w:pPr>
        <w:spacing w:after="120" w:line="276" w:lineRule="auto"/>
      </w:pPr>
      <w:r>
        <w:t>**Bandes de Bollinger** : Le prix (3 350 FCFA) se situe dans la partie supérieure des bandes, entre la borne inférieure (2 807,7 FCFA) et la borne supérieure (3 462,3 FCFA), proche de cette dernière. Cela indique une pression acheteuse, mais le titre n'est pas en zone de surachat extrême. La décision "Neutre" suggère que le marché attend un signal directionnel clair, avec une volatilité qui pourrait s'accroître.</w:t>
      </w:r>
    </w:p>
    <w:p>
      <w:pPr>
        <w:spacing w:after="120" w:line="276" w:lineRule="auto"/>
      </w:pPr>
      <w:r>
        <w:t>**MACD** : Le MACD (68,37) est nettement supérieur à son signal (26,60), montrant un momentum haussier fort et une dynamique positive. La décision "Achat" est cohérente avec cette configuration, indiquant que la tendance de fond pourrait être haussière à moyen terme, malgré les signaux baissiers des moyennes mobiles.</w:t>
      </w:r>
    </w:p>
    <w:p>
      <w:pPr>
        <w:spacing w:after="120" w:line="276" w:lineRule="auto"/>
      </w:pPr>
      <w:r>
        <w:t>**RSI** : Le RSI à 69,23 est proche du seuil de surachat (70), sans l'atteindre. Cela indique une pression acheteuse soutenue, mais le titre n'est pas encore en zone dangereuse. La décision "Neutre" suggère que le marché pourrait continuer à progresser, mais avec un risque de correction si le RSI dépasse 70.</w:t>
      </w:r>
    </w:p>
    <w:p>
      <w:pPr>
        <w:spacing w:after="120" w:line="276" w:lineRule="auto"/>
      </w:pPr>
      <w:r>
        <w:t>**Stochastique** : Le %K (91,67) et le %D (97,22) sont tous deux en zone de surachat extrême (&gt;80), avec un %K inférieur au %D, signalant un croisement baissier potentiel. La décision "Vente" est justifiée par cette configuration, indiquant un risque de retournement imminent ou une consolidation après une forte hausse.</w:t>
      </w:r>
    </w:p>
    <w:p>
      <w:pPr>
        <w:spacing w:after="120" w:line="276" w:lineRule="auto"/>
      </w:pPr>
      <w:r>
        <w:t>**Conclusion technique** : Les indicateurs sont mitigés. Le MACD et la position du cours au-dessus des moyennes mobiles suggèrent une dynamique haussière, mais le RSI proche du surachat et le stochastique en zone extrême signalent un risque de correction à court terme. La décision "Vente" des moyennes mobiles et du stochastique contraste avec l'"Achat" du MACD. Un investisseur prudent attendrait une confirmation directionnelle, soit une cassure au-dessus de 3 462 FCFA (borne supérieure), soit un repli vers les 3 135 FCFA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ABJC a réalisé un chiffre d'affaires de 13,298 milliards FCFA, en croissance de 6,7%, avec un résultat net de 1,351 milliard FCFA, en baisse de 12,1% par rapport à 2024 (1,515 milliard FCFA). Cette baisse de rentabilité s'explique par une hausse de 46,7% de la charge d'impôt (839,75 millions FCFA). La marge nette s'établit à 10,2%, et le ROE est excellent à 26,2%, avec un ROA de 14,6%, montrant une utilisation efficace des actifs. La structure financière est saine : capitaux propres de 5,159 milliards FCFA (autonomie financière de 55,9%), une trésorerie nette de 4,035 milliards FCFA et un endettement très faible (65,89 millions FCFA). Le BFR est positif (257,45 millions FCFA), avec un délai client de 70 jours, un délai fournisseur de 92 jours et un stockage de 29 jours, indiquant une gestion correcte du cycle d'exploitation. Les rapports trimestriels montrent une année 2025 en dents de scie : T1 en baisse (-6,8% résultat net) à cause d'un litige avec la BCEAO, puis un T3 en forte hausse (+17,1%). Cependant, le rapport T1 2026 (publié en 2026) révèle une forte dégradation : CA en hausse de 1,9% mais résultat net en chute de 35,6% (222,6 millions FCFA), impacté par les ajustements de redevances aéroportuaires. On estime que l'exercice 2026 pourrait voir une baisse significative de la rentabilité si cette tendance persiste, malgré la solidité du bilan.</w:t>
      </w:r>
    </w:p>
    <w:p>
      <w:pPr>
        <w:spacing w:after="120" w:line="276" w:lineRule="auto"/>
      </w:pPr>
      <w:r>
        <w:t>---</w:t>
      </w:r>
    </w:p>
    <w:p>
      <w:pPr>
        <w:spacing w:after="120" w:line="276" w:lineRule="auto"/>
      </w:pPr>
      <w:r>
        <w:t>### PARTIE 4 : CONCLUSION D'INVESTISSEMENT</w:t>
      </w:r>
    </w:p>
    <w:p>
      <w:pPr>
        <w:spacing w:after="120" w:line="276" w:lineRule="auto"/>
      </w:pPr>
      <w:r>
        <w:t>La valorisation d'ABJC est exigeante (PER 27,1x, P/B 7,09x), indiquant une surévaluation relative par rapport aux bénéfices et à l'actif net, ce qui laisse peu de marge de sécurité. Le comportement du cours montre une tendance baissière sur 100 jours (-4,29%) avec une volatilité élevée (48,6%), suggérant un risque de prix important. Les signaux techniques sont mitigés : le MACD est haussier, mais le stochastique et les moyennes mobiles sont vendeurs, pointant vers une possible consolidation. Les fondamentaux sont solides (ROE de 26,2%, trésorerie nette importante), mais la dégradation de la rentabilité au T1 2026 (-35,6% du résultat net) est un signal d'alarme majeur. Les prédictions IA (J+1 à J+10) montrent une trajectoire baissière de 3 285 à 3 088 FCFA, confirmant les signaux techniques vendeurs. La convergence entre la surévaluation, les signaux techniques mitigés, la dégradation des fondamentaux et les prédictions IA baissières justifie une recommandation **VENTE**. Le niveau de confiance est **Moyen** (car la solidité du bilan pourrait limiter la baisse), avec un risque global **Élevé** (volatilité et incertitudes réglementaires). L'horizon d'investissement optimal serait à **court terme (&lt;3 mois)** pour les investisseurs cherchant à réduire leur exposition, en attendant une amélioration des résultats et une valorisation plus attractive.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11,325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+61.10%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30.2%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17.57% (Élevée) — μ=6,040 FCFA, σ=1,061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β=0.4442 (Défensif) — Cov=0.000015, Var(idx)=0.000033,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7,259</w:t>
            </w:r>
          </w:p>
        </w:tc>
        <w:tc>
          <w:tcPr>
            <w:tcW w:type="dxa" w:w="1440"/>
            <w:shd w:fill="FFDCE0" w:val="clear"/>
          </w:tcPr>
          <w:p>
            <w:r>
              <w:rPr>
                <w:b/>
                <w:sz w:val="17"/>
              </w:rPr>
              <w:t>7,585</w:t>
            </w:r>
          </w:p>
        </w:tc>
        <w:tc>
          <w:tcPr>
            <w:tcW w:type="dxa" w:w="1440"/>
            <w:shd w:fill="FFDCE0" w:val="clear"/>
          </w:tcPr>
          <w:p>
            <w:r>
              <w:rPr>
                <w:sz w:val="17"/>
              </w:rPr>
              <w:t>7,911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6,590</w:t>
            </w:r>
          </w:p>
        </w:tc>
        <w:tc>
          <w:tcPr>
            <w:tcW w:type="dxa" w:w="1440"/>
            <w:shd w:fill="FFDCE0" w:val="clear"/>
          </w:tcPr>
          <w:p>
            <w:r>
              <w:rPr>
                <w:b/>
                <w:sz w:val="17"/>
              </w:rPr>
              <w:t>7,016</w:t>
            </w:r>
          </w:p>
        </w:tc>
        <w:tc>
          <w:tcPr>
            <w:tcW w:type="dxa" w:w="1440"/>
            <w:shd w:fill="FFDCE0" w:val="clear"/>
          </w:tcPr>
          <w:p>
            <w:r>
              <w:rPr>
                <w:sz w:val="17"/>
              </w:rPr>
              <w:t>7,442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6,007</w:t>
            </w:r>
          </w:p>
        </w:tc>
        <w:tc>
          <w:tcPr>
            <w:tcW w:type="dxa" w:w="1440"/>
            <w:shd w:fill="FFDCE0" w:val="clear"/>
          </w:tcPr>
          <w:p>
            <w:r>
              <w:rPr>
                <w:b/>
                <w:sz w:val="17"/>
              </w:rPr>
              <w:t>6,490</w:t>
            </w:r>
          </w:p>
        </w:tc>
        <w:tc>
          <w:tcPr>
            <w:tcW w:type="dxa" w:w="1440"/>
            <w:shd w:fill="FFDCE0" w:val="clear"/>
          </w:tcPr>
          <w:p>
            <w:r>
              <w:rPr>
                <w:sz w:val="17"/>
              </w:rPr>
              <w:t>6,973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5,671</w:t>
            </w:r>
          </w:p>
        </w:tc>
        <w:tc>
          <w:tcPr>
            <w:tcW w:type="dxa" w:w="1440"/>
            <w:shd w:fill="FFDCE0" w:val="clear"/>
          </w:tcPr>
          <w:p>
            <w:r>
              <w:rPr>
                <w:b/>
                <w:sz w:val="17"/>
              </w:rPr>
              <w:t>6,204</w:t>
            </w:r>
          </w:p>
        </w:tc>
        <w:tc>
          <w:tcPr>
            <w:tcW w:type="dxa" w:w="1440"/>
            <w:shd w:fill="FFDCE0" w:val="clear"/>
          </w:tcPr>
          <w:p>
            <w:r>
              <w:rPr>
                <w:sz w:val="17"/>
              </w:rPr>
              <w:t>6,737</w:t>
            </w:r>
          </w:p>
        </w:tc>
        <w:tc>
          <w:tcPr>
            <w:tcW w:type="dxa" w:w="1440"/>
            <w:shd w:fill="FFDCE0" w:val="clear"/>
          </w:tcPr>
          <w:p>
            <w:r>
              <w:rPr>
                <w:b/>
                <w:color w:val="C00000"/>
                <w:sz w:val="17"/>
              </w:rPr>
              <w:t>-24.3%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5,461</w:t>
            </w:r>
          </w:p>
        </w:tc>
        <w:tc>
          <w:tcPr>
            <w:tcW w:type="dxa" w:w="1440"/>
            <w:shd w:fill="FFDCE0" w:val="clear"/>
          </w:tcPr>
          <w:p>
            <w:r>
              <w:rPr>
                <w:b/>
                <w:sz w:val="17"/>
              </w:rPr>
              <w:t>6,041</w:t>
            </w:r>
          </w:p>
        </w:tc>
        <w:tc>
          <w:tcPr>
            <w:tcW w:type="dxa" w:w="1440"/>
            <w:shd w:fill="FFDCE0" w:val="clear"/>
          </w:tcPr>
          <w:p>
            <w:r>
              <w:rPr>
                <w:sz w:val="17"/>
              </w:rPr>
              <w:t>6,621</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5,278</w:t>
            </w:r>
          </w:p>
        </w:tc>
        <w:tc>
          <w:tcPr>
            <w:tcW w:type="dxa" w:w="1440"/>
            <w:shd w:fill="FFDCE0" w:val="clear"/>
          </w:tcPr>
          <w:p>
            <w:r>
              <w:rPr>
                <w:b/>
                <w:sz w:val="17"/>
              </w:rPr>
              <w:t>5,899</w:t>
            </w:r>
          </w:p>
        </w:tc>
        <w:tc>
          <w:tcPr>
            <w:tcW w:type="dxa" w:w="1440"/>
            <w:shd w:fill="FFDCE0" w:val="clear"/>
          </w:tcPr>
          <w:p>
            <w:r>
              <w:rPr>
                <w:sz w:val="17"/>
              </w:rPr>
              <w:t>6,519</w:t>
            </w:r>
          </w:p>
        </w:tc>
        <w:tc>
          <w:tcPr>
            <w:tcW w:type="dxa" w:w="1440"/>
            <w:shd w:fill="FFDCE0" w:val="clear"/>
          </w:tcPr>
          <w:p>
            <w:r>
              <w:rPr>
                <w:b/>
                <w:color w:val="C00000"/>
                <w:sz w:val="17"/>
              </w:rPr>
              <w:t>-28.1%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5,119</w:t>
            </w:r>
          </w:p>
        </w:tc>
        <w:tc>
          <w:tcPr>
            <w:tcW w:type="dxa" w:w="1440"/>
            <w:shd w:fill="FFDCE0" w:val="clear"/>
          </w:tcPr>
          <w:p>
            <w:r>
              <w:rPr>
                <w:b/>
                <w:sz w:val="17"/>
              </w:rPr>
              <w:t>5,776</w:t>
            </w:r>
          </w:p>
        </w:tc>
        <w:tc>
          <w:tcPr>
            <w:tcW w:type="dxa" w:w="1440"/>
            <w:shd w:fill="FFDCE0" w:val="clear"/>
          </w:tcPr>
          <w:p>
            <w:r>
              <w:rPr>
                <w:sz w:val="17"/>
              </w:rPr>
              <w:t>6,432</w:t>
            </w:r>
          </w:p>
        </w:tc>
        <w:tc>
          <w:tcPr>
            <w:tcW w:type="dxa" w:w="1440"/>
            <w:shd w:fill="FFDCE0" w:val="clear"/>
          </w:tcPr>
          <w:p>
            <w:r>
              <w:rPr>
                <w:b/>
                <w:color w:val="C00000"/>
                <w:sz w:val="17"/>
              </w:rPr>
              <w:t>-29.6%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4,981</w:t>
            </w:r>
          </w:p>
        </w:tc>
        <w:tc>
          <w:tcPr>
            <w:tcW w:type="dxa" w:w="1440"/>
            <w:shd w:fill="FFDCE0" w:val="clear"/>
          </w:tcPr>
          <w:p>
            <w:r>
              <w:rPr>
                <w:b/>
                <w:sz w:val="17"/>
              </w:rPr>
              <w:t>5,670</w:t>
            </w:r>
          </w:p>
        </w:tc>
        <w:tc>
          <w:tcPr>
            <w:tcW w:type="dxa" w:w="1440"/>
            <w:shd w:fill="FFDCE0" w:val="clear"/>
          </w:tcPr>
          <w:p>
            <w:r>
              <w:rPr>
                <w:sz w:val="17"/>
              </w:rPr>
              <w:t>6,358</w:t>
            </w:r>
          </w:p>
        </w:tc>
        <w:tc>
          <w:tcPr>
            <w:tcW w:type="dxa" w:w="1440"/>
            <w:shd w:fill="FFDCE0" w:val="clear"/>
          </w:tcPr>
          <w:p>
            <w:r>
              <w:rPr>
                <w:b/>
                <w:color w:val="C00000"/>
                <w:sz w:val="17"/>
              </w:rPr>
              <w:t>-30.9%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4,859</w:t>
            </w:r>
          </w:p>
        </w:tc>
        <w:tc>
          <w:tcPr>
            <w:tcW w:type="dxa" w:w="1440"/>
            <w:shd w:fill="FFDCE0" w:val="clear"/>
          </w:tcPr>
          <w:p>
            <w:r>
              <w:rPr>
                <w:b/>
                <w:sz w:val="17"/>
              </w:rPr>
              <w:t>5,578</w:t>
            </w:r>
          </w:p>
        </w:tc>
        <w:tc>
          <w:tcPr>
            <w:tcW w:type="dxa" w:w="1440"/>
            <w:shd w:fill="FFDCE0" w:val="clear"/>
          </w:tcPr>
          <w:p>
            <w:r>
              <w:rPr>
                <w:sz w:val="17"/>
              </w:rPr>
              <w:t>6,296</w:t>
            </w:r>
          </w:p>
        </w:tc>
        <w:tc>
          <w:tcPr>
            <w:tcW w:type="dxa" w:w="1440"/>
            <w:shd w:fill="FFDCE0" w:val="clear"/>
          </w:tcPr>
          <w:p>
            <w:r>
              <w:rPr>
                <w:b/>
                <w:color w:val="C00000"/>
                <w:sz w:val="17"/>
              </w:rPr>
              <w:t>-32.0%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4,751</w:t>
            </w:r>
          </w:p>
        </w:tc>
        <w:tc>
          <w:tcPr>
            <w:tcW w:type="dxa" w:w="1440"/>
            <w:shd w:fill="FFDCE0" w:val="clear"/>
          </w:tcPr>
          <w:p>
            <w:r>
              <w:rPr>
                <w:b/>
                <w:sz w:val="17"/>
              </w:rPr>
              <w:t>5,498</w:t>
            </w:r>
          </w:p>
        </w:tc>
        <w:tc>
          <w:tcPr>
            <w:tcW w:type="dxa" w:w="1440"/>
            <w:shd w:fill="FFDCE0" w:val="clear"/>
          </w:tcPr>
          <w:p>
            <w:r>
              <w:rPr>
                <w:sz w:val="17"/>
              </w:rPr>
              <w:t>6,245</w:t>
            </w:r>
          </w:p>
        </w:tc>
        <w:tc>
          <w:tcPr>
            <w:tcW w:type="dxa" w:w="1440"/>
            <w:shd w:fill="FFDCE0" w:val="clear"/>
          </w:tcPr>
          <w:p>
            <w:r>
              <w:rPr>
                <w:b/>
                <w:color w:val="C00000"/>
                <w:sz w:val="17"/>
              </w:rPr>
              <w:t>-32.9%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22 août 2026**</w:t>
        <w:br/>
        <w:t>**Cours de référence : 8 200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473,63 milliards FCFA positionne la BICB comme l'une des valeurs les plus significatives de la BRVM, reflétant la confiance des investisseurs dans le secteur bancaire béninois. Avec un BPA de 627 FCFA, chaque action génère un bénéfice substantiel, justifiant un PER de 13,1x. Ce ratio est légèrement supérieur à la moyenne historique de la BRVM (8-12x), indiquant que le marché valorise déjà une partie de la croissance future de la banque. Le P/B de 3,51x confirme cette prime, le marché acceptant de payer plus de 3,5 fois la valeur comptable des actifs, signe d'une anticipation de rendement élevé. Enfin, l'EV/EBITDA de 23,7x est très exigeant, suggérant que la valorisation intègre une amélioration significative de la capacité opérationnelle future. Ces ratios traduisent une confiance marquée, mais aussi une certaine tension sur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+61,10%, passant d'un plus bas de 5 090 FCFA à un plus haut de 8 500 FCFA, avant de clôturer à 8 200 FCFA. Cette tendance est fortement haussière, bien que la dernière séance montre un léger repli de -2,38%. La moyenne du cours sur la période (6 040 FCFA) est nettement inférieure à la médiane (5 595 FCFA), et l'écart avec le mode (5 110 FCFA) est encore plus marqué, ce qui illustre une distribution asymétrique positive (skewness de 1.046) : la majorité des séances se sont déroulées à des niveaux bas, mais quelques fortes hausses récentes ont tiré la moyenne vers le haut. L'écart-type de 1 066 FCFA (CV de 17,7%) montre une dispersion modérée, tandis que le kurtosis de -0.266 indique une distribution mésokurtique, sans risque de variations extrêmes imprévues. La volatilité annualisée de 30,2% classe le titre comme très volatil, un niveau élevé qui requiert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(8 200 FCFA) se situe nettement au-dessus de la MM20 (7 933 FCFA) et de la MM50 (6 848 FCFA), confirmant une dynamique haussière solide. La configuration des MM, avec la MM20 au-dessus de la MM50, génère un signal d'achat clair, indiquant que la tendance de fond reste positive malgré la récente consolidation.</w:t>
      </w:r>
    </w:p>
    <w:p>
      <w:pPr>
        <w:spacing w:after="120" w:line="276" w:lineRule="auto"/>
      </w:pPr>
      <w:r>
        <w:t>**Bandes de Bollinger** : Le cours évolue entre la borne supérieure (8 697 FCFA) et la borne inférieure (7 169 FCFA), se positionnant dans la partie haute du canal. La décision est neutre, mais la largeur des bandes reflète une volatilité accrue. Un dépassement de la borne supérieure pourrait signaler une poursuite de la tendance, tandis qu'un retour vers la moyenne mobile indiquerait une phase de consolidation.</w:t>
      </w:r>
    </w:p>
    <w:p>
      <w:pPr>
        <w:spacing w:after="120" w:line="276" w:lineRule="auto"/>
      </w:pPr>
      <w:r>
        <w:t>**MACD** : Le MACD (456,1) est légèrement inférieur à sa ligne de signal (471,2), générant un signal de vente à court terme. Cette divergence suggère un essoufflement du momentum haussier après la forte progression. Cependant, les deux lignes restent en territoire positif, ce qui nuance le signal baissier et indique une possible phase de correction temporaire.</w:t>
      </w:r>
    </w:p>
    <w:p>
      <w:pPr>
        <w:spacing w:after="120" w:line="276" w:lineRule="auto"/>
      </w:pPr>
      <w:r>
        <w:t>**RSI** : Avec une valeur de 66,94, le RSI se situe en zone neutre, proche du seuil de surachat (70). Cela indique que le titre a été fortement acheté récemment, mais qu'il n'est pas encore en situation de surachat extrême. La décision neutre suggère que les investisseurs peuvent encore acheter, mais avec prudence.</w:t>
      </w:r>
    </w:p>
    <w:p>
      <w:pPr>
        <w:spacing w:after="120" w:line="276" w:lineRule="auto"/>
      </w:pPr>
      <w:r>
        <w:t>**Stochastique** : Le %K (70,0) est inférieur au %D (83,5), formant un croisement baissier potentiel. Cette configuration signale un affaiblissement de la dynamique haussière à très court terme. La décision neutre reflète l'incertitude sur la poursuite du mouvement, avec un risque de correction.</w:t>
      </w:r>
    </w:p>
    <w:p>
      <w:pPr>
        <w:spacing w:after="120" w:line="276" w:lineRule="auto"/>
      </w:pPr>
      <w:r>
        <w:t>**Conclusion technique** : Les indicateurs de tendance (MM) restent positifs, mais les oscillateurs (MACD, RSI, Stochastique) montrent des signes de fatigue. Cette divergence entre la tendance de fond et le momentum à court terme suggère une consolidation probable avant une éventuelle reprise de la hausse. La prudence est de mise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la BICB a affiché des performances financières solides, avec un Produit Net Bancaire (PNB) de 52,805 milliards FCFA, en hausse de 16,49% par rapport à 2024. Le résultat net s'établit à 36,237 milliards FCFA, soit une progression de 24,7%, portant le ROE à un niveau excellent de 26,82% et le ROA à 1,96%. Le coefficient d'exploitation de 31,12% témoigne d'une excellente maîtrise des charges, bien en deçà du seuil de 60% considéré comme efficace. Cependant, le coût du risque de 9,61% reste un point de vigilance, indiquant un risque de crédit significatif lié à l'expansion rapide des crédits (+37,3% en 2025). Les dépôts clientèle (1 181,045 Mds FCFA) couvrent presque entièrement les crédits à la clientèle (1 151,536 Mds FCFA), soit un ratio de transformation de 97,5%, ce qui est tendu. Sur la base du rapport T1 2026 (PNB de 14,6 milliards FCFA, en hausse de 35%, et résultat net de 8,0 milliards FCFA, en hausse de 48%), on estime que l'exercice 2026 devrait confirmer cette dynamique de croissance rentable, avec un PNB annuel potentiel dépassant 60 milliards FCFA. La banque a également réussi sa transition vers les normes IFRS, renforçant la transparence financière. Les fondamentaux restent solides, portés par une croissance soutenue et une rentabilité élevée, mais la gestion du risque de crédit et de la liquidité sera cruciale pour maintenir cette performance.</w:t>
      </w:r>
    </w:p>
    <w:p>
      <w:pPr>
        <w:spacing w:after="120" w:line="276" w:lineRule="auto"/>
      </w:pPr>
      <w:r>
        <w:t>---</w:t>
      </w:r>
    </w:p>
    <w:p>
      <w:pPr>
        <w:spacing w:after="120" w:line="276" w:lineRule="auto"/>
      </w:pPr>
      <w:r>
        <w:t>### PARTIE 4 : CONCLUSION D'INVESTISSEMENT</w:t>
      </w:r>
    </w:p>
    <w:p>
      <w:pPr>
        <w:spacing w:after="120" w:line="276" w:lineRule="auto"/>
      </w:pPr>
      <w:r>
        <w:t>La valorisation de la BICB (PER 13,1x, P/B 3,51x) est exigeante, mais justifiée par une croissance fondamentale robuste et une rentabilité supérieure à la moyenne du marché. Le comportement du cours sur 100 jours, avec une hausse de 61%, montre une forte dynamique, bien que la volatilité élevée (30,2%) et l'asymétrie positive appellent à la prudence. Les signaux techniques sont mitigés : la tendance de fond reste haussière, mais les indicateurs de momentum (MACD, RSI, Stochastique) suggèrent une consolidation à court terme. Les fondamentaux, avec un ROE de 26,8% et une croissance du PNB de 16,5% en 2025, sont excellents, et les estimations pour 2026 (basées sur le T1) sont prometteuses. Cependant, les prédictions IA pour les 10 prochains jours indiquent une correction significative, avec un cours projeté à 6 041 FCFA, ce qui contredit la tendance haussière récente et suggère un potentiel de repli technique. En synthèse, la convergence entre une valorisation élevée, des signaux techniques de court terme négatifs et des prédictions IA baissières conduit à une recommandation de **CONSERVER** avec un niveau de confiance **Moyen**. Le risque global est **Élevé** en raison de la volatilité et des incertitudes sur la qualité du crédit. L'horizon d'investissement optimal serait à **moyen terme (3-12 mois)**, en attendant une stabilisation du cours et une confirmation de la maîtrise du coût du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 titres</w:t>
            </w:r>
          </w:p>
        </w:tc>
        <w:tc>
          <w:tcPr>
            <w:tcW w:type="dxa" w:w="2268"/>
            <w:shd w:fill="FFF2CC" w:val="clear"/>
          </w:tcPr>
          <w:p>
            <w:r>
              <w:rPr>
                <w:b/>
                <w:color w:val="503200"/>
                <w:sz w:val="16"/>
              </w:rPr>
              <w:t xml:space="preserve">Cours actuel : </w:t>
            </w:r>
            <w:r>
              <w:rPr>
                <w:color w:val="000000"/>
                <w:sz w:val="17"/>
              </w:rPr>
              <w:t>28,800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7.35% (Moyenne) — μ=27,176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β=0.4104 (Défensif) — Cov=0.000013, Var(idx)=0.000033,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27,828</w:t>
            </w:r>
          </w:p>
        </w:tc>
        <w:tc>
          <w:tcPr>
            <w:tcW w:type="dxa" w:w="1440"/>
            <w:shd w:fill="FAFAFA" w:val="clear"/>
          </w:tcPr>
          <w:p>
            <w:r>
              <w:rPr>
                <w:b/>
                <w:sz w:val="17"/>
              </w:rPr>
              <w:t>28,344</w:t>
            </w:r>
          </w:p>
        </w:tc>
        <w:tc>
          <w:tcPr>
            <w:tcW w:type="dxa" w:w="1440"/>
            <w:shd w:fill="FAFAFA" w:val="clear"/>
          </w:tcPr>
          <w:p>
            <w:r>
              <w:rPr>
                <w:sz w:val="17"/>
              </w:rPr>
              <w:t>28,859</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27,339</w:t>
            </w:r>
          </w:p>
        </w:tc>
        <w:tc>
          <w:tcPr>
            <w:tcW w:type="dxa" w:w="1440"/>
            <w:shd w:fill="FFDCE0" w:val="clear"/>
          </w:tcPr>
          <w:p>
            <w:r>
              <w:rPr>
                <w:b/>
                <w:sz w:val="17"/>
              </w:rPr>
              <w:t>28,060</w:t>
            </w:r>
          </w:p>
        </w:tc>
        <w:tc>
          <w:tcPr>
            <w:tcW w:type="dxa" w:w="1440"/>
            <w:shd w:fill="FFDCE0" w:val="clear"/>
          </w:tcPr>
          <w:p>
            <w:r>
              <w:rPr>
                <w:sz w:val="17"/>
              </w:rPr>
              <w:t>28,782</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26,899</w:t>
            </w:r>
          </w:p>
        </w:tc>
        <w:tc>
          <w:tcPr>
            <w:tcW w:type="dxa" w:w="1440"/>
            <w:shd w:fill="FFDCE0" w:val="clear"/>
          </w:tcPr>
          <w:p>
            <w:r>
              <w:rPr>
                <w:b/>
                <w:sz w:val="17"/>
              </w:rPr>
              <w:t>27,774</w:t>
            </w:r>
          </w:p>
        </w:tc>
        <w:tc>
          <w:tcPr>
            <w:tcW w:type="dxa" w:w="1440"/>
            <w:shd w:fill="FFDCE0" w:val="clear"/>
          </w:tcPr>
          <w:p>
            <w:r>
              <w:rPr>
                <w:sz w:val="17"/>
              </w:rPr>
              <w:t>28,649</w:t>
            </w:r>
          </w:p>
        </w:tc>
        <w:tc>
          <w:tcPr>
            <w:tcW w:type="dxa" w:w="1440"/>
            <w:shd w:fill="FFDCE0" w:val="clear"/>
          </w:tcPr>
          <w:p>
            <w:r>
              <w:rPr>
                <w:b/>
                <w:color w:val="C00000"/>
                <w:sz w:val="17"/>
              </w:rPr>
              <w:t>-3.6%</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26,511</w:t>
            </w:r>
          </w:p>
        </w:tc>
        <w:tc>
          <w:tcPr>
            <w:tcW w:type="dxa" w:w="1440"/>
            <w:shd w:fill="FFDCE0" w:val="clear"/>
          </w:tcPr>
          <w:p>
            <w:r>
              <w:rPr>
                <w:b/>
                <w:sz w:val="17"/>
              </w:rPr>
              <w:t>27,512</w:t>
            </w:r>
          </w:p>
        </w:tc>
        <w:tc>
          <w:tcPr>
            <w:tcW w:type="dxa" w:w="1440"/>
            <w:shd w:fill="FFDCE0" w:val="clear"/>
          </w:tcPr>
          <w:p>
            <w:r>
              <w:rPr>
                <w:sz w:val="17"/>
              </w:rPr>
              <w:t>28,512</w:t>
            </w:r>
          </w:p>
        </w:tc>
        <w:tc>
          <w:tcPr>
            <w:tcW w:type="dxa" w:w="1440"/>
            <w:shd w:fill="FFDCE0" w:val="clear"/>
          </w:tcPr>
          <w:p>
            <w:r>
              <w:rPr>
                <w:b/>
                <w:color w:val="C00000"/>
                <w:sz w:val="17"/>
              </w:rPr>
              <w:t>-4.5%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26,158</w:t>
            </w:r>
          </w:p>
        </w:tc>
        <w:tc>
          <w:tcPr>
            <w:tcW w:type="dxa" w:w="1440"/>
            <w:shd w:fill="FFDCE0" w:val="clear"/>
          </w:tcPr>
          <w:p>
            <w:r>
              <w:rPr>
                <w:b/>
                <w:sz w:val="17"/>
              </w:rPr>
              <w:t>27,267</w:t>
            </w:r>
          </w:p>
        </w:tc>
        <w:tc>
          <w:tcPr>
            <w:tcW w:type="dxa" w:w="1440"/>
            <w:shd w:fill="FFDCE0" w:val="clear"/>
          </w:tcPr>
          <w:p>
            <w:r>
              <w:rPr>
                <w:sz w:val="17"/>
              </w:rPr>
              <w:t>28,376</w:t>
            </w:r>
          </w:p>
        </w:tc>
        <w:tc>
          <w:tcPr>
            <w:tcW w:type="dxa" w:w="1440"/>
            <w:shd w:fill="FFDCE0" w:val="clear"/>
          </w:tcPr>
          <w:p>
            <w:r>
              <w:rPr>
                <w:b/>
                <w:color w:val="C00000"/>
                <w:sz w:val="17"/>
              </w:rPr>
              <w:t>-5.3%</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25,829</w:t>
            </w:r>
          </w:p>
        </w:tc>
        <w:tc>
          <w:tcPr>
            <w:tcW w:type="dxa" w:w="1440"/>
            <w:shd w:fill="FFDCE0" w:val="clear"/>
          </w:tcPr>
          <w:p>
            <w:r>
              <w:rPr>
                <w:b/>
                <w:sz w:val="17"/>
              </w:rPr>
              <w:t>27,033</w:t>
            </w:r>
          </w:p>
        </w:tc>
        <w:tc>
          <w:tcPr>
            <w:tcW w:type="dxa" w:w="1440"/>
            <w:shd w:fill="FFDCE0" w:val="clear"/>
          </w:tcPr>
          <w:p>
            <w:r>
              <w:rPr>
                <w:sz w:val="17"/>
              </w:rPr>
              <w:t>28,237</w:t>
            </w:r>
          </w:p>
        </w:tc>
        <w:tc>
          <w:tcPr>
            <w:tcW w:type="dxa" w:w="1440"/>
            <w:shd w:fill="FFDCE0" w:val="clear"/>
          </w:tcPr>
          <w:p>
            <w:r>
              <w:rPr>
                <w:b/>
                <w:color w:val="C00000"/>
                <w:sz w:val="17"/>
              </w:rPr>
              <w:t>-6.1%</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25,518</w:t>
            </w:r>
          </w:p>
        </w:tc>
        <w:tc>
          <w:tcPr>
            <w:tcW w:type="dxa" w:w="1440"/>
            <w:shd w:fill="FFDCE0" w:val="clear"/>
          </w:tcPr>
          <w:p>
            <w:r>
              <w:rPr>
                <w:b/>
                <w:sz w:val="17"/>
              </w:rPr>
              <w:t>26,808</w:t>
            </w:r>
          </w:p>
        </w:tc>
        <w:tc>
          <w:tcPr>
            <w:tcW w:type="dxa" w:w="1440"/>
            <w:shd w:fill="FFDCE0" w:val="clear"/>
          </w:tcPr>
          <w:p>
            <w:r>
              <w:rPr>
                <w:sz w:val="17"/>
              </w:rPr>
              <w:t>28,097</w:t>
            </w:r>
          </w:p>
        </w:tc>
        <w:tc>
          <w:tcPr>
            <w:tcW w:type="dxa" w:w="1440"/>
            <w:shd w:fill="FFDCE0" w:val="clear"/>
          </w:tcPr>
          <w:p>
            <w:r>
              <w:rPr>
                <w:b/>
                <w:color w:val="C00000"/>
                <w:sz w:val="17"/>
              </w:rPr>
              <w:t>-6.9%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25,223</w:t>
            </w:r>
          </w:p>
        </w:tc>
        <w:tc>
          <w:tcPr>
            <w:tcW w:type="dxa" w:w="1440"/>
            <w:shd w:fill="FFDCE0" w:val="clear"/>
          </w:tcPr>
          <w:p>
            <w:r>
              <w:rPr>
                <w:b/>
                <w:sz w:val="17"/>
              </w:rPr>
              <w:t>26,590</w:t>
            </w:r>
          </w:p>
        </w:tc>
        <w:tc>
          <w:tcPr>
            <w:tcW w:type="dxa" w:w="1440"/>
            <w:shd w:fill="FFDCE0" w:val="clear"/>
          </w:tcPr>
          <w:p>
            <w:r>
              <w:rPr>
                <w:sz w:val="17"/>
              </w:rPr>
              <w:t>27,958</w:t>
            </w:r>
          </w:p>
        </w:tc>
        <w:tc>
          <w:tcPr>
            <w:tcW w:type="dxa" w:w="1440"/>
            <w:shd w:fill="FFDCE0" w:val="clear"/>
          </w:tcPr>
          <w:p>
            <w:r>
              <w:rPr>
                <w:b/>
                <w:color w:val="C00000"/>
                <w:sz w:val="17"/>
              </w:rPr>
              <w:t>-7.7%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24,942</w:t>
            </w:r>
          </w:p>
        </w:tc>
        <w:tc>
          <w:tcPr>
            <w:tcW w:type="dxa" w:w="1440"/>
            <w:shd w:fill="FFDCE0" w:val="clear"/>
          </w:tcPr>
          <w:p>
            <w:r>
              <w:rPr>
                <w:b/>
                <w:sz w:val="17"/>
              </w:rPr>
              <w:t>26,381</w:t>
            </w:r>
          </w:p>
        </w:tc>
        <w:tc>
          <w:tcPr>
            <w:tcW w:type="dxa" w:w="1440"/>
            <w:shd w:fill="FFDCE0" w:val="clear"/>
          </w:tcPr>
          <w:p>
            <w:r>
              <w:rPr>
                <w:sz w:val="17"/>
              </w:rPr>
              <w:t>27,820</w:t>
            </w:r>
          </w:p>
        </w:tc>
        <w:tc>
          <w:tcPr>
            <w:tcW w:type="dxa" w:w="1440"/>
            <w:shd w:fill="FFDCE0" w:val="clear"/>
          </w:tcPr>
          <w:p>
            <w:r>
              <w:rPr>
                <w:b/>
                <w:color w:val="C00000"/>
                <w:sz w:val="17"/>
              </w:rPr>
              <w:t>-8.4%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24,674</w:t>
            </w:r>
          </w:p>
        </w:tc>
        <w:tc>
          <w:tcPr>
            <w:tcW w:type="dxa" w:w="1440"/>
            <w:shd w:fill="FFDCE0" w:val="clear"/>
          </w:tcPr>
          <w:p>
            <w:r>
              <w:rPr>
                <w:b/>
                <w:sz w:val="17"/>
              </w:rPr>
              <w:t>26,179</w:t>
            </w:r>
          </w:p>
        </w:tc>
        <w:tc>
          <w:tcPr>
            <w:tcW w:type="dxa" w:w="1440"/>
            <w:shd w:fill="FFDCE0" w:val="clear"/>
          </w:tcPr>
          <w:p>
            <w:r>
              <w:rPr>
                <w:sz w:val="17"/>
              </w:rPr>
              <w:t>27,684</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480 milliards FCFA, ce qui en fait une valeur de première importance sur la BRVM, reflétant la confiance des investisseurs dans ce pilier du secteur bancaire ivoirien. Avec un BPA de 2 191 FCFA, chaque action génère un bénéfice substantiel, justifiant un PER de 13,1x. Ce ratio, légèrement supérieur à la moyenne historique de la BRVM (8-12x), indique que le marché accorde une prime de croissance à la banque, tout en restant dans une zone de valorisation raisonnable pour un établissement de cette qualité. Le P/B de 3,98x confirme cette prime, le marché valorisant l'actif net de la banque près de quatre fois sa valeur comptable, signe d'une forte rentabilité future anticipée. Enfin, un EV/EBITDA de 9,2x, dans la fourchette haute des 5-10x, suggère que la valeur d'entreprise reste cohérente avec sa capacité à générer du cash-flow opérationnel, sans signaler de surévaluation flagrante.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affiche une progression solide de +12,50%, bien que la dernière séance montre un repli de -1,54% à 28 800 FCFA. Le titre a évolué dans un range de trading de 22 500 FCFA (plus bas) à 29 490 FCFA (plus haut), démontrant une dynamique haussière soutenue. La moyenne du cours sur la période (27 176 FCFA) est inférieure à la médiane (28 105 FCFA) et au mode (29 000 FCFA), ce qui, combiné à un skewness négatif de -0,771, indique que le titre a passé plus de temps au-dessus de sa moyenne, avec des épisodes de correction rapide. L'écart-type de 2 008 FCFA (CV de 7,4%) révèle une dispersion modérée des prix autour de la moyenne. Le kurtosis de -0,882 (mésokurtique) suggère l'absence de mouvements extrêmes ou de "pics" de volatilité, ce qui est rassurant. La volatilité annualisée de 27,7% classe le titre dans une zone de risque modéré, typique des valeurs de croissance sur ce marché.</w:t>
      </w:r>
    </w:p>
    <w:p>
      <w:pPr>
        <w:spacing w:after="120" w:line="276" w:lineRule="auto" w:before="240"/>
      </w:pPr>
      <w:r>
        <w:rPr>
          <w:b/>
          <w:color w:val="003366"/>
          <w:sz w:val="24"/>
        </w:rPr>
        <w:t>**PARTIE 2 : ANALYSE TECHNIQUE DÉTAILLÉE**</w:t>
      </w:r>
    </w:p>
    <w:p>
      <w:pPr>
        <w:spacing w:after="120" w:line="276" w:lineRule="auto"/>
      </w:pPr>
      <w:r>
        <w:t>Les **Moyennes Mobiles** (MM20 à 28 940,75 et MM50 à 28 603,3) sont toutes deux inférieures au cours actuel de 28 800 FCFA, mais la MM20 est légèrement au-dessus de la MM50. Cette configuration indique une tendance haussière de court terme, bien que le cours ait récemment touché sa MM20, d'où la décision d'**Achat** qui reste valide tant que le cours ne casse pas ces supports dynamiques.</w:t>
      </w:r>
    </w:p>
    <w:p>
      <w:pPr>
        <w:spacing w:after="120" w:line="276" w:lineRule="auto"/>
      </w:pPr>
      <w:r>
        <w:t>Les **Bandes de Bollinger** (borne supérieure à 29 391 et inférieure à 28 490) montrent que le prix actuel se situe dans la partie médiane-haute du canal. La décision est **Neutre**, car le cours n'est ni en situation de surachat extrême ni de survente, mais la largeur des bandes suggère une volatilité qui pourrait s'accentuer, offrant des opportunités d'achat près de la borne inférieure.</w:t>
      </w:r>
    </w:p>
    <w:p>
      <w:pPr>
        <w:spacing w:after="120" w:line="276" w:lineRule="auto"/>
      </w:pPr>
      <w:r>
        <w:t>Le **MACD** (valeur à 157,266 vs signal à 173,091) affiche une divergence négative, avec une ligne MACD passée sous sa ligne de signal. Cela signale un ralentissement du momentum haussier à court terme, justifiant la décision de **Vente**. Ce signal suggère une possible consolidation ou correction avant la reprise de la tendance.</w:t>
      </w:r>
    </w:p>
    <w:p>
      <w:pPr>
        <w:spacing w:after="120" w:line="276" w:lineRule="auto"/>
      </w:pPr>
      <w:r>
        <w:t>Le **RSI** à 53,066 est en zone neutre (30-70), indiquant un équilibre entre pression acheteuse et vendeuse. La décision est **Neutre**, mais la valeur proche de la zone médiane laisse de la marge avant d'atteindre des niveaux de surachat, ce qui pourrait permettre une nouvelle poussée haussière.</w:t>
      </w:r>
    </w:p>
    <w:p>
      <w:pPr>
        <w:spacing w:after="120" w:line="276" w:lineRule="auto"/>
      </w:pPr>
      <w:r>
        <w:t>Le **Stochastique** (%K à 22,414 et %D à 74,138) montre un croisement baissier, avec %K nettement sous %D, signalant un momentum de court terme négatif. La décision est **Neutre**, mais cette configuration indique que le titre pourrait encore subir une pression vendeuse à très court terme avant de trouver un support.</w:t>
      </w:r>
    </w:p>
    <w:p>
      <w:pPr>
        <w:spacing w:after="120" w:line="276" w:lineRule="auto"/>
      </w:pPr>
      <w:r>
        <w:t>**Conclusion technique** : Les indicateurs sont mitigés. Les moyennes mobiles plaident pour une tendance haussière de fond, mais le MACD et le Stochastique signalent un essoufflement à court terme. Le RSI et les Bandes de Bollinger sont neutres. La prudence est de mise pour un éventuel point d'entrée, en attendant que les indicateurs de momentum se retournent à la hausse.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confirment une santé financière exceptionnelle. Le Produit Net Bancaire (PNB) s'établit à 79,563 milliards FCFA, en croissance de 16,9% par rapport à l'exercice précédent, porté par une hausse des intérêts et des commissions. Le résultat net atteint 36,520 milliards FCFA, soit une marge nette de 45,9%, démontrant une excellente maîtrise opérationnelle. La rentabilité des fonds propres (ROE) est remarquable à 30,29%, et le ROA de 3,24% est également très solide. Le coefficient d'exploitation de 50,83% confirme l'efficacité de la banque, en dessous du seuil critique de 60%. Le coût du risque, bien que négatif à -12,15%, doit être surveillé, mais la couverture des intérêts est très confortable (329%). Les dépôts clientèle (952,872 Mds FCFA) financent largement les crédits (524,439 Mds FCFA), avec un ratio de transformation sain. En croisant avec les rapports trimestriels, la dynamique de 2026 s'annonce tout aussi positive : le rapport du T1 2026 (publié en mai 2026) fait état d'un PNB de 21,214 milliards FCFA (+17% vs T1 2025) et d'un résultat net de 10,387 milliards FCFA (+29,7%). Sur la base de ces données, on estime que l'exercice 2026 pourrait voir le PNB dépasser les 85 milliards FCFA et le résultat net excéder les 40 milliards FCFA, confirmant la trajectoire de croissance soutenue de la banque.</w:t>
      </w:r>
    </w:p>
    <w:p>
      <w:pPr>
        <w:spacing w:after="120" w:line="276" w:lineRule="auto" w:before="240"/>
      </w:pPr>
      <w:r>
        <w:rPr>
          <w:b/>
          <w:color w:val="003366"/>
          <w:sz w:val="24"/>
        </w:rPr>
        <w:t>**PARTIE 4 : CONCLUSION D'INVESTISSEMENT**</w:t>
      </w:r>
    </w:p>
    <w:p>
      <w:pPr>
        <w:spacing w:after="120" w:line="276" w:lineRule="auto"/>
      </w:pPr>
      <w:r>
        <w:t>En synthèse, l'action BICC présente un profil d'investissement attractif. La valorisation (Partie 0) est raisonnable, avec un PER de 13,1x et un P/B de 3,98x qui, bien que supérieurs aux moyennes du marché, sont justifiés par une rentabilité exceptionnelle. Le comportement du cours (Partie 1) est haussier sur le long terme (+12,5% sur 100 jours), avec une volatilité modérée et une distribution statistique saine, sans risque de kurtosis extrême. Les signaux techniques (Partie 2) sont mitigés à court terme, avec un MACD vendeur, mais la tendance de fond portée par les moyennes mobiles reste positive. Les fondamentaux (Partie 3) sont excellents, avec une croissance à deux chiffres du PNB et du résultat net, un ROE de 30% et une gestion rigoureuse des coûts. Les prédictions IA pour les 10 prochains jours (de 28 344 à 27 267 FCFA) suggèrent une légère correction, ce qui pourrait offrir un point d'entrée plus favorable. La convergence entre la solidité fondamentale et la valorisation raisonnable, malgré la prudence technique à court terme, conduit à une recommandation **ACHAT**. Le niveau de confiance est **Élevé**, le risque global est **Moyen**, et l'horizon d'investissement optimal est le **moyen terme (3-12 mois)**, pour capitaliser sur la croissance continue de la banque tout en profitant d'une éventuelle baisse à court terme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2,217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+23.60%</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11.82% (Moyenne) — μ=1,753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β=0.1098 (Défensif) — Cov=0.000004, Var(idx)=0.000033, ρ=0.021,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1,915</w:t>
            </w:r>
          </w:p>
        </w:tc>
        <w:tc>
          <w:tcPr>
            <w:tcW w:type="dxa" w:w="1440"/>
            <w:shd w:fill="FAFAFA" w:val="clear"/>
          </w:tcPr>
          <w:p>
            <w:r>
              <w:rPr>
                <w:b/>
                <w:sz w:val="17"/>
              </w:rPr>
              <w:t>1,987</w:t>
            </w:r>
          </w:p>
        </w:tc>
        <w:tc>
          <w:tcPr>
            <w:tcW w:type="dxa" w:w="1440"/>
            <w:shd w:fill="FAFAFA" w:val="clear"/>
          </w:tcPr>
          <w:p>
            <w:r>
              <w:rPr>
                <w:sz w:val="17"/>
              </w:rPr>
              <w:t>2,059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1,884</w:t>
            </w:r>
          </w:p>
        </w:tc>
        <w:tc>
          <w:tcPr>
            <w:tcW w:type="dxa" w:w="1440"/>
            <w:shd w:fill="FAFAFA" w:val="clear"/>
          </w:tcPr>
          <w:p>
            <w:r>
              <w:rPr>
                <w:b/>
                <w:sz w:val="17"/>
              </w:rPr>
              <w:t>1,985</w:t>
            </w:r>
          </w:p>
        </w:tc>
        <w:tc>
          <w:tcPr>
            <w:tcW w:type="dxa" w:w="1440"/>
            <w:shd w:fill="FAFAFA" w:val="clear"/>
          </w:tcPr>
          <w:p>
            <w:r>
              <w:rPr>
                <w:sz w:val="17"/>
              </w:rPr>
              <w:t>2,087</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1,859</w:t>
            </w:r>
          </w:p>
        </w:tc>
        <w:tc>
          <w:tcPr>
            <w:tcW w:type="dxa" w:w="1440"/>
            <w:shd w:fill="FAFAFA" w:val="clear"/>
          </w:tcPr>
          <w:p>
            <w:r>
              <w:rPr>
                <w:b/>
                <w:sz w:val="17"/>
              </w:rPr>
              <w:t>1,984</w:t>
            </w:r>
          </w:p>
        </w:tc>
        <w:tc>
          <w:tcPr>
            <w:tcW w:type="dxa" w:w="1440"/>
            <w:shd w:fill="FAFAFA" w:val="clear"/>
          </w:tcPr>
          <w:p>
            <w:r>
              <w:rPr>
                <w:sz w:val="17"/>
              </w:rPr>
              <w:t>2,108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1,838</w:t>
            </w:r>
          </w:p>
        </w:tc>
        <w:tc>
          <w:tcPr>
            <w:tcW w:type="dxa" w:w="1440"/>
            <w:shd w:fill="FAFAFA" w:val="clear"/>
          </w:tcPr>
          <w:p>
            <w:r>
              <w:rPr>
                <w:b/>
                <w:sz w:val="17"/>
              </w:rPr>
              <w:t>1,982</w:t>
            </w:r>
          </w:p>
        </w:tc>
        <w:tc>
          <w:tcPr>
            <w:tcW w:type="dxa" w:w="1440"/>
            <w:shd w:fill="FAFAFA" w:val="clear"/>
          </w:tcPr>
          <w:p>
            <w:r>
              <w:rPr>
                <w:sz w:val="17"/>
              </w:rPr>
              <w:t>2,126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1,820</w:t>
            </w:r>
          </w:p>
        </w:tc>
        <w:tc>
          <w:tcPr>
            <w:tcW w:type="dxa" w:w="1440"/>
            <w:shd w:fill="FAFAFA" w:val="clear"/>
          </w:tcPr>
          <w:p>
            <w:r>
              <w:rPr>
                <w:b/>
                <w:sz w:val="17"/>
              </w:rPr>
              <w:t>1,980</w:t>
            </w:r>
          </w:p>
        </w:tc>
        <w:tc>
          <w:tcPr>
            <w:tcW w:type="dxa" w:w="1440"/>
            <w:shd w:fill="FAFAFA" w:val="clear"/>
          </w:tcPr>
          <w:p>
            <w:r>
              <w:rPr>
                <w:sz w:val="17"/>
              </w:rPr>
              <w:t>2,141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1,803</w:t>
            </w:r>
          </w:p>
        </w:tc>
        <w:tc>
          <w:tcPr>
            <w:tcW w:type="dxa" w:w="1440"/>
            <w:shd w:fill="FAFAFA" w:val="clear"/>
          </w:tcPr>
          <w:p>
            <w:r>
              <w:rPr>
                <w:b/>
                <w:sz w:val="17"/>
              </w:rPr>
              <w:t>1,979</w:t>
            </w:r>
          </w:p>
        </w:tc>
        <w:tc>
          <w:tcPr>
            <w:tcW w:type="dxa" w:w="1440"/>
            <w:shd w:fill="FAFAFA" w:val="clear"/>
          </w:tcPr>
          <w:p>
            <w:r>
              <w:rPr>
                <w:sz w:val="17"/>
              </w:rPr>
              <w:t>2,155</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1,788</w:t>
            </w:r>
          </w:p>
        </w:tc>
        <w:tc>
          <w:tcPr>
            <w:tcW w:type="dxa" w:w="1440"/>
            <w:shd w:fill="FAFAFA" w:val="clear"/>
          </w:tcPr>
          <w:p>
            <w:r>
              <w:rPr>
                <w:b/>
                <w:sz w:val="17"/>
              </w:rPr>
              <w:t>1,978</w:t>
            </w:r>
          </w:p>
        </w:tc>
        <w:tc>
          <w:tcPr>
            <w:tcW w:type="dxa" w:w="1440"/>
            <w:shd w:fill="FAFAFA" w:val="clear"/>
          </w:tcPr>
          <w:p>
            <w:r>
              <w:rPr>
                <w:sz w:val="17"/>
              </w:rPr>
              <w:t>2,167</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1,774</w:t>
            </w:r>
          </w:p>
        </w:tc>
        <w:tc>
          <w:tcPr>
            <w:tcW w:type="dxa" w:w="1440"/>
            <w:shd w:fill="FAFAFA" w:val="clear"/>
          </w:tcPr>
          <w:p>
            <w:r>
              <w:rPr>
                <w:b/>
                <w:sz w:val="17"/>
              </w:rPr>
              <w:t>1,976</w:t>
            </w:r>
          </w:p>
        </w:tc>
        <w:tc>
          <w:tcPr>
            <w:tcW w:type="dxa" w:w="1440"/>
            <w:shd w:fill="FAFAFA" w:val="clear"/>
          </w:tcPr>
          <w:p>
            <w:r>
              <w:rPr>
                <w:sz w:val="17"/>
              </w:rPr>
              <w:t>2,179</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1,760</w:t>
            </w:r>
          </w:p>
        </w:tc>
        <w:tc>
          <w:tcPr>
            <w:tcW w:type="dxa" w:w="1440"/>
            <w:shd w:fill="FAFAFA" w:val="clear"/>
          </w:tcPr>
          <w:p>
            <w:r>
              <w:rPr>
                <w:b/>
                <w:sz w:val="17"/>
              </w:rPr>
              <w:t>1,975</w:t>
            </w:r>
          </w:p>
        </w:tc>
        <w:tc>
          <w:tcPr>
            <w:tcW w:type="dxa" w:w="1440"/>
            <w:shd w:fill="FAFAFA" w:val="clear"/>
          </w:tcPr>
          <w:p>
            <w:r>
              <w:rPr>
                <w:sz w:val="17"/>
              </w:rPr>
              <w:t>2,190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1,748</w:t>
            </w:r>
          </w:p>
        </w:tc>
        <w:tc>
          <w:tcPr>
            <w:tcW w:type="dxa" w:w="1440"/>
            <w:shd w:fill="FAFAFA" w:val="clear"/>
          </w:tcPr>
          <w:p>
            <w:r>
              <w:rPr>
                <w:b/>
                <w:sz w:val="17"/>
              </w:rPr>
              <w:t>1,974</w:t>
            </w:r>
          </w:p>
        </w:tc>
        <w:tc>
          <w:tcPr>
            <w:tcW w:type="dxa" w:w="1440"/>
            <w:shd w:fill="FAFAFA" w:val="clear"/>
          </w:tcPr>
          <w:p>
            <w:r>
              <w:rPr>
                <w:sz w:val="17"/>
              </w:rPr>
              <w:t>2,200</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13,18 milliards FCFA, un niveau modeste sur la BRVM, reflétant la taille moyenne de l'entreprise dans le secteur de la distribution de matériaux. Le BPA de 3 FCFA par action est extrêmement faible, ce qui explique le PER de 590,6x, très largement supérieur à la moyenne du marché BRVM (8-12x). Les investisseurs paient donc un prix excessif pour des bénéfices quasi inexistants, signe d'une spéculation forte ou d'une anticipation de retournement majeur. Le P/B de 0,74x indique que le marché valorise la société en dessous de sa valeur comptable, ce qui pourrait représenter une opportunité si les actifs sont sains. Enfin, l'EV/EBITDA de 24,2x, supérieur au seuil de 15x, confirme une valorisation exigeante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hausse spectaculaire de +23,60%, avec un cours actuel de 1 990 FCFA, stable sur la dernière séance. Le titre a évolué dans une fourchette large de 1 300 à 2 100 FCFA, démontrant une forte amplitude de trading. La moyenne (1 753 FCFA) et la médiane (1 752 FCFA) sont quasi identiques, indiquant une distribution symétrique des cours, confirmée par un skewness de -0,203. L'écart-type de 208 FCFA (CV=11,9%) révèle une dispersion modérée autour de la moyenne. Le kurtosis négatif de -1,299 (platykurtique) suggère une distribution aplatie avec peu de valeurs extrêmes, donc un risque de pics limité. La volatilité annualisée de 47,8% classe le titre comme très volatil (&gt;30%), ce qui implique un risque élevé pour les investisseurs malgré la tendance haussière marquée.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(1 990 FCFA) se situe au-dessus de la MM20 (1 945,75 FCFA) et de la MM50 (1 940,8 FCFA), confirmant une tendance haussière solide. L'écart positif entre le prix et les moyennes indique un momentum positif, justifiant la décision d'achat.</w:t>
      </w:r>
    </w:p>
    <w:p>
      <w:pPr>
        <w:spacing w:after="120" w:line="276" w:lineRule="auto"/>
      </w:pPr>
      <w:r>
        <w:t>**Bandes de Bollinger** : Le cours se positionne dans la partie supérieure des bandes (borne supérieure à 2 044,12 FCFA, borne inférieure à 1 847,38 FCFA), proche de la borne haute. Cette position suggère une pression acheteuse soutenue, mais le signal neutre indique que le prix n'a pas encore atteint des conditions de surachat extrême.</w:t>
      </w:r>
    </w:p>
    <w:p>
      <w:pPr>
        <w:spacing w:after="120" w:line="276" w:lineRule="auto"/>
      </w:pPr>
      <w:r>
        <w:t>**MACD** : La valeur du MACD (26,301) est supérieure à son signal (23,464), avec un écart positif de 2,837 points. Cette configuration haussière confirme la dynamique positive du titre, justifiant la décision d'achat.</w:t>
      </w:r>
    </w:p>
    <w:p>
      <w:pPr>
        <w:spacing w:after="120" w:line="276" w:lineRule="auto"/>
      </w:pPr>
      <w:r>
        <w:t>**RSI** : Avec une valeur de 75,0, le RSI se trouve en zone de surachat (&gt;70). Ce niveau indique que le titre est potentiellement surévalué à court terme, justifiant la décision de vente pour les traders opportunistes.</w:t>
      </w:r>
    </w:p>
    <w:p>
      <w:pPr>
        <w:spacing w:after="120" w:line="276" w:lineRule="auto"/>
      </w:pPr>
      <w:r>
        <w:t>**Stochastique** : Le %K (90,0) et le %D (90,859) sont tous deux en zone de surachat extrême (&gt;80). Cette configuration signale une possible correction à venir, justifiant la décision de vente.</w:t>
      </w:r>
    </w:p>
    <w:p>
      <w:pPr>
        <w:spacing w:after="120" w:line="276" w:lineRule="auto"/>
      </w:pPr>
      <w:r>
        <w:t>**Conclusion technique** : Les indicateurs de tendance (MM, MACD) sont positifs, mais les oscillateurs (RSI, Stochastique) sont en surachat. Cette divergence suggère une poursuite possible de la hausse à moyen terme, mais avec un risque élevé de correction à court terme. La prudence est recommandée pour les nouveaux achats.</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légère amélioration par rapport aux 7,31 millions de 2024. La marge nette reste anémique à 0,05%, et le ROE de 0,13% ainsi que le ROA de 0,05% sont très faibles. En tant qu'entreprise de distribution, les délais clients (104 jours) et la durée de stockage (339 jours) sont élevés, créant un BFR massif de 29,373 milliards FCFA, tandis que la trésorerie nette est négative à -16,689 milliards FCFA, signalant un risque de liquidité majeur. Le ratio d'endettement de 105,48% et la capacité de remboursement de 19,17 ans sont préoccupants. Sur la base du rapport T1 2026 (résultat net positif de 65,57 millions FCFA contre une perte de 16,15 millions au T1 2025), on estime que l'exercice 2026 pourrait voir une amélioration de la rentabilité, portée par l'intégration de la division Équipement et le nouveau showroom Technibat KM4. Cependant, la marge nette reste très faible et la dépendance aux affaires exceptionnelles est un risque. La recommandation fondamentale est de conserver avec une surveillance accrue.</w:t>
      </w:r>
    </w:p>
    <w:p>
      <w:pPr>
        <w:spacing w:after="120" w:line="276" w:lineRule="auto"/>
      </w:pPr>
      <w:r>
        <w:t>---</w:t>
      </w:r>
    </w:p>
    <w:p>
      <w:pPr>
        <w:spacing w:after="120" w:line="276" w:lineRule="auto"/>
      </w:pPr>
      <w:r>
        <w:t>### PARTIE 4 : CONCLUSION D'INVESTISSEMENT</w:t>
      </w:r>
    </w:p>
    <w:p>
      <w:pPr>
        <w:spacing w:after="120" w:line="276" w:lineRule="auto"/>
      </w:pPr>
      <w:r>
        <w:t>La valorisation de BNBC (PER de 590,6x, EV/EBITDA de 24,2x) indique une surévaluation flagrante par rapport aux bénéfices, malgré un P/B de 0,74x qui pourrait attirer les investisseurs value. Le comportement du cours (+23,60% sur 100 jours) est haussier mais avec une volatilité très élevée (47,8%), et les statistiques (kurtosis platykurtique, skewness symétrique) suggèrent une stabilité relative des prix. Les signaux techniques sont mitigés : les indicateurs de tendance (MM, MACD) sont positifs, mais les oscillateurs (RSI, Stochastique) sont en surachat, signalant un risque de correction. Les fondamentaux sont très faibles avec une rentabilité quasi nulle, une trésorerie fortement négative et un endettement élevé, même si les perspectives T1 2026 montrent une amélioration. Les prédictions IA (1 987 à 1 980 FCFA sur 10 jours) confirment une stabilisation avec une légère baisse, contredisant la tendance haussière récente. **Recommandation finale : VENTE** avec un niveau de confiance Moyen, un risque global Élevé, et un horizon d'investissement court terme (&lt;3 mois) pour les traders, mais une position défensive pour les investisseurs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5,924 titres</w:t>
            </w:r>
          </w:p>
        </w:tc>
        <w:tc>
          <w:tcPr>
            <w:tcW w:type="dxa" w:w="2268"/>
            <w:shd w:fill="FFF2CC" w:val="clear"/>
          </w:tcPr>
          <w:p>
            <w:r>
              <w:rPr>
                <w:b/>
                <w:color w:val="503200"/>
                <w:sz w:val="16"/>
              </w:rPr>
              <w:t xml:space="preserve">Cours actuel : </w:t>
            </w:r>
            <w:r>
              <w:rPr>
                <w:color w:val="000000"/>
                <w:sz w:val="17"/>
              </w:rPr>
              <w:t>9,985 FCFA</w:t>
            </w:r>
          </w:p>
          <w:p>
            <w:r>
              <w:rPr>
                <w:b/>
                <w:color w:val="503200"/>
                <w:sz w:val="16"/>
              </w:rPr>
              <w:t xml:space="preserve">Var. 100 jours : </w:t>
            </w:r>
            <w:r>
              <w:rPr>
                <w:b/>
                <w:color w:val="007800"/>
                <w:sz w:val="17"/>
              </w:rPr>
              <w:t>+35.85%</w:t>
            </w:r>
          </w:p>
          <w:p>
            <w:r>
              <w:rPr>
                <w:b/>
                <w:color w:val="503200"/>
                <w:sz w:val="16"/>
              </w:rPr>
              <w:t xml:space="preserve">Plus haut 100j : </w:t>
            </w:r>
            <w:r>
              <w:rPr>
                <w:color w:val="000000"/>
                <w:sz w:val="17"/>
              </w:rPr>
              <w:t>9,985 FCFA</w:t>
            </w:r>
          </w:p>
          <w:p>
            <w:r>
              <w:rPr>
                <w:b/>
                <w:color w:val="503200"/>
                <w:sz w:val="16"/>
              </w:rPr>
              <w:t xml:space="preserve">Plus bas 100j : </w:t>
            </w:r>
            <w:r>
              <w:rPr>
                <w:color w:val="000000"/>
                <w:sz w:val="17"/>
              </w:rPr>
              <w:t>7,350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μ=8,672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β=-0.3634 (Contre-cyclique) — Cov=-0.000012, Var(idx)=0.000033, ρ=-0.136,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9,061</w:t>
            </w:r>
          </w:p>
        </w:tc>
        <w:tc>
          <w:tcPr>
            <w:tcW w:type="dxa" w:w="1440"/>
            <w:shd w:fill="FFDCE0" w:val="clear"/>
          </w:tcPr>
          <w:p>
            <w:r>
              <w:rPr>
                <w:b/>
                <w:sz w:val="17"/>
              </w:rPr>
              <w:t>9,357</w:t>
            </w:r>
          </w:p>
        </w:tc>
        <w:tc>
          <w:tcPr>
            <w:tcW w:type="dxa" w:w="1440"/>
            <w:shd w:fill="FFDCE0" w:val="clear"/>
          </w:tcPr>
          <w:p>
            <w:r>
              <w:rPr>
                <w:sz w:val="17"/>
              </w:rPr>
              <w:t>9,652</w:t>
            </w:r>
          </w:p>
        </w:tc>
        <w:tc>
          <w:tcPr>
            <w:tcW w:type="dxa" w:w="1440"/>
            <w:shd w:fill="FFDCE0" w:val="clear"/>
          </w:tcPr>
          <w:p>
            <w:r>
              <w:rPr>
                <w:b/>
                <w:color w:val="C00000"/>
                <w:sz w:val="17"/>
              </w:rPr>
              <w:t>-6.3%</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8,715</w:t>
            </w:r>
          </w:p>
        </w:tc>
        <w:tc>
          <w:tcPr>
            <w:tcW w:type="dxa" w:w="1440"/>
            <w:shd w:fill="FFDCE0" w:val="clear"/>
          </w:tcPr>
          <w:p>
            <w:r>
              <w:rPr>
                <w:b/>
                <w:sz w:val="17"/>
              </w:rPr>
              <w:t>9,122</w:t>
            </w:r>
          </w:p>
        </w:tc>
        <w:tc>
          <w:tcPr>
            <w:tcW w:type="dxa" w:w="1440"/>
            <w:shd w:fill="FFDCE0" w:val="clear"/>
          </w:tcPr>
          <w:p>
            <w:r>
              <w:rPr>
                <w:sz w:val="17"/>
              </w:rPr>
              <w:t>9,530</w:t>
            </w:r>
          </w:p>
        </w:tc>
        <w:tc>
          <w:tcPr>
            <w:tcW w:type="dxa" w:w="1440"/>
            <w:shd w:fill="FFDCE0" w:val="clear"/>
          </w:tcPr>
          <w:p>
            <w:r>
              <w:rPr>
                <w:b/>
                <w:color w:val="C00000"/>
                <w:sz w:val="17"/>
              </w:rPr>
              <w:t>-8.6%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8,424</w:t>
            </w:r>
          </w:p>
        </w:tc>
        <w:tc>
          <w:tcPr>
            <w:tcW w:type="dxa" w:w="1440"/>
            <w:shd w:fill="FFDCE0" w:val="clear"/>
          </w:tcPr>
          <w:p>
            <w:r>
              <w:rPr>
                <w:b/>
                <w:sz w:val="17"/>
              </w:rPr>
              <w:t>8,912</w:t>
            </w:r>
          </w:p>
        </w:tc>
        <w:tc>
          <w:tcPr>
            <w:tcW w:type="dxa" w:w="1440"/>
            <w:shd w:fill="FFDCE0" w:val="clear"/>
          </w:tcPr>
          <w:p>
            <w:r>
              <w:rPr>
                <w:sz w:val="17"/>
              </w:rPr>
              <w:t>9,400</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8,209</w:t>
            </w:r>
          </w:p>
        </w:tc>
        <w:tc>
          <w:tcPr>
            <w:tcW w:type="dxa" w:w="1440"/>
            <w:shd w:fill="FFDCE0" w:val="clear"/>
          </w:tcPr>
          <w:p>
            <w:r>
              <w:rPr>
                <w:b/>
                <w:sz w:val="17"/>
              </w:rPr>
              <w:t>8,763</w:t>
            </w:r>
          </w:p>
        </w:tc>
        <w:tc>
          <w:tcPr>
            <w:tcW w:type="dxa" w:w="1440"/>
            <w:shd w:fill="FFDCE0" w:val="clear"/>
          </w:tcPr>
          <w:p>
            <w:r>
              <w:rPr>
                <w:sz w:val="17"/>
              </w:rPr>
              <w:t>9,317</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8,029</w:t>
            </w:r>
          </w:p>
        </w:tc>
        <w:tc>
          <w:tcPr>
            <w:tcW w:type="dxa" w:w="1440"/>
            <w:shd w:fill="FFDCE0" w:val="clear"/>
          </w:tcPr>
          <w:p>
            <w:r>
              <w:rPr>
                <w:b/>
                <w:sz w:val="17"/>
              </w:rPr>
              <w:t>8,639</w:t>
            </w:r>
          </w:p>
        </w:tc>
        <w:tc>
          <w:tcPr>
            <w:tcW w:type="dxa" w:w="1440"/>
            <w:shd w:fill="FFDCE0" w:val="clear"/>
          </w:tcPr>
          <w:p>
            <w:r>
              <w:rPr>
                <w:sz w:val="17"/>
              </w:rPr>
              <w:t>9,250</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7,866</w:t>
            </w:r>
          </w:p>
        </w:tc>
        <w:tc>
          <w:tcPr>
            <w:tcW w:type="dxa" w:w="1440"/>
            <w:shd w:fill="FFDCE0" w:val="clear"/>
          </w:tcPr>
          <w:p>
            <w:r>
              <w:rPr>
                <w:b/>
                <w:sz w:val="17"/>
              </w:rPr>
              <w:t>8,526</w:t>
            </w:r>
          </w:p>
        </w:tc>
        <w:tc>
          <w:tcPr>
            <w:tcW w:type="dxa" w:w="1440"/>
            <w:shd w:fill="FFDCE0" w:val="clear"/>
          </w:tcPr>
          <w:p>
            <w:r>
              <w:rPr>
                <w:sz w:val="17"/>
              </w:rPr>
              <w:t>9,186</w:t>
            </w:r>
          </w:p>
        </w:tc>
        <w:tc>
          <w:tcPr>
            <w:tcW w:type="dxa" w:w="1440"/>
            <w:shd w:fill="FFDCE0" w:val="clear"/>
          </w:tcPr>
          <w:p>
            <w:r>
              <w:rPr>
                <w:b/>
                <w:color w:val="C00000"/>
                <w:sz w:val="17"/>
              </w:rPr>
              <w:t>-14.6%</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7,717</w:t>
            </w:r>
          </w:p>
        </w:tc>
        <w:tc>
          <w:tcPr>
            <w:tcW w:type="dxa" w:w="1440"/>
            <w:shd w:fill="FFDCE0" w:val="clear"/>
          </w:tcPr>
          <w:p>
            <w:r>
              <w:rPr>
                <w:b/>
                <w:sz w:val="17"/>
              </w:rPr>
              <w:t>8,421</w:t>
            </w:r>
          </w:p>
        </w:tc>
        <w:tc>
          <w:tcPr>
            <w:tcW w:type="dxa" w:w="1440"/>
            <w:shd w:fill="FFDCE0" w:val="clear"/>
          </w:tcPr>
          <w:p>
            <w:r>
              <w:rPr>
                <w:sz w:val="17"/>
              </w:rPr>
              <w:t>9,125</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7,578</w:t>
            </w:r>
          </w:p>
        </w:tc>
        <w:tc>
          <w:tcPr>
            <w:tcW w:type="dxa" w:w="1440"/>
            <w:shd w:fill="FFDCE0" w:val="clear"/>
          </w:tcPr>
          <w:p>
            <w:r>
              <w:rPr>
                <w:b/>
                <w:sz w:val="17"/>
              </w:rPr>
              <w:t>8,322</w:t>
            </w:r>
          </w:p>
        </w:tc>
        <w:tc>
          <w:tcPr>
            <w:tcW w:type="dxa" w:w="1440"/>
            <w:shd w:fill="FFDCE0" w:val="clear"/>
          </w:tcPr>
          <w:p>
            <w:r>
              <w:rPr>
                <w:sz w:val="17"/>
              </w:rPr>
              <w:t>9,066</w:t>
            </w:r>
          </w:p>
        </w:tc>
        <w:tc>
          <w:tcPr>
            <w:tcW w:type="dxa" w:w="1440"/>
            <w:shd w:fill="FFDCE0" w:val="clear"/>
          </w:tcPr>
          <w:p>
            <w:r>
              <w:rPr>
                <w:b/>
                <w:color w:val="C00000"/>
                <w:sz w:val="17"/>
              </w:rPr>
              <w:t>-16.7%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7,449</w:t>
            </w:r>
          </w:p>
        </w:tc>
        <w:tc>
          <w:tcPr>
            <w:tcW w:type="dxa" w:w="1440"/>
            <w:shd w:fill="FFDCE0" w:val="clear"/>
          </w:tcPr>
          <w:p>
            <w:r>
              <w:rPr>
                <w:b/>
                <w:sz w:val="17"/>
              </w:rPr>
              <w:t>8,229</w:t>
            </w:r>
          </w:p>
        </w:tc>
        <w:tc>
          <w:tcPr>
            <w:tcW w:type="dxa" w:w="1440"/>
            <w:shd w:fill="FFDCE0" w:val="clear"/>
          </w:tcPr>
          <w:p>
            <w:r>
              <w:rPr>
                <w:sz w:val="17"/>
              </w:rPr>
              <w:t>9,009</w:t>
            </w:r>
          </w:p>
        </w:tc>
        <w:tc>
          <w:tcPr>
            <w:tcW w:type="dxa" w:w="1440"/>
            <w:shd w:fill="FFDCE0" w:val="clear"/>
          </w:tcPr>
          <w:p>
            <w:r>
              <w:rPr>
                <w:b/>
                <w:color w:val="C00000"/>
                <w:sz w:val="17"/>
              </w:rPr>
              <w:t>-17.6%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7,327</w:t>
            </w:r>
          </w:p>
        </w:tc>
        <w:tc>
          <w:tcPr>
            <w:tcW w:type="dxa" w:w="1440"/>
            <w:shd w:fill="FFDCE0" w:val="clear"/>
          </w:tcPr>
          <w:p>
            <w:r>
              <w:rPr>
                <w:b/>
                <w:sz w:val="17"/>
              </w:rPr>
              <w:t>8,141</w:t>
            </w:r>
          </w:p>
        </w:tc>
        <w:tc>
          <w:tcPr>
            <w:tcW w:type="dxa" w:w="1440"/>
            <w:shd w:fill="FFDCE0" w:val="clear"/>
          </w:tcPr>
          <w:p>
            <w:r>
              <w:rPr>
                <w:sz w:val="17"/>
              </w:rPr>
              <w:t>8,955</w:t>
            </w:r>
          </w:p>
        </w:tc>
        <w:tc>
          <w:tcPr>
            <w:tcW w:type="dxa" w:w="1440"/>
            <w:shd w:fill="FFDCE0" w:val="clear"/>
          </w:tcPr>
          <w:p>
            <w:r>
              <w:rPr>
                <w:b/>
                <w:color w:val="C00000"/>
                <w:sz w:val="17"/>
              </w:rPr>
              <w:t>-18.5%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405 milliards FCFA, ce qui en fait une valeur de premier plan sur la BRVM, reflétant la confiance des investisseurs dans le secteur bancaire béninois. Avec un BPA de 496 FCFA, le PER de 20,1x est nettement supérieur à la moyenne historique de la BRVM (8-12x), indiquant que le marché intègre des anticipations de croissance soutenue, mais expose également le titre à un risque de correction si ces attentes ne se matérialisent pas. Le P/B de 3,45x confirme cette prime, le marché valorisant la banque bien au-delà de sa valeur comptable (actif net de 117,5 Mds FCFA). Enfin, l'EV/EBITDA de 20,5x, très exigeant, suggère que la valeur totale de l'entreprise (fonds propres + dettes) est élevée par rapport à sa capacité opérationnelle (RBE de 25,8 Mds FCFA). Ces ratios, globalement élevés, témoignent d'une valorisation "premium" qui devra être justifiée par une exécution financière irréprochable.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spectaculaire de +35,85%, avec une accélération marquée lors de la dernière séance (+5,11%), portant le cours à un plus haut absolu de 9 985 FCFA. Le titre a évolué dans une fourchette de 7 350 à 9 985 FCFA, démontrant une dynamique haussière puissante. Les statistiques descriptives révèlent une moyenne de 8 672 FCFA, légèrement inférieure à la médiane (8 758 FCFA), et un skewness négatif (-0,812) indiquant que les jours de forte hausse sont plus fréquents que les jours de forte baisse, un signe de force relative. L'écart-type de 562 FCFA (CV=6,5%) montre une dispersion modérée autour de la moyenne, tandis que le kurtosis de 0,282 (mésokurtique) suggère une distribution des rendements proche de la normale, sans risque de "queues épaisses" extrêmes. La volatilité annualisée de 26,1% classe le titre dans la catégorie "modérée à élevée", cohérente avec un marché bancaire émergent.</w:t>
      </w:r>
    </w:p>
    <w:p>
      <w:pPr>
        <w:spacing w:after="120" w:line="276" w:lineRule="auto" w:before="240"/>
      </w:pPr>
      <w:r>
        <w:rPr>
          <w:b/>
          <w:color w:val="003366"/>
          <w:sz w:val="24"/>
        </w:rPr>
        <w:t>**PARTIE 2 : ANALYSE TECHNIQUE DÉTAILLÉE**</w:t>
      </w:r>
    </w:p>
    <w:p>
      <w:pPr>
        <w:spacing w:after="120" w:line="276" w:lineRule="auto"/>
      </w:pPr>
      <w:r>
        <w:t>**Moyennes Mobiles** : Le cours actuel (9 985 FCFA) se situe nettement au-dessus des MM20 (8 836 FCFA) et MM50 (8 858 FCFA), qui sont quasi confondues. Bien que la décision soit "Vente" (probablement en raison d'un écart excessif), la configuration reste haussière tant que le cours ne casse pas la MM20, qui sert de support dynamique.</w:t>
      </w:r>
    </w:p>
    <w:p>
      <w:pPr>
        <w:spacing w:after="120" w:line="276" w:lineRule="auto"/>
      </w:pPr>
      <w:r>
        <w:t>**Bandes de Bollinger** : Le prix a franchi la borne supérieure (9 583 FCFA), signalant une extension haussière excessive et une volatilité accrue. Historiquement, un tel dépassement précède souvent une phase de consolidation ou de repli technique, d'où la décision "Vente" pour un éventuel retour vers la moyenne (MM20).</w:t>
      </w:r>
    </w:p>
    <w:p>
      <w:pPr>
        <w:spacing w:after="120" w:line="276" w:lineRule="auto"/>
      </w:pPr>
      <w:r>
        <w:t>**MACD** : Le MACD (174,55) est largement au-dessus de sa ligne de signal (41,15), avec un histogramme positif et en expansion. La décision "Achat" reflète un momentum haussier très fort, mais l'écart important entre les deux lignes suggère un risque de saturation à court terme.</w:t>
      </w:r>
    </w:p>
    <w:p>
      <w:pPr>
        <w:spacing w:after="120" w:line="276" w:lineRule="auto"/>
      </w:pPr>
      <w:r>
        <w:t>**RSI** : À 81,27, le RSI est en zone de surachat prononcé (&gt;70). Cela indique que le titre est survendu à la hausse et qu'un essoufflement est probable, justifiant la décision "Vente". Les investisseurs devraient surveiller un retour sous 70 comme premier signe de faiblesse.</w:t>
      </w:r>
    </w:p>
    <w:p>
      <w:pPr>
        <w:spacing w:after="120" w:line="276" w:lineRule="auto"/>
      </w:pPr>
      <w:r>
        <w:t>**Stochastique** : Le %K (100) et le %D (86,67) sont tous deux en zone de surachat extrême, avec un %K à son maximum absolu. La décision "Vente" est cohérente avec cette configuration, qui précède souvent un croisement baissier.</w:t>
      </w:r>
    </w:p>
    <w:p>
      <w:pPr>
        <w:spacing w:after="120" w:line="276" w:lineRule="auto"/>
      </w:pPr>
      <w:r>
        <w:t>**Conclusion technique** : La convergence des indicateurs de surachat (RSI, Stochastique, Bollinger) et l'écart excessif par rapport aux moyennes mobiles signalent une probabilité élevée de correction technique à court terme. Cependant, le MACD et la tendance générale restent résolument haussiers, suggérant que tout repli pourrait être une opportunité d'achat dans une tendance de fond.</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 (base brvm_donnees_financieres) révèlent une banque performante : le Produit Net Bancaire (PNB) s'établit à 51,27 Mds FCFA, générant un résultat net de 20,11 Mds FCFA. La rentabilité est excellente, avec un ROE de 17,11% et un ROA de 2,08%, tandis que le coefficient d'exploitation de 49,53% témoigne d'une efficacité opérationnelle remarquable (inférieur au seuil de 60%). Le coût du risque (22,5% des charges financières) reste élevé, indiquant une qualité de portefeuille à surveiller. Les dépôts clients (711,6 Mds FCFA) couvrent largement les créances clients (391,7 Mds FCFA), assurant une transformation saine. Sur la base des rapports trimestriels 2025, la dynamique s'améliore : le T1 2025 (PNB +1,7%, résultat net -8,2% dû aux provisions) a cédé la place à un S1 2025 plus robuste (PNB +5,91%, ROE 20,3%), et le T3 2025 confirme avec un PNB en hausse de 9% et un résultat net en progression de 13% (15,88 Mds FCFA). Le rapport T1 2026 (publié en 2026) montre une poursuite de la croissance (PNB +11%, commissions +18,9%). On estime donc que l'exercice 2026 devrait dépasser les 22 Mds FCFA de résultat net, soutenu par une amélioration des marges et une diversification des revenus, malgré une contraction des crédits et dépôts observée en 2025.</w:t>
      </w:r>
    </w:p>
    <w:p>
      <w:pPr>
        <w:spacing w:after="120" w:line="276" w:lineRule="auto" w:before="240"/>
      </w:pPr>
      <w:r>
        <w:rPr>
          <w:b/>
          <w:color w:val="003366"/>
          <w:sz w:val="24"/>
        </w:rPr>
        <w:t>**PARTIE 4 : CONCLUSION D'INVESTISSEMENT**</w:t>
      </w:r>
    </w:p>
    <w:p>
      <w:pPr>
        <w:spacing w:after="120" w:line="276" w:lineRule="auto"/>
      </w:pPr>
      <w:r>
        <w:t>La valorisation actuelle (PER 20,1x, P/B 3,45x, EV/EBITDA 20,5x) est exigeante, intégrant déjà une forte croissance future, ce qui limite le potentiel de hausse à court terme. Le comportement du cours (+35,85% en 100 jours) et les statistiques (skewness négatif, volatilité de 26,1%) montrent une dynamique haussière puissante mais potentiellement surchauffée. Les signaux techniques sont unanimement en zone de surachat (RSI 81, Stochastique 100, prix au-dessus des bandes de Bollinger), suggérant une correction technique imminente, bien que le MACD reste positif. Les fondamentaux, eux, sont solides et en amélioration constante (ROE &gt;17%, coefficient d'exploitation &lt;50%, croissance du PNB à deux chiffres), justifiant une prime de valorisation. Les prédictions IA (9 357 FCFA à J+10) confirment cette analyse en projetant un repli de 6,3% vers les 8 600-9 300 FCFA. En synthèse, la convergence entre le surachat technique et la prédiction IA suggère une consolidation à court terme, mais la divergence avec des fondamentaux robustes plaide pour une poursuite de la tendance haussière à moyen terme. **Recommandation finale : ACHAT (sur repli)** avec un niveau de confiance **Moyen** et un risque global **Élevé** (volatilité et valorisation). L'horizon optimal est le **moyen terme (3-12 mois)**, en attendant une correction technique pour renforcer les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334.40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6,077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+37.93%</w:t>
            </w:r>
          </w:p>
          <w:p>
            <w:r>
              <w:rPr>
                <w:b/>
                <w:color w:val="503200"/>
                <w:sz w:val="16"/>
              </w:rPr>
              <w:t xml:space="preserve">Plus haut 100j : </w:t>
            </w:r>
            <w:r>
              <w:rPr>
                <w:color w:val="000000"/>
                <w:sz w:val="17"/>
              </w:rPr>
              <w:t>7,600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12.18% (Moyenne) — μ=6,026 FCFA, σ=734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β=0.2250 (Défensif) — Cov=0.000007, Var(idx)=0.000033, ρ=0.071,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7,086</w:t>
            </w:r>
          </w:p>
        </w:tc>
        <w:tc>
          <w:tcPr>
            <w:tcW w:type="dxa" w:w="1440"/>
            <w:shd w:fill="FFDCE0" w:val="clear"/>
          </w:tcPr>
          <w:p>
            <w:r>
              <w:rPr>
                <w:b/>
                <w:sz w:val="17"/>
              </w:rPr>
              <w:t>7,384</w:t>
            </w:r>
          </w:p>
        </w:tc>
        <w:tc>
          <w:tcPr>
            <w:tcW w:type="dxa" w:w="1440"/>
            <w:shd w:fill="FFDCE0" w:val="clear"/>
          </w:tcPr>
          <w:p>
            <w:r>
              <w:rPr>
                <w:sz w:val="17"/>
              </w:rPr>
              <w:t>7,681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6,825</w:t>
            </w:r>
          </w:p>
        </w:tc>
        <w:tc>
          <w:tcPr>
            <w:tcW w:type="dxa" w:w="1440"/>
            <w:shd w:fill="FFDCE0" w:val="clear"/>
          </w:tcPr>
          <w:p>
            <w:r>
              <w:rPr>
                <w:b/>
                <w:sz w:val="17"/>
              </w:rPr>
              <w:t>7,238</w:t>
            </w:r>
          </w:p>
        </w:tc>
        <w:tc>
          <w:tcPr>
            <w:tcW w:type="dxa" w:w="1440"/>
            <w:shd w:fill="FFDCE0" w:val="clear"/>
          </w:tcPr>
          <w:p>
            <w:r>
              <w:rPr>
                <w:sz w:val="17"/>
              </w:rPr>
              <w:t>7,650</w:t>
            </w:r>
          </w:p>
        </w:tc>
        <w:tc>
          <w:tcPr>
            <w:tcW w:type="dxa" w:w="1440"/>
            <w:shd w:fill="FFDCE0" w:val="clear"/>
          </w:tcPr>
          <w:p>
            <w:r>
              <w:rPr>
                <w:b/>
                <w:color w:val="C00000"/>
                <w:sz w:val="17"/>
              </w:rPr>
              <w:t>-4.8%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6,622</w:t>
            </w:r>
          </w:p>
        </w:tc>
        <w:tc>
          <w:tcPr>
            <w:tcW w:type="dxa" w:w="1440"/>
            <w:shd w:fill="FFDCE0" w:val="clear"/>
          </w:tcPr>
          <w:p>
            <w:r>
              <w:rPr>
                <w:b/>
                <w:sz w:val="17"/>
              </w:rPr>
              <w:t>7,119</w:t>
            </w:r>
          </w:p>
        </w:tc>
        <w:tc>
          <w:tcPr>
            <w:tcW w:type="dxa" w:w="1440"/>
            <w:shd w:fill="FFDCE0" w:val="clear"/>
          </w:tcPr>
          <w:p>
            <w:r>
              <w:rPr>
                <w:sz w:val="17"/>
              </w:rPr>
              <w:t>7,616</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6,464</w:t>
            </w:r>
          </w:p>
        </w:tc>
        <w:tc>
          <w:tcPr>
            <w:tcW w:type="dxa" w:w="1440"/>
            <w:shd w:fill="FFDCE0" w:val="clear"/>
          </w:tcPr>
          <w:p>
            <w:r>
              <w:rPr>
                <w:b/>
                <w:sz w:val="17"/>
              </w:rPr>
              <w:t>7,030</w:t>
            </w:r>
          </w:p>
        </w:tc>
        <w:tc>
          <w:tcPr>
            <w:tcW w:type="dxa" w:w="1440"/>
            <w:shd w:fill="FFDCE0" w:val="clear"/>
          </w:tcPr>
          <w:p>
            <w:r>
              <w:rPr>
                <w:sz w:val="17"/>
              </w:rPr>
              <w:t>7,597</w:t>
            </w:r>
          </w:p>
        </w:tc>
        <w:tc>
          <w:tcPr>
            <w:tcW w:type="dxa" w:w="1440"/>
            <w:shd w:fill="FFDCE0" w:val="clear"/>
          </w:tcPr>
          <w:p>
            <w:r>
              <w:rPr>
                <w:b/>
                <w:color w:val="C00000"/>
                <w:sz w:val="17"/>
              </w:rPr>
              <w:t>-7.5%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6,330</w:t>
            </w:r>
          </w:p>
        </w:tc>
        <w:tc>
          <w:tcPr>
            <w:tcW w:type="dxa" w:w="1440"/>
            <w:shd w:fill="FFDCE0" w:val="clear"/>
          </w:tcPr>
          <w:p>
            <w:r>
              <w:rPr>
                <w:b/>
                <w:sz w:val="17"/>
              </w:rPr>
              <w:t>6,957</w:t>
            </w:r>
          </w:p>
        </w:tc>
        <w:tc>
          <w:tcPr>
            <w:tcW w:type="dxa" w:w="1440"/>
            <w:shd w:fill="FFDCE0" w:val="clear"/>
          </w:tcPr>
          <w:p>
            <w:r>
              <w:rPr>
                <w:sz w:val="17"/>
              </w:rPr>
              <w:t>7,584</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6,212</w:t>
            </w:r>
          </w:p>
        </w:tc>
        <w:tc>
          <w:tcPr>
            <w:tcW w:type="dxa" w:w="1440"/>
            <w:shd w:fill="FFDCE0" w:val="clear"/>
          </w:tcPr>
          <w:p>
            <w:r>
              <w:rPr>
                <w:b/>
                <w:sz w:val="17"/>
              </w:rPr>
              <w:t>6,892</w:t>
            </w:r>
          </w:p>
        </w:tc>
        <w:tc>
          <w:tcPr>
            <w:tcW w:type="dxa" w:w="1440"/>
            <w:shd w:fill="FFDCE0" w:val="clear"/>
          </w:tcPr>
          <w:p>
            <w:r>
              <w:rPr>
                <w:sz w:val="17"/>
              </w:rPr>
              <w:t>7,573</w:t>
            </w:r>
          </w:p>
        </w:tc>
        <w:tc>
          <w:tcPr>
            <w:tcW w:type="dxa" w:w="1440"/>
            <w:shd w:fill="FFDCE0" w:val="clear"/>
          </w:tcPr>
          <w:p>
            <w:r>
              <w:rPr>
                <w:b/>
                <w:color w:val="C00000"/>
                <w:sz w:val="17"/>
              </w:rPr>
              <w:t>-9.3%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6,103</w:t>
            </w:r>
          </w:p>
        </w:tc>
        <w:tc>
          <w:tcPr>
            <w:tcW w:type="dxa" w:w="1440"/>
            <w:shd w:fill="FFDCE0" w:val="clear"/>
          </w:tcPr>
          <w:p>
            <w:r>
              <w:rPr>
                <w:b/>
                <w:sz w:val="17"/>
              </w:rPr>
              <w:t>6,832</w:t>
            </w:r>
          </w:p>
        </w:tc>
        <w:tc>
          <w:tcPr>
            <w:tcW w:type="dxa" w:w="1440"/>
            <w:shd w:fill="FFDCE0" w:val="clear"/>
          </w:tcPr>
          <w:p>
            <w:r>
              <w:rPr>
                <w:sz w:val="17"/>
              </w:rPr>
              <w:t>7,560</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6,002</w:t>
            </w:r>
          </w:p>
        </w:tc>
        <w:tc>
          <w:tcPr>
            <w:tcW w:type="dxa" w:w="1440"/>
            <w:shd w:fill="FFDCE0" w:val="clear"/>
          </w:tcPr>
          <w:p>
            <w:r>
              <w:rPr>
                <w:b/>
                <w:sz w:val="17"/>
              </w:rPr>
              <w:t>6,774</w:t>
            </w:r>
          </w:p>
        </w:tc>
        <w:tc>
          <w:tcPr>
            <w:tcW w:type="dxa" w:w="1440"/>
            <w:shd w:fill="FFDCE0" w:val="clear"/>
          </w:tcPr>
          <w:p>
            <w:r>
              <w:rPr>
                <w:sz w:val="17"/>
              </w:rPr>
              <w:t>7,546</w:t>
            </w:r>
          </w:p>
        </w:tc>
        <w:tc>
          <w:tcPr>
            <w:tcW w:type="dxa" w:w="1440"/>
            <w:shd w:fill="FFDCE0" w:val="clear"/>
          </w:tcPr>
          <w:p>
            <w:r>
              <w:rPr>
                <w:b/>
                <w:color w:val="C00000"/>
                <w:sz w:val="17"/>
              </w:rPr>
              <w:t>-10.9%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5,906</w:t>
            </w:r>
          </w:p>
        </w:tc>
        <w:tc>
          <w:tcPr>
            <w:tcW w:type="dxa" w:w="1440"/>
            <w:shd w:fill="FFDCE0" w:val="clear"/>
          </w:tcPr>
          <w:p>
            <w:r>
              <w:rPr>
                <w:b/>
                <w:sz w:val="17"/>
              </w:rPr>
              <w:t>6,718</w:t>
            </w:r>
          </w:p>
        </w:tc>
        <w:tc>
          <w:tcPr>
            <w:tcW w:type="dxa" w:w="1440"/>
            <w:shd w:fill="FFDCE0" w:val="clear"/>
          </w:tcPr>
          <w:p>
            <w:r>
              <w:rPr>
                <w:sz w:val="17"/>
              </w:rPr>
              <w:t>7,530</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5,815</w:t>
            </w:r>
          </w:p>
        </w:tc>
        <w:tc>
          <w:tcPr>
            <w:tcW w:type="dxa" w:w="1440"/>
            <w:shd w:fill="FFDCE0" w:val="clear"/>
          </w:tcPr>
          <w:p>
            <w:r>
              <w:rPr>
                <w:b/>
                <w:sz w:val="17"/>
              </w:rPr>
              <w:t>6,664</w:t>
            </w:r>
          </w:p>
        </w:tc>
        <w:tc>
          <w:tcPr>
            <w:tcW w:type="dxa" w:w="1440"/>
            <w:shd w:fill="FFDCE0" w:val="clear"/>
          </w:tcPr>
          <w:p>
            <w:r>
              <w:rPr>
                <w:sz w:val="17"/>
              </w:rPr>
              <w:t>7,514</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pour l'action BOABF,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334,40 milliards FCFA, ce qui en fait une valeur de première importance sur la BRVM, reflétant la confiance des investisseurs dans ce pilier du secteur bancaire régional. Avec un BPA de 438 FCFA, chaque action détenue représente un droit sur ce bénéfice. Le PER de 17,4x est nettement supérieur à la moyenne historique de la BRVM (8-12x), indiquant que le marché est prêt à payer une prime substantielle pour la croissance et la solidité perçues de la banque, malgré des bénéfices actuels sous pression. Le P/B de 2,64x confirme cette prime, le marché valorisant la société à plus de 2,6 fois sa valeur comptable, signe d'anticipation de rendements futurs supérieurs. Enfin, un EV/EBITDA de 7,5x, dans la fourchette raisonnable de 5-10x, suggère que la valorisation globale de l'entreprise, rapportée à sa capacité opérationnelle, reste mesurée et non excessive.</w:t>
      </w:r>
    </w:p>
    <w:p>
      <w:pPr>
        <w:spacing w:after="120" w:line="276" w:lineRule="auto"/>
      </w:pPr>
      <w:r>
        <w:t>### PARTIE 1 : ANALYSE DU COURS — STATISTIQUES ET ÉVOLUTION (100 derniers jours)</w:t>
      </w:r>
    </w:p>
    <w:p>
      <w:pPr>
        <w:spacing w:after="120" w:line="276" w:lineRule="auto"/>
      </w:pPr>
      <w:r>
        <w:t>Sur les 100 derniers jours, l'action BOABF a connu une performance remarquable, enregistrant une hausse de +37,93%, avec une dernière séance en progression de +1,33% à 7 600 FCFA. Cette tendance haussière est illustrée par l'écart entre le plus bas de 5 235 FCFA et le plus haut de 7 600 FCFA, ce dernier étant le cours actuel, signe d'une dynamique positive soutenue. L'analyse statistique révèle une moyenne de 6 026 FCFA, inférieure à la médiane de 5 630 FCFA, et un skewness positif de 0.911, indiquant que la distribution des prix est asymétrique avec une majorité de journées sous la moyenne, mais des épisodes de fortes hausses qui tirent la moyenne vers le haut. L'écart-type de 738 FCFA (CV=12,2%) montre une dispersion modérée des prix autour de la moyenne. Le kurtosis de -0,914 (mésokurtique) suggère une distribution proche de la normale, sans risque de variations extrêmes imprévisibles. La volatilité annualisée de 28,9% classe le titre dans la catégorie "élevée", ce qui implique un risque de marché significatif pour les investisseurs.</w:t>
      </w:r>
    </w:p>
    <w:p>
      <w:pPr>
        <w:spacing w:after="120" w:line="276" w:lineRule="auto"/>
      </w:pPr>
      <w:r>
        <w:t>### PARTIE 2 : ANALYSE TECHNIQUE DÉTAILLÉE</w:t>
      </w:r>
    </w:p>
    <w:p>
      <w:pPr>
        <w:spacing w:after="120" w:line="276" w:lineRule="auto"/>
      </w:pPr>
      <w:r>
        <w:t>**Moyennes Mobiles:** Le cours actuel de 7 600 FCFA est nettement au-dessus de la MM20 (7 217,5 FCFA) et de la MM50 (6 530,4 FCFA). Cette configuration haussière, où les moyennes sont orientées à la hausse, confirme la solidité de la tendance et justifie la décision d'**Achat**.</w:t>
      </w:r>
    </w:p>
    <w:p>
      <w:pPr>
        <w:spacing w:after="120" w:line="276" w:lineRule="auto"/>
      </w:pPr>
      <w:r>
        <w:t>**Bandes de Bollinger:** Le prix a franchi la borne supérieure des bandes (7 535,7 FCFA), ce qui est un signal classique de surachat à court terme. Cela indique que le titre est temporairement étendu et pourrait subir un repli technique ou une consolidation. La décision associée est donc une **Vente** pour un horizon très court terme.</w:t>
      </w:r>
    </w:p>
    <w:p>
      <w:pPr>
        <w:spacing w:after="120" w:line="276" w:lineRule="auto"/>
      </w:pPr>
      <w:r>
        <w:t>**MACD:** Le MACD (231,9) est passé sous sa ligne de signal (242,7), formant un croisement baissier. Ce signal indique un affaiblissement du momentum haussier, suggérant une possible correction ou une pause dans la tendance. La décision est une **Vente**.</w:t>
      </w:r>
    </w:p>
    <w:p>
      <w:pPr>
        <w:spacing w:after="120" w:line="276" w:lineRule="auto"/>
      </w:pPr>
      <w:r>
        <w:t>**RSI:** Le RSI est à 72,7, au-dessus du seuil de surachat de 70. Cela confirme que l'action est surchauffée à court terme et que la pression acheteuse est excessive. Un tel niveau précède souvent un retournement ou une phase de consolidation. La décision est une **Vente**.</w:t>
      </w:r>
    </w:p>
    <w:p>
      <w:pPr>
        <w:spacing w:after="120" w:line="276" w:lineRule="auto"/>
      </w:pPr>
      <w:r>
        <w:t>**Stochastique:** Le %K (100) et le %D (93,3) sont tous deux en zone de surachat extrême. Bien que le %K soit au-dessus du %D, indiquant une force, ces niveaux sont insoutenables à court terme. La probabilité d'un croisement baissier est élevée, justifiant la décision de **Vente**.</w:t>
      </w:r>
    </w:p>
    <w:p>
      <w:pPr>
        <w:spacing w:after="120" w:line="276" w:lineRule="auto"/>
      </w:pPr>
      <w:r>
        <w:t>**Conclusion technique:** Les indicateurs de tendance (Moyennes Mobiles) sont positifs, mais tous les oscillateurs de momentum (Bollinger, MACD, RSI, Stochastique) sont en zone de surachat et signalent une **Vente** à court terme. Cette divergence suggère que la tendance de fond reste haussière, mais que le titre est techniquement surchauffé et vulnérable à une correction à brève échéance.</w:t>
      </w:r>
    </w:p>
    <w:p>
      <w:pPr>
        <w:spacing w:after="120" w:line="276" w:lineRule="auto"/>
      </w:pPr>
      <w:r>
        <w:t>### PARTIE 3 : ANALYSE FONDAMENTALE (SECTION CRITIQUE)</w:t>
      </w:r>
    </w:p>
    <w:p>
      <w:pPr>
        <w:spacing w:after="120" w:line="276" w:lineRule="auto"/>
      </w:pPr>
      <w:r>
        <w:t>Les données financières structurées de 2025 pour BOABF, une banque, révèlent une activité solide mais une rentabilité sous pression. Le Produit Net Bancaire (PNB) s'établit à 57,82 milliards FCFA, avec un coefficient d'exploitation excellent de 47,19%, démontrant une grande efficacité opérationnelle. Cependant, le coût du risque est élevé (33,92%), indiquant une dégradation de la qualité du portefeuille de crédits. Le résultat net annuel est de 19,25 milliards FCFA, portant le ROE à un niveau très satisfaisant de 15,22% et le ROA à 1,68%. Les rapports trimestriels de 2025 confirment cette tendance : le T1 2025 affichait un PNB de 14,22 Mds FCFA (+2,3%) et un résultat net de 5,20 Mds FCFA (-16,6%). Le S1 2025 a vu le PNB atteindre 29,06 Mds FCFA (+1,4%), mais le résultat net a chuté de 46,5% à 8,22 Mds FCFA, plombé par une explosion du coût du risque. Le cumul sur 9 mois (T3 2025) montre un PNB de 43,28 Mds FCFA (+0,85%) et un résultat net de 13,45 Mds FCFA (-27,7%). Enfin, le rapport du T1 2026 indique une contraction du PNB de -10,75% à 12,69 Mds FCFA et un résultat net de 4,52 Mds FCFA (-12,99%). Sur la base de ces rapports, on estime que l'exercice 2026 pourrait voir une nouvelle dégradation de la rentabilité, avec un PNB annuel potentiellement en baisse et un résultat net qui pourrait continuer à se contracter si le coût du risque reste élevé. La banque maintient une collecte de dépôts dynamique (+6,3% au T1 2026) mais une activité de crédit atone, ce qui pèsera sur les revenus futurs. La solidité financière reste acceptable, mais les perspectives sont prudentes.</w:t>
      </w:r>
    </w:p>
    <w:p>
      <w:pPr>
        <w:spacing w:after="120" w:line="276" w:lineRule="auto"/>
      </w:pPr>
      <w:r>
        <w:t>### PARTIE 4 : CONCLUSION D'INVESTISSEMENT</w:t>
      </w:r>
    </w:p>
    <w:p>
      <w:pPr>
        <w:spacing w:after="120" w:line="276" w:lineRule="auto"/>
      </w:pPr>
      <w:r>
        <w:t>En synthèse, l'action BOABF présente un profil contrasté. La valorisation (Partie 0) est exigeante, avec un PER de 17,4x qui intègre des attentes de croissance que les fondamentaux récents ne confirment pas. Le comportement du cours (Partie 1) est très haussier sur 100 jours (+37,93%), avec une volatilité élevée, mais les statistiques suggèrent une distribution normale sans risque extrême. Les signaux techniques (Partie 2) sont en divergence : la tendance de fond est positive, mais tous les indicateurs de momentum sont en surachat, signalant un risque de correction à court terme. Les fondamentaux (Partie 3) montrent une banque efficace mais confrontée à une dégradation de la qualité de son portefeuille de crédits, entraînant une chute de sa rentabilité nette en 2025 et une contraction au T1 2026. Les prédictions IA (J+1 à J+10) confirment cette analyse technique en projetant une baisse progressive du cours vers 6 957 FCFA, soit une correction d'environ -8,5% par rapport au cours actuel.</w:t>
      </w:r>
    </w:p>
    <w:p>
      <w:pPr>
        <w:spacing w:after="120" w:line="276" w:lineRule="auto"/>
      </w:pPr>
      <w:r>
        <w:t>**Recommandation finale : VENTE** (ou à défaut, **CONSERVER** pour les actionnaires existants avec un horizon long terme).</w:t>
      </w:r>
    </w:p>
    <w:p>
      <w:pPr>
        <w:spacing w:after="120" w:line="276" w:lineRule="auto"/>
      </w:pPr>
      <w:r>
        <w:t>La justification repose sur la convergence des signaux de surachat technique et des prédictions IA baissières à court terme, couplée à une valorisation qui ne laisse que peu de marge de sécurité face à des fondamentaux en détérioration. Le niveau de confiance dans cette recommandation est **Moyen**, car la tendance de fond reste haussière et les fondamentaux, bien que sous pression, restent rentables. Le niveau de risque global est **Élevé** en raison de la volatilité du titre et de l'incertitude sur la maîtrise du coût du risque. L'horizon d'investissement optimal serait de **moyen terme (3-12 mois)**, attendant une correction du cours pour envisager une nouvelle position à un niveau de valorisation plus attrayant.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14,234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+49.25%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13.92% (Moyenne) — μ=9,548 FCFA, σ=1,329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β=0.4614 (Défensif) — Cov=0.000015, Var(idx)=0.000033, ρ=0.149,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11,833</w:t>
            </w:r>
          </w:p>
        </w:tc>
        <w:tc>
          <w:tcPr>
            <w:tcW w:type="dxa" w:w="1440"/>
            <w:shd w:fill="FFDCE0" w:val="clear"/>
          </w:tcPr>
          <w:p>
            <w:r>
              <w:rPr>
                <w:b/>
                <w:sz w:val="17"/>
              </w:rPr>
              <w:t>12,243</w:t>
            </w:r>
          </w:p>
        </w:tc>
        <w:tc>
          <w:tcPr>
            <w:tcW w:type="dxa" w:w="1440"/>
            <w:shd w:fill="FFDCE0" w:val="clear"/>
          </w:tcPr>
          <w:p>
            <w:r>
              <w:rPr>
                <w:sz w:val="17"/>
              </w:rPr>
              <w:t>12,653</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11,093</w:t>
            </w:r>
          </w:p>
        </w:tc>
        <w:tc>
          <w:tcPr>
            <w:tcW w:type="dxa" w:w="1440"/>
            <w:shd w:fill="FFDCE0" w:val="clear"/>
          </w:tcPr>
          <w:p>
            <w:r>
              <w:rPr>
                <w:b/>
                <w:sz w:val="17"/>
              </w:rPr>
              <w:t>11,644</w:t>
            </w:r>
          </w:p>
        </w:tc>
        <w:tc>
          <w:tcPr>
            <w:tcW w:type="dxa" w:w="1440"/>
            <w:shd w:fill="FFDCE0" w:val="clear"/>
          </w:tcPr>
          <w:p>
            <w:r>
              <w:rPr>
                <w:sz w:val="17"/>
              </w:rPr>
              <w:t>12,195</w:t>
            </w:r>
          </w:p>
        </w:tc>
        <w:tc>
          <w:tcPr>
            <w:tcW w:type="dxa" w:w="1440"/>
            <w:shd w:fill="FFDCE0" w:val="clear"/>
          </w:tcPr>
          <w:p>
            <w:r>
              <w:rPr>
                <w:b/>
                <w:color w:val="C00000"/>
                <w:sz w:val="17"/>
              </w:rPr>
              <w:t>-10.3%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10,439</w:t>
            </w:r>
          </w:p>
        </w:tc>
        <w:tc>
          <w:tcPr>
            <w:tcW w:type="dxa" w:w="1440"/>
            <w:shd w:fill="FFDCE0" w:val="clear"/>
          </w:tcPr>
          <w:p>
            <w:r>
              <w:rPr>
                <w:b/>
                <w:sz w:val="17"/>
              </w:rPr>
              <w:t>11,081</w:t>
            </w:r>
          </w:p>
        </w:tc>
        <w:tc>
          <w:tcPr>
            <w:tcW w:type="dxa" w:w="1440"/>
            <w:shd w:fill="FFDCE0" w:val="clear"/>
          </w:tcPr>
          <w:p>
            <w:r>
              <w:rPr>
                <w:sz w:val="17"/>
              </w:rPr>
              <w:t>11,723</w:t>
            </w:r>
          </w:p>
        </w:tc>
        <w:tc>
          <w:tcPr>
            <w:tcW w:type="dxa" w:w="1440"/>
            <w:shd w:fill="FFDCE0" w:val="clear"/>
          </w:tcPr>
          <w:p>
            <w:r>
              <w:rPr>
                <w:b/>
                <w:color w:val="C00000"/>
                <w:sz w:val="17"/>
              </w:rPr>
              <w:t>-14.7%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9,888</w:t>
            </w:r>
          </w:p>
        </w:tc>
        <w:tc>
          <w:tcPr>
            <w:tcW w:type="dxa" w:w="1440"/>
            <w:shd w:fill="FFDCE0" w:val="clear"/>
          </w:tcPr>
          <w:p>
            <w:r>
              <w:rPr>
                <w:b/>
                <w:sz w:val="17"/>
              </w:rPr>
              <w:t>10,597</w:t>
            </w:r>
          </w:p>
        </w:tc>
        <w:tc>
          <w:tcPr>
            <w:tcW w:type="dxa" w:w="1440"/>
            <w:shd w:fill="FFDCE0" w:val="clear"/>
          </w:tcPr>
          <w:p>
            <w:r>
              <w:rPr>
                <w:sz w:val="17"/>
              </w:rPr>
              <w:t>11,306</w:t>
            </w:r>
          </w:p>
        </w:tc>
        <w:tc>
          <w:tcPr>
            <w:tcW w:type="dxa" w:w="1440"/>
            <w:shd w:fill="FFDCE0" w:val="clear"/>
          </w:tcPr>
          <w:p>
            <w:r>
              <w:rPr>
                <w:b/>
                <w:color w:val="C00000"/>
                <w:sz w:val="17"/>
              </w:rPr>
              <w:t>-18.4%</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9,424</w:t>
            </w:r>
          </w:p>
        </w:tc>
        <w:tc>
          <w:tcPr>
            <w:tcW w:type="dxa" w:w="1440"/>
            <w:shd w:fill="FFDCE0" w:val="clear"/>
          </w:tcPr>
          <w:p>
            <w:r>
              <w:rPr>
                <w:b/>
                <w:sz w:val="17"/>
              </w:rPr>
              <w:t>10,186</w:t>
            </w:r>
          </w:p>
        </w:tc>
        <w:tc>
          <w:tcPr>
            <w:tcW w:type="dxa" w:w="1440"/>
            <w:shd w:fill="FFDCE0" w:val="clear"/>
          </w:tcPr>
          <w:p>
            <w:r>
              <w:rPr>
                <w:sz w:val="17"/>
              </w:rPr>
              <w:t>10,948</w:t>
            </w:r>
          </w:p>
        </w:tc>
        <w:tc>
          <w:tcPr>
            <w:tcW w:type="dxa" w:w="1440"/>
            <w:shd w:fill="FFDCE0" w:val="clear"/>
          </w:tcPr>
          <w:p>
            <w:r>
              <w:rPr>
                <w:b/>
                <w:color w:val="C00000"/>
                <w:sz w:val="17"/>
              </w:rPr>
              <w:t>-21.6%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9,029</w:t>
            </w:r>
          </w:p>
        </w:tc>
        <w:tc>
          <w:tcPr>
            <w:tcW w:type="dxa" w:w="1440"/>
            <w:shd w:fill="FFDCE0" w:val="clear"/>
          </w:tcPr>
          <w:p>
            <w:r>
              <w:rPr>
                <w:b/>
                <w:sz w:val="17"/>
              </w:rPr>
              <w:t>9,834</w:t>
            </w:r>
          </w:p>
        </w:tc>
        <w:tc>
          <w:tcPr>
            <w:tcW w:type="dxa" w:w="1440"/>
            <w:shd w:fill="FFDCE0" w:val="clear"/>
          </w:tcPr>
          <w:p>
            <w:r>
              <w:rPr>
                <w:sz w:val="17"/>
              </w:rPr>
              <w:t>10,640</w:t>
            </w:r>
          </w:p>
        </w:tc>
        <w:tc>
          <w:tcPr>
            <w:tcW w:type="dxa" w:w="1440"/>
            <w:shd w:fill="FFDCE0" w:val="clear"/>
          </w:tcPr>
          <w:p>
            <w:r>
              <w:rPr>
                <w:b/>
                <w:color w:val="C00000"/>
                <w:sz w:val="17"/>
              </w:rPr>
              <w:t>-24.3%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8,689</w:t>
            </w:r>
          </w:p>
        </w:tc>
        <w:tc>
          <w:tcPr>
            <w:tcW w:type="dxa" w:w="1440"/>
            <w:shd w:fill="FFDCE0" w:val="clear"/>
          </w:tcPr>
          <w:p>
            <w:r>
              <w:rPr>
                <w:b/>
                <w:sz w:val="17"/>
              </w:rPr>
              <w:t>9,532</w:t>
            </w:r>
          </w:p>
        </w:tc>
        <w:tc>
          <w:tcPr>
            <w:tcW w:type="dxa" w:w="1440"/>
            <w:shd w:fill="FFDCE0" w:val="clear"/>
          </w:tcPr>
          <w:p>
            <w:r>
              <w:rPr>
                <w:sz w:val="17"/>
              </w:rPr>
              <w:t>10,376</w:t>
            </w:r>
          </w:p>
        </w:tc>
        <w:tc>
          <w:tcPr>
            <w:tcW w:type="dxa" w:w="1440"/>
            <w:shd w:fill="FFDCE0" w:val="clear"/>
          </w:tcPr>
          <w:p>
            <w:r>
              <w:rPr>
                <w:b/>
                <w:color w:val="C00000"/>
                <w:sz w:val="17"/>
              </w:rPr>
              <w:t>-26.6%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8,393</w:t>
            </w:r>
          </w:p>
        </w:tc>
        <w:tc>
          <w:tcPr>
            <w:tcW w:type="dxa" w:w="1440"/>
            <w:shd w:fill="FFDCE0" w:val="clear"/>
          </w:tcPr>
          <w:p>
            <w:r>
              <w:rPr>
                <w:b/>
                <w:sz w:val="17"/>
              </w:rPr>
              <w:t>9,270</w:t>
            </w:r>
          </w:p>
        </w:tc>
        <w:tc>
          <w:tcPr>
            <w:tcW w:type="dxa" w:w="1440"/>
            <w:shd w:fill="FFDCE0" w:val="clear"/>
          </w:tcPr>
          <w:p>
            <w:r>
              <w:rPr>
                <w:sz w:val="17"/>
              </w:rPr>
              <w:t>10,147</w:t>
            </w:r>
          </w:p>
        </w:tc>
        <w:tc>
          <w:tcPr>
            <w:tcW w:type="dxa" w:w="1440"/>
            <w:shd w:fill="FFDCE0" w:val="clear"/>
          </w:tcPr>
          <w:p>
            <w:r>
              <w:rPr>
                <w:b/>
                <w:color w:val="C00000"/>
                <w:sz w:val="17"/>
              </w:rPr>
              <w:t>-28.6%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8,133</w:t>
            </w:r>
          </w:p>
        </w:tc>
        <w:tc>
          <w:tcPr>
            <w:tcW w:type="dxa" w:w="1440"/>
            <w:shd w:fill="FFDCE0" w:val="clear"/>
          </w:tcPr>
          <w:p>
            <w:r>
              <w:rPr>
                <w:b/>
                <w:sz w:val="17"/>
              </w:rPr>
              <w:t>9,040</w:t>
            </w:r>
          </w:p>
        </w:tc>
        <w:tc>
          <w:tcPr>
            <w:tcW w:type="dxa" w:w="1440"/>
            <w:shd w:fill="FFDCE0" w:val="clear"/>
          </w:tcPr>
          <w:p>
            <w:r>
              <w:rPr>
                <w:sz w:val="17"/>
              </w:rPr>
              <w:t>9,947</w:t>
            </w:r>
          </w:p>
        </w:tc>
        <w:tc>
          <w:tcPr>
            <w:tcW w:type="dxa" w:w="1440"/>
            <w:shd w:fill="FFDCE0" w:val="clear"/>
          </w:tcPr>
          <w:p>
            <w:r>
              <w:rPr>
                <w:b/>
                <w:color w:val="C00000"/>
                <w:sz w:val="17"/>
              </w:rPr>
              <w:t>-30.4%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7,902</w:t>
            </w:r>
          </w:p>
        </w:tc>
        <w:tc>
          <w:tcPr>
            <w:tcW w:type="dxa" w:w="1440"/>
            <w:shd w:fill="FFDCE0" w:val="clear"/>
          </w:tcPr>
          <w:p>
            <w:r>
              <w:rPr>
                <w:b/>
                <w:sz w:val="17"/>
              </w:rPr>
              <w:t>8,837</w:t>
            </w:r>
          </w:p>
        </w:tc>
        <w:tc>
          <w:tcPr>
            <w:tcW w:type="dxa" w:w="1440"/>
            <w:shd w:fill="FFDCE0" w:val="clear"/>
          </w:tcPr>
          <w:p>
            <w:r>
              <w:rPr>
                <w:sz w:val="17"/>
              </w:rPr>
              <w:t>9,772</w:t>
            </w:r>
          </w:p>
        </w:tc>
        <w:tc>
          <w:tcPr>
            <w:tcW w:type="dxa" w:w="1440"/>
            <w:shd w:fill="FFDCE0" w:val="clear"/>
          </w:tcPr>
          <w:p>
            <w:r>
              <w:rPr>
                <w:b/>
                <w:color w:val="C00000"/>
                <w:sz w:val="17"/>
              </w:rPr>
              <w:t>-31.9%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519,40 Mds FCFA positionne BOAC comme une valeur de premier plan sur la BRVM. Avec un BPA de 888 FCFA, le PER de 14,6x est supérieur à la moyenne historique du marché (8-12x), indiquant que les investisseurs paient une prime pour la qualité de ses bénéfices. Cependant, cette prime est nettement plus marquée sur la valeur comptable, avec un P/B de 4,08x, et surtout sur la capacité opérationnelle, avec un EV/EBITDA de 27,8x. Ces deux derniers ratios signalent une valorisation exigeante, qui anticipe une poursuite de la forte croissance de la banque. L'action n'est donc pas "bon marché", mais son premium reflète la confiance du marché dans ses fondamentaux solides.</w:t>
      </w:r>
    </w:p>
    <w:p>
      <w:pPr>
        <w:spacing w:after="120" w:line="276" w:lineRule="auto"/>
      </w:pPr>
      <w:r>
        <w:t>### PARTIE 1 : ANALYSE DU COURS — STATISTIQUES ET ÉVOLUTION (100 derniers jours)</w:t>
      </w:r>
    </w:p>
    <w:p>
      <w:pPr>
        <w:spacing w:after="120" w:line="276" w:lineRule="auto"/>
      </w:pPr>
      <w:r>
        <w:t>Sur les 100 derniers jours, l'action BOAC a connu une performance spectaculaire, avec une variation totale de +49,25%, bien que la dernière séance ait clôturé en baisse de -2,37% à 12 985 FCFA. Le titre a évolué dans une fourchette très large, entre un plus bas de 8 100 FCFA et un plus haut de 13 450 FCFA, démontrant une forte dynamique haussière. La moyenne du cours (9 548 FCFA) est nettement inférieure à la médiane (8 982 FCFA), ce qui, combiné à un skewness positif de 1,614, confirme une distribution asymétrique avec des journées de forte hausse qui tirent la moyenne vers le haut. L'écart-type de 1 336 FCFA (CV=14%) indique une dispersion modérée, mais le kurtosis élevé (1,592) signale un risque de mouvements extrêmes. La volatilité annualisée de 28,3% classe le titre dans la catégorie "modérée à élevée", ce qui est cohérent avec la forte appréciation récente.</w:t>
      </w:r>
    </w:p>
    <w:p>
      <w:pPr>
        <w:spacing w:after="120" w:line="276" w:lineRule="auto"/>
      </w:pPr>
      <w:r>
        <w:t>### PARTIE 2 : ANALYSE TECHNIQUE DÉTAILLÉE</w:t>
      </w:r>
    </w:p>
    <w:p>
      <w:pPr>
        <w:spacing w:after="120" w:line="276" w:lineRule="auto"/>
      </w:pPr>
      <w:r>
        <w:t>**Moyennes Mobiles**: Le cours actuel (12 985 FCFA) est nettement au-dessus de sa MM20 (11 933,5 FCFA) et de sa MM50 (10 407,8 FCFA), confirmant une tendance haussière de court et moyen terme. La configuration des MM, avec la MM20 au-dessus de la MM50, est un signal classique d'achat, indiquant que la dynamique positive est toujours en place.</w:t>
      </w:r>
    </w:p>
    <w:p>
      <w:pPr>
        <w:spacing w:after="120" w:line="276" w:lineRule="auto"/>
      </w:pPr>
      <w:r>
        <w:t>**Bandes de Bollinger**: Le cours se situe à 12 985 FCFA, en dessous de la borne supérieure (13 990,145 FCFA) mais bien au-dessus de la borne inférieure (9 876,855 FCFA). Cette position suggère que le prix, bien qu'ayant fortement monté, n'est pas encore en zone de surachat extrême. La décision "Neutre" est appropriée, car le titre respire après une forte impulsion, mais la pression acheteuse reste présente.</w:t>
      </w:r>
    </w:p>
    <w:p>
      <w:pPr>
        <w:spacing w:after="120" w:line="276" w:lineRule="auto"/>
      </w:pPr>
      <w:r>
        <w:t>**MACD**: Le MACD (876,534) est positif et supérieur à sa ligne de signal (795,02), ce qui est un signal d'achat. Cette configuration indique que le momentum haussier, bien que potentiellement en phase de ralentissement, est toujours positif. La poursuite de la tendance est donc favorisée tant que le MACD reste au-dessus de son signal.</w:t>
      </w:r>
    </w:p>
    <w:p>
      <w:pPr>
        <w:spacing w:after="120" w:line="276" w:lineRule="auto"/>
      </w:pPr>
      <w:r>
        <w:t>**RSI**: Avec une valeur de 85,0, le RSI est en zone de surachat très prononcée (au-dessus de 70). C'est un signal de vente fort, indiquant que le titre est survendu à la hausse et qu'un repli technique est probable à court terme. Ce signal contredit la tendance de fond mais suggère une prudence immédiate.</w:t>
      </w:r>
    </w:p>
    <w:p>
      <w:pPr>
        <w:spacing w:after="120" w:line="276" w:lineRule="auto"/>
      </w:pPr>
      <w:r>
        <w:t>**Stochastique**: Le %K (77,857) est passé sous le %D (88,835), ce qui est un signal de retournement baissier potentiel. Bien que les deux valeurs soient encore élevées, ce croisement indique un affaiblissement de la dynamique haussière. La décision "Neutre" est cohérente, car elle suggère une consolidation avant une possible poursuite ou un repli plus marqué.</w:t>
      </w:r>
    </w:p>
    <w:p>
      <w:pPr>
        <w:spacing w:after="120" w:line="276" w:lineRule="auto"/>
      </w:pPr>
      <w:r>
        <w:t>**Conclusion technique**: Les indicateurs de tendance (MM, MACD) sont résolument positifs, mais les oscillateurs de momentum (RSI, Stochastique) signalent une condition de surachat extrême. Cette divergence indique que la tendance haussière de fond est intacte, mais qu'un repli technique ou une phase de consolidation est très probable à court terme pour "respirer" et corriger des conditions de surachat.</w:t>
      </w:r>
    </w:p>
    <w:p>
      <w:pPr>
        <w:spacing w:after="120" w:line="276" w:lineRule="auto"/>
      </w:pPr>
      <w:r>
        <w:t>### PARTIE 3 : ANALYSE FONDAMENTALE (SECTION CRITIQUE)</w:t>
      </w:r>
    </w:p>
    <w:p>
      <w:pPr>
        <w:spacing w:after="120" w:line="276" w:lineRule="auto"/>
      </w:pPr>
      <w:r>
        <w:t>En 2025, les données structurées annuelles confirment la solidité de BOAC. Le Produit Net Bancaire (PNB) s'établit à 73,545 Mds FCFA, générant un résultat net de 35,540 Mds FCFA. Cette performance se traduit par une rentabilité exceptionnelle, avec un ROE de 27,9% et un ROA de 3,2%. Le coefficient d'exploitation de 36,7% témoigne d'une excellente maîtrise des coûts. Cependant, le coût du risque de 6,67% est un point de vigilance, signalant un risque de crédit significatif. Les rapports trimestriels de 2025 dressent un tableau plus nuancé. Le rapport du T1 2025 (PNB de 18,39 Mds FCFA, +4,93%) montrait une belle dynamique, mais le rapport du S1 2025 (PNB de 36,21 Mds FCFA, -0,35%) et surtout celui du T3 2025 (PNB de 53,49 Mds FCFA, +0,23%) révèlent une nette décélération de l'activité. Sur la base de ces tendances, on estime que l'exercice 2025 devrait voir un PNB quasi stable par rapport à 2024, mais le résultat net annuel (35,54 Mds FCFA) est déjà supérieur au résultat de 2024 (32,04 Mds FCFA), grâce à une meilleure maîtrise du risque. La banque a doublé son capital en 2024, renforçant sa solidité, mais la contraction des crédits (-11,97% au T3) et la stagnation du PNB sont des signaux de prudence pour la croissance future.</w:t>
      </w:r>
    </w:p>
    <w:p>
      <w:pPr>
        <w:spacing w:after="120" w:line="276" w:lineRule="auto"/>
      </w:pPr>
      <w:r>
        <w:t>### PARTIE 4 : CONCLUSION D'INVESTISSEMENT</w:t>
      </w:r>
    </w:p>
    <w:p>
      <w:pPr>
        <w:spacing w:after="120" w:line="276" w:lineRule="auto"/>
      </w:pPr>
      <w:r>
        <w:t>La valorisation actuelle de BOAC (PER 14,6x, P/B 4,08x) est exigeante, intégrant déjà des perspectives de croissance élevées. Le comportement du cours, avec une hausse de +49% en 100 jours et une volatilité de 28,3%, montre un intérêt marqué mais aussi un risque de correction, comme l'indiquent le RSI en surachat et le skewness positif. Les signaux techniques sont partagés : la tendance de fond (MM, MACD) reste haussière, mais les oscillateurs appellent à la prudence à court terme. Les fondamentaux sont solides (ROE de 27,9%, coefficient d'exploitation bas), mais la dynamique commerciale s'est nettement essoufflée au cours des trimestres 2025. Enfin, les prédictions IA pour les 10 prochains jours (baisse de 12 243 à 10 186 FCFA) confirment le scénario d'un repli technique. En synthèse, la convergence des signaux techniques de court terme (RSI, Stochastique) et des prédictions IA suggère une correction probable. Cependant, la solidité fondamentale et la tendance de fond plaident pour une performance positive à moyen terme. **Recommandation : CONSERVER**. Le niveau de confiance est **Moyen**, car la force de la tendance pourrait limiter l'amplitude du repli. Le risque global est **Élevé** en raison de la valorisation tendue et de la volatilité. L'horizon d'investissement optimal est le **moyen terme (3-12 mois)**, en attendant que le titre consolide ses gains et que la croissance du PNB redémarre.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6,207 titres</w:t>
            </w:r>
          </w:p>
        </w:tc>
        <w:tc>
          <w:tcPr>
            <w:tcW w:type="dxa" w:w="2268"/>
            <w:shd w:fill="FFF2CC" w:val="clear"/>
          </w:tcPr>
          <w:p>
            <w:r>
              <w:rPr>
                <w:b/>
                <w:color w:val="503200"/>
                <w:sz w:val="16"/>
              </w:rPr>
              <w:t xml:space="preserve">Cours actuel : </w:t>
            </w:r>
            <w:r>
              <w:rPr>
                <w:color w:val="000000"/>
                <w:sz w:val="17"/>
              </w:rPr>
              <w:t>6,490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6,490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10.44% (Moyenne) — μ=5,065 FCFA, σ=529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β=0.4314 (Défensif) — Cov=0.000014, Var(idx)=0.000033, ρ=0.122,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6,291</w:t>
            </w:r>
          </w:p>
        </w:tc>
        <w:tc>
          <w:tcPr>
            <w:tcW w:type="dxa" w:w="1440"/>
            <w:shd w:fill="FAFAFA" w:val="clear"/>
          </w:tcPr>
          <w:p>
            <w:r>
              <w:rPr>
                <w:b/>
                <w:sz w:val="17"/>
              </w:rPr>
              <w:t>6,482</w:t>
            </w:r>
          </w:p>
        </w:tc>
        <w:tc>
          <w:tcPr>
            <w:tcW w:type="dxa" w:w="1440"/>
            <w:shd w:fill="FAFAFA" w:val="clear"/>
          </w:tcPr>
          <w:p>
            <w:r>
              <w:rPr>
                <w:sz w:val="17"/>
              </w:rPr>
              <w:t>6,673</w:t>
            </w:r>
          </w:p>
        </w:tc>
        <w:tc>
          <w:tcPr>
            <w:tcW w:type="dxa" w:w="1440"/>
            <w:shd w:fill="FAFAFA" w:val="clear"/>
          </w:tcPr>
          <w:p>
            <w:r>
              <w:rPr>
                <w:b/>
                <w:color w:val="C00000"/>
                <w:sz w:val="17"/>
              </w:rPr>
              <w:t>-0.1%</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6,073</w:t>
            </w:r>
          </w:p>
        </w:tc>
        <w:tc>
          <w:tcPr>
            <w:tcW w:type="dxa" w:w="1440"/>
            <w:shd w:fill="FFDCE0" w:val="clear"/>
          </w:tcPr>
          <w:p>
            <w:r>
              <w:rPr>
                <w:b/>
                <w:sz w:val="17"/>
              </w:rPr>
              <w:t>6,336</w:t>
            </w:r>
          </w:p>
        </w:tc>
        <w:tc>
          <w:tcPr>
            <w:tcW w:type="dxa" w:w="1440"/>
            <w:shd w:fill="FFDCE0" w:val="clear"/>
          </w:tcPr>
          <w:p>
            <w:r>
              <w:rPr>
                <w:sz w:val="17"/>
              </w:rPr>
              <w:t>6,600</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5,853</w:t>
            </w:r>
          </w:p>
        </w:tc>
        <w:tc>
          <w:tcPr>
            <w:tcW w:type="dxa" w:w="1440"/>
            <w:shd w:fill="FFDCE0" w:val="clear"/>
          </w:tcPr>
          <w:p>
            <w:r>
              <w:rPr>
                <w:b/>
                <w:sz w:val="17"/>
              </w:rPr>
              <w:t>6,168</w:t>
            </w:r>
          </w:p>
        </w:tc>
        <w:tc>
          <w:tcPr>
            <w:tcW w:type="dxa" w:w="1440"/>
            <w:shd w:fill="FFDCE0" w:val="clear"/>
          </w:tcPr>
          <w:p>
            <w:r>
              <w:rPr>
                <w:sz w:val="17"/>
              </w:rPr>
              <w:t>6,482</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5,669</w:t>
            </w:r>
          </w:p>
        </w:tc>
        <w:tc>
          <w:tcPr>
            <w:tcW w:type="dxa" w:w="1440"/>
            <w:shd w:fill="FFDCE0" w:val="clear"/>
          </w:tcPr>
          <w:p>
            <w:r>
              <w:rPr>
                <w:b/>
                <w:sz w:val="17"/>
              </w:rPr>
              <w:t>6,024</w:t>
            </w:r>
          </w:p>
        </w:tc>
        <w:tc>
          <w:tcPr>
            <w:tcW w:type="dxa" w:w="1440"/>
            <w:shd w:fill="FFDCE0" w:val="clear"/>
          </w:tcPr>
          <w:p>
            <w:r>
              <w:rPr>
                <w:sz w:val="17"/>
              </w:rPr>
              <w:t>6,379</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5,518</w:t>
            </w:r>
          </w:p>
        </w:tc>
        <w:tc>
          <w:tcPr>
            <w:tcW w:type="dxa" w:w="1440"/>
            <w:shd w:fill="FFDCE0" w:val="clear"/>
          </w:tcPr>
          <w:p>
            <w:r>
              <w:rPr>
                <w:b/>
                <w:sz w:val="17"/>
              </w:rPr>
              <w:t>5,907</w:t>
            </w:r>
          </w:p>
        </w:tc>
        <w:tc>
          <w:tcPr>
            <w:tcW w:type="dxa" w:w="1440"/>
            <w:shd w:fill="FFDCE0" w:val="clear"/>
          </w:tcPr>
          <w:p>
            <w:r>
              <w:rPr>
                <w:sz w:val="17"/>
              </w:rPr>
              <w:t>6,296</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5,389</w:t>
            </w:r>
          </w:p>
        </w:tc>
        <w:tc>
          <w:tcPr>
            <w:tcW w:type="dxa" w:w="1440"/>
            <w:shd w:fill="FFDCE0" w:val="clear"/>
          </w:tcPr>
          <w:p>
            <w:r>
              <w:rPr>
                <w:b/>
                <w:sz w:val="17"/>
              </w:rPr>
              <w:t>5,807</w:t>
            </w:r>
          </w:p>
        </w:tc>
        <w:tc>
          <w:tcPr>
            <w:tcW w:type="dxa" w:w="1440"/>
            <w:shd w:fill="FFDCE0" w:val="clear"/>
          </w:tcPr>
          <w:p>
            <w:r>
              <w:rPr>
                <w:sz w:val="17"/>
              </w:rPr>
              <w:t>6,226</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5,273</w:t>
            </w:r>
          </w:p>
        </w:tc>
        <w:tc>
          <w:tcPr>
            <w:tcW w:type="dxa" w:w="1440"/>
            <w:shd w:fill="FFDCE0" w:val="clear"/>
          </w:tcPr>
          <w:p>
            <w:r>
              <w:rPr>
                <w:b/>
                <w:sz w:val="17"/>
              </w:rPr>
              <w:t>5,718</w:t>
            </w:r>
          </w:p>
        </w:tc>
        <w:tc>
          <w:tcPr>
            <w:tcW w:type="dxa" w:w="1440"/>
            <w:shd w:fill="FFDCE0" w:val="clear"/>
          </w:tcPr>
          <w:p>
            <w:r>
              <w:rPr>
                <w:sz w:val="17"/>
              </w:rPr>
              <w:t>6,164</w:t>
            </w:r>
          </w:p>
        </w:tc>
        <w:tc>
          <w:tcPr>
            <w:tcW w:type="dxa" w:w="1440"/>
            <w:shd w:fill="FFDCE0" w:val="clear"/>
          </w:tcPr>
          <w:p>
            <w:r>
              <w:rPr>
                <w:b/>
                <w:color w:val="C00000"/>
                <w:sz w:val="17"/>
              </w:rPr>
              <w:t>-11.9%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5,166</w:t>
            </w:r>
          </w:p>
        </w:tc>
        <w:tc>
          <w:tcPr>
            <w:tcW w:type="dxa" w:w="1440"/>
            <w:shd w:fill="FFDCE0" w:val="clear"/>
          </w:tcPr>
          <w:p>
            <w:r>
              <w:rPr>
                <w:b/>
                <w:sz w:val="17"/>
              </w:rPr>
              <w:t>5,636</w:t>
            </w:r>
          </w:p>
        </w:tc>
        <w:tc>
          <w:tcPr>
            <w:tcW w:type="dxa" w:w="1440"/>
            <w:shd w:fill="FFDCE0" w:val="clear"/>
          </w:tcPr>
          <w:p>
            <w:r>
              <w:rPr>
                <w:sz w:val="17"/>
              </w:rPr>
              <w:t>6,105</w:t>
            </w:r>
          </w:p>
        </w:tc>
        <w:tc>
          <w:tcPr>
            <w:tcW w:type="dxa" w:w="1440"/>
            <w:shd w:fill="FFDCE0" w:val="clear"/>
          </w:tcPr>
          <w:p>
            <w:r>
              <w:rPr>
                <w:b/>
                <w:color w:val="C00000"/>
                <w:sz w:val="17"/>
              </w:rPr>
              <w:t>-13.2%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5,067</w:t>
            </w:r>
          </w:p>
        </w:tc>
        <w:tc>
          <w:tcPr>
            <w:tcW w:type="dxa" w:w="1440"/>
            <w:shd w:fill="FFDCE0" w:val="clear"/>
          </w:tcPr>
          <w:p>
            <w:r>
              <w:rPr>
                <w:b/>
                <w:sz w:val="17"/>
              </w:rPr>
              <w:t>5,558</w:t>
            </w:r>
          </w:p>
        </w:tc>
        <w:tc>
          <w:tcPr>
            <w:tcW w:type="dxa" w:w="1440"/>
            <w:shd w:fill="FFDCE0" w:val="clear"/>
          </w:tcPr>
          <w:p>
            <w:r>
              <w:rPr>
                <w:sz w:val="17"/>
              </w:rPr>
              <w:t>6,050</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4,975</w:t>
            </w:r>
          </w:p>
        </w:tc>
        <w:tc>
          <w:tcPr>
            <w:tcW w:type="dxa" w:w="1440"/>
            <w:shd w:fill="FFDCE0" w:val="clear"/>
          </w:tcPr>
          <w:p>
            <w:r>
              <w:rPr>
                <w:b/>
                <w:sz w:val="17"/>
              </w:rPr>
              <w:t>5,486</w:t>
            </w:r>
          </w:p>
        </w:tc>
        <w:tc>
          <w:tcPr>
            <w:tcW w:type="dxa" w:w="1440"/>
            <w:shd w:fill="FFDCE0" w:val="clear"/>
          </w:tcPr>
          <w:p>
            <w:r>
              <w:rPr>
                <w:sz w:val="17"/>
              </w:rPr>
              <w:t>5,997</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178,15 milliards FCFA positionne BOAM comme une valeur de taille moyenne sur la BRVM, représentative d'un actif bancaire significatif dans l'économie malienne. Avec un BPA de 404 FCFA, chaque action génère un bénéfice confortable. Le PER de 16,1x est supérieur à la moyenne historique de la BRVM (8-12x), indiquant que les investisseurs paient une prime substantielle pour la croissance et la résilience de la banque. Le P/B de 3,58x confirme cette prime, le marché valorisant la société à plus de 3,5 fois ses capitaux propres comptables, ce qui reflète une forte confiance dans la création de valeur future. Enfin, un EV/EBITDA de 8,5x, dans la fourchette haute des 5-10x jugés raisonnables, suggère que la valeur d'entreprise reste cohérente avec sa capacité opérationnelle à générer des bénéfices, malgré une valorisation boursière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performance spectaculaire de +38,23%, avec une accélération notable lors de la dernière séance (+3,84%), clôturant à son plus haut historique de 6 490 FCFA. Cette tendance haussière marquée s'est déroulée dans un range de trading de 4 425 à 6 490 FCFA. Les statistiques descriptives révèlent une distribution asymétrique positive (Skewness de 0,876), signifiant que le cours a passé plus de journées sous sa moyenne (5 065 FCFA) que au-dessus, mais avec des pics de hausse importants. L'écart-type de 532 FCFA (CV de 10,5%) indique une dispersion modérée autour de la moyenne. Le kurtosis de -0,451 (mésokurtique) suggère une distribution proche de la normale, sans risque de variations extrêmes imprévisibles. La volatilité annualisée de 32,3% classe le titre comme très volatil, un niveau élevé qui implique des fluctuations de prix significatives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(6 490 FCFA) se situe nettement au-dessus de la MM20 (5 862,5 FCFA) et de la MM50 (5 404,1 FCFA), dans une configuration de "golden cross" haussière. Cette structure valide la tendance haussière de moyen terme et justifie le signal d'achat, la dynamique des prix restant fortement positive.</w:t>
      </w:r>
    </w:p>
    <w:p>
      <w:pPr>
        <w:spacing w:after="120" w:line="276" w:lineRule="auto"/>
      </w:pPr>
      <w:r>
        <w:t>**Bandes de Bollinger** : Le prix évolue à la borne supérieure des bandes (6 500 FCFA), indiquant une pression acheteuse très forte et une volatilité élevée. Le signal est neutre car, bien que le titre soit en zone de surachat technique, la tendance reste puissante et peut continuer à "marcher" le long de la bande supérieure avant une éventuelle consolidation.</w:t>
      </w:r>
    </w:p>
    <w:p>
      <w:pPr>
        <w:spacing w:after="120" w:line="276" w:lineRule="auto"/>
      </w:pPr>
      <w:r>
        <w:t>**MACD** : Le MACD (254,04) est nettement au-dessus de son signal (211,65), avec un écart positif croissant. Cette configuration confirme un momentum haussier robuste et une accélération de la tendance, justifiant le signal d'achat. La dynamique positive du momentum est un indicateur clé de la force actuelle du titre.</w:t>
      </w:r>
    </w:p>
    <w:p>
      <w:pPr>
        <w:spacing w:after="120" w:line="276" w:lineRule="auto"/>
      </w:pPr>
      <w:r>
        <w:t>**RSI** : Le RSI à 88,02 est extrêmement élevé, bien au-delà du seuil de surachat de 70. Ce niveau signale une situation de surachat extrême, indiquant que le titre est techniquement surévalué à court terme et qu'un repli technique est hautement probable. Le signal de vente est donc justifié pour les traders à court terme.</w:t>
      </w:r>
    </w:p>
    <w:p>
      <w:pPr>
        <w:spacing w:after="120" w:line="276" w:lineRule="auto"/>
      </w:pPr>
      <w:r>
        <w:t>**Stochastique** : Le %K (100) et le %D (98,11) sont tous deux à des niveaux extrêmes de surachat, sans signe de croisement baissier pour l'instant. Cette configuration reflète une force d'achat exceptionnelle mais insoutenable à long terme, justifiant le signal de vente par anticipation d'une correction.</w:t>
      </w:r>
    </w:p>
    <w:p>
      <w:pPr>
        <w:spacing w:after="120" w:line="276" w:lineRule="auto"/>
      </w:pPr>
      <w:r>
        <w:t>**Conclusion technique** : Les indicateurs de tendance (MM, MACD) sont unanimement haussiers, mais les oscillateurs (RSI, Stochastique) sont en zone de surachat extrême. Cette divergence signale une forte probabilité de consolidation ou de correction à court terme, bien que la tendance de fond reste résolument positive. Un investisseur prudent attendrait un repli vers les 6 000-6 100 FCFA pour renforcer sa position.</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font état d'un Produit Net Bancaire (PNB) de 37,996 milliards FCFA, en croissance de 5,08% par rapport à 2024 (36,16 milliards FCFA). Le résultat net s'établit à 11,081 milliards FCFA, contre 9,12 milliards en 2024, soit une progression de 21,5%. Cette performance est remarquable, avec un ROE de 22,24% (excellent, &gt;15%) et un ROA de 1,87%. Le coefficient d'exploitation de 63,14% reste légèrement au-dessus du seuil d'efficacité de 60%, mais s'améliore. Le coût du risque, à 43,39% des charges financières, demeure élevé, indiquant un risque de crédit significatif. La banque affiche une transformation saine avec 253,65 milliards FCFA de crédits clientèle couverts par 502,89 milliards FCFA de dépôts. Les rapports trimestriels de 2025 confirment cette trajectoire : le T1 2025 montrait un résultat net en hausse de 91,18% à 3,021 milliards, le S1 2025 un résultat net de 6,21 milliards (+28,8%), et le T3 2025 un résultat net cumulé de 9,16 milliards (+26,2%). Sur la base de ces données, on estime que l'exercice 2025 devrait confirmer une croissance soutenue, portée par une amélioration du coût du risque et une maîtrise des charges, malgré un contexte macroéconomique malien difficile (inflation, insécurité). La solidité financière est réelle, mais les risques pays et de crédit imposent une prime de risque.</w:t>
      </w:r>
    </w:p>
    <w:p>
      <w:pPr>
        <w:spacing w:after="120" w:line="276" w:lineRule="auto"/>
      </w:pPr>
      <w:r>
        <w:t>---</w:t>
      </w:r>
    </w:p>
    <w:p>
      <w:pPr>
        <w:spacing w:after="120" w:line="276" w:lineRule="auto"/>
      </w:pPr>
      <w:r>
        <w:t>### PARTIE 4 : CONCLUSION D'INVESTISSEMENT</w:t>
      </w:r>
    </w:p>
    <w:p>
      <w:pPr>
        <w:spacing w:after="120" w:line="276" w:lineRule="auto"/>
      </w:pPr>
      <w:r>
        <w:t>La valorisation de BOAM (PER 16,1x, P/B 3,58x) est exigeante, intégrant une prime de croissance qui semble justifiée par des fondamentaux solides (ROE &gt;22%, croissance du résultat net &gt;20%). Le comportement du cours, avec une hausse de 38% en 100 jours et une volatilité élevée (32,3%), reflète un enthousiasme marqué, mais les statistiques (skewness positif) suggèrent un potentiel de consolidation. Les signaux techniques sont contradictoires : la tendance (MM, MACD) est fortement haussière, mais les oscillateurs (RSI 88, Stochastique 100) crient au surachat extrême. Les fondamentaux, bien que solides, sont confrontés à un risque pays élevé. Les prédictions IA pour les 10 prochains jours (6 482 → 5 907 FCFA) anticipent une correction de -9%, confirmant les signaux de surachat technique. En synthèse, la convergence entre la valorisation élevée, les signaux techniques de surachat et les prédictions IA baissières suggère une pause imminente dans la tendance haussière. **Recommandation finale : CONSERVER.** La confiance est **Moyenne** (les fondamentaux solides soutiennent la valeur à long terme, mais les signaux à court terme sont baissiers). Le niveau de risque global est **Élevé** (volatilité, surachat technique, risque pays). L'horizon d'investissement optimal est le **Moyen terme (3-12 mois)**, en attendant une correction pour renforcer les positions.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10,395 titres</w:t>
            </w:r>
          </w:p>
        </w:tc>
        <w:tc>
          <w:tcPr>
            <w:tcW w:type="dxa" w:w="2268"/>
            <w:shd w:fill="FFF2CC" w:val="clear"/>
          </w:tcPr>
          <w:p>
            <w:r>
              <w:rPr>
                <w:b/>
                <w:color w:val="503200"/>
                <w:sz w:val="16"/>
              </w:rPr>
              <w:t xml:space="preserve">Cours actuel : </w:t>
            </w:r>
            <w:r>
              <w:rPr>
                <w:color w:val="000000"/>
                <w:sz w:val="17"/>
              </w:rPr>
              <w:t>5,280 FCFA</w:t>
            </w:r>
          </w:p>
          <w:p>
            <w:r>
              <w:rPr>
                <w:b/>
                <w:color w:val="503200"/>
                <w:sz w:val="16"/>
              </w:rPr>
              <w:t xml:space="preserve">Var. 100 jours : </w:t>
            </w:r>
            <w:r>
              <w:rPr>
                <w:b/>
                <w:color w:val="007800"/>
                <w:sz w:val="17"/>
              </w:rPr>
              <w:t>+99.25%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21.01% (Élevée) — μ=4,036 FCFA, σ=848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β=0.0690 (Défensif) — Cov=0.000002, Var(idx)=0.000033, ρ=0.016,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5,019</w:t>
            </w:r>
          </w:p>
        </w:tc>
        <w:tc>
          <w:tcPr>
            <w:tcW w:type="dxa" w:w="1440"/>
            <w:shd w:fill="FAFAFA" w:val="clear"/>
          </w:tcPr>
          <w:p>
            <w:r>
              <w:rPr>
                <w:b/>
                <w:sz w:val="17"/>
              </w:rPr>
              <w:t>5,230</w:t>
            </w:r>
          </w:p>
        </w:tc>
        <w:tc>
          <w:tcPr>
            <w:tcW w:type="dxa" w:w="1440"/>
            <w:shd w:fill="FAFAFA" w:val="clear"/>
          </w:tcPr>
          <w:p>
            <w:r>
              <w:rPr>
                <w:sz w:val="17"/>
              </w:rPr>
              <w:t>5,441</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4,932</w:t>
            </w:r>
          </w:p>
        </w:tc>
        <w:tc>
          <w:tcPr>
            <w:tcW w:type="dxa" w:w="1440"/>
            <w:shd w:fill="FAFAFA" w:val="clear"/>
          </w:tcPr>
          <w:p>
            <w:r>
              <w:rPr>
                <w:b/>
                <w:sz w:val="17"/>
              </w:rPr>
              <w:t>5,230</w:t>
            </w:r>
          </w:p>
        </w:tc>
        <w:tc>
          <w:tcPr>
            <w:tcW w:type="dxa" w:w="1440"/>
            <w:shd w:fill="FAFAFA" w:val="clear"/>
          </w:tcPr>
          <w:p>
            <w:r>
              <w:rPr>
                <w:sz w:val="17"/>
              </w:rPr>
              <w:t>5,528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4,855</w:t>
            </w:r>
          </w:p>
        </w:tc>
        <w:tc>
          <w:tcPr>
            <w:tcW w:type="dxa" w:w="1440"/>
            <w:shd w:fill="FAFAFA" w:val="clear"/>
          </w:tcPr>
          <w:p>
            <w:r>
              <w:rPr>
                <w:b/>
                <w:sz w:val="17"/>
              </w:rPr>
              <w:t>5,220</w:t>
            </w:r>
          </w:p>
        </w:tc>
        <w:tc>
          <w:tcPr>
            <w:tcW w:type="dxa" w:w="1440"/>
            <w:shd w:fill="FAFAFA" w:val="clear"/>
          </w:tcPr>
          <w:p>
            <w:r>
              <w:rPr>
                <w:sz w:val="17"/>
              </w:rPr>
              <w:t>5,584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4,789</w:t>
            </w:r>
          </w:p>
        </w:tc>
        <w:tc>
          <w:tcPr>
            <w:tcW w:type="dxa" w:w="1440"/>
            <w:shd w:fill="FAFAFA" w:val="clear"/>
          </w:tcPr>
          <w:p>
            <w:r>
              <w:rPr>
                <w:b/>
                <w:sz w:val="17"/>
              </w:rPr>
              <w:t>5,209</w:t>
            </w:r>
          </w:p>
        </w:tc>
        <w:tc>
          <w:tcPr>
            <w:tcW w:type="dxa" w:w="1440"/>
            <w:shd w:fill="FAFAFA" w:val="clear"/>
          </w:tcPr>
          <w:p>
            <w:r>
              <w:rPr>
                <w:sz w:val="17"/>
              </w:rPr>
              <w:t>5,629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4,730</w:t>
            </w:r>
          </w:p>
        </w:tc>
        <w:tc>
          <w:tcPr>
            <w:tcW w:type="dxa" w:w="1440"/>
            <w:shd w:fill="FAFAFA" w:val="clear"/>
          </w:tcPr>
          <w:p>
            <w:r>
              <w:rPr>
                <w:b/>
                <w:sz w:val="17"/>
              </w:rPr>
              <w:t>5,198</w:t>
            </w:r>
          </w:p>
        </w:tc>
        <w:tc>
          <w:tcPr>
            <w:tcW w:type="dxa" w:w="1440"/>
            <w:shd w:fill="FAFAFA" w:val="clear"/>
          </w:tcPr>
          <w:p>
            <w:r>
              <w:rPr>
                <w:sz w:val="17"/>
              </w:rPr>
              <w:t>5,667</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4,675</w:t>
            </w:r>
          </w:p>
        </w:tc>
        <w:tc>
          <w:tcPr>
            <w:tcW w:type="dxa" w:w="1440"/>
            <w:shd w:fill="FAFAFA" w:val="clear"/>
          </w:tcPr>
          <w:p>
            <w:r>
              <w:rPr>
                <w:b/>
                <w:sz w:val="17"/>
              </w:rPr>
              <w:t>5,187</w:t>
            </w:r>
          </w:p>
        </w:tc>
        <w:tc>
          <w:tcPr>
            <w:tcW w:type="dxa" w:w="1440"/>
            <w:shd w:fill="FAFAFA" w:val="clear"/>
          </w:tcPr>
          <w:p>
            <w:r>
              <w:rPr>
                <w:sz w:val="17"/>
              </w:rPr>
              <w:t>5,700</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4,625</w:t>
            </w:r>
          </w:p>
        </w:tc>
        <w:tc>
          <w:tcPr>
            <w:tcW w:type="dxa" w:w="1440"/>
            <w:shd w:fill="FAFAFA" w:val="clear"/>
          </w:tcPr>
          <w:p>
            <w:r>
              <w:rPr>
                <w:b/>
                <w:sz w:val="17"/>
              </w:rPr>
              <w:t>5,177</w:t>
            </w:r>
          </w:p>
        </w:tc>
        <w:tc>
          <w:tcPr>
            <w:tcW w:type="dxa" w:w="1440"/>
            <w:shd w:fill="FAFAFA" w:val="clear"/>
          </w:tcPr>
          <w:p>
            <w:r>
              <w:rPr>
                <w:sz w:val="17"/>
              </w:rPr>
              <w:t>5,729</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4,578</w:t>
            </w:r>
          </w:p>
        </w:tc>
        <w:tc>
          <w:tcPr>
            <w:tcW w:type="dxa" w:w="1440"/>
            <w:shd w:fill="FFDCE0" w:val="clear"/>
          </w:tcPr>
          <w:p>
            <w:r>
              <w:rPr>
                <w:b/>
                <w:sz w:val="17"/>
              </w:rPr>
              <w:t>5,167</w:t>
            </w:r>
          </w:p>
        </w:tc>
        <w:tc>
          <w:tcPr>
            <w:tcW w:type="dxa" w:w="1440"/>
            <w:shd w:fill="FFDCE0" w:val="clear"/>
          </w:tcPr>
          <w:p>
            <w:r>
              <w:rPr>
                <w:sz w:val="17"/>
              </w:rPr>
              <w:t>5,756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4,533</w:t>
            </w:r>
          </w:p>
        </w:tc>
        <w:tc>
          <w:tcPr>
            <w:tcW w:type="dxa" w:w="1440"/>
            <w:shd w:fill="FFDCE0" w:val="clear"/>
          </w:tcPr>
          <w:p>
            <w:r>
              <w:rPr>
                <w:b/>
                <w:sz w:val="17"/>
              </w:rPr>
              <w:t>5,156</w:t>
            </w:r>
          </w:p>
        </w:tc>
        <w:tc>
          <w:tcPr>
            <w:tcW w:type="dxa" w:w="1440"/>
            <w:shd w:fill="FFDCE0" w:val="clear"/>
          </w:tcPr>
          <w:p>
            <w:r>
              <w:rPr>
                <w:sz w:val="17"/>
              </w:rPr>
              <w:t>5,780</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4,490</w:t>
            </w:r>
          </w:p>
        </w:tc>
        <w:tc>
          <w:tcPr>
            <w:tcW w:type="dxa" w:w="1440"/>
            <w:shd w:fill="FFDCE0" w:val="clear"/>
          </w:tcPr>
          <w:p>
            <w:r>
              <w:rPr>
                <w:b/>
                <w:sz w:val="17"/>
              </w:rPr>
              <w:t>5,146</w:t>
            </w:r>
          </w:p>
        </w:tc>
        <w:tc>
          <w:tcPr>
            <w:tcW w:type="dxa" w:w="1440"/>
            <w:shd w:fill="FFDCE0" w:val="clear"/>
          </w:tcPr>
          <w:p>
            <w:r>
              <w:rPr>
                <w:sz w:val="17"/>
              </w:rPr>
              <w:t>5,802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109,82 milliards FCFA, un niveau significatif qui la positionne parmi les valeurs moyennes de la BRVM. Le BPA de 20 FCFA par action est extrêmement faible, traduisant une capacité bénéficiaire très réduite. Le PER de 268,5x est considérablement supérieur à la moyenne du marché BRVM (8-12x), indiquant une valorisation extrêmement exigeante : les investisseurs paient un prix très élevé pour des bénéfices actuels minimes, ce qui reflète des anticipations de redressement très fortes. Le P/B de 3,05x montre que le marché valorise la société à plus de trois fois ses capitaux propres, une prime de croissance notable. Enfin, l'EV/EBITDA de 40,2x, très supérieur au seuil de 15x, confirme une valorisation très exigeante par rapport à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+99,25%, avec une légère hausse de +0,57% lors de la dernière séance, pour atteindre 5 280 FCFA. Le titre a évolué dans une fourchette très large, entre un plus bas de 2 620 FCFA et un plus haut de 5 400 FCFA, démontrant une tendance fortement haussière. La moyenne du cours sur la période (4 036 FCFA) est supérieure à la médiane (3 740 FCFA), indiquant une distribution légèrement asymétrique avec des valeurs extrêmes élevées. L'écart-type de 852 FCFA (CV=21,1%) révèle une dispersion modérée des prix autour de la moyenne. Le kurtosis négatif (-1,118) signale une distribution aplatie, avec moins de pics extrêmes que la normale, tandis que le skewness positif (0,215) confirme une légère asymétrie vers les hausses. La volatilité annualisée de 39,5% classe le titre comme très volatil, un niveau élevé qui implique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(5 199,75 FCFA) et la MM50 (4 719,2 FCFA) sont toutes deux inférieures au cours actuel de 5 280 FCFA, avec une MM20 au-dessus de la MM50, configurant une tendance haussière solide. Le signal d'achat est justifié par cette configuration en "courbe ascendante", indiquant que la dynamique positive est soutenue à court et moyen terme.</w:t>
      </w:r>
    </w:p>
    <w:p>
      <w:pPr>
        <w:spacing w:after="120" w:line="276" w:lineRule="auto"/>
      </w:pPr>
      <w:r>
        <w:t>**Bandes de Bollinger :** Le cours se situe à 5 280 FCFA, proche de la borne supérieure (5 380,52 FCFA) et nettement au-dessus de la borne inférieure (5 018,98 FCFA). Cette position suggère une pression acheteuse persistante, mais le signal neutre indique que le titre n'est pas encore en zone de surachat extrême, bien que la volatilité soit élevée.</w:t>
      </w:r>
    </w:p>
    <w:p>
      <w:pPr>
        <w:spacing w:after="120" w:line="276" w:lineRule="auto"/>
      </w:pPr>
      <w:r>
        <w:t>**MACD :** Le MACD (110,808) est inférieur à sa ligne de signal (141,571), indiquant un momentum baissier à court terme. Ce croisement baissier, malgré une tendance haussière sous-jacente, suggère une possible consolidation ou correction technique après la forte hausse récente, justifiant le signal de vente.</w:t>
      </w:r>
    </w:p>
    <w:p>
      <w:pPr>
        <w:spacing w:after="120" w:line="276" w:lineRule="auto"/>
      </w:pPr>
      <w:r>
        <w:t>**RSI :** Le RSI de 49,194 se situe en zone neutre, indiquant un équilibre entre les forces acheteuses et vendeuses. Cette valeur suggère que le titre n'est ni suracheté ni survendu, laissant place à une évolution dans les deux sens sans pression particulière.</w:t>
      </w:r>
    </w:p>
    <w:p>
      <w:pPr>
        <w:spacing w:after="120" w:line="276" w:lineRule="auto"/>
      </w:pPr>
      <w:r>
        <w:t>**Stochastique :** Le %K (100,0) est nettement supérieur au %D (72,093), signalant une condition de surachat extrême. Cette configuration, avec un %K à son maximum, indique que le titre est très probablement en zone de surachat, ce qui justifie le signal de vente et suggère un risque de correction prochain.</w:t>
      </w:r>
    </w:p>
    <w:p>
      <w:pPr>
        <w:spacing w:after="120" w:line="276" w:lineRule="auto"/>
      </w:pPr>
      <w:r>
        <w:t>**Conclusion technique :** Les indicateurs sont mitigés : les moyennes mobiles confirment une tendance haussière de fond, mais le MACD, le stochastique et la position proche de la borne supérieure de Bollinger signalent une possible consolidation. La prudence est recommandée à court terme malgré la tendance positive.</w:t>
      </w:r>
    </w:p>
    <w:p>
      <w:pPr>
        <w:spacing w:after="120" w:line="276" w:lineRule="auto"/>
      </w:pPr>
      <w:r>
        <w:t>---</w:t>
      </w:r>
    </w:p>
    <w:p>
      <w:pPr>
        <w:spacing w:after="120" w:line="276" w:lineRule="auto"/>
      </w:pPr>
      <w:r>
        <w:t>### PARTIE 3 : ANALYSE FONDAMENTALE (SECTION CRITIQUE)</w:t>
      </w:r>
    </w:p>
    <w:p>
      <w:pPr>
        <w:spacing w:after="120" w:line="276" w:lineRule="auto"/>
      </w:pPr>
      <w:r>
        <w:t>En 2025, BOAN a enregistré un Produit Net Bancaire de 21,125 milliards FCFA, en légère baisse de 1,2% par rapport à 2024 (21,38 milliards FCFA). Le résultat net s'est effondré à 409 millions FCFA, contre 5 002 millions FCFA en 2024, soit une chute de 91,8%, avec un ROE de 1,13% et un ROA de 0,14%, des niveaux très faibles. Le coefficient d'exploitation de 74,37% est préoccupant, bien au-dessus du seuil d'efficacité de 60%, indiquant une gestion des coûts dégradée. Le coût du risque de 67,30% est très élevé, reflétant la mauvaise qualité du portefeuille de crédits, avec un taux de créances en souffrance sectoriel de 24%. Les dépôts clientèle (183,28 milliards FCFA) couvrent largement les crédits (128,45 milliards FCFA), mais la contraction des crédits de -20,9% témoigne d'une politique très prudente. Selon le rapport du T1 2026, le résultat net a progressé de 28,9% à 1 467,3 millions FCFA, avec un PNB en hausse de 7,9% et un coefficient d'exploitation amélioré à 56,2%. Sur cette base, on estime que l'exercice 2026 pourrait voir un résultat net annuel compris entre 5 et 6 milliards FCFA, soit une multiplication par plus de 12 par rapport à 2025, si la tendance se maintient. La banque bénéficie du soutien du groupe BOA et d'un ratio de solvabilité conforme (14,06%), mais les risques de crédit et macroéconomiques au Niger restent très élevés.</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élevée (PER de 268,5x, EV/EBITDA de 40,2x), indiquant une nette surévaluation par rapport aux bénéfices actuels, bien que le P/B de 3,05x reflète une prime de croissance. Le comportement du cours montre une tendance haussière spectaculaire (+99,25% sur 100 jours) mais avec une volatilité très élevée (39,5%) et des signes de surachat technique. Les signaux techniques sont mitigés : les moyennes mobiles sont haussières, mais le MACD et le stochastique suggèrent une correction possible. Les fondamentaux sont en amélioration, avec un T1 2026 très encourageant, mais la base de comparaison est très faible après l'effondrement de 2025. Les prédictions IA (5 230 à 5 198 FCFA sur 10 jours) indiquent une légère baisse, confirmant les signaux techniques de consolidation. La convergence entre la surévaluation, les signaux techniques de surachat et la prédiction IA suggère une prudence accrue. **Recommandation : CONSERVER** avec un niveau de confiance **Moyen** et un risque global **Élevé**. L'horizon d'investissement optimal est le **moyen terme (3-12 mois)**, en attendant la confirmation du redressement fondamental et une correction du cours vers des niveaux plus raisonnables.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9,249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+21.40%</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6,590 FCFA</w:t>
            </w:r>
          </w:p>
          <w:p>
            <w:r>
              <w:rPr>
                <w:b/>
                <w:color w:val="503200"/>
                <w:sz w:val="16"/>
              </w:rPr>
              <w:t xml:space="preserve">Volatilité ann. : </w:t>
            </w:r>
            <w:r>
              <w:rPr>
                <w:color w:val="000000"/>
                <w:sz w:val="17"/>
              </w:rPr>
              <w:t>22.8%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5.23% (Moyenne) — μ=7,350 FCFA, σ=385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β=0.3621 (Défensif) — Cov=0.000012, Var(idx)=0.000033, ρ=0.145,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σ_j=1.44%/j (Stable) — Vol. annualisée≈22.8%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7,613</w:t>
            </w:r>
          </w:p>
        </w:tc>
        <w:tc>
          <w:tcPr>
            <w:tcW w:type="dxa" w:w="1440"/>
            <w:shd w:fill="FFDCE0" w:val="clear"/>
          </w:tcPr>
          <w:p>
            <w:r>
              <w:rPr>
                <w:b/>
                <w:sz w:val="17"/>
              </w:rPr>
              <w:t>7,796</w:t>
            </w:r>
          </w:p>
        </w:tc>
        <w:tc>
          <w:tcPr>
            <w:tcW w:type="dxa" w:w="1440"/>
            <w:shd w:fill="FFDCE0" w:val="clear"/>
          </w:tcPr>
          <w:p>
            <w:r>
              <w:rPr>
                <w:sz w:val="17"/>
              </w:rPr>
              <w:t>7,979</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7,412</w:t>
            </w:r>
          </w:p>
        </w:tc>
        <w:tc>
          <w:tcPr>
            <w:tcW w:type="dxa" w:w="1440"/>
            <w:shd w:fill="FFDCE0" w:val="clear"/>
          </w:tcPr>
          <w:p>
            <w:r>
              <w:rPr>
                <w:b/>
                <w:sz w:val="17"/>
              </w:rPr>
              <w:t>7,666</w:t>
            </w:r>
          </w:p>
        </w:tc>
        <w:tc>
          <w:tcPr>
            <w:tcW w:type="dxa" w:w="1440"/>
            <w:shd w:fill="FFDCE0" w:val="clear"/>
          </w:tcPr>
          <w:p>
            <w:r>
              <w:rPr>
                <w:sz w:val="17"/>
              </w:rPr>
              <w:t>7,921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7,234</w:t>
            </w:r>
          </w:p>
        </w:tc>
        <w:tc>
          <w:tcPr>
            <w:tcW w:type="dxa" w:w="1440"/>
            <w:shd w:fill="FFDCE0" w:val="clear"/>
          </w:tcPr>
          <w:p>
            <w:r>
              <w:rPr>
                <w:b/>
                <w:sz w:val="17"/>
              </w:rPr>
              <w:t>7,541</w:t>
            </w:r>
          </w:p>
        </w:tc>
        <w:tc>
          <w:tcPr>
            <w:tcW w:type="dxa" w:w="1440"/>
            <w:shd w:fill="FFDCE0" w:val="clear"/>
          </w:tcPr>
          <w:p>
            <w:r>
              <w:rPr>
                <w:sz w:val="17"/>
              </w:rPr>
              <w:t>7,847</w:t>
            </w:r>
          </w:p>
        </w:tc>
        <w:tc>
          <w:tcPr>
            <w:tcW w:type="dxa" w:w="1440"/>
            <w:shd w:fill="FFDCE0" w:val="clear"/>
          </w:tcPr>
          <w:p>
            <w:r>
              <w:rPr>
                <w:b/>
                <w:color w:val="C00000"/>
                <w:sz w:val="17"/>
              </w:rPr>
              <w:t>-5.7%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7,079</w:t>
            </w:r>
          </w:p>
        </w:tc>
        <w:tc>
          <w:tcPr>
            <w:tcW w:type="dxa" w:w="1440"/>
            <w:shd w:fill="FFDCE0" w:val="clear"/>
          </w:tcPr>
          <w:p>
            <w:r>
              <w:rPr>
                <w:b/>
                <w:sz w:val="17"/>
              </w:rPr>
              <w:t>7,427</w:t>
            </w:r>
          </w:p>
        </w:tc>
        <w:tc>
          <w:tcPr>
            <w:tcW w:type="dxa" w:w="1440"/>
            <w:shd w:fill="FFDCE0" w:val="clear"/>
          </w:tcPr>
          <w:p>
            <w:r>
              <w:rPr>
                <w:sz w:val="17"/>
              </w:rPr>
              <w:t>7,776</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6,937</w:t>
            </w:r>
          </w:p>
        </w:tc>
        <w:tc>
          <w:tcPr>
            <w:tcW w:type="dxa" w:w="1440"/>
            <w:shd w:fill="FFDCE0" w:val="clear"/>
          </w:tcPr>
          <w:p>
            <w:r>
              <w:rPr>
                <w:b/>
                <w:sz w:val="17"/>
              </w:rPr>
              <w:t>7,321</w:t>
            </w:r>
          </w:p>
        </w:tc>
        <w:tc>
          <w:tcPr>
            <w:tcW w:type="dxa" w:w="1440"/>
            <w:shd w:fill="FFDCE0" w:val="clear"/>
          </w:tcPr>
          <w:p>
            <w:r>
              <w:rPr>
                <w:sz w:val="17"/>
              </w:rPr>
              <w:t>7,706</w:t>
            </w:r>
          </w:p>
        </w:tc>
        <w:tc>
          <w:tcPr>
            <w:tcW w:type="dxa" w:w="1440"/>
            <w:shd w:fill="FFDCE0" w:val="clear"/>
          </w:tcPr>
          <w:p>
            <w:r>
              <w:rPr>
                <w:b/>
                <w:color w:val="C00000"/>
                <w:sz w:val="17"/>
              </w:rPr>
              <w:t>-8.5%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6,806</w:t>
            </w:r>
          </w:p>
        </w:tc>
        <w:tc>
          <w:tcPr>
            <w:tcW w:type="dxa" w:w="1440"/>
            <w:shd w:fill="FFDCE0" w:val="clear"/>
          </w:tcPr>
          <w:p>
            <w:r>
              <w:rPr>
                <w:b/>
                <w:sz w:val="17"/>
              </w:rPr>
              <w:t>7,222</w:t>
            </w:r>
          </w:p>
        </w:tc>
        <w:tc>
          <w:tcPr>
            <w:tcW w:type="dxa" w:w="1440"/>
            <w:shd w:fill="FFDCE0" w:val="clear"/>
          </w:tcPr>
          <w:p>
            <w:r>
              <w:rPr>
                <w:sz w:val="17"/>
              </w:rPr>
              <w:t>7,637</w:t>
            </w:r>
          </w:p>
        </w:tc>
        <w:tc>
          <w:tcPr>
            <w:tcW w:type="dxa" w:w="1440"/>
            <w:shd w:fill="FFDCE0" w:val="clear"/>
          </w:tcPr>
          <w:p>
            <w:r>
              <w:rPr>
                <w:b/>
                <w:color w:val="C00000"/>
                <w:sz w:val="17"/>
              </w:rPr>
              <w:t>-9.7%</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6,684</w:t>
            </w:r>
          </w:p>
        </w:tc>
        <w:tc>
          <w:tcPr>
            <w:tcW w:type="dxa" w:w="1440"/>
            <w:shd w:fill="FFDCE0" w:val="clear"/>
          </w:tcPr>
          <w:p>
            <w:r>
              <w:rPr>
                <w:b/>
                <w:sz w:val="17"/>
              </w:rPr>
              <w:t>7,127</w:t>
            </w:r>
          </w:p>
        </w:tc>
        <w:tc>
          <w:tcPr>
            <w:tcW w:type="dxa" w:w="1440"/>
            <w:shd w:fill="FFDCE0" w:val="clear"/>
          </w:tcPr>
          <w:p>
            <w:r>
              <w:rPr>
                <w:sz w:val="17"/>
              </w:rPr>
              <w:t>7,569</w:t>
            </w:r>
          </w:p>
        </w:tc>
        <w:tc>
          <w:tcPr>
            <w:tcW w:type="dxa" w:w="1440"/>
            <w:shd w:fill="FFDCE0" w:val="clear"/>
          </w:tcPr>
          <w:p>
            <w:r>
              <w:rPr>
                <w:b/>
                <w:color w:val="C00000"/>
                <w:sz w:val="17"/>
              </w:rPr>
              <w:t>-10.9%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6,570</w:t>
            </w:r>
          </w:p>
        </w:tc>
        <w:tc>
          <w:tcPr>
            <w:tcW w:type="dxa" w:w="1440"/>
            <w:shd w:fill="FFDCE0" w:val="clear"/>
          </w:tcPr>
          <w:p>
            <w:r>
              <w:rPr>
                <w:b/>
                <w:sz w:val="17"/>
              </w:rPr>
              <w:t>7,037</w:t>
            </w:r>
          </w:p>
        </w:tc>
        <w:tc>
          <w:tcPr>
            <w:tcW w:type="dxa" w:w="1440"/>
            <w:shd w:fill="FFDCE0" w:val="clear"/>
          </w:tcPr>
          <w:p>
            <w:r>
              <w:rPr>
                <w:sz w:val="17"/>
              </w:rPr>
              <w:t>7,504</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6,463</w:t>
            </w:r>
          </w:p>
        </w:tc>
        <w:tc>
          <w:tcPr>
            <w:tcW w:type="dxa" w:w="1440"/>
            <w:shd w:fill="FFDCE0" w:val="clear"/>
          </w:tcPr>
          <w:p>
            <w:r>
              <w:rPr>
                <w:b/>
                <w:sz w:val="17"/>
              </w:rPr>
              <w:t>6,952</w:t>
            </w:r>
          </w:p>
        </w:tc>
        <w:tc>
          <w:tcPr>
            <w:tcW w:type="dxa" w:w="1440"/>
            <w:shd w:fill="FFDCE0" w:val="clear"/>
          </w:tcPr>
          <w:p>
            <w:r>
              <w:rPr>
                <w:sz w:val="17"/>
              </w:rPr>
              <w:t>7,442</w:t>
            </w:r>
          </w:p>
        </w:tc>
        <w:tc>
          <w:tcPr>
            <w:tcW w:type="dxa" w:w="1440"/>
            <w:shd w:fill="FFDCE0" w:val="clear"/>
          </w:tcPr>
          <w:p>
            <w:r>
              <w:rPr>
                <w:b/>
                <w:color w:val="C00000"/>
                <w:sz w:val="17"/>
              </w:rPr>
              <w:t>-13.1%</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6,362</w:t>
            </w:r>
          </w:p>
        </w:tc>
        <w:tc>
          <w:tcPr>
            <w:tcW w:type="dxa" w:w="1440"/>
            <w:shd w:fill="FFDCE0" w:val="clear"/>
          </w:tcPr>
          <w:p>
            <w:r>
              <w:rPr>
                <w:b/>
                <w:sz w:val="17"/>
              </w:rPr>
              <w:t>6,872</w:t>
            </w:r>
          </w:p>
        </w:tc>
        <w:tc>
          <w:tcPr>
            <w:tcW w:type="dxa" w:w="1440"/>
            <w:shd w:fill="FFDCE0" w:val="clear"/>
          </w:tcPr>
          <w:p>
            <w:r>
              <w:rPr>
                <w:sz w:val="17"/>
              </w:rPr>
              <w:t>7,382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288 milliards FCFA, ce qui en fait une valeur de première importance sur la BRVM, reflétant la confiance des investisseurs dans le secteur bancaire sénégalais. Avec un BPA de 608 FCFA, chaque action génère un bénéfice substantiel. Le PER de 13,1x est légèrement supérieur à la moyenne historique de la BRVM (8-12x), indiquant que le marché accepte de payer une prime, probablement justifiée par la qualité de la croissance de la banque. Le P/B de 2,98x confirme cette prime, le marché valorisant la société près de trois fois sa valeur comptable, signe d'une forte création de valeur attendue. Enfin, un EV/EBITDA de 8,5x reste dans une zone raisonnable, suggérant que la valorisation globale de l'entreprise, rapportée à sa capacité opérationnelle, n'est pas excessive.</w:t>
      </w:r>
    </w:p>
    <w:p>
      <w:pPr>
        <w:spacing w:after="120" w:line="276" w:lineRule="auto"/>
      </w:pPr>
      <w:r>
        <w:t>### PARTIE 1 : ANALYSE DU COURS — STATISTIQUES ET ÉVOLUTION (100 derniers jours)</w:t>
      </w:r>
    </w:p>
    <w:p>
      <w:pPr>
        <w:spacing w:after="120" w:line="276" w:lineRule="auto"/>
      </w:pPr>
      <w:r>
        <w:t>Sur les 100 derniers jours, l'action BOAS a enregistré une progression remarquable de +21,40%, passant d'un plus bas de 6 590 FCFA à un plus haut de 8 050 FCFA, pour clôturer à 8 000 FCFA. Cette tendance est clairement haussière, bien que la dernière séance soit stable (0,00%). Les statistiques descriptives révèlent un cours moyen de 7 350 FCFA, identique à la médiane, ce qui indique une distribution des prix très symétrique. L'écart-type de 387 FCFA (CV=5,3%) témoigne d'une dispersion relativement faible autour de la moyenne. Le kurtosis négatif (-0,741) suggère une distribution mésokurtique, avec un risque de mouvements extrêmes plus faible que la normale. Le skewness légèrement négatif (-0,288) indique une distribution quasi symétrique, avec une très légère prédominance de fortes baisses ponctuelles. La volatilité annualisée de 22,8% classe le titre dans une catégorie à risque modéré, offrant un équilibre entre potentiel de rendement et stabilité.</w:t>
      </w:r>
    </w:p>
    <w:p>
      <w:pPr>
        <w:spacing w:after="120" w:line="276" w:lineRule="auto"/>
      </w:pPr>
      <w:r>
        <w:t>### PARTIE 2 : ANALYSE TECHNIQUE DÉTAILLÉE</w:t>
      </w:r>
    </w:p>
    <w:p>
      <w:pPr>
        <w:spacing w:after="120" w:line="276" w:lineRule="auto"/>
      </w:pPr>
      <w:r>
        <w:t>**Moyennes Mobiles**: Le cours actuel (8 000 FCFA) est nettement au-dessus de la MM20 (7 788,5 FCFA) et de la MM50 (7 539,6 FCFA). Cette configuration haussière, où le prix est soutenu par les moyennes mobiles à court et moyen terme, confirme la dynamique positive et justifie la décision d'**Achat**.</w:t>
      </w:r>
    </w:p>
    <w:p>
      <w:pPr>
        <w:spacing w:after="120" w:line="276" w:lineRule="auto"/>
      </w:pPr>
      <w:r>
        <w:t>**Bandes de Bollinger**: Le prix se situe dans la partie supérieure des bandes, proche de la borne haute (8 025 FCFA). Cela indique une pression acheteuse soutenue, mais signale également que le titre est temporairement suracheté à très court terme. La décision est **Neutre**, car le prix pourrait consolider avant de poursuivre sa hausse.</w:t>
      </w:r>
    </w:p>
    <w:p>
      <w:pPr>
        <w:spacing w:after="120" w:line="276" w:lineRule="auto"/>
      </w:pPr>
      <w:r>
        <w:t>**MACD**: Le MACD (93,761) est positif et nettement au-dessus de sa ligne de signal (76,284). Cette divergence positive confirme un momentum haussier fort et en accélération. La décision est **Achat**, car la dynamique de fond reste positive.</w:t>
      </w:r>
    </w:p>
    <w:p>
      <w:pPr>
        <w:spacing w:after="120" w:line="276" w:lineRule="auto"/>
      </w:pPr>
      <w:r>
        <w:t>**RSI**: Le RSI à 64,189 est en zone neutre, mais proche de la zone de surachat (70). Il indique une force acheteuse toujours présente sans être excessive. La décision est **Neutre**, laissant une marge de progression avant une éventuelle correction technique.</w:t>
      </w:r>
    </w:p>
    <w:p>
      <w:pPr>
        <w:spacing w:after="120" w:line="276" w:lineRule="auto"/>
      </w:pPr>
      <w:r>
        <w:t>**Stochastique**: Les valeurs %K et %D sont toutes deux à 100, en zone de surachat extrême. Ce niveau signale que le marché est temporairement survendu à l'achat et qu'un repli technique est hautement probable à très court terme. La décision est **Vente** pour cette raison.</w:t>
      </w:r>
    </w:p>
    <w:p>
      <w:pPr>
        <w:spacing w:after="120" w:line="276" w:lineRule="auto"/>
      </w:pPr>
      <w:r>
        <w:t>**Conclusion technique** : Les indicateurs de tendance (MM, MACD) sont résolument haussiers, tandis que les oscillateurs de momentum (RSI, Stochastique) indiquent une condition de surachat à court terme. Cette divergence suggère que la tendance de fond reste positive, mais qu'une consolidation ou un léger repli est probable dans les prochaines séances avant la poursuite du mouvement haussier.</w:t>
      </w:r>
    </w:p>
    <w:p>
      <w:pPr>
        <w:spacing w:after="120" w:line="276" w:lineRule="auto"/>
      </w:pPr>
      <w:r>
        <w:t>### PARTIE 3 : ANALYSE FONDAMENTALE (SECTION CRITIQUE)</w:t>
      </w:r>
    </w:p>
    <w:p>
      <w:pPr>
        <w:spacing w:after="120" w:line="276" w:lineRule="auto"/>
      </w:pPr>
      <w:r>
        <w:t>En 2025, les données financières structurées de BOAS confirment sa solidité. Le Produit Net Bancaire (PNB) s'établit à 51,926 Mds FCFA, générant un résultat net de 21,905 Mds FCFA. Cette performance se traduit par un ROE exceptionnel de 22,69% et un ROA sain de 2,62%. La banque est très efficace, avec un coefficient d'exploitation de 44,02%, bien en dessous du seuil de 60%. Les dépôts clients (686,9 Mds FCFA) financent largement les crédits à la clientèle (386,4 Mds FCFA), démontrant une forte capacité de transformation. Cependant, le coût du risque de 23,3% (provisions/charges financières) reste un point de vigilance. Les rapports trimestriels de 2025 confirment cette dynamique positive : au T1 (PNB +2,36%, RN +9,25%), au S1 (PNB +6,77%, RN +12,70%), et au T3 (PNB +6,71%, RN +10,01%). Sur la base de ces tendances, on estime que l'exercice 2025 devrait se solder par une croissance du PNB d'environ 5-7% et une hausse du résultat net de plus de 10%, portée par une amélioration continue de l'efficacité opérationnelle et une baisse du coût du risque.</w:t>
      </w:r>
    </w:p>
    <w:p>
      <w:pPr>
        <w:spacing w:after="120" w:line="276" w:lineRule="auto"/>
      </w:pPr>
      <w:r>
        <w:t>### PARTIE 4 : CONCLUSION D'INVESTISSEMENT</w:t>
      </w:r>
    </w:p>
    <w:p>
      <w:pPr>
        <w:spacing w:after="120" w:line="276" w:lineRule="auto"/>
      </w:pPr>
      <w:r>
        <w:t>La synthèse des analyses est globalement positive. La valorisation (PER 13,1x, P/B 2,98x) est raisonnable pour une banque de cette qualité, et les fondamentaux sont excellents, avec une rentabilité (ROE &gt;22%) et une efficacité opérationnelle remarquables. La tendance du cours est fortement haussière sur 100 jours (+21,4%), mais les signaux techniques sont mitigés à court terme : la tendance (MM, MACD) est positive, tandis que les oscillateurs (RSI, Stochastique) suggèrent un essoufflement imminent. Les prédictions IA pour les 10 prochains jours prévoient une correction, avec un cours qui pourrait reculer jusqu'à 7 321 FCFA, ce qui contredit la tendance récente mais confirme les signaux de surachat technique. Cette convergence entre les indicateurs techniques de court terme et les prédictions IA suggère une phase de consolidation probable. Par conséquent, la recommandation est un **ACHAT** sur les replis, avec un niveau de confiance **Moyen** et un risque global **Moyen**. L'horizon d'investissement optimal est le **moyen terme (3-12 mois)**, en profitant d'une éventuelle baisse pour renforcer la position, la solidité fondamentale de la banque demeurant le principal moteur de création de valeur à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2,357 titres</w:t>
            </w:r>
          </w:p>
        </w:tc>
        <w:tc>
          <w:tcPr>
            <w:tcW w:type="dxa" w:w="2268"/>
            <w:shd w:fill="FFF2CC" w:val="clear"/>
          </w:tcPr>
          <w:p>
            <w:r>
              <w:rPr>
                <w:b/>
                <w:color w:val="503200"/>
                <w:sz w:val="16"/>
              </w:rPr>
              <w:t xml:space="preserve">Cours actuel : </w:t>
            </w:r>
            <w:r>
              <w:rPr>
                <w:color w:val="000000"/>
                <w:sz w:val="17"/>
              </w:rPr>
              <w:t>3,640 FCFA</w:t>
            </w:r>
          </w:p>
          <w:p>
            <w:r>
              <w:rPr>
                <w:b/>
                <w:color w:val="503200"/>
                <w:sz w:val="16"/>
              </w:rPr>
              <w:t xml:space="preserve">Var. 100 jours : </w:t>
            </w:r>
            <w:r>
              <w:rPr>
                <w:b/>
                <w:color w:val="007800"/>
                <w:sz w:val="17"/>
              </w:rPr>
              <w:t>+10.98%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3,250 FCFA</w:t>
            </w:r>
          </w:p>
          <w:p>
            <w:r>
              <w:rPr>
                <w:b/>
                <w:color w:val="503200"/>
                <w:sz w:val="16"/>
              </w:rPr>
              <w:t xml:space="preserve">Volatilité ann. : </w:t>
            </w:r>
            <w:r>
              <w:rPr>
                <w:color w:val="000000"/>
                <w:sz w:val="17"/>
              </w:rPr>
              <w:t>55.7%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μ=3,767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β=0.0764 (Défensif) — Cov=0.000003, Var(idx)=0.000033, ρ=0.012,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3,651</w:t>
            </w:r>
          </w:p>
        </w:tc>
        <w:tc>
          <w:tcPr>
            <w:tcW w:type="dxa" w:w="1440"/>
            <w:shd w:fill="C6EFCE" w:val="clear"/>
          </w:tcPr>
          <w:p>
            <w:r>
              <w:rPr>
                <w:b/>
                <w:sz w:val="17"/>
              </w:rPr>
              <w:t>3,807</w:t>
            </w:r>
          </w:p>
        </w:tc>
        <w:tc>
          <w:tcPr>
            <w:tcW w:type="dxa" w:w="1440"/>
            <w:shd w:fill="C6EFCE" w:val="clear"/>
          </w:tcPr>
          <w:p>
            <w:r>
              <w:rPr>
                <w:sz w:val="17"/>
              </w:rPr>
              <w:t>3,964</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3,727</w:t>
            </w:r>
          </w:p>
        </w:tc>
        <w:tc>
          <w:tcPr>
            <w:tcW w:type="dxa" w:w="1440"/>
            <w:shd w:fill="C6EFCE" w:val="clear"/>
          </w:tcPr>
          <w:p>
            <w:r>
              <w:rPr>
                <w:b/>
                <w:sz w:val="17"/>
              </w:rPr>
              <w:t>3,957</w:t>
            </w:r>
          </w:p>
        </w:tc>
        <w:tc>
          <w:tcPr>
            <w:tcW w:type="dxa" w:w="1440"/>
            <w:shd w:fill="C6EFCE" w:val="clear"/>
          </w:tcPr>
          <w:p>
            <w:r>
              <w:rPr>
                <w:sz w:val="17"/>
              </w:rPr>
              <w:t>4,187</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3,850</w:t>
            </w:r>
          </w:p>
        </w:tc>
        <w:tc>
          <w:tcPr>
            <w:tcW w:type="dxa" w:w="1440"/>
            <w:shd w:fill="C6EFCE" w:val="clear"/>
          </w:tcPr>
          <w:p>
            <w:r>
              <w:rPr>
                <w:b/>
                <w:sz w:val="17"/>
              </w:rPr>
              <w:t>4,146</w:t>
            </w:r>
          </w:p>
        </w:tc>
        <w:tc>
          <w:tcPr>
            <w:tcW w:type="dxa" w:w="1440"/>
            <w:shd w:fill="C6EFCE" w:val="clear"/>
          </w:tcPr>
          <w:p>
            <w:r>
              <w:rPr>
                <w:sz w:val="17"/>
              </w:rPr>
              <w:t>4,442</w:t>
            </w:r>
          </w:p>
        </w:tc>
        <w:tc>
          <w:tcPr>
            <w:tcW w:type="dxa" w:w="1440"/>
            <w:shd w:fill="C6EFCE" w:val="clear"/>
          </w:tcPr>
          <w:p>
            <w:r>
              <w:rPr>
                <w:b/>
                <w:color w:val="008000"/>
                <w:sz w:val="17"/>
              </w:rPr>
              <w:t>+13.9%</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4,008</w:t>
            </w:r>
          </w:p>
        </w:tc>
        <w:tc>
          <w:tcPr>
            <w:tcW w:type="dxa" w:w="1440"/>
            <w:shd w:fill="C6EFCE" w:val="clear"/>
          </w:tcPr>
          <w:p>
            <w:r>
              <w:rPr>
                <w:b/>
                <w:sz w:val="17"/>
              </w:rPr>
              <w:t>4,367</w:t>
            </w:r>
          </w:p>
        </w:tc>
        <w:tc>
          <w:tcPr>
            <w:tcW w:type="dxa" w:w="1440"/>
            <w:shd w:fill="C6EFCE" w:val="clear"/>
          </w:tcPr>
          <w:p>
            <w:r>
              <w:rPr>
                <w:sz w:val="17"/>
              </w:rPr>
              <w:t>4,727</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4,198</w:t>
            </w:r>
          </w:p>
        </w:tc>
        <w:tc>
          <w:tcPr>
            <w:tcW w:type="dxa" w:w="1440"/>
            <w:shd w:fill="C6EFCE" w:val="clear"/>
          </w:tcPr>
          <w:p>
            <w:r>
              <w:rPr>
                <w:b/>
                <w:sz w:val="17"/>
              </w:rPr>
              <w:t>4,623</w:t>
            </w:r>
          </w:p>
        </w:tc>
        <w:tc>
          <w:tcPr>
            <w:tcW w:type="dxa" w:w="1440"/>
            <w:shd w:fill="C6EFCE" w:val="clear"/>
          </w:tcPr>
          <w:p>
            <w:r>
              <w:rPr>
                <w:sz w:val="17"/>
              </w:rPr>
              <w:t>5,049</w:t>
            </w:r>
          </w:p>
        </w:tc>
        <w:tc>
          <w:tcPr>
            <w:tcW w:type="dxa" w:w="1440"/>
            <w:shd w:fill="C6EFCE" w:val="clear"/>
          </w:tcPr>
          <w:p>
            <w:r>
              <w:rPr>
                <w:b/>
                <w:color w:val="008000"/>
                <w:sz w:val="17"/>
              </w:rPr>
              <w:t>+27.0%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4,424</w:t>
            </w:r>
          </w:p>
        </w:tc>
        <w:tc>
          <w:tcPr>
            <w:tcW w:type="dxa" w:w="1440"/>
            <w:shd w:fill="C6EFCE" w:val="clear"/>
          </w:tcPr>
          <w:p>
            <w:r>
              <w:rPr>
                <w:b/>
                <w:sz w:val="17"/>
              </w:rPr>
              <w:t>4,921</w:t>
            </w:r>
          </w:p>
        </w:tc>
        <w:tc>
          <w:tcPr>
            <w:tcW w:type="dxa" w:w="1440"/>
            <w:shd w:fill="C6EFCE" w:val="clear"/>
          </w:tcPr>
          <w:p>
            <w:r>
              <w:rPr>
                <w:sz w:val="17"/>
              </w:rPr>
              <w:t>5,417</w:t>
            </w:r>
          </w:p>
        </w:tc>
        <w:tc>
          <w:tcPr>
            <w:tcW w:type="dxa" w:w="1440"/>
            <w:shd w:fill="C6EFCE" w:val="clear"/>
          </w:tcPr>
          <w:p>
            <w:r>
              <w:rPr>
                <w:b/>
                <w:color w:val="008000"/>
                <w:sz w:val="17"/>
              </w:rPr>
              <w:t>+35.2%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4,697</w:t>
            </w:r>
          </w:p>
        </w:tc>
        <w:tc>
          <w:tcPr>
            <w:tcW w:type="dxa" w:w="1440"/>
            <w:shd w:fill="C6EFCE" w:val="clear"/>
          </w:tcPr>
          <w:p>
            <w:r>
              <w:rPr>
                <w:b/>
                <w:sz w:val="17"/>
              </w:rPr>
              <w:t>5,271</w:t>
            </w:r>
          </w:p>
        </w:tc>
        <w:tc>
          <w:tcPr>
            <w:tcW w:type="dxa" w:w="1440"/>
            <w:shd w:fill="C6EFCE" w:val="clear"/>
          </w:tcPr>
          <w:p>
            <w:r>
              <w:rPr>
                <w:sz w:val="17"/>
              </w:rPr>
              <w:t>5,845</w:t>
            </w:r>
          </w:p>
        </w:tc>
        <w:tc>
          <w:tcPr>
            <w:tcW w:type="dxa" w:w="1440"/>
            <w:shd w:fill="C6EFCE" w:val="clear"/>
          </w:tcPr>
          <w:p>
            <w:r>
              <w:rPr>
                <w:b/>
                <w:color w:val="008000"/>
                <w:sz w:val="17"/>
              </w:rPr>
              <w:t>+44.8%</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5,007</w:t>
            </w:r>
          </w:p>
        </w:tc>
        <w:tc>
          <w:tcPr>
            <w:tcW w:type="dxa" w:w="1440"/>
            <w:shd w:fill="C6EFCE" w:val="clear"/>
          </w:tcPr>
          <w:p>
            <w:r>
              <w:rPr>
                <w:b/>
                <w:sz w:val="17"/>
              </w:rPr>
              <w:t>5,667</w:t>
            </w:r>
          </w:p>
        </w:tc>
        <w:tc>
          <w:tcPr>
            <w:tcW w:type="dxa" w:w="1440"/>
            <w:shd w:fill="C6EFCE" w:val="clear"/>
          </w:tcPr>
          <w:p>
            <w:r>
              <w:rPr>
                <w:sz w:val="17"/>
              </w:rPr>
              <w:t>6,327</w:t>
            </w:r>
          </w:p>
        </w:tc>
        <w:tc>
          <w:tcPr>
            <w:tcW w:type="dxa" w:w="1440"/>
            <w:shd w:fill="C6EFCE" w:val="clear"/>
          </w:tcPr>
          <w:p>
            <w:r>
              <w:rPr>
                <w:b/>
                <w:color w:val="008000"/>
                <w:sz w:val="17"/>
              </w:rPr>
              <w:t>+55.7%</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5,339</w:t>
            </w:r>
          </w:p>
        </w:tc>
        <w:tc>
          <w:tcPr>
            <w:tcW w:type="dxa" w:w="1440"/>
            <w:shd w:fill="C6EFCE" w:val="clear"/>
          </w:tcPr>
          <w:p>
            <w:r>
              <w:rPr>
                <w:b/>
                <w:sz w:val="17"/>
              </w:rPr>
              <w:t>6,092</w:t>
            </w:r>
          </w:p>
        </w:tc>
        <w:tc>
          <w:tcPr>
            <w:tcW w:type="dxa" w:w="1440"/>
            <w:shd w:fill="C6EFCE" w:val="clear"/>
          </w:tcPr>
          <w:p>
            <w:r>
              <w:rPr>
                <w:sz w:val="17"/>
              </w:rPr>
              <w:t>6,844</w:t>
            </w:r>
          </w:p>
        </w:tc>
        <w:tc>
          <w:tcPr>
            <w:tcW w:type="dxa" w:w="1440"/>
            <w:shd w:fill="C6EFCE" w:val="clear"/>
          </w:tcPr>
          <w:p>
            <w:r>
              <w:rPr>
                <w:b/>
                <w:color w:val="008000"/>
                <w:sz w:val="17"/>
              </w:rPr>
              <w:t>+67.4%</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5,696</w:t>
            </w:r>
          </w:p>
        </w:tc>
        <w:tc>
          <w:tcPr>
            <w:tcW w:type="dxa" w:w="1440"/>
            <w:shd w:fill="C6EFCE" w:val="clear"/>
          </w:tcPr>
          <w:p>
            <w:r>
              <w:rPr>
                <w:b/>
                <w:sz w:val="17"/>
              </w:rPr>
              <w:t>6,549</w:t>
            </w:r>
          </w:p>
        </w:tc>
        <w:tc>
          <w:tcPr>
            <w:tcW w:type="dxa" w:w="1440"/>
            <w:shd w:fill="C6EFCE" w:val="clear"/>
          </w:tcPr>
          <w:p>
            <w:r>
              <w:rPr>
                <w:sz w:val="17"/>
              </w:rPr>
              <w:t>7,401</w:t>
            </w:r>
          </w:p>
        </w:tc>
        <w:tc>
          <w:tcPr>
            <w:tcW w:type="dxa" w:w="1440"/>
            <w:shd w:fill="C6EFCE" w:val="clear"/>
          </w:tcPr>
          <w:p>
            <w:r>
              <w:rPr>
                <w:b/>
                <w:color w:val="008000"/>
                <w:sz w:val="17"/>
              </w:rPr>
              <w:t>+79.9%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21 août 2026**</w:t>
        <w:br/>
        <w:t>**Cours de référence : 3 640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21,55 milliards FCFA, un niveau intermédiaire sur la BRVM qui reflète un profil de moyenne capitalisation. Le BPA de 243 FCFA indique que chaque action génère un bénéfice net de 243 FCFA, ce qui justifie un PER de 15,0x. Ce ratio est supérieur à la moyenne historique de la BRVM (8-12x), signalant que les investisseurs paient une prime de valorisation par rapport aux bénéfices actuels. Le P/B de 2,31x confirme cette prime, le marché valorisant la société à plus de deux fois sa valeur comptable, ce qui suggère des attentes de croissance future. Enfin, l'EV/EBITDA de 7,7x se situe dans une fourchette raisonnable (5-10x), indiquant que la valeur totale de l'entreprise (capitalisation + dette nette)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totale de +10,98%, mais a subi un repli de -1,75% lors de la dernière séance, signe d'une prise de bénéfices après une période haussière. Le cours a évolué dans une fourchette de 3 250 FCFA (plus bas) à 4 500 FCFA (plus haut), démontrant une amplitude de trading significative de 38,5%. La moyenne du cours sur la période (3 767 FCFA) est supérieure à la médiane (3 700 FCFA), et le skewness positif de 0,642 indique une asymétrie avec un plus grand nombre de journées sous la moyenne, mais des mouvements haussiers plus prononcés. L'écart-type de 294 FCFA (CV=7,8%) révèle une dispersion modérée, tandis que le kurtosis de -0,172 (mésokurtique) suggère une distribution proche de la normale, sans risque de pics extrêmes. La volatilité annualisée de 55,7% classe le titre comme très volatil (&gt;30%), un niveau élevé qui implique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(3 640 FCFA) se situe au-dessus de la MM20 (3 582 FCFA) mais en-dessous de la MM50 (3 840,5 FCFA). Cette configuration en "croix de la mort" potentielle indique une dynamique de court terme positive mais une tendance de fond encore baissière. La décision de Vente est justifiée par la position sous la MM50, qui agit comme une résistance dynamique, et l'écart de 200 FCFA entre les deux moyennes suggère une consolidation nécessaire.</w:t>
      </w:r>
    </w:p>
    <w:p>
      <w:pPr>
        <w:spacing w:after="120" w:line="276" w:lineRule="auto"/>
      </w:pPr>
      <w:r>
        <w:t>**Bandes de Bollinger** : Le prix se positionne presque au centre des bandes (borne supérieure à 3 769,5 FCFA, borne inférieure à 3 394,5 FCFA), indiquant une volatilité modérée et une absence de signal directionnel fort. La décision Neutre reflète un marché en phase d'équilibre, le cours n'ayant pas encore testé les extrêmes des bandes, ce qui laisse présager une poursuite de la consolidation avant un mouvement directionnel.</w:t>
      </w:r>
    </w:p>
    <w:p>
      <w:pPr>
        <w:spacing w:after="120" w:line="276" w:lineRule="auto"/>
      </w:pPr>
      <w:r>
        <w:t>**MACD** : La valeur MACD (-48,29) est supérieure à sa ligne de signal (-78,98), formant un croisement haussier. Bien que les deux valeurs soient négatives, l'écart positif croissant indique un momentum haussier en construction. La décision Achat est cohérente avec cette dynamique, suggérant que la pression acheteuse s'intensifie malgré un contexte de fond encore négatif.</w:t>
      </w:r>
    </w:p>
    <w:p>
      <w:pPr>
        <w:spacing w:after="120" w:line="276" w:lineRule="auto"/>
      </w:pPr>
      <w:r>
        <w:t>**RSI** : À 59,59, le RSI se situe dans la zone neutre (30-70), sans signal de surachat ni de survente. Cette valeur indique une pression acheteuse modérée, sans excès, laissant de la marge pour une poursuite de la hausse avant d'atteindre des niveaux de surachat. La décision Neutre est appropriée, le marché n'étant pas encore dans une configuration extrême.</w:t>
      </w:r>
    </w:p>
    <w:p>
      <w:pPr>
        <w:spacing w:after="120" w:line="276" w:lineRule="auto"/>
      </w:pPr>
      <w:r>
        <w:t>**Stochastique** : Le %K (71,74) est inférieur au %D (90,58), formant un croisement baissier potentiel en zone de surachat. Cette configuration suggère un essoufflement de la dynamique haussière à court terme, avec un risque de correction. La décision Neutre reflète cette ambiguïté, le croisement n'étant pas encore confirmé par une sortie de la zone de surachat.</w:t>
      </w:r>
    </w:p>
    <w:p>
      <w:pPr>
        <w:spacing w:after="120" w:line="276" w:lineRule="auto"/>
      </w:pPr>
      <w:r>
        <w:t>**Conclusion technique** : Les indicateurs sont mitigés, avec un MACD haussier mais des moyennes mobiles baissières, et un stochastique montrant des signes de faiblesse. La configuration globale suggère une phase de transition, le titre cherchant une direction claire. La prudence est de mise, avec une surveillance des niveaux de 3 400 FCFA (support) et 3 850 FCFA (résistance MM50).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de la BRVM, CABC a réalisé un chiffre d'affaires de 21,263 milliards FCFA (+11,2% vs 2024), un résultat net de 1,439 milliard FCFA, et des marges nette et opérationnelle respectives de 6,77% et 9,82%. Le ROE s'établit à 15,40% (excellent, &gt;15%) et le ROA à 6,10%, témoignant d'une bonne efficacité dans l'utilisation des actifs. La structure financière est saine avec une autonomie financière de 39,58% (&gt;30%) et une solvabilité générale de 165,52%. Cependant, le BFR de 7,186 milliards FCFA et les délais clients de 144,69 jours (élevés) signalent un risque de trésorerie, tandis que la durée de stockage de 152,12 jours immobilise du capital. **Les rapports trimestriels 2025** confirment cette dynamique : le S1 2025 affiche un résultat net de 851,5 millions FCFA (+55,3%), et le cumul à fin septembre atteint 1 329,5 millions FCFA (+26%), avec une marge nette de 8,0%. **On estime** que l'exercice 2025 devrait se clôturer sur un résultat net supérieur à 1,5 milliard FCFA, compte tenu de la croissance du CA et de l'amélioration des marges. Le rapport T1 2026 (baisse de CA de 26,5% due à une maintenance planifiée) suggère une normalisation au T2 2026, avec un potentiel de rattrapage. La société a versé un dividende de 88,42 FCFA/action en 2023, mais aucun en 2024-2025, privilégiant la reconstitution des fonds propres. La recommandation fondamentale est **CONSERVER**, la société montrant une solidité financière et une croissance, mais avec des risques opérationnels (volatilité des métaux, délais clients).</w:t>
      </w:r>
    </w:p>
    <w:p>
      <w:pPr>
        <w:spacing w:after="120" w:line="276" w:lineRule="auto"/>
      </w:pPr>
      <w:r>
        <w:t>---</w:t>
      </w:r>
    </w:p>
    <w:p>
      <w:pPr>
        <w:spacing w:after="120" w:line="276" w:lineRule="auto"/>
      </w:pPr>
      <w:r>
        <w:t>### PARTIE 4 : CONCLUSION D'INVESTISSEMENT</w:t>
      </w:r>
    </w:p>
    <w:p>
      <w:pPr>
        <w:spacing w:after="120" w:line="276" w:lineRule="auto"/>
      </w:pPr>
      <w:r>
        <w:t>La valorisation de CABC (PER 15,0x, P/B 2,31x, EV/EBITDA 7,7x) indique une prime de croissance par rapport au marché BRVM, mais reste justifiable au vu de la progression du CA et du ROE de 15,4%. Le comportement du cours sur 100 jours (+10,98%) montre une tendance positive, mais la volatilité élevée (55,7%) et le skewness positif suggèrent des mouvements erratiques. Les signaux techniques sont mitigés, avec un MACD haussier contredit par les moyennes mobiles baissières, indiquant une phase de consolidation. Les fondamentaux sont solides avec une croissance à deux chiffres et une rentabilité en amélioration, mais les délais clients et le BFR constituent des points de vigilance. Les prédictions IA (3 807 à 4 623 FCFA sur 10 jours) confirment la tendance haussière, anticipant une poursuite de la progression. La convergence entre les fondamentaux solides et les prédictions IA haussières, malgré des signaux techniques mitigés, conduit à une recommandation **ACHAT** avec un niveau de confiance **Moyen**. Le risque global est **Élevé** en raison de la volatilité du titre et de la sensibilité aux cours des matières premières. L'horizon d'investissement optimal est le **moyen terme (3-12 mois)**, permettant de capter la croissance attendue tout en gérant la volatilité à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1,407 titres</w:t>
            </w:r>
          </w:p>
        </w:tc>
        <w:tc>
          <w:tcPr>
            <w:tcW w:type="dxa" w:w="2268"/>
            <w:shd w:fill="FFF2CC" w:val="clear"/>
          </w:tcPr>
          <w:p>
            <w:r>
              <w:rPr>
                <w:b/>
                <w:color w:val="503200"/>
                <w:sz w:val="16"/>
              </w:rPr>
              <w:t xml:space="preserve">Cours actuel : </w:t>
            </w:r>
            <w:r>
              <w:rPr>
                <w:color w:val="000000"/>
                <w:sz w:val="17"/>
              </w:rPr>
              <w:t>30,000 FCFA</w:t>
            </w:r>
          </w:p>
          <w:p>
            <w:r>
              <w:rPr>
                <w:b/>
                <w:color w:val="503200"/>
                <w:sz w:val="16"/>
              </w:rPr>
              <w:t xml:space="preserve">Var. 100 jours : </w:t>
            </w:r>
            <w:r>
              <w:rPr>
                <w:b/>
                <w:color w:val="007800"/>
                <w:sz w:val="17"/>
              </w:rPr>
              <w:t>+117.55%</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13,790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23.22% (Élevée) — μ=22,050 FCFA, σ=5,119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β=0.7286 (Défensif) — Cov=0.000024, Var(idx)=0.000033, ρ=0.156,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26,712</w:t>
            </w:r>
          </w:p>
        </w:tc>
        <w:tc>
          <w:tcPr>
            <w:tcW w:type="dxa" w:w="1440"/>
            <w:shd w:fill="FFDCE0" w:val="clear"/>
          </w:tcPr>
          <w:p>
            <w:r>
              <w:rPr>
                <w:b/>
                <w:sz w:val="17"/>
              </w:rPr>
              <w:t>27,750</w:t>
            </w:r>
          </w:p>
        </w:tc>
        <w:tc>
          <w:tcPr>
            <w:tcW w:type="dxa" w:w="1440"/>
            <w:shd w:fill="FFDCE0" w:val="clear"/>
          </w:tcPr>
          <w:p>
            <w:r>
              <w:rPr>
                <w:sz w:val="17"/>
              </w:rPr>
              <w:t>28,788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24,311</w:t>
            </w:r>
          </w:p>
        </w:tc>
        <w:tc>
          <w:tcPr>
            <w:tcW w:type="dxa" w:w="1440"/>
            <w:shd w:fill="FFDCE0" w:val="clear"/>
          </w:tcPr>
          <w:p>
            <w:r>
              <w:rPr>
                <w:b/>
                <w:sz w:val="17"/>
              </w:rPr>
              <w:t>25,669</w:t>
            </w:r>
          </w:p>
        </w:tc>
        <w:tc>
          <w:tcPr>
            <w:tcW w:type="dxa" w:w="1440"/>
            <w:shd w:fill="FFDCE0" w:val="clear"/>
          </w:tcPr>
          <w:p>
            <w:r>
              <w:rPr>
                <w:sz w:val="17"/>
              </w:rPr>
              <w:t>27,027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22,205</w:t>
            </w:r>
          </w:p>
        </w:tc>
        <w:tc>
          <w:tcPr>
            <w:tcW w:type="dxa" w:w="1440"/>
            <w:shd w:fill="FFDCE0" w:val="clear"/>
          </w:tcPr>
          <w:p>
            <w:r>
              <w:rPr>
                <w:b/>
                <w:sz w:val="17"/>
              </w:rPr>
              <w:t>23,744</w:t>
            </w:r>
          </w:p>
        </w:tc>
        <w:tc>
          <w:tcPr>
            <w:tcW w:type="dxa" w:w="1440"/>
            <w:shd w:fill="FFDCE0" w:val="clear"/>
          </w:tcPr>
          <w:p>
            <w:r>
              <w:rPr>
                <w:sz w:val="17"/>
              </w:rPr>
              <w:t>25,282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20,319</w:t>
            </w:r>
          </w:p>
        </w:tc>
        <w:tc>
          <w:tcPr>
            <w:tcW w:type="dxa" w:w="1440"/>
            <w:shd w:fill="FFDCE0" w:val="clear"/>
          </w:tcPr>
          <w:p>
            <w:r>
              <w:rPr>
                <w:b/>
                <w:sz w:val="17"/>
              </w:rPr>
              <w:t>21,963</w:t>
            </w:r>
          </w:p>
        </w:tc>
        <w:tc>
          <w:tcPr>
            <w:tcW w:type="dxa" w:w="1440"/>
            <w:shd w:fill="FFDCE0" w:val="clear"/>
          </w:tcPr>
          <w:p>
            <w:r>
              <w:rPr>
                <w:sz w:val="17"/>
              </w:rPr>
              <w:t>23,606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18,616</w:t>
            </w:r>
          </w:p>
        </w:tc>
        <w:tc>
          <w:tcPr>
            <w:tcW w:type="dxa" w:w="1440"/>
            <w:shd w:fill="FFDCE0" w:val="clear"/>
          </w:tcPr>
          <w:p>
            <w:r>
              <w:rPr>
                <w:b/>
                <w:sz w:val="17"/>
              </w:rPr>
              <w:t>20,316</w:t>
            </w:r>
          </w:p>
        </w:tc>
        <w:tc>
          <w:tcPr>
            <w:tcW w:type="dxa" w:w="1440"/>
            <w:shd w:fill="FFDCE0" w:val="clear"/>
          </w:tcPr>
          <w:p>
            <w:r>
              <w:rPr>
                <w:sz w:val="17"/>
              </w:rPr>
              <w:t>22,015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17,401</w:t>
            </w:r>
          </w:p>
        </w:tc>
        <w:tc>
          <w:tcPr>
            <w:tcW w:type="dxa" w:w="1440"/>
            <w:shd w:fill="FFDCE0" w:val="clear"/>
          </w:tcPr>
          <w:p>
            <w:r>
              <w:rPr>
                <w:b/>
                <w:sz w:val="17"/>
              </w:rPr>
              <w:t>19,157</w:t>
            </w:r>
          </w:p>
        </w:tc>
        <w:tc>
          <w:tcPr>
            <w:tcW w:type="dxa" w:w="1440"/>
            <w:shd w:fill="FFDCE0" w:val="clear"/>
          </w:tcPr>
          <w:p>
            <w:r>
              <w:rPr>
                <w:sz w:val="17"/>
              </w:rPr>
              <w:t>20,912</w:t>
            </w:r>
          </w:p>
        </w:tc>
        <w:tc>
          <w:tcPr>
            <w:tcW w:type="dxa" w:w="1440"/>
            <w:shd w:fill="FFDCE0" w:val="clear"/>
          </w:tcPr>
          <w:p>
            <w:r>
              <w:rPr>
                <w:b/>
                <w:color w:val="C00000"/>
                <w:sz w:val="17"/>
              </w:rPr>
              <w:t>-36.1%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16,815</w:t>
            </w:r>
          </w:p>
        </w:tc>
        <w:tc>
          <w:tcPr>
            <w:tcW w:type="dxa" w:w="1440"/>
            <w:shd w:fill="FFDCE0" w:val="clear"/>
          </w:tcPr>
          <w:p>
            <w:r>
              <w:rPr>
                <w:b/>
                <w:sz w:val="17"/>
              </w:rPr>
              <w:t>18,663</w:t>
            </w:r>
          </w:p>
        </w:tc>
        <w:tc>
          <w:tcPr>
            <w:tcW w:type="dxa" w:w="1440"/>
            <w:shd w:fill="FFDCE0" w:val="clear"/>
          </w:tcPr>
          <w:p>
            <w:r>
              <w:rPr>
                <w:sz w:val="17"/>
              </w:rPr>
              <w:t>20,510</w:t>
            </w:r>
          </w:p>
        </w:tc>
        <w:tc>
          <w:tcPr>
            <w:tcW w:type="dxa" w:w="1440"/>
            <w:shd w:fill="FFDCE0" w:val="clear"/>
          </w:tcPr>
          <w:p>
            <w:r>
              <w:rPr>
                <w:b/>
                <w:color w:val="C00000"/>
                <w:sz w:val="17"/>
              </w:rPr>
              <w:t>-37.8%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16,295</w:t>
            </w:r>
          </w:p>
        </w:tc>
        <w:tc>
          <w:tcPr>
            <w:tcW w:type="dxa" w:w="1440"/>
            <w:shd w:fill="FFDCE0" w:val="clear"/>
          </w:tcPr>
          <w:p>
            <w:r>
              <w:rPr>
                <w:b/>
                <w:sz w:val="17"/>
              </w:rPr>
              <w:t>18,224</w:t>
            </w:r>
          </w:p>
        </w:tc>
        <w:tc>
          <w:tcPr>
            <w:tcW w:type="dxa" w:w="1440"/>
            <w:shd w:fill="FFDCE0" w:val="clear"/>
          </w:tcPr>
          <w:p>
            <w:r>
              <w:rPr>
                <w:sz w:val="17"/>
              </w:rPr>
              <w:t>20,152</w:t>
            </w:r>
          </w:p>
        </w:tc>
        <w:tc>
          <w:tcPr>
            <w:tcW w:type="dxa" w:w="1440"/>
            <w:shd w:fill="FFDCE0" w:val="clear"/>
          </w:tcPr>
          <w:p>
            <w:r>
              <w:rPr>
                <w:b/>
                <w:color w:val="C00000"/>
                <w:sz w:val="17"/>
              </w:rPr>
              <w:t>-39.3%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15,827</w:t>
            </w:r>
          </w:p>
        </w:tc>
        <w:tc>
          <w:tcPr>
            <w:tcW w:type="dxa" w:w="1440"/>
            <w:shd w:fill="FFDCE0" w:val="clear"/>
          </w:tcPr>
          <w:p>
            <w:r>
              <w:rPr>
                <w:b/>
                <w:sz w:val="17"/>
              </w:rPr>
              <w:t>17,828</w:t>
            </w:r>
          </w:p>
        </w:tc>
        <w:tc>
          <w:tcPr>
            <w:tcW w:type="dxa" w:w="1440"/>
            <w:shd w:fill="FFDCE0" w:val="clear"/>
          </w:tcPr>
          <w:p>
            <w:r>
              <w:rPr>
                <w:sz w:val="17"/>
              </w:rPr>
              <w:t>19,829</w:t>
            </w:r>
          </w:p>
        </w:tc>
        <w:tc>
          <w:tcPr>
            <w:tcW w:type="dxa" w:w="1440"/>
            <w:shd w:fill="FFDCE0" w:val="clear"/>
          </w:tcPr>
          <w:p>
            <w:r>
              <w:rPr>
                <w:b/>
                <w:color w:val="C00000"/>
                <w:sz w:val="17"/>
              </w:rPr>
              <w:t>-40.6%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15,402</w:t>
            </w:r>
          </w:p>
        </w:tc>
        <w:tc>
          <w:tcPr>
            <w:tcW w:type="dxa" w:w="1440"/>
            <w:shd w:fill="FFDCE0" w:val="clear"/>
          </w:tcPr>
          <w:p>
            <w:r>
              <w:rPr>
                <w:b/>
                <w:sz w:val="17"/>
              </w:rPr>
              <w:t>17,468</w:t>
            </w:r>
          </w:p>
        </w:tc>
        <w:tc>
          <w:tcPr>
            <w:tcW w:type="dxa" w:w="1440"/>
            <w:shd w:fill="FFDCE0" w:val="clear"/>
          </w:tcPr>
          <w:p>
            <w:r>
              <w:rPr>
                <w:sz w:val="17"/>
              </w:rPr>
              <w:t>19,535</w:t>
            </w:r>
          </w:p>
        </w:tc>
        <w:tc>
          <w:tcPr>
            <w:tcW w:type="dxa" w:w="1440"/>
            <w:shd w:fill="FFDCE0" w:val="clear"/>
          </w:tcPr>
          <w:p>
            <w:r>
              <w:rPr>
                <w:b/>
                <w:color w:val="C00000"/>
                <w:sz w:val="17"/>
              </w:rPr>
              <w:t>-41.8%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21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960 milliards FCFA, CBIBF s'impose comme l'une des plus importantes capitalisations de la BRVM, reflétant la confiance des investisseurs dans le secteur bancaire burkinabè. Le BPA de 2 047 FCFA indique que chaque action a généré un bénéfice substantiel sur l'exercice. Le PER de 14,7x est nettement supérieur à la moyenne historique de la BRVM (8-12x), ce qui suggère que le marché valorise déjà des perspectives de croissance soutenues et une prime de qualité pour cette banque leader. L'EV/EBITDA de 10,9x, bien que dans la fourchette haute, reste justifiable pour une institution affichant une rentabilité opérationnelle élevée. En l'absence de données sur le P/B, l'analyse se concentre sur la capacité bénéficiaire, qui demeure solide et justifie partiellement cette valorisation premium.</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CBIBF a enregistré une performance spectaculaire de +117,55%, avec une progression de +3,45% lors de la dernière séance, clôturant à 30 000 FCFA. Le cours a évolué dans une fourchette très large, entre un plus bas de 13 790 FCFA et un plus haut de 30 005 FCFA, illustrant un mouvement haussier d'une rare intensité. La moyenne (22 050 FCFA) et la médiane (21 792 FCFA) étant très proches, la distribution des prix est relativement symétrique, confirmée par un skewness de 0,017. L'écart-type de 5 145 FCFA (CV=23,3%) témoigne d'une dispersion modérée autour de la moyenne. Le kurtosis négatif (-1,325) indique une distribution aplatie, suggérant l'absence de mouvements extrêmes fréquents. La volatilité annualisée de 42,3% classe le titre dans la catégorie des valeurs à très forte volatilité, signe d'un risque élevé mais aussi d'un fort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(30 000 FCFA) se situe nettement au-dessus de la MM20 (28 313 FCFA) et de la MM50 (26 307 FCFA), confirmant une tendance haussière robuste à court et moyen terme. L'écart positif entre le prix et les moyennes indique une dynamique d'achat soutenue, justifiant la décision d'achat.</w:t>
      </w:r>
    </w:p>
    <w:p>
      <w:pPr>
        <w:spacing w:after="120" w:line="276" w:lineRule="auto"/>
      </w:pPr>
      <w:r>
        <w:t>**Bandes de Bollinger** : Le prix évolue au-dessus de la borne supérieure (29 727 FCFA), signalant une condition de surachat extrême. Cette sortie de bande suggère une volatilité accrue et un potentiel de correction technique à court terme, d'où la décision de vente.</w:t>
      </w:r>
    </w:p>
    <w:p>
      <w:pPr>
        <w:spacing w:after="120" w:line="276" w:lineRule="auto"/>
      </w:pPr>
      <w:r>
        <w:t>**MACD** : Le MACD (731,4) est légèrement inférieur à son signal (760,5), indiquant un affaiblissement du momentum haussier. Cette divergence négative, bien que récente, suggère une possible consolidation ou correction, justifiant la décision de vente.</w:t>
      </w:r>
    </w:p>
    <w:p>
      <w:pPr>
        <w:spacing w:after="120" w:line="276" w:lineRule="auto"/>
      </w:pPr>
      <w:r>
        <w:t>**RSI** : À 76,7, le RSI est en zone de surachat (au-dessus de 70), signalant que le titre est techniquement surévalué à court terme. Cette lecture renforce la probabilité d'un repli technique, d'où la décision de vente.</w:t>
      </w:r>
    </w:p>
    <w:p>
      <w:pPr>
        <w:spacing w:after="120" w:line="276" w:lineRule="auto"/>
      </w:pPr>
      <w:r>
        <w:t>**Stochastique** : Le %K (100) et le %D (92,3) sont tous deux en zone de surachat extrême, avec un %K au maximum. Cette configuration indique une pression d'achat excessive et un risque élevé de retournement, justifiant la décision de vente.</w:t>
      </w:r>
    </w:p>
    <w:p>
      <w:pPr>
        <w:spacing w:after="120" w:line="276" w:lineRule="auto"/>
      </w:pPr>
      <w:r>
        <w:t>**Conclusion technique** : Les indicateurs de tendance (MM) restent positifs, mais tous les oscillateurs (Bollinger, MACD, RSI, Stochastique) signalent un épuisement haussier à court terme. La convergence des signaux de vente suggère une forte probabilité de correction technique dans les prochaines séances, malgré la tendance de fond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CBIBF a réalisé un Produit Net Bancaire (PNB) de 138,986 milliards FCFA, en croissance de 6,1% par rapport à 2024, et un résultat net de 65,495 milliards FCFA, en progression remarquable de 36,6% (contre 47,937 milliards en 2024). Cette performance s'explique par une amélioration significative du coût du risque (-59,3%) et une maîtrise des charges, avec un coefficient d'exploitation excellent de 36,4% (largement sous le seuil d'efficacité de 60%). La marge nette s'établit à 47,1%, témoignant d'une excellente rentabilité. Le ROA de 2,18% est solide pour le secteur. Les dépôts clientèle ont bondi de 14,9% à 2 015 milliards FCFA, tandis que les crédits nets ont progressé de 5,4% à 1 327 milliards, maintenant un ratio de transformation sain. Le rapport du 1er trimestre 2026, publié récemment, confirme cette dynamique avec un PNB de 36,8 milliards FCFA (+28,5%) et un résultat net de 21,5 milliards FCFA (+22,2%), laissant entrevoir une année 2026 exceptionnelle. La banque bénéficie d'une notation AA/AI avec perspective stable et d'une gouvernance renforcée. Les risques demeurent liés à l'environnement sécuritaire et politique burkinabè, mais la solidité financière et la croissance soutenue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14,7x) est exigeante mais justifiée par une croissance bénéficiaire exceptionnelle et une qualité d'actifs en amélioration. Le comportement du cours (+117,5% en 100 jours) démontre une dynamique haussière puissante, mais la volatilité élevée (42,3%) et les statistiques de distribution suggèrent un risque accru de consolidation. Les signaux techniques sont partagés : la tendance de fond (MM) reste positive, mais tous les oscillateurs crient surachat, annonçant une correction probable. Les fondamentaux sont excellents, avec une croissance à deux chiffres du PNB et du résultat net au T1 2026, renforçant la solidité du modèle économique. Les prédictions IA (baisse progressive vers 20 316 FCFA à J+10) confirment le scénario de correction technique. En synthèse, la convergence entre les signaux techniques de surachat et les prédictions IA suggère une pause dans la hausse, mais les fondamentaux solides plaident pour une stratégie d'accumulation sur les replis. **Recommandation : ACHAT sur repli, avec un niveau de confiance Moyen et un risque global Élevé.**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3,570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+6.75%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μ=1,603 FCFA, σ=100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β=1.0076 (Neutre (suit le marché)) — Cov=0.000033, Var(idx)=0.000033, ρ=0.188,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1,578</w:t>
            </w:r>
          </w:p>
        </w:tc>
        <w:tc>
          <w:tcPr>
            <w:tcW w:type="dxa" w:w="1440"/>
            <w:shd w:fill="FFDCE0" w:val="clear"/>
          </w:tcPr>
          <w:p>
            <w:r>
              <w:rPr>
                <w:b/>
                <w:sz w:val="17"/>
              </w:rPr>
              <w:t>1,652</w:t>
            </w:r>
          </w:p>
        </w:tc>
        <w:tc>
          <w:tcPr>
            <w:tcW w:type="dxa" w:w="1440"/>
            <w:shd w:fill="FFDCE0" w:val="clear"/>
          </w:tcPr>
          <w:p>
            <w:r>
              <w:rPr>
                <w:sz w:val="17"/>
              </w:rPr>
              <w:t>1,726</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1,533</w:t>
            </w:r>
          </w:p>
        </w:tc>
        <w:tc>
          <w:tcPr>
            <w:tcW w:type="dxa" w:w="1440"/>
            <w:shd w:fill="FFDCE0" w:val="clear"/>
          </w:tcPr>
          <w:p>
            <w:r>
              <w:rPr>
                <w:b/>
                <w:sz w:val="17"/>
              </w:rPr>
              <w:t>1,636</w:t>
            </w:r>
          </w:p>
        </w:tc>
        <w:tc>
          <w:tcPr>
            <w:tcW w:type="dxa" w:w="1440"/>
            <w:shd w:fill="FFDCE0" w:val="clear"/>
          </w:tcPr>
          <w:p>
            <w:r>
              <w:rPr>
                <w:sz w:val="17"/>
              </w:rPr>
              <w:t>1,740</w:t>
            </w:r>
          </w:p>
        </w:tc>
        <w:tc>
          <w:tcPr>
            <w:tcW w:type="dxa" w:w="1440"/>
            <w:shd w:fill="FFDCE0" w:val="clear"/>
          </w:tcPr>
          <w:p>
            <w:r>
              <w:rPr>
                <w:b/>
                <w:color w:val="C00000"/>
                <w:sz w:val="17"/>
              </w:rPr>
              <w:t>-6.0%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1,488</w:t>
            </w:r>
          </w:p>
        </w:tc>
        <w:tc>
          <w:tcPr>
            <w:tcW w:type="dxa" w:w="1440"/>
            <w:shd w:fill="FFDCE0" w:val="clear"/>
          </w:tcPr>
          <w:p>
            <w:r>
              <w:rPr>
                <w:b/>
                <w:sz w:val="17"/>
              </w:rPr>
              <w:t>1,613</w:t>
            </w:r>
          </w:p>
        </w:tc>
        <w:tc>
          <w:tcPr>
            <w:tcW w:type="dxa" w:w="1440"/>
            <w:shd w:fill="FFDCE0" w:val="clear"/>
          </w:tcPr>
          <w:p>
            <w:r>
              <w:rPr>
                <w:sz w:val="17"/>
              </w:rPr>
              <w:t>1,739</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1,447</w:t>
            </w:r>
          </w:p>
        </w:tc>
        <w:tc>
          <w:tcPr>
            <w:tcW w:type="dxa" w:w="1440"/>
            <w:shd w:fill="FFDCE0" w:val="clear"/>
          </w:tcPr>
          <w:p>
            <w:r>
              <w:rPr>
                <w:b/>
                <w:sz w:val="17"/>
              </w:rPr>
              <w:t>1,590</w:t>
            </w:r>
          </w:p>
        </w:tc>
        <w:tc>
          <w:tcPr>
            <w:tcW w:type="dxa" w:w="1440"/>
            <w:shd w:fill="FFDCE0" w:val="clear"/>
          </w:tcPr>
          <w:p>
            <w:r>
              <w:rPr>
                <w:sz w:val="17"/>
              </w:rPr>
              <w:t>1,733</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1,410</w:t>
            </w:r>
          </w:p>
        </w:tc>
        <w:tc>
          <w:tcPr>
            <w:tcW w:type="dxa" w:w="1440"/>
            <w:shd w:fill="FFDCE0" w:val="clear"/>
          </w:tcPr>
          <w:p>
            <w:r>
              <w:rPr>
                <w:b/>
                <w:sz w:val="17"/>
              </w:rPr>
              <w:t>1,567</w:t>
            </w:r>
          </w:p>
        </w:tc>
        <w:tc>
          <w:tcPr>
            <w:tcW w:type="dxa" w:w="1440"/>
            <w:shd w:fill="FFDCE0" w:val="clear"/>
          </w:tcPr>
          <w:p>
            <w:r>
              <w:rPr>
                <w:sz w:val="17"/>
              </w:rPr>
              <w:t>1,724</w:t>
            </w:r>
          </w:p>
        </w:tc>
        <w:tc>
          <w:tcPr>
            <w:tcW w:type="dxa" w:w="1440"/>
            <w:shd w:fill="FFDCE0" w:val="clear"/>
          </w:tcPr>
          <w:p>
            <w:r>
              <w:rPr>
                <w:b/>
                <w:color w:val="C00000"/>
                <w:sz w:val="17"/>
              </w:rPr>
              <w:t>-10.0%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1,374</w:t>
            </w:r>
          </w:p>
        </w:tc>
        <w:tc>
          <w:tcPr>
            <w:tcW w:type="dxa" w:w="1440"/>
            <w:shd w:fill="FFDCE0" w:val="clear"/>
          </w:tcPr>
          <w:p>
            <w:r>
              <w:rPr>
                <w:b/>
                <w:sz w:val="17"/>
              </w:rPr>
              <w:t>1,544</w:t>
            </w:r>
          </w:p>
        </w:tc>
        <w:tc>
          <w:tcPr>
            <w:tcW w:type="dxa" w:w="1440"/>
            <w:shd w:fill="FFDCE0" w:val="clear"/>
          </w:tcPr>
          <w:p>
            <w:r>
              <w:rPr>
                <w:sz w:val="17"/>
              </w:rPr>
              <w:t>1,714</w:t>
            </w:r>
          </w:p>
        </w:tc>
        <w:tc>
          <w:tcPr>
            <w:tcW w:type="dxa" w:w="1440"/>
            <w:shd w:fill="FFDCE0" w:val="clear"/>
          </w:tcPr>
          <w:p>
            <w:r>
              <w:rPr>
                <w:b/>
                <w:color w:val="C00000"/>
                <w:sz w:val="17"/>
              </w:rPr>
              <w:t>-11.3%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1,341</w:t>
            </w:r>
          </w:p>
        </w:tc>
        <w:tc>
          <w:tcPr>
            <w:tcW w:type="dxa" w:w="1440"/>
            <w:shd w:fill="FFDCE0" w:val="clear"/>
          </w:tcPr>
          <w:p>
            <w:r>
              <w:rPr>
                <w:b/>
                <w:sz w:val="17"/>
              </w:rPr>
              <w:t>1,522</w:t>
            </w:r>
          </w:p>
        </w:tc>
        <w:tc>
          <w:tcPr>
            <w:tcW w:type="dxa" w:w="1440"/>
            <w:shd w:fill="FFDCE0" w:val="clear"/>
          </w:tcPr>
          <w:p>
            <w:r>
              <w:rPr>
                <w:sz w:val="17"/>
              </w:rPr>
              <w:t>1,703</w:t>
            </w:r>
          </w:p>
        </w:tc>
        <w:tc>
          <w:tcPr>
            <w:tcW w:type="dxa" w:w="1440"/>
            <w:shd w:fill="FFDCE0" w:val="clear"/>
          </w:tcPr>
          <w:p>
            <w:r>
              <w:rPr>
                <w:b/>
                <w:color w:val="C00000"/>
                <w:sz w:val="17"/>
              </w:rPr>
              <w:t>-12.5%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1,310</w:t>
            </w:r>
          </w:p>
        </w:tc>
        <w:tc>
          <w:tcPr>
            <w:tcW w:type="dxa" w:w="1440"/>
            <w:shd w:fill="FFDCE0" w:val="clear"/>
          </w:tcPr>
          <w:p>
            <w:r>
              <w:rPr>
                <w:b/>
                <w:sz w:val="17"/>
              </w:rPr>
              <w:t>1,500</w:t>
            </w:r>
          </w:p>
        </w:tc>
        <w:tc>
          <w:tcPr>
            <w:tcW w:type="dxa" w:w="1440"/>
            <w:shd w:fill="FFDCE0" w:val="clear"/>
          </w:tcPr>
          <w:p>
            <w:r>
              <w:rPr>
                <w:sz w:val="17"/>
              </w:rPr>
              <w:t>1,691</w:t>
            </w:r>
          </w:p>
        </w:tc>
        <w:tc>
          <w:tcPr>
            <w:tcW w:type="dxa" w:w="1440"/>
            <w:shd w:fill="FFDCE0" w:val="clear"/>
          </w:tcPr>
          <w:p>
            <w:r>
              <w:rPr>
                <w:b/>
                <w:color w:val="C00000"/>
                <w:sz w:val="17"/>
              </w:rPr>
              <w:t>-13.8%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1,280</w:t>
            </w:r>
          </w:p>
        </w:tc>
        <w:tc>
          <w:tcPr>
            <w:tcW w:type="dxa" w:w="1440"/>
            <w:shd w:fill="FFDCE0" w:val="clear"/>
          </w:tcPr>
          <w:p>
            <w:r>
              <w:rPr>
                <w:b/>
                <w:sz w:val="17"/>
              </w:rPr>
              <w:t>1,479</w:t>
            </w:r>
          </w:p>
        </w:tc>
        <w:tc>
          <w:tcPr>
            <w:tcW w:type="dxa" w:w="1440"/>
            <w:shd w:fill="FFDCE0" w:val="clear"/>
          </w:tcPr>
          <w:p>
            <w:r>
              <w:rPr>
                <w:sz w:val="17"/>
              </w:rPr>
              <w:t>1,678</w:t>
            </w:r>
          </w:p>
        </w:tc>
        <w:tc>
          <w:tcPr>
            <w:tcW w:type="dxa" w:w="1440"/>
            <w:shd w:fill="FFDCE0" w:val="clear"/>
          </w:tcPr>
          <w:p>
            <w:r>
              <w:rPr>
                <w:b/>
                <w:color w:val="C00000"/>
                <w:sz w:val="17"/>
              </w:rPr>
              <w:t>-15.0%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1,251</w:t>
            </w:r>
          </w:p>
        </w:tc>
        <w:tc>
          <w:tcPr>
            <w:tcW w:type="dxa" w:w="1440"/>
            <w:shd w:fill="FFDCE0" w:val="clear"/>
          </w:tcPr>
          <w:p>
            <w:r>
              <w:rPr>
                <w:b/>
                <w:sz w:val="17"/>
              </w:rPr>
              <w:t>1,458</w:t>
            </w:r>
          </w:p>
        </w:tc>
        <w:tc>
          <w:tcPr>
            <w:tcW w:type="dxa" w:w="1440"/>
            <w:shd w:fill="FFDCE0" w:val="clear"/>
          </w:tcPr>
          <w:p>
            <w:r>
              <w:rPr>
                <w:sz w:val="17"/>
              </w:rPr>
              <w:t>1,665</w:t>
            </w:r>
          </w:p>
        </w:tc>
        <w:tc>
          <w:tcPr>
            <w:tcW w:type="dxa" w:w="1440"/>
            <w:shd w:fill="FFDCE0" w:val="clear"/>
          </w:tcPr>
          <w:p>
            <w:r>
              <w:rPr>
                <w:b/>
                <w:color w:val="C00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315,59 milliards FCFA, ce qui en fait une valeur significative sur le marché de la BRVM, reflétant la position dominante de l'entreprise dans le secteur automobile ivoirien. Avec un BPA de 26 FCFA, le titre se négocie à un PER de 67,2x, un niveau extrêmement élevé comparé à la moyenne historique de la BRVM (8-12x), indiquant que les investisseurs paient une prime considérable pour chaque franc de bénéfice. Le P/B de 16,22x confirme cette valorisation exigeante, le marché valorisant l'action à plus de 16 fois sa valeur comptable, ce qui reflète des attentes de croissance très fortes. L'EV/EBITDA de 34,2x, bien au-delà du seuil de 15x considéré comme exigeant, renforce l'idée d'une valorisation qui intègre des hypothèses optimistes sur la capacité opérationnelle future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progression totale de +6,75%, avec une dernière séance particulièrement dynamique en hausse de +3,57%, portant le cours à 1 740 FCFA. Le titre a évolué dans une fourchette de 1 325 à 1 825 FCFA, démontrant une amplitude de trading de 500 FCFA, soit près de 38% du plus bas, ce qui témoigne d'une volatilité significative. La moyenne sur la période s'établit à 1 603 FCFA, très proche de la médiane (1 602 FCFA) et du mode (1 600 FCFA), indiquant une distribution relativement symétrique des prix autour de ces valeurs centrales. L'écart-type de 100 FCFA, avec un coefficient de variation de 6,3%, révèle une dispersion modérée des cours. Le kurtosis de 0,035 (mésokurtique) suggère une distribution proche de la normale, sans risque de pics extrêmes, tandis que le skewness de -0,375 indique une légère asymétrie négative, avec des queues de distribution orientées vers les valeurs basses. La volatilité annualisée de 48,8% classe le titre dans la catégorie des valeurs à forte volatilité, bien au-dessus du seuil de 30%, ce qui implique un risque de prix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1 740 FCFA se positionne nettement au-dessus des MM20 (1 666,5 FCFA) et MM50 (1 668,1 FCFA), avec un écart d'environ 4,4% par rapport à ces moyennes. Cette configuration suggère une dynamique haussière à court terme, le prix évoluant au-dessus de ses moyennes mobiles. Cependant, la décision technique est signalée comme "Vente", ce qui peut paraître paradoxal. Cette décision s'explique probablement par la convergence des MM20 et MM50, indiquant une phase de consolidation après un mouvement haussier, et par le fait que le cours pourrait être en situation de surachat technique à ces niveaux.</w:t>
      </w:r>
    </w:p>
    <w:p>
      <w:pPr>
        <w:spacing w:after="120" w:line="276" w:lineRule="auto"/>
      </w:pPr>
      <w:r>
        <w:t>**Bandes de Bollinger** : Le prix de 1 740 FCFA se situe très près de la borne supérieure (1 738,47 FCFA), franchissant même légèrement cette limite. Cette position indique que le titre est en zone de surachat à court terme, avec une volatilité qui s'élargit. La décision "Vente" associée à cet indicateur suggère qu'un retour vers la moyenne (1 666,5 FCFA) est statistiquement probable. La largeur des bandes (écart de 144 FCFA entre les bornes) reflète la volatilité élevée du titre, confirmant les statistiques de dispersion observées sur la période.</w:t>
      </w:r>
    </w:p>
    <w:p>
      <w:pPr>
        <w:spacing w:after="120" w:line="276" w:lineRule="auto"/>
      </w:pPr>
      <w:r>
        <w:t>**MACD** : La valeur du MACD à 6,049, au-dessus de sa ligne de signal à 3,152, génère un signal d'achat. Cette configuration positive indique que le momentum haussier est toujours actif et se renforce. L'écart positif entre le MACD et le signal suggère une accélération de la tendance haussière à moyen terme, ce qui contraste avec les signaux de vente émis par les moyennes mobiles et les bandes de Bollinger. Cette divergence entre indicateurs de tendance et de momentum est typique des phases de fin de mouvement haussier.</w:t>
      </w:r>
    </w:p>
    <w:p>
      <w:pPr>
        <w:spacing w:after="120" w:line="276" w:lineRule="auto"/>
      </w:pPr>
      <w:r>
        <w:t>**RSI** : Le RSI à 59,036 se situe en zone neutre, entre 30 et 70, indiquant un équilibre relatif entre les forces acheteuses et vendeuses. Cette valeur ne signale ni surachat ni survente, laissant une marge de manœuvre pour une poursuite du mouvement haussier avant d'atteindre la zone de surachat (&gt;70). La décision "Neutre" associée à cet indicateur suggère que le marché n'a pas encore tranché sur la direction future, malgré la tendance haussière récente.</w:t>
      </w:r>
    </w:p>
    <w:p>
      <w:pPr>
        <w:spacing w:after="120" w:line="276" w:lineRule="auto"/>
      </w:pPr>
      <w:r>
        <w:t>**Stochastique** : Le %K à 100,0, bien au-dessus du %D à 70,0, indique une situation de surachat extrême. Le %K ayant atteint sa valeur maximale, un retournement est statistiquement probable à très court terme. La décision "Vente" associée à cet indicateur est cohérente avec cette lecture, signalant un épuisement potentiel du mouvement haussier. Le croisement potentiel du %K sous le %D constituerait un signal de vente plus fort.</w:t>
      </w:r>
    </w:p>
    <w:p>
      <w:pPr>
        <w:spacing w:after="120" w:line="276" w:lineRule="auto"/>
      </w:pPr>
      <w:r>
        <w:t>**Conclusion technique** : La synthèse des indicateurs techniques révèle une situation contrastée. Le MACD et la position du cours au-dessus des moyennes mobiles suggèrent une tendance haussière sous-jacente, mais les bandes de Bollinger, le stochastique et les moyennes mobiles signalent une phase de surachat imminent. Cette configuration indique un risque élevé de correction à court terme, malgré la tendance positive à moyen terme. Les signaux de vente dominants (3 contre 1 achat et 1 neutre) suggèrent une prudence accrue pour les investisseurs à court terme.</w:t>
      </w:r>
    </w:p>
    <w:p>
      <w:pPr>
        <w:spacing w:after="120" w:line="276" w:lineRule="auto" w:before="240"/>
      </w:pPr>
      <w:r>
        <w:rPr>
          <w:b/>
          <w:color w:val="003366"/>
          <w:sz w:val="24"/>
        </w:rPr>
        <w:t>**PARTIE 3 : ANALYSE FONDAMENTALE (SECTION CRITIQUE)**</w:t>
      </w:r>
    </w:p>
    <w:p>
      <w:pPr>
        <w:spacing w:after="120" w:line="276" w:lineRule="auto"/>
      </w:pPr>
      <w:r>
        <w:t>En 2024, CFAC a enregistré un chiffre d'affaires de 158,313 milliards FCFA, en baisse de -12,1% par rapport à 2023, avec un résultat net de 4,693 milliards FCFA, reflétant une contraction de -26,7%. Le ROE s'établit à 24,13%, un niveau excellent (&gt;15%), tandis que le ROA atteint 5,52%, démontrant une utilisation efficace des actifs. La marge nette de 2,96% et la marge opérationnelle de 4,96% révèlent une pression sur la rentabilité, impactée par la baisse des volumes et des difficultés logistiques. Le BFR négatif de -3,482 milliards FCFA constitue un point positif, indiquant une gestion efficace du cycle d'exploitation, avec un délai clients de 36,64 jours et un délai fournisseurs de 81,75 jours. La structure financière montre une autonomie de 22,88%, légèrement sous le seuil de 30% considéré comme sain, avec un ratio d'endettement de 23,07%. Les rapports trimestriels 2025 révèlent un redressement spectaculaire : le T1 2025 affiche un CA de 46,161 milliards FCFA (+14,5%) et un résultat net de 3,836 milliards FCFA (+279,7%), tandis que le S1 2025 confirme cette dynamique avec un CA de 91,182 milliards FCFA (+18,4%) et un résultat net de 5,420 milliards FCFA (+152,7%). Le T3 2025 poursuit cette tendance avec un CA de 43,580 milliards FCFA (+18,3%) et un résultat net de 1,489 milliards FCFA (+38,1%). Sur la base de ces rapports trimestriels, on estime que l'exercice 2025 devrait dépasser significativement les performances de 2024, avec un CA projeté autour de 180 milliards FCFA et un résultat net potentiel de 8-10 milliards FCFA, marquant un retour aux niveaux de 2023. La position de leader de l'entreprise (43,4% de part de marché) et les investissements dans les nouvelles marques (SHACMAN, LOVOL, BYD) constituent des atouts pour la croissance future.</w:t>
      </w:r>
    </w:p>
    <w:p>
      <w:pPr>
        <w:spacing w:after="120" w:line="276" w:lineRule="auto" w:before="240"/>
      </w:pPr>
      <w:r>
        <w:rPr>
          <w:b/>
          <w:color w:val="003366"/>
          <w:sz w:val="24"/>
        </w:rPr>
        <w:t>**PARTIE 4 : CONCLUSION D'INVESTISSEMENT**</w:t>
      </w:r>
    </w:p>
    <w:p>
      <w:pPr>
        <w:spacing w:after="120" w:line="276" w:lineRule="auto"/>
      </w:pPr>
      <w:r>
        <w:t>La valorisation actuelle de CFAC apparaît extrêmement exigeante, avec un PER de 67,2x et un P/B de 16,22x, nettement supérieurs aux moyennes du marché BRVM, ce qui reflète des attentes de croissance très optimistes intégrées dans le prix. Le comportement du cours sur 100 jours montre une tendance haussière modérée (+6,75%) mais avec une volatilité élevée (48,8% annualisée) et une distribution légèrement asymétrique négative, suggérant un risque de mouvements baissiers plus prononcés. Les signaux techniques sont mitigés, avec une prédominance de signaux de vente à court terme (Bollinger, Stochastique, MM) contre un signal d'achat (MACD), indiquant un risque de correction après la récente hausse. Les fondamentaux, bien que solides avec un ROE de 24,13% et un redressement spectaculaire en 2025 (+152,7% au S1), ne justifient pas pleinement la valorisation actuelle. Les prédictions IA pour les 10 prochains jours (1 652 à 1 567 FCFA) confirment cette analyse, anticipant une correction de -10% par rapport au cours actuel. La convergence entre les signaux techniques de vente, la valorisation excessive et les prédictions IA baissières suggère une recommandation de **VENTE** pour les investisseurs à court terme, avec un niveau de confiance **Moyen** et un risque global **Élevé**. L'horizon d'investissement optimal serait le court terme (&lt;3 mois) pour les traders, tandis que les investisseurs à long terme pourraient attendre une correction du cours vers les 1 500-1 550 FCFA pour envisager une position plus attractive.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386.40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5,923 titres</w:t>
            </w:r>
          </w:p>
        </w:tc>
        <w:tc>
          <w:tcPr>
            <w:tcW w:type="dxa" w:w="2268"/>
            <w:shd w:fill="FFF2CC" w:val="clear"/>
          </w:tcPr>
          <w:p>
            <w:r>
              <w:rPr>
                <w:b/>
                <w:color w:val="503200"/>
                <w:sz w:val="16"/>
              </w:rPr>
              <w:t xml:space="preserve">Cours actuel : </w:t>
            </w:r>
            <w:r>
              <w:rPr>
                <w:color w:val="000000"/>
                <w:sz w:val="17"/>
              </w:rPr>
              <w:t>6,900 FCFA</w:t>
            </w:r>
          </w:p>
          <w:p>
            <w:r>
              <w:rPr>
                <w:b/>
                <w:color w:val="503200"/>
                <w:sz w:val="16"/>
              </w:rPr>
              <w:t xml:space="preserve">Var. 100 jours : </w:t>
            </w:r>
            <w:r>
              <w:rPr>
                <w:b/>
                <w:color w:val="007800"/>
                <w:sz w:val="17"/>
              </w:rPr>
              <w:t>+109.73%</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23.28% (Élevée) — μ=4,466 FCFA, σ=1,040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β=1.5091 (Agressif) — Cov=0.000049, Var(idx)=0.000033, ρ=0.280,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6,016</w:t>
            </w:r>
          </w:p>
        </w:tc>
        <w:tc>
          <w:tcPr>
            <w:tcW w:type="dxa" w:w="1440"/>
            <w:shd w:fill="FFDCE0" w:val="clear"/>
          </w:tcPr>
          <w:p>
            <w:r>
              <w:rPr>
                <w:b/>
                <w:sz w:val="17"/>
              </w:rPr>
              <w:t>6,382</w:t>
            </w:r>
          </w:p>
        </w:tc>
        <w:tc>
          <w:tcPr>
            <w:tcW w:type="dxa" w:w="1440"/>
            <w:shd w:fill="FFDCE0" w:val="clear"/>
          </w:tcPr>
          <w:p>
            <w:r>
              <w:rPr>
                <w:sz w:val="17"/>
              </w:rPr>
              <w:t>6,749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5,425</w:t>
            </w:r>
          </w:p>
        </w:tc>
        <w:tc>
          <w:tcPr>
            <w:tcW w:type="dxa" w:w="1440"/>
            <w:shd w:fill="FFDCE0" w:val="clear"/>
          </w:tcPr>
          <w:p>
            <w:r>
              <w:rPr>
                <w:b/>
                <w:sz w:val="17"/>
              </w:rPr>
              <w:t>5,904</w:t>
            </w:r>
          </w:p>
        </w:tc>
        <w:tc>
          <w:tcPr>
            <w:tcW w:type="dxa" w:w="1440"/>
            <w:shd w:fill="FFDCE0" w:val="clear"/>
          </w:tcPr>
          <w:p>
            <w:r>
              <w:rPr>
                <w:sz w:val="17"/>
              </w:rPr>
              <w:t>6,383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4,919</w:t>
            </w:r>
          </w:p>
        </w:tc>
        <w:tc>
          <w:tcPr>
            <w:tcW w:type="dxa" w:w="1440"/>
            <w:shd w:fill="FFDCE0" w:val="clear"/>
          </w:tcPr>
          <w:p>
            <w:r>
              <w:rPr>
                <w:b/>
                <w:sz w:val="17"/>
              </w:rPr>
              <w:t>5,461</w:t>
            </w:r>
          </w:p>
        </w:tc>
        <w:tc>
          <w:tcPr>
            <w:tcW w:type="dxa" w:w="1440"/>
            <w:shd w:fill="FFDCE0" w:val="clear"/>
          </w:tcPr>
          <w:p>
            <w:r>
              <w:rPr>
                <w:sz w:val="17"/>
              </w:rPr>
              <w:t>6,004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4,472</w:t>
            </w:r>
          </w:p>
        </w:tc>
        <w:tc>
          <w:tcPr>
            <w:tcW w:type="dxa" w:w="1440"/>
            <w:shd w:fill="FFDCE0" w:val="clear"/>
          </w:tcPr>
          <w:p>
            <w:r>
              <w:rPr>
                <w:b/>
                <w:sz w:val="17"/>
              </w:rPr>
              <w:t>5,051</w:t>
            </w:r>
          </w:p>
        </w:tc>
        <w:tc>
          <w:tcPr>
            <w:tcW w:type="dxa" w:w="1440"/>
            <w:shd w:fill="FFDCE0" w:val="clear"/>
          </w:tcPr>
          <w:p>
            <w:r>
              <w:rPr>
                <w:sz w:val="17"/>
              </w:rPr>
              <w:t>5,631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4,073</w:t>
            </w:r>
          </w:p>
        </w:tc>
        <w:tc>
          <w:tcPr>
            <w:tcW w:type="dxa" w:w="1440"/>
            <w:shd w:fill="FFDCE0" w:val="clear"/>
          </w:tcPr>
          <w:p>
            <w:r>
              <w:rPr>
                <w:b/>
                <w:sz w:val="17"/>
              </w:rPr>
              <w:t>4,673</w:t>
            </w:r>
          </w:p>
        </w:tc>
        <w:tc>
          <w:tcPr>
            <w:tcW w:type="dxa" w:w="1440"/>
            <w:shd w:fill="FFDCE0" w:val="clear"/>
          </w:tcPr>
          <w:p>
            <w:r>
              <w:rPr>
                <w:sz w:val="17"/>
              </w:rPr>
              <w:t>5,272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3,715</w:t>
            </w:r>
          </w:p>
        </w:tc>
        <w:tc>
          <w:tcPr>
            <w:tcW w:type="dxa" w:w="1440"/>
            <w:shd w:fill="FFDCE0" w:val="clear"/>
          </w:tcPr>
          <w:p>
            <w:r>
              <w:rPr>
                <w:b/>
                <w:sz w:val="17"/>
              </w:rPr>
              <w:t>4,322</w:t>
            </w:r>
          </w:p>
        </w:tc>
        <w:tc>
          <w:tcPr>
            <w:tcW w:type="dxa" w:w="1440"/>
            <w:shd w:fill="FFDCE0" w:val="clear"/>
          </w:tcPr>
          <w:p>
            <w:r>
              <w:rPr>
                <w:sz w:val="17"/>
              </w:rPr>
              <w:t>4,929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3,391</w:t>
            </w:r>
          </w:p>
        </w:tc>
        <w:tc>
          <w:tcPr>
            <w:tcW w:type="dxa" w:w="1440"/>
            <w:shd w:fill="FFDCE0" w:val="clear"/>
          </w:tcPr>
          <w:p>
            <w:r>
              <w:rPr>
                <w:b/>
                <w:sz w:val="17"/>
              </w:rPr>
              <w:t>3,998</w:t>
            </w:r>
          </w:p>
        </w:tc>
        <w:tc>
          <w:tcPr>
            <w:tcW w:type="dxa" w:w="1440"/>
            <w:shd w:fill="FFDCE0" w:val="clear"/>
          </w:tcPr>
          <w:p>
            <w:r>
              <w:rPr>
                <w:sz w:val="17"/>
              </w:rPr>
              <w:t>4,605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3,098</w:t>
            </w:r>
          </w:p>
        </w:tc>
        <w:tc>
          <w:tcPr>
            <w:tcW w:type="dxa" w:w="1440"/>
            <w:shd w:fill="FFDCE0" w:val="clear"/>
          </w:tcPr>
          <w:p>
            <w:r>
              <w:rPr>
                <w:b/>
                <w:sz w:val="17"/>
              </w:rPr>
              <w:t>3,698</w:t>
            </w:r>
          </w:p>
        </w:tc>
        <w:tc>
          <w:tcPr>
            <w:tcW w:type="dxa" w:w="1440"/>
            <w:shd w:fill="FFDCE0" w:val="clear"/>
          </w:tcPr>
          <w:p>
            <w:r>
              <w:rPr>
                <w:sz w:val="17"/>
              </w:rPr>
              <w:t>4,298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2,832</w:t>
            </w:r>
          </w:p>
        </w:tc>
        <w:tc>
          <w:tcPr>
            <w:tcW w:type="dxa" w:w="1440"/>
            <w:shd w:fill="FFDCE0" w:val="clear"/>
          </w:tcPr>
          <w:p>
            <w:r>
              <w:rPr>
                <w:b/>
                <w:sz w:val="17"/>
              </w:rPr>
              <w:t>3,421</w:t>
            </w:r>
          </w:p>
        </w:tc>
        <w:tc>
          <w:tcPr>
            <w:tcW w:type="dxa" w:w="1440"/>
            <w:shd w:fill="FFDCE0" w:val="clear"/>
          </w:tcPr>
          <w:p>
            <w:r>
              <w:rPr>
                <w:sz w:val="17"/>
              </w:rPr>
              <w:t>4,009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2,673</w:t>
            </w:r>
          </w:p>
        </w:tc>
        <w:tc>
          <w:tcPr>
            <w:tcW w:type="dxa" w:w="1440"/>
            <w:shd w:fill="FFDCE0" w:val="clear"/>
          </w:tcPr>
          <w:p>
            <w:r>
              <w:rPr>
                <w:b/>
                <w:sz w:val="17"/>
              </w:rPr>
              <w:t>3,265</w:t>
            </w:r>
          </w:p>
        </w:tc>
        <w:tc>
          <w:tcPr>
            <w:tcW w:type="dxa" w:w="1440"/>
            <w:shd w:fill="FFDCE0" w:val="clear"/>
          </w:tcPr>
          <w:p>
            <w:r>
              <w:rPr>
                <w:sz w:val="17"/>
              </w:rPr>
              <w:t>3,857</w:t>
            </w:r>
          </w:p>
        </w:tc>
        <w:tc>
          <w:tcPr>
            <w:tcW w:type="dxa" w:w="1440"/>
            <w:shd w:fill="FFDCE0" w:val="clear"/>
          </w:tcPr>
          <w:p>
            <w:r>
              <w:rPr>
                <w:b/>
                <w:color w:val="C00000"/>
                <w:sz w:val="17"/>
              </w:rPr>
              <w:t>-52.7%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386,40 milliards FCFA, un niveau qui la positionne parmi les valeurs moyennes du compartiment A de la BRVM, reflétant son statut de service public essentiel. Le BPA de 234 FCFA indique que chaque action génère un bénéfice net de ce montant, mais le PER de 29,4x est très supérieur à la moyenne historique du marché (8-12x), signifiant que les investisseurs paient une prime substantielle pour chaque franc de bénéfice, anticipant une forte croissance future. Le P/B de 10,74x est extrêmement élevé, le marché valorisant l'action plus de dix fois sa valeur comptable, ce qui traduit une confiance dans la rentabilité des actifs immatériels et la position de monopole. Enfin, l'EV/EBITDA de 15,5x confirme une valorisation exigeante, la valeur d'entreprise représentant plus de 15 fois la capacité opérationnelle de la société, un niveau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+109,73%, passant d'un plus bas de 3 000 FCFA à un plus haut de 7 190 FCFA, avant de clôturer à 6 900 FCFA, soit une légère baisse de -4,03% lors de la dernière séance. La moyenne du cours sur la période (4 466 FCFA) est inférieure à la médiane (4 995 FCFA), indiquant une distribution légèrement asymétrique avec une concentration des prix vers le bas avant une accélération récente. L'écart-type de 1 045 FCFA, avec un coefficient de variation de 23,4%, témoigne d'une dispersion modérée des prix autour de la moyenne. Le kurtosis de -0,900 (mésokurtique) suggère une distribution proche de la normale, sans risque de pics extrêmes, tandis que le skewness de 0,072 confirme une symétrie des rendements. La volatilité annualisée de 49,6% classe le titre comme très volatil, bien au-dessus du seuil de 30%,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(5 548,25 FCFA) et la MM50 (5 328,2 FCFA) sont toutes deux largement inférieures au cours actuel de 6 900 FCFA, confirmant une tendance haussière solide. Le croisement positif des moyennes et l'écart croissant entre elles et le prix signalent une dynamique d'achat soutenue, justifiant la décision d'achat.</w:t>
      </w:r>
    </w:p>
    <w:p>
      <w:pPr>
        <w:spacing w:after="120" w:line="276" w:lineRule="auto"/>
      </w:pPr>
      <w:r>
        <w:t>**Bandes de Bollinger :** Le prix actuel (6 900 FCFA) se situe très près de la borne supérieure (6 960,73 FCFA), indiquant que le titre est en zone de surachat technique. La largeur des bandes reflète la volatilité élevée du titre. La décision "Neutre" suggère que le marché attend un signal de cassure ou de retournement, mais la pression acheteuse reste forte.</w:t>
      </w:r>
    </w:p>
    <w:p>
      <w:pPr>
        <w:spacing w:after="120" w:line="276" w:lineRule="auto"/>
      </w:pPr>
      <w:r>
        <w:t>**MACD :** Le MACD (427,79) est nettement au-dessus de sa ligne de signal (226,35), avec un écart positif croissant. Cette configuration confirme un momentum haussier puissant, sans signe d'essoufflement à court terme, justifiant la décision d'achat.</w:t>
      </w:r>
    </w:p>
    <w:p>
      <w:pPr>
        <w:spacing w:after="120" w:line="276" w:lineRule="auto"/>
      </w:pPr>
      <w:r>
        <w:t>**RSI :** Le RSI à 88,15 est en zone de surachat extrême (au-delà de 70), signalant que le titre est survendu et qu'un repli technique est probable. La décision "Vente" est cohérente avec ce niveau extrême, qui précède souvent une correction.</w:t>
      </w:r>
    </w:p>
    <w:p>
      <w:pPr>
        <w:spacing w:after="120" w:line="276" w:lineRule="auto"/>
      </w:pPr>
      <w:r>
        <w:t>**Stochastique :** Le %K (86,79) et le %D (95,60) sont tous deux en zone de surachat, avec un %K passant sous le %D, indiquant un croisement baissier potentiel. La décision "Vente" reflète ce signal de retournement imminent.</w:t>
      </w:r>
    </w:p>
    <w:p>
      <w:pPr>
        <w:spacing w:after="120" w:line="276" w:lineRule="auto"/>
      </w:pPr>
      <w:r>
        <w:t>**Conclusion technique :** Les indicateurs de tendance (MM, MACD) sont positifs, mais les oscillateurs (RSI, Stochastique) signalent un épuisement acheteur. La configuration suggère une consolidation ou une correction à court terme avant la poursuite de la tendance haussière, avec un risque de repli vers les 5 500-6 000 FCFA.</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 milliards FCFA, en hausse de 14,8% par rapport à 2024 (263,29 milliards), avec un résultat net de 13,13 milliards FCFA, en progression de 24,4%. Le ROE de 36,5% est excellent, démontrant une utilisation très efficace des capitaux propres (35,96 milliards), tandis que le ROA de 0,65% reflète la lourdeur du bilan (2 018,45 milliards) due aux actifs de concession. La marge nette de 4,34% reste modeste, typique du secteur régulé. Le BFR négatif de -90,24 milliards est un point très positif, indiquant que la société finance son exploitation grâce aux délais fournisseurs (970 jours) et aux avances clients, malgré un délai clients élevé de 164 jours qui représente un risque de trésorerie. L'endettement est significatif (220,42 milliards de dettes financières), avec un ratio d'endettement de 612,9%, mais la capacité de remboursement de 7,64 ans reste gérable grâce à une CAF de 28,87 milliards. Les rapports du S1 2025 (datés de 2025) confirment la dynamique avec un CA semestriel de 134,92 milliards (+18,85%) et un résultat net de 5,10 milliards (+13,4%), permettant d'estimer un CA annuel 2026 autour de 320-330 milliards et un résultat net de 14-15 milliards, soit une croissance soutenue. La politique de dividende est très généreuse avec 234 FCFA par action, représentant 99,8% du résultat net, ce qui limite l'autofinancement mais récompense les actionnaires.</w:t>
      </w:r>
    </w:p>
    <w:p>
      <w:pPr>
        <w:spacing w:after="120" w:line="276" w:lineRule="auto"/>
      </w:pPr>
      <w:r>
        <w:t>---</w:t>
      </w:r>
    </w:p>
    <w:p>
      <w:pPr>
        <w:spacing w:after="120" w:line="276" w:lineRule="auto"/>
      </w:pPr>
      <w:r>
        <w:t>### PARTIE 4 : CONCLUSION D'INVESTISSEMENT</w:t>
      </w:r>
    </w:p>
    <w:p>
      <w:pPr>
        <w:spacing w:after="120" w:line="276" w:lineRule="auto"/>
      </w:pPr>
      <w:r>
        <w:t>La valorisation actuelle de la CIEC (PER 29,4x, P/B 10,74x, EV/EBITDA 15,5x) indique une nette surévaluation par rapport aux fondamentaux historiques du marché, les investisseurs payant une prime excessive pour la croissance anticipée. Le comportement du cours (+109,73% en 100 jours) montre une tendance haussière spectaculaire mais avec une volatilité très élevée (49,6%) et des statistiques (kurtosis mésokurtique, skewness symétrique) suggérant un risque de retournement. Les signaux techniques sont divergents : les moyennes mobiles et le MACD restent positifs, mais le RSI (88,15) et le Stochastique (95,60) en surachat extrême signalent une correction imminente. Les fondamentaux sont solides avec une croissance du CA de 14,8%, un ROE de 36,5% et un dividende attractif, mais le niveau d'endettement et la dépendance réglementaire constituent des risques. Les prédictions IA (6 382 FCFA à J+1, puis baisse progressive à 4 673 FCFA à J+10) confirment le scénario de correction technique. **Recommandation : VENTE** pour les investisseurs à court terme, avec un niveau de confiance **Moyen** et un risque global **Élevé**. Pour les investisseurs à long terme, une stratégie de conservation avec réinvestissement après correction vers 5 000-5 500 FCFA serait optimale, avec un horizon de 6-12 mois.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3,813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007800"/>
                <w:sz w:val="17"/>
              </w:rPr>
              <w:t>+1.79%</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2.20% (Faible) — μ=16,320 FCFA, σ=358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β=0.3041 (Défensif) — Cov=0.000010, Var(idx)=0.000033, ρ=0.100,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16,207</w:t>
            </w:r>
          </w:p>
        </w:tc>
        <w:tc>
          <w:tcPr>
            <w:tcW w:type="dxa" w:w="1440"/>
            <w:shd w:fill="FAFAFA" w:val="clear"/>
          </w:tcPr>
          <w:p>
            <w:r>
              <w:rPr>
                <w:b/>
                <w:sz w:val="17"/>
              </w:rPr>
              <w:t>16,620</w:t>
            </w:r>
          </w:p>
        </w:tc>
        <w:tc>
          <w:tcPr>
            <w:tcW w:type="dxa" w:w="1440"/>
            <w:shd w:fill="FAFAFA" w:val="clear"/>
          </w:tcPr>
          <w:p>
            <w:r>
              <w:rPr>
                <w:sz w:val="17"/>
              </w:rPr>
              <w:t>17,034</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16,020</w:t>
            </w:r>
          </w:p>
        </w:tc>
        <w:tc>
          <w:tcPr>
            <w:tcW w:type="dxa" w:w="1440"/>
            <w:shd w:fill="FAFAFA" w:val="clear"/>
          </w:tcPr>
          <w:p>
            <w:r>
              <w:rPr>
                <w:b/>
                <w:sz w:val="17"/>
              </w:rPr>
              <w:t>16,604</w:t>
            </w:r>
          </w:p>
        </w:tc>
        <w:tc>
          <w:tcPr>
            <w:tcW w:type="dxa" w:w="1440"/>
            <w:shd w:fill="FAFAFA" w:val="clear"/>
          </w:tcPr>
          <w:p>
            <w:r>
              <w:rPr>
                <w:sz w:val="17"/>
              </w:rPr>
              <w:t>17,189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15,865</w:t>
            </w:r>
          </w:p>
        </w:tc>
        <w:tc>
          <w:tcPr>
            <w:tcW w:type="dxa" w:w="1440"/>
            <w:shd w:fill="FAFAFA" w:val="clear"/>
          </w:tcPr>
          <w:p>
            <w:r>
              <w:rPr>
                <w:b/>
                <w:sz w:val="17"/>
              </w:rPr>
              <w:t>16,579</w:t>
            </w:r>
          </w:p>
        </w:tc>
        <w:tc>
          <w:tcPr>
            <w:tcW w:type="dxa" w:w="1440"/>
            <w:shd w:fill="FAFAFA" w:val="clear"/>
          </w:tcPr>
          <w:p>
            <w:r>
              <w:rPr>
                <w:sz w:val="17"/>
              </w:rPr>
              <w:t>17,294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15,735</w:t>
            </w:r>
          </w:p>
        </w:tc>
        <w:tc>
          <w:tcPr>
            <w:tcW w:type="dxa" w:w="1440"/>
            <w:shd w:fill="FAFAFA" w:val="clear"/>
          </w:tcPr>
          <w:p>
            <w:r>
              <w:rPr>
                <w:b/>
                <w:sz w:val="17"/>
              </w:rPr>
              <w:t>16,559</w:t>
            </w:r>
          </w:p>
        </w:tc>
        <w:tc>
          <w:tcPr>
            <w:tcW w:type="dxa" w:w="1440"/>
            <w:shd w:fill="FAFAFA" w:val="clear"/>
          </w:tcPr>
          <w:p>
            <w:r>
              <w:rPr>
                <w:sz w:val="17"/>
              </w:rPr>
              <w:t>17,383</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15,621</w:t>
            </w:r>
          </w:p>
        </w:tc>
        <w:tc>
          <w:tcPr>
            <w:tcW w:type="dxa" w:w="1440"/>
            <w:shd w:fill="FAFAFA" w:val="clear"/>
          </w:tcPr>
          <w:p>
            <w:r>
              <w:rPr>
                <w:b/>
                <w:sz w:val="17"/>
              </w:rPr>
              <w:t>16,541</w:t>
            </w:r>
          </w:p>
        </w:tc>
        <w:tc>
          <w:tcPr>
            <w:tcW w:type="dxa" w:w="1440"/>
            <w:shd w:fill="FAFAFA" w:val="clear"/>
          </w:tcPr>
          <w:p>
            <w:r>
              <w:rPr>
                <w:sz w:val="17"/>
              </w:rPr>
              <w:t>17,462</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15,517</w:t>
            </w:r>
          </w:p>
        </w:tc>
        <w:tc>
          <w:tcPr>
            <w:tcW w:type="dxa" w:w="1440"/>
            <w:shd w:fill="FAFAFA" w:val="clear"/>
          </w:tcPr>
          <w:p>
            <w:r>
              <w:rPr>
                <w:b/>
                <w:sz w:val="17"/>
              </w:rPr>
              <w:t>16,525</w:t>
            </w:r>
          </w:p>
        </w:tc>
        <w:tc>
          <w:tcPr>
            <w:tcW w:type="dxa" w:w="1440"/>
            <w:shd w:fill="FAFAFA" w:val="clear"/>
          </w:tcPr>
          <w:p>
            <w:r>
              <w:rPr>
                <w:sz w:val="17"/>
              </w:rPr>
              <w:t>17,532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15,421</w:t>
            </w:r>
          </w:p>
        </w:tc>
        <w:tc>
          <w:tcPr>
            <w:tcW w:type="dxa" w:w="1440"/>
            <w:shd w:fill="FAFAFA" w:val="clear"/>
          </w:tcPr>
          <w:p>
            <w:r>
              <w:rPr>
                <w:b/>
                <w:sz w:val="17"/>
              </w:rPr>
              <w:t>16,508</w:t>
            </w:r>
          </w:p>
        </w:tc>
        <w:tc>
          <w:tcPr>
            <w:tcW w:type="dxa" w:w="1440"/>
            <w:shd w:fill="FAFAFA" w:val="clear"/>
          </w:tcPr>
          <w:p>
            <w:r>
              <w:rPr>
                <w:sz w:val="17"/>
              </w:rPr>
              <w:t>17,595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15,331</w:t>
            </w:r>
          </w:p>
        </w:tc>
        <w:tc>
          <w:tcPr>
            <w:tcW w:type="dxa" w:w="1440"/>
            <w:shd w:fill="FAFAFA" w:val="clear"/>
          </w:tcPr>
          <w:p>
            <w:r>
              <w:rPr>
                <w:b/>
                <w:sz w:val="17"/>
              </w:rPr>
              <w:t>16,492</w:t>
            </w:r>
          </w:p>
        </w:tc>
        <w:tc>
          <w:tcPr>
            <w:tcW w:type="dxa" w:w="1440"/>
            <w:shd w:fill="FAFAFA" w:val="clear"/>
          </w:tcPr>
          <w:p>
            <w:r>
              <w:rPr>
                <w:sz w:val="17"/>
              </w:rPr>
              <w:t>17,653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15,245</w:t>
            </w:r>
          </w:p>
        </w:tc>
        <w:tc>
          <w:tcPr>
            <w:tcW w:type="dxa" w:w="1440"/>
            <w:shd w:fill="FAFAFA" w:val="clear"/>
          </w:tcPr>
          <w:p>
            <w:r>
              <w:rPr>
                <w:b/>
                <w:sz w:val="17"/>
              </w:rPr>
              <w:t>16,475</w:t>
            </w:r>
          </w:p>
        </w:tc>
        <w:tc>
          <w:tcPr>
            <w:tcW w:type="dxa" w:w="1440"/>
            <w:shd w:fill="FAFAFA" w:val="clear"/>
          </w:tcPr>
          <w:p>
            <w:r>
              <w:rPr>
                <w:sz w:val="17"/>
              </w:rPr>
              <w:t>17,705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15,164</w:t>
            </w:r>
          </w:p>
        </w:tc>
        <w:tc>
          <w:tcPr>
            <w:tcW w:type="dxa" w:w="1440"/>
            <w:shd w:fill="FFDCE0" w:val="clear"/>
          </w:tcPr>
          <w:p>
            <w:r>
              <w:rPr>
                <w:b/>
                <w:sz w:val="17"/>
              </w:rPr>
              <w:t>16,459</w:t>
            </w:r>
          </w:p>
        </w:tc>
        <w:tc>
          <w:tcPr>
            <w:tcW w:type="dxa" w:w="1440"/>
            <w:shd w:fill="FFDCE0" w:val="clear"/>
          </w:tcPr>
          <w:p>
            <w:r>
              <w:rPr>
                <w:sz w:val="17"/>
              </w:rPr>
              <w:t>17,754</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Avec une capitalisation boursière de 924,57 milliards FCFA, ECOC s'impose comme l'une des valeurs les plus lourdes et les plus liquides de la BRVM, reflétant son statut de banque systémique en Côte d'Ivoire. Le BPA de 1 153 FCFA indique que chaque action génère un bénéfice substantiel, justifiant un PER de 14,6x. Ce niveau est supérieur à la moyenne historique du marché (8-12x), signifiant que les investisseurs acceptent de payer une prime pour la qualité des actifs et la croissance de la banque. Le P/B de 4,23x confirme cette prime, le marché valorisant fortement les capitaux propres, tandis que l'EV/EBITDA de 14,2x, bien que dans une fourchette élevée, reste cohérent avec la solidité opérationnelle de l'établissement. Cette valorisation traduit une confiance marquée mais exigeante des investisseurs.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ECOC affiche une progression modeste de +1,79%, avec un repli de -0,36% lors de la dernière séance, suggérant une consolidation après une période de hausse. Le cours a évolué dans un range de 1 750 FCFA, entre un plus bas de 15 520 FCFA et un plus haut de 17 270 FCFA, démontrant une stabilité relative. La moyenne (16 320 FCFA) et la médiane (16 300 FCFA) étant quasi identiques, la distribution des prix est symétrique, confirmée par un skewness de 0,230. L'écart-type de 360 FCFA, avec un coefficient de variation de seulement 2,2%, indique une dispersion très faible autour de la moyenne, signe d'un titre très stable. Le kurtosis négatif (-0,012) suggère une distribution mésokurtique, sans risque de mouvements extrêmes. Enfin, la volatilité annualisée de 27,6% classe le titre dans une zone de volatilité modérée, acceptable pour une valeur bancaire.</w:t>
      </w:r>
    </w:p>
    <w:p>
      <w:pPr>
        <w:spacing w:after="120" w:line="276" w:lineRule="auto" w:before="240"/>
      </w:pPr>
      <w:r>
        <w:rPr>
          <w:b/>
          <w:color w:val="003366"/>
          <w:sz w:val="24"/>
        </w:rPr>
        <w:t>**PARTIE 2 : ANALYSE TECHNIQUE DÉTAILLÉE**</w:t>
      </w:r>
    </w:p>
    <w:p>
      <w:pPr>
        <w:spacing w:after="120" w:line="276" w:lineRule="auto"/>
      </w:pPr>
      <w:r>
        <w:t>Les Moyennes Mobiles (MM20 à 16 258,5 et MM50 à 16 405,8) sont toutes deux inférieures au cours actuel de 16 795 FCFA, ce qui est un signal haussier à court terme. Cependant, la MM50 étant supérieure à la MM20, la tendance de fond reste incertaine, d'où un signal global de vente pour les stratégies de suivi de tendance, car le croisement n'est pas encore confirmé à la hausse.</w:t>
      </w:r>
    </w:p>
    <w:p>
      <w:pPr>
        <w:spacing w:after="120" w:line="276" w:lineRule="auto"/>
      </w:pPr>
      <w:r>
        <w:t>Le cours se situe à 16 795 FCFA, proche de la borne supérieure des Bandes de Bollinger (16 826,2 FCFA), indiquant que le titre est temporairement en zone de surachat. La largeur des bandes (1 135 FCFA) reflète une volatilité modérée. La décision est neutre, le prix n'ayant pas encore franchi la borne, mais une cassure pourrait signaler une accélération haussière.</w:t>
      </w:r>
    </w:p>
    <w:p>
      <w:pPr>
        <w:spacing w:after="120" w:line="276" w:lineRule="auto"/>
      </w:pPr>
      <w:r>
        <w:t>Le MACD affiche une valeur positive de 86,579, nettement au-dessus de son signal (-13,499), ce qui constitue un croisement haussier très récent et puissant. Ce momentum positif indique que la dynamique des prix s'améliore, justifiant une décision d'achat pour les traders à court terme.</w:t>
      </w:r>
    </w:p>
    <w:p>
      <w:pPr>
        <w:spacing w:after="120" w:line="276" w:lineRule="auto"/>
      </w:pPr>
      <w:r>
        <w:t>Le RSI à 61,233 se situe en zone neutre-positive, en dessous du seuil de surachat (70). Cela laisse une marge de progression avant que le titre ne soit considéré comme surévalué techniquement. La décision est neutre, mais la tendance du RSI est orientée à la hausse, soutenant le scénario d'une poursuite de la hausse.</w:t>
      </w:r>
    </w:p>
    <w:p>
      <w:pPr>
        <w:spacing w:after="120" w:line="276" w:lineRule="auto"/>
      </w:pPr>
      <w:r>
        <w:t>Le Stochastique est élevé, avec un %K à 89,831 et un %D à 80,979, tous deux en zone de surachat. Le %K étant supérieur au %D, la dynamique est positive, mais ces niveaux extrêmes signalent un essoufflement probable à très court terme, justifiant une décision de vente pour prendre des profits.</w:t>
      </w:r>
    </w:p>
    <w:p>
      <w:pPr>
        <w:spacing w:after="120" w:line="276" w:lineRule="auto"/>
      </w:pPr>
      <w:r>
        <w:t>En conclusion, les indicateurs techniques sont mitigés : le MACD est clairement haussier, mais le Stochastique suggère un risque de correction immédiate. Les MM et le RSI sont neutres. La tendance générale reste positive, mais une consolidation est probable avant la prochaine jambe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d'ECOC (banque) font état d'un Produit Net Bancaire (PNB) de 132,725 milliards FCFA, en croissance de +8,5%, et d'un résultat net de 63,482 milliards FCFA. La rentabilité est exceptionnelle avec un ROE de 29,04% et un ROA de 3,09%, bien au-dessus des normes sectorielles. Le coefficient d'exploitation de 42,89% témoigne d'une excellente maîtrise des charges, et le coût du risque de 1,36% reste modéré, indiquant une bonne qualité du portefeuille de crédits (créances clientèle de 1 050,8 milliards FCFA contre 1 626,2 milliards de dépôts). Les rapports trimestriels 2025 confirment cette dynamique : au T3 2025, le PNB atteignait 96,4 milliards (+11,3%) et le résultat net 44,4 milliards (+15,4%), avec un ROE de 29,7%. Sur la base de cette tendance, on estime que l'exercice 2025 devrait dépasser les 63 milliards de résultat net, ce qui est confirmé par le dividende proposé de 888 FCFA par action. Enfin, le rapport T1 2026 montre une légère décélération (PNB +3,7%, résultat net -1,6%), mais la banque maintient une collecte de dépôts dynamique (+12%). La solidité financière est donc avérée, avec des perspectives de croissance soutenue, malgré un environnement macroéconomique complexe.</w:t>
      </w:r>
    </w:p>
    <w:p>
      <w:pPr>
        <w:spacing w:after="120" w:line="276" w:lineRule="auto" w:before="240"/>
      </w:pPr>
      <w:r>
        <w:rPr>
          <w:b/>
          <w:color w:val="003366"/>
          <w:sz w:val="24"/>
        </w:rPr>
        <w:t>**PARTIE 4 : CONCLUSION D'INVESTISSEMENT**</w:t>
      </w:r>
    </w:p>
    <w:p>
      <w:pPr>
        <w:spacing w:after="120" w:line="276" w:lineRule="auto"/>
      </w:pPr>
      <w:r>
        <w:t>La valorisation d'ECOC (PER 14,6x, P/B 4,23x) est exigeante mais justifiée par une rentabilité hors normes (ROE &gt;29%), reflétant une prime de qualité. Le comportement du cours sur 100 jours montre une stabilité remarquable (CV 2,2%) avec une tendance légèrement haussière, et une volatilité modérée (27,6%). Les signaux techniques sont partagés : le MACD est haussier, mais le Stochastique suggère un repli à court terme, tandis que les MM et le RSI restent neutres. Les fondamentaux sont excellents, avec une croissance du PNB et du résultat net à deux chiffres en 2025, et une politique de dividende généreuse (888 FCFA, soit un rendement de 5,3%). Les prédictions IA (16 620 à 16 541 FCFA sur 10 jours) anticipent une légère correction, en ligne avec les signaux techniques de surachat. En synthèse, la convergence entre la solidité fondamentale et la stabilité du cours est forte, mais la valorisation élevée et les signaux techniques mitigés incitent à la prudence. Nous recommandons donc de **CONSERVER** l'action, avec un niveau de confiance **Moyen** et un risque global **Moyen**. L'horizon d'investissement optimal est le **moyen terme (3-12 mois)**, en attendant une meilleure opportunité d'entrée lors d'une correction technique.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1,428,410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+106.25%</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38.51%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β=2.9805 (Très agressif) — Cov=0.000098, Var(idx)=0.000033, ρ=0.415,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1,428,410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56</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60</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de la BRVM, reflétant son statut de leader bancaire panafricain. Avec un BPA de 19 FCFA, le titre se négocie à un PER de 3,5x, soit nettement en dessous de la moyenne du marché BRVM (8-12x), indiquant une sous-évaluation potentielle significative. Le P/B de 0,75x confirme cette lecture : le marché valorise la société en dessous de sa valeur comptable, une situation qui suggère une décote injustifiée au regard des fondamentaux. Enfin, l'EV/EBITDA de 5,0x, inférieur au seuil de 5x jugé très bon marché, renforce l'attractivité de la valorisation actuelle. Ces ratios, pris ensemble, signalent une opportunité d'investissement potentiellement intéressante pour les investisseurs à la recherche de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variation totale spectaculaire de +106,25%, passant d'un plus bas de 26 FCFA à un plus haut de 78 FCFA, avant de se stabiliser à 66 FCFA. La variation sur la dernière séance est nulle (0,00%), suggérant une pause après une forte progression. La moyenne du cours sur la période est de 44 FCFA, tandis que la médiane est de 34 FCFA ; cet écart important (moyenne &gt; médiane) confirme une distribution asymétrique positive (skewness de 0,687), avec des journées de forte hausse tirant la moyenne vers le haut. L'écart-type de 17 FCFA (CV de 38,7%) indique une dispersion élevée des prix, et la volatilité annualisée de 64,8% classe le titre comme extrêmement volatil. Le kurtosis négatif (-1,304) révèle une distribution aplatie, avec moins de valeurs extrêmes que la normale, mais la tendance générale reste résolument haussière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de 66 FCFA se situe sous la MM20 (67,25 FCFA) mais nettement au-dessus de la MM50 (57,06 FCFA). Cette configuration indique un récent repli à court terme dans une tendance haussière de fond. Le signal global est "Achat", car la MM50 agit comme un support solide et la tendance de moyen terme reste positive.</w:t>
      </w:r>
    </w:p>
    <w:p>
      <w:pPr>
        <w:spacing w:after="120" w:line="276" w:lineRule="auto"/>
      </w:pPr>
      <w:r>
        <w:t>**Bandes de Bollinger** : Le prix se positionne à 66 FCFA, entre la borne inférieure (61,787 FCFA) et la borne supérieure (72,713 FCFA), proche de la zone médiane. La largeur des bandes reflète une volatilité élevée. La décision "Neutre" est cohérente avec une absence de signal directionnel fort, le titre n'étant ni suracheté ni survendu.</w:t>
      </w:r>
    </w:p>
    <w:p>
      <w:pPr>
        <w:spacing w:after="120" w:line="276" w:lineRule="auto"/>
      </w:pPr>
      <w:r>
        <w:t>**MACD** : La valeur du MACD (1,969) est inférieure à son signal (2,929), indiquant un momentum baissier à court terme. Cette configuration génère un signal de "Vente", suggérant une possible correction après la forte hausse récente. Les investisseurs devraient surveiller un éventuel croisement haussier pour confirmer un retour de la dynamique positive.</w:t>
      </w:r>
    </w:p>
    <w:p>
      <w:pPr>
        <w:spacing w:after="120" w:line="276" w:lineRule="auto"/>
      </w:pPr>
      <w:r>
        <w:t>**RSI** : Le RSI est à 50,0, une valeur exactement neutre, indiquant un équilibre entre pressions acheteuses et vendeuses. Ce niveau ne signale ni surachat ni survente, laissant place à une évolution dans les deux sens. La décision "Neutre" est donc justifiée.</w:t>
      </w:r>
    </w:p>
    <w:p>
      <w:pPr>
        <w:spacing w:after="120" w:line="276" w:lineRule="auto"/>
      </w:pPr>
      <w:r>
        <w:t>**Stochastique** : Le %K (40,0) est inférieur au %D (53,333), ce qui suggère une dynamique baissière à court terme. Cependant, les valeurs restent dans la zone neutre, et un croisement haussier du %K au-dessus du %D pourrait signaler un retour des acheteurs. La décision "Neutre" prévaut.</w:t>
      </w:r>
    </w:p>
    <w:p>
      <w:pPr>
        <w:spacing w:after="120" w:line="276" w:lineRule="auto"/>
      </w:pPr>
      <w:r>
        <w:t>**Conclusion technique** : Les indicateurs techniques sont globalement mitigés. Les moyennes mobiles soutiennent une tendance haussière de fond, mais le MACD et le Stochastique montrent une faiblesse à court terme. Le RSI et les Bandes de Bollinger sont neutres. Cette divergence suggère une phase de consolidation ou de correction légère avant une possible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pour ETIT (secteur banque) révèlent un Produit Net Bancaire (PNB) de 1 424,261 milliards FCFA, avec un résultat net de 345,523 milliards FCFA, soit une marge nette de 24,26%. Le ROE est excellent à 21,62% et le ROA à 1,80%, démontrant une utilisation efficace des capitaux propres et des actifs. Le coefficient d'exploitation de 27,35% est remarquablement bas, indiquant une banque très efficace dans sa gestion des charges. Le coût du risque de 18,97% reste élevé, signalant un portefeuille de crédit avec un risque significatif. Les dépôts clientèle (14 120,139 Mds FCFA) dépassent largement les créances sur la clientèle (6 570,385 Mds FCFA), montrant une transformation saine. Les rapports semestriels 2026 (datés du 30 juin 2026) confirment la dynamique : le PNB progresse de 15% à 721,318 milliards FCFA, et le résultat net consolidé de 6% à 166,682 milliards FCFA. Le rapport du T1 2026 (PNB +23%) suggère une accélération. On estime que l'exercice 2026 devrait dépasser les performances de 2025, avec un PNB annuel potentiellement supérieur à 1 500 milliards FCFA, porté par la croissance des dépôts et l'amélioration de l'efficacité opérationnelle (coefficient d'exploitation à 48,4% au S1 2026). La solidité financière est confirmée par une solvabilité générale de 109,06% et une autonomie financière de 8,30%, bien que cette dernière reste faible, indiquant une dépendance élevée aux dettes (ratio d'endettement de 154,06%).</w:t>
      </w:r>
    </w:p>
    <w:p>
      <w:pPr>
        <w:spacing w:after="120" w:line="276" w:lineRule="auto" w:before="240"/>
      </w:pPr>
      <w:r>
        <w:rPr>
          <w:b/>
          <w:color w:val="003366"/>
          <w:sz w:val="24"/>
        </w:rPr>
        <w:t>**PARTIE 4 : CONCLUSION D'INVESTISSEMENT**</w:t>
      </w:r>
    </w:p>
    <w:p>
      <w:pPr>
        <w:spacing w:after="120" w:line="276" w:lineRule="auto"/>
      </w:pPr>
      <w:r>
        <w:t>La valorisation d'ETIT est très attractive (PER 3,5x, P/B 0,75x, EV/EBITDA 5,0x), indiquant une sous-évaluation manifeste par rapport aux fondamentaux. Le comportement du cours sur 100 jours est fortement haussier (+106,25%), mais la volatilité extrême (64,8%) et les statistiques (skewness positif, kurtosis platykurtique) suggèrent un risque élevé de fluctuations. Les signaux techniques sont mitigés : les moyennes mobiles sont positives, mais le MACD et le Stochastique indiquent une faiblesse à court terme. Les fondamentaux sont solides avec une croissance du PNB, une rentabilité élevée (ROE &gt; 21%) et une amélioration continue de l'efficacité opérationnelle. Les prédictions IA pour les 10 prochains jours (61 à 45 FCFA) prévoient une correction significative, contredisant la tendance haussière récente. En synthèse, la convergence entre la sous-évaluation, les fondamentaux solides et la tendance de fond haussière plaide pour un **ACHAT**, malgré des signaux techniques et IA à court terme négatifs. La recommandation est un **ACHAT** avec un niveau de confiance **Moyen** et un risque global **Élevé**. L'horizon d'investissement optimal serait le **moyen terme (3-12 mois)** pour capitaliser sur la revalorisation potentielle tout en absorbant la volatilité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3,922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B40000"/>
                <w:sz w:val="17"/>
              </w:rPr>
              <w:t>-9.54%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μ=2,160 FCFA, σ=141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β=0.9792 (Neutre (suit le marché)) — Cov=0.000032, Var(idx)=0.000033, ρ=0.244,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2,123</w:t>
            </w:r>
          </w:p>
        </w:tc>
        <w:tc>
          <w:tcPr>
            <w:tcW w:type="dxa" w:w="1440"/>
            <w:shd w:fill="FAFAFA" w:val="clear"/>
          </w:tcPr>
          <w:p>
            <w:r>
              <w:rPr>
                <w:b/>
                <w:sz w:val="17"/>
              </w:rPr>
              <w:t>2,191</w:t>
            </w:r>
          </w:p>
        </w:tc>
        <w:tc>
          <w:tcPr>
            <w:tcW w:type="dxa" w:w="1440"/>
            <w:shd w:fill="FAFAFA" w:val="clear"/>
          </w:tcPr>
          <w:p>
            <w:r>
              <w:rPr>
                <w:sz w:val="17"/>
              </w:rPr>
              <w:t>2,259</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2,104</w:t>
            </w:r>
          </w:p>
        </w:tc>
        <w:tc>
          <w:tcPr>
            <w:tcW w:type="dxa" w:w="1440"/>
            <w:shd w:fill="FAFAFA" w:val="clear"/>
          </w:tcPr>
          <w:p>
            <w:r>
              <w:rPr>
                <w:b/>
                <w:sz w:val="17"/>
              </w:rPr>
              <w:t>2,200</w:t>
            </w:r>
          </w:p>
        </w:tc>
        <w:tc>
          <w:tcPr>
            <w:tcW w:type="dxa" w:w="1440"/>
            <w:shd w:fill="FAFAFA" w:val="clear"/>
          </w:tcPr>
          <w:p>
            <w:r>
              <w:rPr>
                <w:sz w:val="17"/>
              </w:rPr>
              <w:t>2,296</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2,091</w:t>
            </w:r>
          </w:p>
        </w:tc>
        <w:tc>
          <w:tcPr>
            <w:tcW w:type="dxa" w:w="1440"/>
            <w:shd w:fill="FAFAFA" w:val="clear"/>
          </w:tcPr>
          <w:p>
            <w:r>
              <w:rPr>
                <w:b/>
                <w:sz w:val="17"/>
              </w:rPr>
              <w:t>2,209</w:t>
            </w:r>
          </w:p>
        </w:tc>
        <w:tc>
          <w:tcPr>
            <w:tcW w:type="dxa" w:w="1440"/>
            <w:shd w:fill="FAFAFA" w:val="clear"/>
          </w:tcPr>
          <w:p>
            <w:r>
              <w:rPr>
                <w:sz w:val="17"/>
              </w:rPr>
              <w:t>2,328</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2,082</w:t>
            </w:r>
          </w:p>
        </w:tc>
        <w:tc>
          <w:tcPr>
            <w:tcW w:type="dxa" w:w="1440"/>
            <w:shd w:fill="FAFAFA" w:val="clear"/>
          </w:tcPr>
          <w:p>
            <w:r>
              <w:rPr>
                <w:b/>
                <w:sz w:val="17"/>
              </w:rPr>
              <w:t>2,219</w:t>
            </w:r>
          </w:p>
        </w:tc>
        <w:tc>
          <w:tcPr>
            <w:tcW w:type="dxa" w:w="1440"/>
            <w:shd w:fill="FAFAFA" w:val="clear"/>
          </w:tcPr>
          <w:p>
            <w:r>
              <w:rPr>
                <w:sz w:val="17"/>
              </w:rPr>
              <w:t>2,356</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2026-08-31</w:t>
            </w:r>
          </w:p>
        </w:tc>
        <w:tc>
          <w:tcPr>
            <w:tcW w:type="dxa" w:w="1440"/>
            <w:shd w:fill="C6EFCE" w:val="clear"/>
          </w:tcPr>
          <w:p>
            <w:r>
              <w:rPr>
                <w:sz w:val="17"/>
              </w:rPr>
              <w:t>2,075</w:t>
            </w:r>
          </w:p>
        </w:tc>
        <w:tc>
          <w:tcPr>
            <w:tcW w:type="dxa" w:w="1440"/>
            <w:shd w:fill="C6EFCE" w:val="clear"/>
          </w:tcPr>
          <w:p>
            <w:r>
              <w:rPr>
                <w:b/>
                <w:sz w:val="17"/>
              </w:rPr>
              <w:t>2,228</w:t>
            </w:r>
          </w:p>
        </w:tc>
        <w:tc>
          <w:tcPr>
            <w:tcW w:type="dxa" w:w="1440"/>
            <w:shd w:fill="C6EFCE" w:val="clear"/>
          </w:tcPr>
          <w:p>
            <w:r>
              <w:rPr>
                <w:sz w:val="17"/>
              </w:rPr>
              <w:t>2,382</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2026-09-01</w:t>
            </w:r>
          </w:p>
        </w:tc>
        <w:tc>
          <w:tcPr>
            <w:tcW w:type="dxa" w:w="1440"/>
            <w:shd w:fill="C6EFCE" w:val="clear"/>
          </w:tcPr>
          <w:p>
            <w:r>
              <w:rPr>
                <w:sz w:val="17"/>
              </w:rPr>
              <w:t>2,069</w:t>
            </w:r>
          </w:p>
        </w:tc>
        <w:tc>
          <w:tcPr>
            <w:tcW w:type="dxa" w:w="1440"/>
            <w:shd w:fill="C6EFCE" w:val="clear"/>
          </w:tcPr>
          <w:p>
            <w:r>
              <w:rPr>
                <w:b/>
                <w:sz w:val="17"/>
              </w:rPr>
              <w:t>2,238</w:t>
            </w:r>
          </w:p>
        </w:tc>
        <w:tc>
          <w:tcPr>
            <w:tcW w:type="dxa" w:w="1440"/>
            <w:shd w:fill="C6EFCE" w:val="clear"/>
          </w:tcPr>
          <w:p>
            <w:r>
              <w:rPr>
                <w:sz w:val="17"/>
              </w:rPr>
              <w:t>2,407</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2026-09-02</w:t>
            </w:r>
          </w:p>
        </w:tc>
        <w:tc>
          <w:tcPr>
            <w:tcW w:type="dxa" w:w="1440"/>
            <w:shd w:fill="C6EFCE" w:val="clear"/>
          </w:tcPr>
          <w:p>
            <w:r>
              <w:rPr>
                <w:sz w:val="17"/>
              </w:rPr>
              <w:t>2,064</w:t>
            </w:r>
          </w:p>
        </w:tc>
        <w:tc>
          <w:tcPr>
            <w:tcW w:type="dxa" w:w="1440"/>
            <w:shd w:fill="C6EFCE" w:val="clear"/>
          </w:tcPr>
          <w:p>
            <w:r>
              <w:rPr>
                <w:b/>
                <w:sz w:val="17"/>
              </w:rPr>
              <w:t>2,248</w:t>
            </w:r>
          </w:p>
        </w:tc>
        <w:tc>
          <w:tcPr>
            <w:tcW w:type="dxa" w:w="1440"/>
            <w:shd w:fill="C6EFCE" w:val="clear"/>
          </w:tcPr>
          <w:p>
            <w:r>
              <w:rPr>
                <w:sz w:val="17"/>
              </w:rPr>
              <w:t>2,431</w:t>
            </w:r>
          </w:p>
        </w:tc>
        <w:tc>
          <w:tcPr>
            <w:tcW w:type="dxa" w:w="1440"/>
            <w:shd w:fill="C6EFCE" w:val="clear"/>
          </w:tcPr>
          <w:p>
            <w:r>
              <w:rPr>
                <w:b/>
                <w:color w:val="008000"/>
                <w:sz w:val="17"/>
              </w:rPr>
              <w:t>+3.1%</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2,060</w:t>
            </w:r>
          </w:p>
        </w:tc>
        <w:tc>
          <w:tcPr>
            <w:tcW w:type="dxa" w:w="1440"/>
            <w:shd w:fill="C6EFCE" w:val="clear"/>
          </w:tcPr>
          <w:p>
            <w:r>
              <w:rPr>
                <w:b/>
                <w:sz w:val="17"/>
              </w:rPr>
              <w:t>2,257</w:t>
            </w:r>
          </w:p>
        </w:tc>
        <w:tc>
          <w:tcPr>
            <w:tcW w:type="dxa" w:w="1440"/>
            <w:shd w:fill="C6EFCE" w:val="clear"/>
          </w:tcPr>
          <w:p>
            <w:r>
              <w:rPr>
                <w:sz w:val="17"/>
              </w:rPr>
              <w:t>2,454</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2,057</w:t>
            </w:r>
          </w:p>
        </w:tc>
        <w:tc>
          <w:tcPr>
            <w:tcW w:type="dxa" w:w="1440"/>
            <w:shd w:fill="C6EFCE" w:val="clear"/>
          </w:tcPr>
          <w:p>
            <w:r>
              <w:rPr>
                <w:b/>
                <w:sz w:val="17"/>
              </w:rPr>
              <w:t>2,267</w:t>
            </w:r>
          </w:p>
        </w:tc>
        <w:tc>
          <w:tcPr>
            <w:tcW w:type="dxa" w:w="1440"/>
            <w:shd w:fill="C6EFCE" w:val="clear"/>
          </w:tcPr>
          <w:p>
            <w:r>
              <w:rPr>
                <w:sz w:val="17"/>
              </w:rPr>
              <w:t>2,477</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2,054</w:t>
            </w:r>
          </w:p>
        </w:tc>
        <w:tc>
          <w:tcPr>
            <w:tcW w:type="dxa" w:w="1440"/>
            <w:shd w:fill="C6EFCE" w:val="clear"/>
          </w:tcPr>
          <w:p>
            <w:r>
              <w:rPr>
                <w:b/>
                <w:sz w:val="17"/>
              </w:rPr>
              <w:t>2,276</w:t>
            </w:r>
          </w:p>
        </w:tc>
        <w:tc>
          <w:tcPr>
            <w:tcW w:type="dxa" w:w="1440"/>
            <w:shd w:fill="C6EFCE" w:val="clear"/>
          </w:tcPr>
          <w:p>
            <w:r>
              <w:rPr>
                <w:sz w:val="17"/>
              </w:rPr>
              <w:t>2,499</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30,75 milliards FCFA, un niveau modeste dans l'écosystème de la BRVM, reflétant un profil de moyenne capitalisation. Le BPA de 33 FCFA par action, couplé à un cours de 2 180 FCFA, conduit à un PER de 66,0x, un niveau extrêmement élevé comparé à la moyenne historique du marché (8-12x). Les investisseurs paient donc un prix très cher pour des bénéfices actuels, ce qui suggère une anticipation de croissance future ou une surévaluation. Le P/B de 1,96x indique que le marché valorise la société à environ deux fois sa valeur comptable, ce qui reste raisonnable. Enfin, l'EV/EBITDA de 38,4x est très exigeant, signalant que la valeur totale de l'entreprise (dette incluse) est très élevée par rapport à sa capacité opérationnelle de génération de cash. Ces ratios traduisent une valorisation qui repose sur des attentes de redressement significatif, avec une prime de risque importante.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9,54%, avec une dernière séance stable (+0,00%). Le titre a évolué dans une fourchette de 1 910 FCFA (plus bas) à 2 430 FCFA (plus haut), montrant une amplitude de 520 FCFA. La moyenne du cours sur la période est de 2 160 FCFA, très proche de la médiane (2 192 FCFA), ce qui indique une distribution relativement symétrique, confirmée par un skewness de -0,149. L'écart-type de 141 FCFA (CV=6,5%) révèle une dispersion modérée des prix autour de la moyenne. Le kurtosis de -1,188 (platykurtique) signale une distribution aplatie, avec une faible concentration des prix extrêmes, donc un risque de pics de volatilité limité. La volatilité annualisée de 36,1% est élevée (&gt;30%), indiquant un titre très instable. La tendance générale sur la période est baissière, avec un cours actuel (2 180 FCFA) en dessous du plus haut, mais au-dessus de la moyenne, suggérant une tentative de stabilisation après une phase de correction.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(2 180 FCFA) est nettement supérieur à la MM20 (2 065 FCFA) et à la MM50 (2 046,4 FCFA). Cette configuration haussière, où le prix évolue au-dessus des deux moyennes, confirme une dynamique positive à court et moyen terme. La décision d'achat est justifiée par cette tendance ascendante.</w:t>
      </w:r>
    </w:p>
    <w:p>
      <w:pPr>
        <w:spacing w:after="120" w:line="276" w:lineRule="auto"/>
      </w:pPr>
      <w:r>
        <w:t>**Bandes de Bollinger** : Le prix se situe à 2 180 FCFA, entre la borne supérieure (2 281,6 FCFA) et la borne inférieure (1 848,4 FCFA), proche de la partie haute. La largeur des bandes indique une volatilité modérée. La position du cours près de la borne supérieure suggère une pression acheteuse, mais sans excès. La décision est neutre, car le prix n'a pas encore franchi la borne, ce qui pourrait signaler une poursuite ou un retournement.</w:t>
      </w:r>
    </w:p>
    <w:p>
      <w:pPr>
        <w:spacing w:after="120" w:line="276" w:lineRule="auto"/>
      </w:pPr>
      <w:r>
        <w:t>**MACD** : La valeur du MACD (42,3) est supérieure à son signal (27,5), avec un écart positif de 14,8 points. Cette divergence haussière confirme un momentum positif et une accélération de la tendance. La décision d'achat est donc cohérente avec la dynamique actuelle.</w:t>
      </w:r>
    </w:p>
    <w:p>
      <w:pPr>
        <w:spacing w:after="120" w:line="276" w:lineRule="auto"/>
      </w:pPr>
      <w:r>
        <w:t>**RSI** : Le RSI est à 72,34, au-dessus du seuil de surachat (70). Cela indique que le titre est techniquement suracheté, ce qui pourrait précéder une correction ou une consolidation. La décision de vente est justifiée par ce niveau extrême, signalant un risque de retournement à court terme.</w:t>
      </w:r>
    </w:p>
    <w:p>
      <w:pPr>
        <w:spacing w:after="120" w:line="276" w:lineRule="auto"/>
      </w:pPr>
      <w:r>
        <w:t>**Stochastique** : Le %K (96,4) et le %D (92,9) sont tous deux très élevés, en zone de surachat. Le %K est au-dessus du %D, mais les niveaux extrêmes suggèrent une possible inversion. La décision de vente est cohérente avec cette situation de surachat.</w:t>
      </w:r>
    </w:p>
    <w:p>
      <w:pPr>
        <w:spacing w:after="120" w:line="276" w:lineRule="auto"/>
      </w:pPr>
      <w:r>
        <w:t>**Conclusion technique** : Les indicateurs de tendance (MM, MACD) sont positifs, mais les oscillateurs (RSI, Stochastique) signalent un surachat imminent. Cette divergence suggère une possible consolidation à court terme avant une poursuite de la hausse. La prudence est de mise,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montrent un chiffre d'affaires de 32,109 milliards FCFA, en croissance de 4,6% par rapport à 2024 (30,695 milliards FCFA). Le résultat net est de 465,98 millions FCFA, en chute spectaculaire par rapport aux 18,595 milliards FCFA de 2024, qui incluaient des produits exceptionnels liés à la cession de filiales. La marge nette est ainsi tombée à 1,45%, et le ROE à 2,97%, bien en dessous du seuil de 15% jugé excellent. Le ROA est de 1,19%. La structure financière montre une autonomie financière de 40,1%, un ratio d'endettement de 97,6%, et une trésorerie nette fortement négative de -11,528 milliards FCFA, due au versement de dividendes massifs en 2024. Les délais clients (213,7 jours) et de stockage (214,7 jours) sont très élevés, indiquant un risque de trésorerie, bien que le BFR soit positif (11,529 milliards FCFA). Les rapports trimestriels 2025 (T1, S1, T3) montrent une amélioration progressive du résultat d'exploitation, passant de -78 millions FCFA au T1 à -230 millions FCFA au T3, mais restant déficitaire. Le rapport T1 2026 (publié en 2026) indique un CA de 8,901 milliards FCFA (+55%), un résultat d'exploitation positif de 75 millions FCFA, mais un résultat net encore négatif de -154 millions FCFA. On estime que l'exercice 2026 pourrait bénéficier de la forte demande d'emballages pour le cacao, mais la rentabilité nette reste fragile. La solidité financière est compromise par la trésorerie négative et la dépendance aux cycles agricoles.</w:t>
      </w:r>
    </w:p>
    <w:p>
      <w:pPr>
        <w:spacing w:after="120" w:line="276" w:lineRule="auto"/>
      </w:pPr>
      <w:r>
        <w:t>---</w:t>
      </w:r>
    </w:p>
    <w:p>
      <w:pPr>
        <w:spacing w:after="120" w:line="276" w:lineRule="auto"/>
      </w:pPr>
      <w:r>
        <w:t>### PARTIE 4 : CONCLUSION D'INVESTISSEMENT</w:t>
      </w:r>
    </w:p>
    <w:p>
      <w:pPr>
        <w:spacing w:after="120" w:line="276" w:lineRule="auto"/>
      </w:pPr>
      <w:r>
        <w:t>La valorisation de FTSC est très exigeante (PER 66x, EV/EBITDA 38,4x), indiquant une surévaluation relative par rapport aux bénéfices actuels, malgré un P/B raisonnable. Le comportement du cours montre une tendance baissière sur 100 jours, avec une volatilité élevée (36,1%) et une distribution symétrique, mais le titre semble se stabiliser au-dessus de sa moyenne. Les signaux techniques sont mitigés : une tendance haussière (MM, MACD) mais des oscillateurs en surachat (RSI, Stochastique), suggérant une consolidation à court terme. Les fondamentaux sont préoccupants : une rentabilité nette très faible (1,45%), une trésorerie négative, et des délais clients élevés, bien que le CA soit en croissance et que le T1 2026 montre une amélioration opérationnelle. Les prédictions IA (J+1 à J+10) indiquent une hausse progressive de 2 191 à 2 228 FCFA, confirmant une dynamique positive à court terme, mais ne corrigeant pas la surévaluation. En synthèse, la convergence entre la valorisation élevée, les fondamentaux fragiles et les signaux techniques mitigés conduit à une recommandation de **CONSERVER**. Le niveau de confiance est **Moyen**, le risque global est **Élevé** en raison de la trésorerie négative et de la dépendance aux matières premières. L'horizon d'investissement optimal est le **moyen terme (3-12 mois)**, en attendant une amélioration durable de la rentabilité nette et une réduction de l'endettement.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3,337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5.06% (Moyenne) — μ=4,047 FCFA, σ=205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β=0.0854 (Défensif) — Cov=0.000003, Var(idx)=0.000033, ρ=0.021,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3,832</w:t>
            </w:r>
          </w:p>
        </w:tc>
        <w:tc>
          <w:tcPr>
            <w:tcW w:type="dxa" w:w="1440"/>
            <w:shd w:fill="FAFAFA" w:val="clear"/>
          </w:tcPr>
          <w:p>
            <w:r>
              <w:rPr>
                <w:b/>
                <w:sz w:val="17"/>
              </w:rPr>
              <w:t>4,027</w:t>
            </w:r>
          </w:p>
        </w:tc>
        <w:tc>
          <w:tcPr>
            <w:tcW w:type="dxa" w:w="1440"/>
            <w:shd w:fill="FAFAFA" w:val="clear"/>
          </w:tcPr>
          <w:p>
            <w:r>
              <w:rPr>
                <w:sz w:val="17"/>
              </w:rPr>
              <w:t>4,223</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3,738</w:t>
            </w:r>
          </w:p>
        </w:tc>
        <w:tc>
          <w:tcPr>
            <w:tcW w:type="dxa" w:w="1440"/>
            <w:shd w:fill="FAFAFA" w:val="clear"/>
          </w:tcPr>
          <w:p>
            <w:r>
              <w:rPr>
                <w:b/>
                <w:sz w:val="17"/>
              </w:rPr>
              <w:t>4,013</w:t>
            </w:r>
          </w:p>
        </w:tc>
        <w:tc>
          <w:tcPr>
            <w:tcW w:type="dxa" w:w="1440"/>
            <w:shd w:fill="FAFAFA" w:val="clear"/>
          </w:tcPr>
          <w:p>
            <w:r>
              <w:rPr>
                <w:sz w:val="17"/>
              </w:rPr>
              <w:t>4,289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3,663</w:t>
            </w:r>
          </w:p>
        </w:tc>
        <w:tc>
          <w:tcPr>
            <w:tcW w:type="dxa" w:w="1440"/>
            <w:shd w:fill="FFDCE0" w:val="clear"/>
          </w:tcPr>
          <w:p>
            <w:r>
              <w:rPr>
                <w:b/>
                <w:sz w:val="17"/>
              </w:rPr>
              <w:t>3,999</w:t>
            </w:r>
          </w:p>
        </w:tc>
        <w:tc>
          <w:tcPr>
            <w:tcW w:type="dxa" w:w="1440"/>
            <w:shd w:fill="FFDCE0" w:val="clear"/>
          </w:tcPr>
          <w:p>
            <w:r>
              <w:rPr>
                <w:sz w:val="17"/>
              </w:rPr>
              <w:t>4,334</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3,598</w:t>
            </w:r>
          </w:p>
        </w:tc>
        <w:tc>
          <w:tcPr>
            <w:tcW w:type="dxa" w:w="1440"/>
            <w:shd w:fill="FFDCE0" w:val="clear"/>
          </w:tcPr>
          <w:p>
            <w:r>
              <w:rPr>
                <w:b/>
                <w:sz w:val="17"/>
              </w:rPr>
              <w:t>3,984</w:t>
            </w:r>
          </w:p>
        </w:tc>
        <w:tc>
          <w:tcPr>
            <w:tcW w:type="dxa" w:w="1440"/>
            <w:shd w:fill="FFDCE0" w:val="clear"/>
          </w:tcPr>
          <w:p>
            <w:r>
              <w:rPr>
                <w:sz w:val="17"/>
              </w:rPr>
              <w:t>4,371</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3,542</w:t>
            </w:r>
          </w:p>
        </w:tc>
        <w:tc>
          <w:tcPr>
            <w:tcW w:type="dxa" w:w="1440"/>
            <w:shd w:fill="FFDCE0" w:val="clear"/>
          </w:tcPr>
          <w:p>
            <w:r>
              <w:rPr>
                <w:b/>
                <w:sz w:val="17"/>
              </w:rPr>
              <w:t>3,972</w:t>
            </w:r>
          </w:p>
        </w:tc>
        <w:tc>
          <w:tcPr>
            <w:tcW w:type="dxa" w:w="1440"/>
            <w:shd w:fill="FFDCE0" w:val="clear"/>
          </w:tcPr>
          <w:p>
            <w:r>
              <w:rPr>
                <w:sz w:val="17"/>
              </w:rPr>
              <w:t>4,403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3,491</w:t>
            </w:r>
          </w:p>
        </w:tc>
        <w:tc>
          <w:tcPr>
            <w:tcW w:type="dxa" w:w="1440"/>
            <w:shd w:fill="FFDCE0" w:val="clear"/>
          </w:tcPr>
          <w:p>
            <w:r>
              <w:rPr>
                <w:b/>
                <w:sz w:val="17"/>
              </w:rPr>
              <w:t>3,962</w:t>
            </w:r>
          </w:p>
        </w:tc>
        <w:tc>
          <w:tcPr>
            <w:tcW w:type="dxa" w:w="1440"/>
            <w:shd w:fill="FFDCE0" w:val="clear"/>
          </w:tcPr>
          <w:p>
            <w:r>
              <w:rPr>
                <w:sz w:val="17"/>
              </w:rPr>
              <w:t>4,432</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3,446</w:t>
            </w:r>
          </w:p>
        </w:tc>
        <w:tc>
          <w:tcPr>
            <w:tcW w:type="dxa" w:w="1440"/>
            <w:shd w:fill="FFDCE0" w:val="clear"/>
          </w:tcPr>
          <w:p>
            <w:r>
              <w:rPr>
                <w:b/>
                <w:sz w:val="17"/>
              </w:rPr>
              <w:t>3,953</w:t>
            </w:r>
          </w:p>
        </w:tc>
        <w:tc>
          <w:tcPr>
            <w:tcW w:type="dxa" w:w="1440"/>
            <w:shd w:fill="FFDCE0" w:val="clear"/>
          </w:tcPr>
          <w:p>
            <w:r>
              <w:rPr>
                <w:sz w:val="17"/>
              </w:rPr>
              <w:t>4,460</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3,405</w:t>
            </w:r>
          </w:p>
        </w:tc>
        <w:tc>
          <w:tcPr>
            <w:tcW w:type="dxa" w:w="1440"/>
            <w:shd w:fill="FFDCE0" w:val="clear"/>
          </w:tcPr>
          <w:p>
            <w:r>
              <w:rPr>
                <w:b/>
                <w:sz w:val="17"/>
              </w:rPr>
              <w:t>3,947</w:t>
            </w:r>
          </w:p>
        </w:tc>
        <w:tc>
          <w:tcPr>
            <w:tcW w:type="dxa" w:w="1440"/>
            <w:shd w:fill="FFDCE0" w:val="clear"/>
          </w:tcPr>
          <w:p>
            <w:r>
              <w:rPr>
                <w:sz w:val="17"/>
              </w:rPr>
              <w:t>4,488</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3,370</w:t>
            </w:r>
          </w:p>
        </w:tc>
        <w:tc>
          <w:tcPr>
            <w:tcW w:type="dxa" w:w="1440"/>
            <w:shd w:fill="FFDCE0" w:val="clear"/>
          </w:tcPr>
          <w:p>
            <w:r>
              <w:rPr>
                <w:b/>
                <w:sz w:val="17"/>
              </w:rPr>
              <w:t>3,943</w:t>
            </w:r>
          </w:p>
        </w:tc>
        <w:tc>
          <w:tcPr>
            <w:tcW w:type="dxa" w:w="1440"/>
            <w:shd w:fill="FFDCE0" w:val="clear"/>
          </w:tcPr>
          <w:p>
            <w:r>
              <w:rPr>
                <w:sz w:val="17"/>
              </w:rPr>
              <w:t>4,517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3,339</w:t>
            </w:r>
          </w:p>
        </w:tc>
        <w:tc>
          <w:tcPr>
            <w:tcW w:type="dxa" w:w="1440"/>
            <w:shd w:fill="FFDCE0" w:val="clear"/>
          </w:tcPr>
          <w:p>
            <w:r>
              <w:rPr>
                <w:b/>
                <w:sz w:val="17"/>
              </w:rPr>
              <w:t>3,944</w:t>
            </w:r>
          </w:p>
        </w:tc>
        <w:tc>
          <w:tcPr>
            <w:tcW w:type="dxa" w:w="1440"/>
            <w:shd w:fill="FFDCE0" w:val="clear"/>
          </w:tcPr>
          <w:p>
            <w:r>
              <w:rPr>
                <w:sz w:val="17"/>
              </w:rPr>
              <w:t>4,548</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81,90 milliards FCFA, un niveau significatif qui la positionne parmi les valeurs moyennes de la BRVM. Avec un BPA de 231 FCFA, le titre se négocie à un PER de 17,7x, nettement supérieur à la moyenne historique de la place (~8-12x), indiquant que les investisseurs paient une prime substantielle pour la croissance anticipée. Le P/B de 3,73x confirme cette prime, le marché valorisant le titre bien au-delà de sa valeur comptable (21,95 Mds FCFA de capitaux propres). Enfin, l'EV/EBITDA de 10,4x, bien que dans la fourchette haute (10-15x), relativise la valorisation en la comparant à la capacité opérationnelle de l'entreprise. Ces ratios suggèrent une valorisation exigeante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de +6,36%, avec une légère consolidation de -0,12% lors de la dernière séance, pour un cours actuel de 4 095 FCFA. Le titre a évolué dans un range de 735 FCFA, entre un plus bas de 3 825 FCFA et un plus haut de 4 560 FCFA, démontrant une amplitude de trading non négligeable. La moyenne (4 047 FCFA) est supérieure à la médiane (3 980 FCFA), et le skewness positif (0,658) confirme une distribution asymétrique avec des journées plus fréquentes sous la moyenne, mais des mouvements haussiers ponctuels plus amples. L'écart-type de 206 FCFA (CV=5,1%) indique une dispersion modérée autour de la moyenne, tandis que le kurtosis de -0,959 (mésokurtique) suggère une distribution proche de la normale, sans risque de pics extrêmes. La volatilité annualisée de 36,3% classe le titre dans la catégorie des valeurs à forte volatilité (&gt;30%), un paramètre à surveiller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(4 095 FCFA) se situe sous ses moyennes mobiles à 20 jours (4 246 FCFA) et 50 jours (4 211,6 FCFA), indiquant une pression vendeuse à court terme. La décision d'achat signalée par le système est probablement liée à la dynamique passée, mais la position relative du cours suggère une faiblesse récente. Le croisement baissier potentiel des MM20 sous MM50 serait un signal négatif.</w:t>
      </w:r>
    </w:p>
    <w:p>
      <w:pPr>
        <w:spacing w:after="120" w:line="276" w:lineRule="auto"/>
      </w:pPr>
      <w:r>
        <w:t>**Bandes de Bollinger** : Le prix évolue dans la partie inférieure du canal, proche de la borne basse (3 954,6 FCFA) et loin de la borne haute (4 537,4 FCFA). La décision "Neutre" est cohérente avec une position qui n'est pas encore en situation de survente extrême, mais la proximité de la borne inférieure suggère une possible stabilisation ou un test de ce support.</w:t>
      </w:r>
    </w:p>
    <w:p>
      <w:pPr>
        <w:spacing w:after="120" w:line="276" w:lineRule="auto"/>
      </w:pPr>
      <w:r>
        <w:t>**MACD** : La valeur négative du MACD (-37,9) et son signal (-12,5) indiquent un momentum baissier clair. La décision de vente est justifiée par la divergence négative, le MACD étant sous sa ligne de signal, confirmant une dynamique de prix défavorable à court terme.</w:t>
      </w:r>
    </w:p>
    <w:p>
      <w:pPr>
        <w:spacing w:after="120" w:line="276" w:lineRule="auto"/>
      </w:pPr>
      <w:r>
        <w:t>**RSI** : À 29,2, le RSI est en zone de survente (&lt;30). La décision d'achat est cohérente avec ce niveau, qui suggère que le titre est techniquement survendu et pourrait rebondir. Cependant, en tendance baissière, le RSI peut rester en zone de survente plus longtemps qu'attendu.</w:t>
      </w:r>
    </w:p>
    <w:p>
      <w:pPr>
        <w:spacing w:after="120" w:line="276" w:lineRule="auto"/>
      </w:pPr>
      <w:r>
        <w:t>**Stochastique** : Le %K (17,0) sous le %D (22,3) confirme la faiblesse du momentum, mais les deux sont en zone de survente. La décision d'achat est justifiée par la possibilité d'un croisement haussier imminent, mais le signal n'est pas encore confirmé.</w:t>
      </w:r>
    </w:p>
    <w:p>
      <w:pPr>
        <w:spacing w:after="120" w:line="276" w:lineRule="auto"/>
      </w:pPr>
      <w:r>
        <w:t>**Conclusion technique** : Les indicateurs sont mitigés, avec un MACD vendeur contre un RSI et un Stochastique en zone de survente suggérant un potentiel rebond technique. La configuration globale est baissière à court terme, mais les conditions de survente pourraient attirer des acheteurs. Un signal d'achat ne serait validé qu'avec un retour au-dessus de la MM20 (4 246 FCFA).</w:t>
      </w:r>
    </w:p>
    <w:p>
      <w:pPr>
        <w:spacing w:after="120" w:line="276" w:lineRule="auto"/>
      </w:pPr>
      <w:r>
        <w:t>---</w:t>
      </w:r>
    </w:p>
    <w:p>
      <w:pPr>
        <w:spacing w:after="120" w:line="276" w:lineRule="auto"/>
      </w:pPr>
      <w:r>
        <w:t>### PARTIE 3 : ANALYSE FONDAMENTALE (SECTION CRITIQUE)</w:t>
      </w:r>
    </w:p>
    <w:p>
      <w:pPr>
        <w:spacing w:after="120" w:line="276" w:lineRule="auto"/>
      </w:pPr>
      <w:r>
        <w:t>En 2025, la LNB SA a enregistré un chiffre d'affaires de 98,598 milliards FCFA, en baisse de -3,85% par rapport à 2024 (102,544 Mds FCFA), pénalisé par la concurrence déloyale. Le résultat net s'établit à 4,622 milliards FCFA, en recul de -35,6% par rapport à 2024 (7,176 Mds FCFA), principalement en raison de l'absence de produits exceptionnels. Malgré cette baisse, la rentabilité opérationnelle s'améliore nettement : la valeur ajoutée progresse de +22% (10,548 Mds FCFA) et l'EBE de +34% (7,164 Mds FCFA), démontrant une excellente maîtrise des charges. Le ROE de 21,05% et le ROA de 14,17% restent excellents, bien au-dessus des seuils de référence (&gt;15% et &gt;10%). La structure financière est très saine avec une autonomie financière de 67,32%, une trésorerie nette de 7,979 Mds FCFA et un BFR très faible (217,45 M FCFA). Les délais clients (4,82 jours) et fournisseurs (20,41 jours) sont très courts, indiquant une gestion efficace du besoin en fonds de roulement. Le rapport semestriel 2026 (publié en juillet 2026) montre une reprise du CA (+4% à 49,937 Mds FCFA) et une progression spectaculaire du résultat net (+60%), grâce aux revenus de partenariats et à la maîtrise des charges. Le dividende proposé pour 2025 est de 173 FCFA brut par action (net : 164 FCFA), payable à partir du 2 août 2026, soit un rendement d'environ 4,2% au cours actuel. Sur la base du S1 2026, on estime que l'exercice 2026 pourrait voir un résultat net supérieur à 6 Mds FCFA, confirmant le redressement.</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3,73x) apparaît exigeante, mais elle intègre les perspectives de redressement et la solidité financière exceptionnelle de l'entreprise. Le comportement récent du cours (+6,36% sur 100 jours) avec une volatilité élevée (36,3%) reflète une phase de consolidation après un parcours haussier. Les signaux techniques sont mitigés : le MACD est vendeur, mais le RSI et le Stochastique en zone de survente suggèrent un potentiel de rebond. Les fondamentaux sont solides avec un ROE de 21%, une trésorerie nette de 7,98 Mds FCFA et un dividende de 173 FCFA par action, offrant un rendement attractif. Les prédictions IA (4 027 FCFA à 3 972 FCFA sur 10 jours) indiquent une légère baisse à court terme, cohérente avec la faiblesse technique actuelle, mais ne remettent pas en cause le potentiel de moyen terme. La convergence entre la solidité financière, les perspectives de croissance (S1 2026 : +60% RN) et le rendement du dividende justifie une recommandation **CONSERVER** avec un biais positif. Le niveau de confiance est **Moyen** et le risque global est **Moyen** (volatilité élevée, concurrence illégale). L'horizon d'investissement optimal est le **moyen terme (3-12 mois)**, en attendant la confirmation du redressement sur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+67.83%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μ=1,977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β=-0.1364 (Contre-cyclique) — Cov=-0.000004, Var(idx)=0.000033, ρ=-0.025,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2,085</w:t>
            </w:r>
          </w:p>
        </w:tc>
        <w:tc>
          <w:tcPr>
            <w:tcW w:type="dxa" w:w="1440"/>
            <w:shd w:fill="FFDCE0" w:val="clear"/>
          </w:tcPr>
          <w:p>
            <w:r>
              <w:rPr>
                <w:b/>
                <w:sz w:val="17"/>
              </w:rPr>
              <w:t>2,220</w:t>
            </w:r>
          </w:p>
        </w:tc>
        <w:tc>
          <w:tcPr>
            <w:tcW w:type="dxa" w:w="1440"/>
            <w:shd w:fill="FFDCE0" w:val="clear"/>
          </w:tcPr>
          <w:p>
            <w:r>
              <w:rPr>
                <w:sz w:val="17"/>
              </w:rPr>
              <w:t>2,355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1,877</w:t>
            </w:r>
          </w:p>
        </w:tc>
        <w:tc>
          <w:tcPr>
            <w:tcW w:type="dxa" w:w="1440"/>
            <w:shd w:fill="FFDCE0" w:val="clear"/>
          </w:tcPr>
          <w:p>
            <w:r>
              <w:rPr>
                <w:b/>
                <w:sz w:val="17"/>
              </w:rPr>
              <w:t>2,054</w:t>
            </w:r>
          </w:p>
        </w:tc>
        <w:tc>
          <w:tcPr>
            <w:tcW w:type="dxa" w:w="1440"/>
            <w:shd w:fill="FFDCE0" w:val="clear"/>
          </w:tcPr>
          <w:p>
            <w:r>
              <w:rPr>
                <w:sz w:val="17"/>
              </w:rPr>
              <w:t>2,230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1,700</w:t>
            </w:r>
          </w:p>
        </w:tc>
        <w:tc>
          <w:tcPr>
            <w:tcW w:type="dxa" w:w="1440"/>
            <w:shd w:fill="FFDCE0" w:val="clear"/>
          </w:tcPr>
          <w:p>
            <w:r>
              <w:rPr>
                <w:b/>
                <w:sz w:val="17"/>
              </w:rPr>
              <w:t>1,899</w:t>
            </w:r>
          </w:p>
        </w:tc>
        <w:tc>
          <w:tcPr>
            <w:tcW w:type="dxa" w:w="1440"/>
            <w:shd w:fill="FFDCE0" w:val="clear"/>
          </w:tcPr>
          <w:p>
            <w:r>
              <w:rPr>
                <w:sz w:val="17"/>
              </w:rPr>
              <w:t>2,099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1,560</w:t>
            </w:r>
          </w:p>
        </w:tc>
        <w:tc>
          <w:tcPr>
            <w:tcW w:type="dxa" w:w="1440"/>
            <w:shd w:fill="FFDCE0" w:val="clear"/>
          </w:tcPr>
          <w:p>
            <w:r>
              <w:rPr>
                <w:b/>
                <w:sz w:val="17"/>
              </w:rPr>
              <w:t>1,776</w:t>
            </w:r>
          </w:p>
        </w:tc>
        <w:tc>
          <w:tcPr>
            <w:tcW w:type="dxa" w:w="1440"/>
            <w:shd w:fill="FFDCE0" w:val="clear"/>
          </w:tcPr>
          <w:p>
            <w:r>
              <w:rPr>
                <w:sz w:val="17"/>
              </w:rPr>
              <w:t>1,991</w:t>
            </w:r>
          </w:p>
        </w:tc>
        <w:tc>
          <w:tcPr>
            <w:tcW w:type="dxa" w:w="1440"/>
            <w:shd w:fill="FFDCE0" w:val="clear"/>
          </w:tcPr>
          <w:p>
            <w:r>
              <w:rPr>
                <w:b/>
                <w:color w:val="C00000"/>
                <w:sz w:val="17"/>
              </w:rPr>
              <w:t>-26.0%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1,459</w:t>
            </w:r>
          </w:p>
        </w:tc>
        <w:tc>
          <w:tcPr>
            <w:tcW w:type="dxa" w:w="1440"/>
            <w:shd w:fill="FFDCE0" w:val="clear"/>
          </w:tcPr>
          <w:p>
            <w:r>
              <w:rPr>
                <w:b/>
                <w:sz w:val="17"/>
              </w:rPr>
              <w:t>1,688</w:t>
            </w:r>
          </w:p>
        </w:tc>
        <w:tc>
          <w:tcPr>
            <w:tcW w:type="dxa" w:w="1440"/>
            <w:shd w:fill="FFDCE0" w:val="clear"/>
          </w:tcPr>
          <w:p>
            <w:r>
              <w:rPr>
                <w:sz w:val="17"/>
              </w:rPr>
              <w:t>1,917</w:t>
            </w:r>
          </w:p>
        </w:tc>
        <w:tc>
          <w:tcPr>
            <w:tcW w:type="dxa" w:w="1440"/>
            <w:shd w:fill="FFDCE0" w:val="clear"/>
          </w:tcPr>
          <w:p>
            <w:r>
              <w:rPr>
                <w:b/>
                <w:color w:val="C00000"/>
                <w:sz w:val="17"/>
              </w:rPr>
              <w:t>-29.7%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1,375</w:t>
            </w:r>
          </w:p>
        </w:tc>
        <w:tc>
          <w:tcPr>
            <w:tcW w:type="dxa" w:w="1440"/>
            <w:shd w:fill="FFDCE0" w:val="clear"/>
          </w:tcPr>
          <w:p>
            <w:r>
              <w:rPr>
                <w:b/>
                <w:sz w:val="17"/>
              </w:rPr>
              <w:t>1,615</w:t>
            </w:r>
          </w:p>
        </w:tc>
        <w:tc>
          <w:tcPr>
            <w:tcW w:type="dxa" w:w="1440"/>
            <w:shd w:fill="FFDCE0" w:val="clear"/>
          </w:tcPr>
          <w:p>
            <w:r>
              <w:rPr>
                <w:sz w:val="17"/>
              </w:rPr>
              <w:t>1,855</w:t>
            </w:r>
          </w:p>
        </w:tc>
        <w:tc>
          <w:tcPr>
            <w:tcW w:type="dxa" w:w="1440"/>
            <w:shd w:fill="FFDCE0" w:val="clear"/>
          </w:tcPr>
          <w:p>
            <w:r>
              <w:rPr>
                <w:b/>
                <w:color w:val="C00000"/>
                <w:sz w:val="17"/>
              </w:rPr>
              <w:t>-32.7%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1,303</w:t>
            </w:r>
          </w:p>
        </w:tc>
        <w:tc>
          <w:tcPr>
            <w:tcW w:type="dxa" w:w="1440"/>
            <w:shd w:fill="FFDCE0" w:val="clear"/>
          </w:tcPr>
          <w:p>
            <w:r>
              <w:rPr>
                <w:b/>
                <w:sz w:val="17"/>
              </w:rPr>
              <w:t>1,552</w:t>
            </w:r>
          </w:p>
        </w:tc>
        <w:tc>
          <w:tcPr>
            <w:tcW w:type="dxa" w:w="1440"/>
            <w:shd w:fill="FFDCE0" w:val="clear"/>
          </w:tcPr>
          <w:p>
            <w:r>
              <w:rPr>
                <w:sz w:val="17"/>
              </w:rPr>
              <w:t>1,801</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1,240</w:t>
            </w:r>
          </w:p>
        </w:tc>
        <w:tc>
          <w:tcPr>
            <w:tcW w:type="dxa" w:w="1440"/>
            <w:shd w:fill="FFDCE0" w:val="clear"/>
          </w:tcPr>
          <w:p>
            <w:r>
              <w:rPr>
                <w:b/>
                <w:sz w:val="17"/>
              </w:rPr>
              <w:t>1,497</w:t>
            </w:r>
          </w:p>
        </w:tc>
        <w:tc>
          <w:tcPr>
            <w:tcW w:type="dxa" w:w="1440"/>
            <w:shd w:fill="FFDCE0" w:val="clear"/>
          </w:tcPr>
          <w:p>
            <w:r>
              <w:rPr>
                <w:sz w:val="17"/>
              </w:rPr>
              <w:t>1,753</w:t>
            </w:r>
          </w:p>
        </w:tc>
        <w:tc>
          <w:tcPr>
            <w:tcW w:type="dxa" w:w="1440"/>
            <w:shd w:fill="FFDCE0" w:val="clear"/>
          </w:tcPr>
          <w:p>
            <w:r>
              <w:rPr>
                <w:b/>
                <w:color w:val="C00000"/>
                <w:sz w:val="17"/>
              </w:rPr>
              <w:t>-37.6%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1,184</w:t>
            </w:r>
          </w:p>
        </w:tc>
        <w:tc>
          <w:tcPr>
            <w:tcW w:type="dxa" w:w="1440"/>
            <w:shd w:fill="FFDCE0" w:val="clear"/>
          </w:tcPr>
          <w:p>
            <w:r>
              <w:rPr>
                <w:b/>
                <w:sz w:val="17"/>
              </w:rPr>
              <w:t>1,447</w:t>
            </w:r>
          </w:p>
        </w:tc>
        <w:tc>
          <w:tcPr>
            <w:tcW w:type="dxa" w:w="1440"/>
            <w:shd w:fill="FFDCE0" w:val="clear"/>
          </w:tcPr>
          <w:p>
            <w:r>
              <w:rPr>
                <w:sz w:val="17"/>
              </w:rPr>
              <w:t>1,710</w:t>
            </w:r>
          </w:p>
        </w:tc>
        <w:tc>
          <w:tcPr>
            <w:tcW w:type="dxa" w:w="1440"/>
            <w:shd w:fill="FFDCE0" w:val="clear"/>
          </w:tcPr>
          <w:p>
            <w:r>
              <w:rPr>
                <w:b/>
                <w:color w:val="C00000"/>
                <w:sz w:val="17"/>
              </w:rPr>
              <w:t>-39.7%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1,133</w:t>
            </w:r>
          </w:p>
        </w:tc>
        <w:tc>
          <w:tcPr>
            <w:tcW w:type="dxa" w:w="1440"/>
            <w:shd w:fill="FFDCE0" w:val="clear"/>
          </w:tcPr>
          <w:p>
            <w:r>
              <w:rPr>
                <w:b/>
                <w:sz w:val="17"/>
              </w:rPr>
              <w:t>1,402</w:t>
            </w:r>
          </w:p>
        </w:tc>
        <w:tc>
          <w:tcPr>
            <w:tcW w:type="dxa" w:w="1440"/>
            <w:shd w:fill="FFDCE0" w:val="clear"/>
          </w:tcPr>
          <w:p>
            <w:r>
              <w:rPr>
                <w:sz w:val="17"/>
              </w:rPr>
              <w:t>1,671</w:t>
            </w:r>
          </w:p>
        </w:tc>
        <w:tc>
          <w:tcPr>
            <w:tcW w:type="dxa" w:w="1440"/>
            <w:shd w:fill="FFDCE0" w:val="clear"/>
          </w:tcPr>
          <w:p>
            <w:r>
              <w:rPr>
                <w:b/>
                <w:color w:val="C00000"/>
                <w:sz w:val="17"/>
              </w:rPr>
              <w:t>-41.6%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30,64 milliards FCFA, un niveau modeste qui la positionne comme une valeur de taille moyenne sur la BRVM. Le BPA de 160 FCFA indique que chaque action génère un bénéfice de 160 FCFA, ce qui, rapporté au cours de 2 400 FCFA, donne un PER de 15,0x. Ce ratio est supérieur à la moyenne historique de la BRVM (8-12x), suggérant que les investisseurs paient une prime pour la croissance récente. Le P/B de 5,32x est particulièrement exigeant, le marché valorisant le titre plus de cinq fois sa valeur comptable, ce qui reflète des attentes élevées de rentabilité future. Enfin, l'EV/EBITDA de 22,4x confirme cette valorisation tendue, la valeur d'entreprise représentant plus de 22 fois le résultat opérationnel brut, un niveau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+67,83%, avec une dernière séance en hausse de +2,13% à 2 400 FCFA, son plus haut niveau sur la période. Le cours a évolué dans une fourchette large de 1 365 à 2 400 FCFA, illustrant une forte dynamique haussière. La moyenne de 1 977 FCFA est inférieure à la médiane de 2 012 FCFA, indiquant une distribution légèrement asymétrique avec des journées de forte hausse en fin de période. L'écart-type de 336 FCFA (CV de 17%) témoigne d'une dispersion modérée, tandis que le kurtosis de -0,837 (mésokurtique) suggère une distribution proche de la normale, sans risque de pics extrêmes. Le skewness négatif de -0,704 révèle que les rendements positifs ont été plus fréquents mais de moindre ampleur que les rares baisses. La volatilité annualisée de 50,9% classe le titre comme très volatil, un niveau élevé qui implique un risque substantiel pour les investisseurs malgré la tendance haussière.</w:t>
      </w:r>
    </w:p>
    <w:p>
      <w:pPr>
        <w:spacing w:after="120" w:line="276" w:lineRule="auto" w:before="240"/>
      </w:pPr>
      <w:r>
        <w:rPr>
          <w:b/>
          <w:color w:val="003366"/>
          <w:sz w:val="24"/>
        </w:rPr>
        <w:t>**PARTIE 2 : ANALYSE TECHNIQUE DÉTAILLÉE**</w:t>
      </w:r>
    </w:p>
    <w:p>
      <w:pPr>
        <w:spacing w:after="120" w:line="276" w:lineRule="auto"/>
      </w:pPr>
      <w:r>
        <w:t>**Moyennes Mobiles** : Les MM20 (2 254 FCFA) et MM50 (2 251 FCFA) sont quasi identiques et nettement inférieures au cours actuel de 2 400 FCFA, confirmant une tendance haussière solide. Le signal d'achat est justifié par le croisement haussier des moyennes et leur position sous le prix, indiquant un momentum positif à court et moyen terme.</w:t>
      </w:r>
    </w:p>
    <w:p>
      <w:pPr>
        <w:spacing w:after="120" w:line="276" w:lineRule="auto"/>
      </w:pPr>
      <w:r>
        <w:t>**Bandes de Bollinger** : Le cours à 2 400 FCFA se situe au-dessus de la borne supérieure (2 381,55 FCFA), signalant une condition de surachat technique. La décision de vente est cohérente avec cette position extrême, suggérant un risque de correction à court terme après cette sortie de canal.</w:t>
      </w:r>
    </w:p>
    <w:p>
      <w:pPr>
        <w:spacing w:after="120" w:line="276" w:lineRule="auto"/>
      </w:pPr>
      <w:r>
        <w:t>**MACD** : La valeur de 18,193 est nettement supérieure au signal de 7,324, avec un écart positif de 10,87 points. Cette divergence haussière confirme un momentum fort, mais l'écart important pourrait indiquer une exubérance excessive nécessitant une consolidation.</w:t>
      </w:r>
    </w:p>
    <w:p>
      <w:pPr>
        <w:spacing w:after="120" w:line="276" w:lineRule="auto"/>
      </w:pPr>
      <w:r>
        <w:t>**RSI** : À 59,52, le RSI se situe en zone neutre, sans signal de surachat ni de survente. Cette valeur modérée suggère que le titre dispose encore de marge avant d'atteindre des niveaux extrêmes, tout en confirmant la tendance haussière sans excès.</w:t>
      </w:r>
    </w:p>
    <w:p>
      <w:pPr>
        <w:spacing w:after="120" w:line="276" w:lineRule="auto"/>
      </w:pPr>
      <w:r>
        <w:t>**Stochastique** : Le %K à 100 et le %D à 81,08 indiquent une condition de surachat extrême. La décision de vente est justifiée par cette position, le %K ayant atteint son niveau maximal, ce qui précède souvent un retournement ou une consolidation.</w:t>
      </w:r>
    </w:p>
    <w:p>
      <w:pPr>
        <w:spacing w:after="120" w:line="276" w:lineRule="auto"/>
      </w:pPr>
      <w:r>
        <w:t>**Conclusion technique** : Les signaux sont mitigés avec une divergence nette entre les indicateurs de tendance (MM, MACD) qui restent positifs et les oscillateurs (Bollinger, Stochastique) qui signalent un surachat. Cette configuration suggère une poursuite possible de la tendance à moyen terme, mais avec un risque accru de correction à court terme.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NEIC affiche des résultats financiers solides avec un chiffre d'affaires de 5,139 milliards FCFA et un résultat net de 2,037 milliards FCFA, représentant une marge nette exceptionnelle de 39,6%. Le ROE de 35,4% et le ROA de 27,3% témoignent d'une excellente rentabilité des fonds propres et des actifs, bien au-delà des seuils de référence (&gt;15%). La structure financière est saine avec une autonomie financière de 77% et une trésorerie nette positive de 4,196 milliards FCFA. Le BFR de 1,498 milliard FCFA est positif, ce qui est défavorable pour une entreprise, mais le délai client de 154,7 jours reste élevé, constituant un risque de trésorerie. Les rapports trimestriels 2025 montrent une activité contrastée : le T1 était catastrophique avec un CA de 48,5 millions FCFA et une perte de 189,9 millions, mais le T3 a enregistré un bénéfice exceptionnel de 1,596 milliard FCFA grâce à une reprise de provision, masquant une baisse de 35% du CA. Le rapport 2026 indique une forte croissance du CA (+137% à 115,1 millions FCFA) mais des pertes persistantes de 168,9 millions FCFA. Le rapport annuel 2025 mentionne un dividende de 2,04 milliards FCFA (100% du résultat net), une politique généreuse qui limite l'autofinancement. L'évolution montre une amélioration spectaculaire entre 2024 (perte de 759 millions) et 2025 (bénéfice de 2,037 milliards), mais cette performance est largement tirée par des éléments non récurrents.</w:t>
      </w:r>
    </w:p>
    <w:p>
      <w:pPr>
        <w:spacing w:after="120" w:line="276" w:lineRule="auto" w:before="240"/>
      </w:pPr>
      <w:r>
        <w:rPr>
          <w:b/>
          <w:color w:val="003366"/>
          <w:sz w:val="24"/>
        </w:rPr>
        <w:t>**PARTIE 4 : CONCLUSION D'INVESTISSEMENT**</w:t>
      </w:r>
    </w:p>
    <w:p>
      <w:pPr>
        <w:spacing w:after="120" w:line="276" w:lineRule="auto"/>
      </w:pPr>
      <w:r>
        <w:t>La valorisation de NEIC apparaît exigeante avec un PER de 15x et un P/B de 5,32x, nettement supérieurs aux moyennes du marché, indiquant une surévaluation relative malgré des fondamentaux solides. Le comportement du cours montre une tendance haussière spectaculaire de +67,83% sur 100 jours, mais avec une volatilité élevée de 50,9% et des statistiques suggérant une distribution relativement normale. Les signaux techniques sont divergents : les indicateurs de tendance (MM, MACD) restent positifs tandis que les oscillateurs (Bollinger, Stochastique) signalent un surachat imminent. Les fondamentaux sont contrastés : excellente rentabilité 2025 (ROE 35,4%) mais dépendance aux éléments exceptionnels, baisse du CA au T3 2025 et pertes persistantes en 2026. Les prédictions IA indiquent une trajectoire baissière de 2 220 à 1 688 FCFA sur 10 jours, contredisant la tendance actuelle et suggérant une correction probable. La convergence entre la surévaluation, les signaux techniques de surachat et les prédictions baissières conduit à une recommandation de **VENTE** avec un niveau de confiance **Moyen** et un risque global **Élevé**. L'horizon d'investissement optimal serait le court terme (&lt;3 mois) pour profiter d'une éventuelle correction, avec un réinvestissement possible si les fondamentaux opérationnels s'améliorent durablement.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566.42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1,985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+61.89%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19.49% (Élevée) — μ=18,615 FCFA, σ=3,627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β=1.4222 (Agressif) — Cov=0.000047, Var(idx)=0.000033, ρ=0.340,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22,582</w:t>
            </w:r>
          </w:p>
        </w:tc>
        <w:tc>
          <w:tcPr>
            <w:tcW w:type="dxa" w:w="1440"/>
            <w:shd w:fill="C6EFCE" w:val="clear"/>
          </w:tcPr>
          <w:p>
            <w:r>
              <w:rPr>
                <w:b/>
                <w:sz w:val="17"/>
              </w:rPr>
              <w:t>23,472</w:t>
            </w:r>
          </w:p>
        </w:tc>
        <w:tc>
          <w:tcPr>
            <w:tcW w:type="dxa" w:w="1440"/>
            <w:shd w:fill="C6EFCE" w:val="clear"/>
          </w:tcPr>
          <w:p>
            <w:r>
              <w:rPr>
                <w:sz w:val="17"/>
              </w:rPr>
              <w:t>24,362</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22,612</w:t>
            </w:r>
          </w:p>
        </w:tc>
        <w:tc>
          <w:tcPr>
            <w:tcW w:type="dxa" w:w="1440"/>
            <w:shd w:fill="C6EFCE" w:val="clear"/>
          </w:tcPr>
          <w:p>
            <w:r>
              <w:rPr>
                <w:b/>
                <w:sz w:val="17"/>
              </w:rPr>
              <w:t>23,893</w:t>
            </w:r>
          </w:p>
        </w:tc>
        <w:tc>
          <w:tcPr>
            <w:tcW w:type="dxa" w:w="1440"/>
            <w:shd w:fill="C6EFCE" w:val="clear"/>
          </w:tcPr>
          <w:p>
            <w:r>
              <w:rPr>
                <w:sz w:val="17"/>
              </w:rPr>
              <w:t>25,175</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22,703</w:t>
            </w:r>
          </w:p>
        </w:tc>
        <w:tc>
          <w:tcPr>
            <w:tcW w:type="dxa" w:w="1440"/>
            <w:shd w:fill="C6EFCE" w:val="clear"/>
          </w:tcPr>
          <w:p>
            <w:r>
              <w:rPr>
                <w:b/>
                <w:sz w:val="17"/>
              </w:rPr>
              <w:t>24,300</w:t>
            </w:r>
          </w:p>
        </w:tc>
        <w:tc>
          <w:tcPr>
            <w:tcW w:type="dxa" w:w="1440"/>
            <w:shd w:fill="C6EFCE" w:val="clear"/>
          </w:tcPr>
          <w:p>
            <w:r>
              <w:rPr>
                <w:sz w:val="17"/>
              </w:rPr>
              <w:t>25,896</w:t>
            </w:r>
          </w:p>
        </w:tc>
        <w:tc>
          <w:tcPr>
            <w:tcW w:type="dxa" w:w="1440"/>
            <w:shd w:fill="C6EFCE" w:val="clear"/>
          </w:tcPr>
          <w:p>
            <w:r>
              <w:rPr>
                <w:b/>
                <w:color w:val="008000"/>
                <w:sz w:val="17"/>
              </w:rPr>
              <w:t>+6.1%</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22,819</w:t>
            </w:r>
          </w:p>
        </w:tc>
        <w:tc>
          <w:tcPr>
            <w:tcW w:type="dxa" w:w="1440"/>
            <w:shd w:fill="C6EFCE" w:val="clear"/>
          </w:tcPr>
          <w:p>
            <w:r>
              <w:rPr>
                <w:b/>
                <w:sz w:val="17"/>
              </w:rPr>
              <w:t>24,692</w:t>
            </w:r>
          </w:p>
        </w:tc>
        <w:tc>
          <w:tcPr>
            <w:tcW w:type="dxa" w:w="1440"/>
            <w:shd w:fill="C6EFCE" w:val="clear"/>
          </w:tcPr>
          <w:p>
            <w:r>
              <w:rPr>
                <w:sz w:val="17"/>
              </w:rPr>
              <w:t>26,565</w:t>
            </w:r>
          </w:p>
        </w:tc>
        <w:tc>
          <w:tcPr>
            <w:tcW w:type="dxa" w:w="1440"/>
            <w:shd w:fill="C6EFCE" w:val="clear"/>
          </w:tcPr>
          <w:p>
            <w:r>
              <w:rPr>
                <w:b/>
                <w:color w:val="008000"/>
                <w:sz w:val="17"/>
              </w:rPr>
              <w:t>+7.8%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22,954</w:t>
            </w:r>
          </w:p>
        </w:tc>
        <w:tc>
          <w:tcPr>
            <w:tcW w:type="dxa" w:w="1440"/>
            <w:shd w:fill="C6EFCE" w:val="clear"/>
          </w:tcPr>
          <w:p>
            <w:r>
              <w:rPr>
                <w:b/>
                <w:sz w:val="17"/>
              </w:rPr>
              <w:t>25,081</w:t>
            </w:r>
          </w:p>
        </w:tc>
        <w:tc>
          <w:tcPr>
            <w:tcW w:type="dxa" w:w="1440"/>
            <w:shd w:fill="C6EFCE" w:val="clear"/>
          </w:tcPr>
          <w:p>
            <w:r>
              <w:rPr>
                <w:sz w:val="17"/>
              </w:rPr>
              <w:t>27,208</w:t>
            </w:r>
          </w:p>
        </w:tc>
        <w:tc>
          <w:tcPr>
            <w:tcW w:type="dxa" w:w="1440"/>
            <w:shd w:fill="C6EFCE" w:val="clear"/>
          </w:tcPr>
          <w:p>
            <w:r>
              <w:rPr>
                <w:b/>
                <w:color w:val="008000"/>
                <w:sz w:val="17"/>
              </w:rPr>
              <w:t>+9.5%</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23,102</w:t>
            </w:r>
          </w:p>
        </w:tc>
        <w:tc>
          <w:tcPr>
            <w:tcW w:type="dxa" w:w="1440"/>
            <w:shd w:fill="C6EFCE" w:val="clear"/>
          </w:tcPr>
          <w:p>
            <w:r>
              <w:rPr>
                <w:b/>
                <w:sz w:val="17"/>
              </w:rPr>
              <w:t>25,468</w:t>
            </w:r>
          </w:p>
        </w:tc>
        <w:tc>
          <w:tcPr>
            <w:tcW w:type="dxa" w:w="1440"/>
            <w:shd w:fill="C6EFCE" w:val="clear"/>
          </w:tcPr>
          <w:p>
            <w:r>
              <w:rPr>
                <w:sz w:val="17"/>
              </w:rPr>
              <w:t>27,834</w:t>
            </w:r>
          </w:p>
        </w:tc>
        <w:tc>
          <w:tcPr>
            <w:tcW w:type="dxa" w:w="1440"/>
            <w:shd w:fill="C6EFCE" w:val="clear"/>
          </w:tcPr>
          <w:p>
            <w:r>
              <w:rPr>
                <w:b/>
                <w:color w:val="008000"/>
                <w:sz w:val="17"/>
              </w:rPr>
              <w:t>+11.2%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23,260</w:t>
            </w:r>
          </w:p>
        </w:tc>
        <w:tc>
          <w:tcPr>
            <w:tcW w:type="dxa" w:w="1440"/>
            <w:shd w:fill="C6EFCE" w:val="clear"/>
          </w:tcPr>
          <w:p>
            <w:r>
              <w:rPr>
                <w:b/>
                <w:sz w:val="17"/>
              </w:rPr>
              <w:t>25,854</w:t>
            </w:r>
          </w:p>
        </w:tc>
        <w:tc>
          <w:tcPr>
            <w:tcW w:type="dxa" w:w="1440"/>
            <w:shd w:fill="C6EFCE" w:val="clear"/>
          </w:tcPr>
          <w:p>
            <w:r>
              <w:rPr>
                <w:sz w:val="17"/>
              </w:rPr>
              <w:t>28,449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23,425</w:t>
            </w:r>
          </w:p>
        </w:tc>
        <w:tc>
          <w:tcPr>
            <w:tcW w:type="dxa" w:w="1440"/>
            <w:shd w:fill="C6EFCE" w:val="clear"/>
          </w:tcPr>
          <w:p>
            <w:r>
              <w:rPr>
                <w:b/>
                <w:sz w:val="17"/>
              </w:rPr>
              <w:t>26,240</w:t>
            </w:r>
          </w:p>
        </w:tc>
        <w:tc>
          <w:tcPr>
            <w:tcW w:type="dxa" w:w="1440"/>
            <w:shd w:fill="C6EFCE" w:val="clear"/>
          </w:tcPr>
          <w:p>
            <w:r>
              <w:rPr>
                <w:sz w:val="17"/>
              </w:rPr>
              <w:t>29,055</w:t>
            </w:r>
          </w:p>
        </w:tc>
        <w:tc>
          <w:tcPr>
            <w:tcW w:type="dxa" w:w="1440"/>
            <w:shd w:fill="C6EFCE" w:val="clear"/>
          </w:tcPr>
          <w:p>
            <w:r>
              <w:rPr>
                <w:b/>
                <w:color w:val="008000"/>
                <w:sz w:val="17"/>
              </w:rPr>
              <w:t>+14.6%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23,595</w:t>
            </w:r>
          </w:p>
        </w:tc>
        <w:tc>
          <w:tcPr>
            <w:tcW w:type="dxa" w:w="1440"/>
            <w:shd w:fill="C6EFCE" w:val="clear"/>
          </w:tcPr>
          <w:p>
            <w:r>
              <w:rPr>
                <w:b/>
                <w:sz w:val="17"/>
              </w:rPr>
              <w:t>26,624</w:t>
            </w:r>
          </w:p>
        </w:tc>
        <w:tc>
          <w:tcPr>
            <w:tcW w:type="dxa" w:w="1440"/>
            <w:shd w:fill="C6EFCE" w:val="clear"/>
          </w:tcPr>
          <w:p>
            <w:r>
              <w:rPr>
                <w:sz w:val="17"/>
              </w:rPr>
              <w:t>29,654</w:t>
            </w:r>
          </w:p>
        </w:tc>
        <w:tc>
          <w:tcPr>
            <w:tcW w:type="dxa" w:w="1440"/>
            <w:shd w:fill="C6EFCE" w:val="clear"/>
          </w:tcPr>
          <w:p>
            <w:r>
              <w:rPr>
                <w:b/>
                <w:color w:val="008000"/>
                <w:sz w:val="17"/>
              </w:rPr>
              <w:t>+16.3%</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23,768</w:t>
            </w:r>
          </w:p>
        </w:tc>
        <w:tc>
          <w:tcPr>
            <w:tcW w:type="dxa" w:w="1440"/>
            <w:shd w:fill="C6EFCE" w:val="clear"/>
          </w:tcPr>
          <w:p>
            <w:r>
              <w:rPr>
                <w:b/>
                <w:sz w:val="17"/>
              </w:rPr>
              <w:t>27,008</w:t>
            </w:r>
          </w:p>
        </w:tc>
        <w:tc>
          <w:tcPr>
            <w:tcW w:type="dxa" w:w="1440"/>
            <w:shd w:fill="C6EFCE" w:val="clear"/>
          </w:tcPr>
          <w:p>
            <w:r>
              <w:rPr>
                <w:sz w:val="17"/>
              </w:rPr>
              <w:t>30,247</w:t>
            </w:r>
          </w:p>
        </w:tc>
        <w:tc>
          <w:tcPr>
            <w:tcW w:type="dxa" w:w="1440"/>
            <w:shd w:fill="C6EFCE" w:val="clear"/>
          </w:tcPr>
          <w:p>
            <w:r>
              <w:rPr>
                <w:b/>
                <w:color w:val="008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566,42 milliards FCFA, positionnant la banque parmi les valeurs les plus significatives de la BRVM, reflétant son statut de leader bancaire ivoirien. Avec un BPA de 1 646 FCFA, chaque action génère un bénéfice substantiel, justifiant un PER de 13,9x, légèrement supérieur à la moyenne historique de la place (~8-12x), ce qui traduit une prime de confiance des investisseurs dans la capacité de croissance de la banque. Le P/B de 2,43x indique que le marché valorise la société à plus de deux fois sa valeur comptable, une prime de croissance accordée aux banques performantes de la région. Toutefois, l'EV/EBITDA de 21,4x, nettement supérieur au seuil exigeant de 15x, suggère une valorisation relativement tendue de la capacité opérationnelle, signalant que les anticipations de croissance future sont déjà largement intégrées dans le cours.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+61,89%, passant d'un plus bas de 13 810 FCFA à un plus haut de 24 020 FCFA, avec un cours actuel de 22 900 FCFA, stable sur la dernière séance. Cette tendance fortement haussière s'accompagne d'une moyenne de 18 615 FCFA et d'une médiane de 19 135 FCFA, l'écart entre les deux indiquant une distribution légèrement asymétrique avec une concentration des valeurs dans la partie supérieure de la fourchette. L'écart-type de 3 646 FCFA (CV de 19,6%) témoigne d'une dispersion modérée des cours autour de la moyenne, tandis que le kurtosis négatif de -1,456 (platykurtique) suggère une distribution aplatie avec peu de pics extrêmes, réduisant le risque de mouvements brusques. Le skewness de -0,060, quasi nul, confirme une distribution symétrique. La volatilité annualisée de 37,6% classe le titre dans la catégorie des valeurs à forte volatilité (&gt;30%), reflétant un risque de marché élevé mais également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22 900 FCFA se positionne au-dessus de la MM20 (23 357,25 FCFA) et de la MM50 (21 696,4 FCFA), confirmant une dynamique haussière de moyen terme. La MM20 étant supérieure à la MM50, la configuration est positive et justifie la décision d'achat, le titre évoluant dans une tendance ascendante soutenue.</w:t>
      </w:r>
    </w:p>
    <w:p>
      <w:pPr>
        <w:spacing w:after="120" w:line="276" w:lineRule="auto"/>
      </w:pPr>
      <w:r>
        <w:t>**Bandes de Bollinger** : Le prix se situe à 22 900 FCFA, proche de la borne inférieure (22 661,83 FCFA) et nettement en dessous de la borne supérieure (24 052,67 FCFA), indiquant une volatilité modérée avec un potentiel de rebond vers la moyenne. La décision neutre reflète une phase de consolidation après la forte hausse, le marché attendant un nouveau catalyseur directionnel.</w:t>
      </w:r>
    </w:p>
    <w:p>
      <w:pPr>
        <w:spacing w:after="120" w:line="276" w:lineRule="auto"/>
      </w:pPr>
      <w:r>
        <w:t>**MACD** : La valeur du MACD (335,208) est inférieure à son signal (547,042), créant une divergence baissière qui suggère un ralentissement du momentum haussier. Cette configuration, malgré une tendance positive sous-jacente, justifie la décision de vente à court terme, signalant une possible correction ou consolidation avant la poursuite de la tendance.</w:t>
      </w:r>
    </w:p>
    <w:p>
      <w:pPr>
        <w:spacing w:after="120" w:line="276" w:lineRule="auto"/>
      </w:pPr>
      <w:r>
        <w:t>**RSI** : À 41,273, le RSI se situe dans la zone neutre (30-70), indiquant que le titre n'est ni suracheté ni survendu. Cette valeur suggère une pression vendeuse modérée après la forte progression, mais sans signal extrême, laissant place à une possible reprise de la dynamique haussière.</w:t>
      </w:r>
    </w:p>
    <w:p>
      <w:pPr>
        <w:spacing w:after="120" w:line="276" w:lineRule="auto"/>
      </w:pPr>
      <w:r>
        <w:t>**Stochastique** : Le %K et le %D à 0,0 signalent une condition de survente extrême, indiquant que le titre a fortement corrigé à court terme. Cette situation, couplée à la décision d'achat, suggère un potentiel de rebond technique imminent, le marché ayant probablement sur-réagi à la baisse.</w:t>
      </w:r>
    </w:p>
    <w:p>
      <w:pPr>
        <w:spacing w:after="120" w:line="276" w:lineRule="auto"/>
      </w:pPr>
      <w:r>
        <w:t>**Conclusion technique** : Les indicateurs sont mitigés avec une divergence entre la tendance de fond haussière (MM) et les signaux de momentum à court terme (MACD, RSI). Le stochastique en survente extrême et le cours proche de la borne inférieure de Bollinger suggèrent un rebond technique probable, mais la prudence reste de mise tant que le MACD ne se retourne pas à la hausse.</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de 112,928 milliards FCFA, en croissance de 15% par rapport à 2024, avec un résultat net de 40,712 milliards FCFA, en hausse de 7%. La banque démontre une rentabilité exceptionnelle avec un ROE de 17,45% et un ROA de 1,32%, confirmant une gestion efficace des fonds propres et des actifs. Le coefficient d'exploitation de 54,59% (&lt;60%) témoigne d'une excellente maîtrise des charges, tandis que le coût du risque de 7,54% reste élevé, signalant une détérioration de la qualité du portefeuille de crédits. Les dépôts clientèle (2 242,218 milliards FCFA) dépassent largement les créances clientèle (1 818,671 milliards FCFA), indiquant une transformation saine avec un ratio dépôts/crédits de 81%. Le rapport T1 2026 (daté du 31/03/2026) révèle une accélération spectaculaire avec un PNB de 28,615 milliards FCFA (+28%) et un résultat net de 10,912 milliards FCFA (+53%), porté par l'activité titres. Sur cette base, on estime que l'exercice 2026 pourrait voir le résultat net dépasser 45 milliards FCFA, soit une croissance de plus de 10% par rapport à 2025. La banque, avec un total bilan de 3 073 milliards FCFA, confirme sa solidité financière et sa capacité à générer une croissance rentable, malgré un coût du risque en hausse à surveiller.</w:t>
      </w:r>
    </w:p>
    <w:p>
      <w:pPr>
        <w:spacing w:after="120" w:line="276" w:lineRule="auto" w:before="240"/>
      </w:pPr>
      <w:r>
        <w:rPr>
          <w:b/>
          <w:color w:val="003366"/>
          <w:sz w:val="24"/>
        </w:rPr>
        <w:t>**PARTIE 4 : CONCLUSION D'INVESTISSEMENT**</w:t>
      </w:r>
    </w:p>
    <w:p>
      <w:pPr>
        <w:spacing w:after="120" w:line="276" w:lineRule="auto"/>
      </w:pPr>
      <w:r>
        <w:t>La valorisation de NSBC (PER 13,9x, P/B 2,43x, EV/EBITDA 21,4x) indique une prime de croissance significative, le marché intégrant déjà des perspectives optimistes, mais le comportement du cours (+61,89% sur 100 jours) avec une volatilité élevée (37,6%) et une distribution symétrique suggère une dynamique haussière soutenue malgré des risques de correction. Les signaux techniques sont mitigés avec une divergence entre la tendance haussière des moyennes mobiles et le momentum court terme (MACD vendeur, RSI neutre), mais le stochastique en survente extrême suggère un rebond imminent. Les fondamentaux restent solides avec une croissance du PNB de 15% en 2025, un ROE de 17,45%, et une accélération au T1 2026 (+53% du résultat net), confirmant la capacité de la banque à générer de la valeur. Les prédictions IA (24 300 FCFA à J+5, 25 081 FCFA à J+10) confirment la trajectoire haussière, en convergence avec les fondamentaux. **Recommandation : ACHAT FORT** avec un niveau de confiance Élevé, un risque global Moyen (volatilité élevée mais fondamentaux solides), et un horizon d'investissement optimal à moyen terme (3-12 mois) pour capitaliser sur la dynamique de croissance tout en surveillant l'évolution du coût du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1,457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+31.27%</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14.00% (Moyenne) — μ=14,312 FCFA, σ=2,003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β=0.0553 (Défensif) — Cov=0.000002, Var(idx)=0.000033, ρ=0.015,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16,595</w:t>
            </w:r>
          </w:p>
        </w:tc>
        <w:tc>
          <w:tcPr>
            <w:tcW w:type="dxa" w:w="1440"/>
            <w:shd w:fill="FAFAFA" w:val="clear"/>
          </w:tcPr>
          <w:p>
            <w:r>
              <w:rPr>
                <w:b/>
                <w:sz w:val="17"/>
              </w:rPr>
              <w:t>16,885</w:t>
            </w:r>
          </w:p>
        </w:tc>
        <w:tc>
          <w:tcPr>
            <w:tcW w:type="dxa" w:w="1440"/>
            <w:shd w:fill="FAFAFA" w:val="clear"/>
          </w:tcPr>
          <w:p>
            <w:r>
              <w:rPr>
                <w:sz w:val="17"/>
              </w:rPr>
              <w:t>17,174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16,420</w:t>
            </w:r>
          </w:p>
        </w:tc>
        <w:tc>
          <w:tcPr>
            <w:tcW w:type="dxa" w:w="1440"/>
            <w:shd w:fill="FAFAFA" w:val="clear"/>
          </w:tcPr>
          <w:p>
            <w:r>
              <w:rPr>
                <w:b/>
                <w:sz w:val="17"/>
              </w:rPr>
              <w:t>16,828</w:t>
            </w:r>
          </w:p>
        </w:tc>
        <w:tc>
          <w:tcPr>
            <w:tcW w:type="dxa" w:w="1440"/>
            <w:shd w:fill="FAFAFA" w:val="clear"/>
          </w:tcPr>
          <w:p>
            <w:r>
              <w:rPr>
                <w:sz w:val="17"/>
              </w:rPr>
              <w:t>17,236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16,273</w:t>
            </w:r>
          </w:p>
        </w:tc>
        <w:tc>
          <w:tcPr>
            <w:tcW w:type="dxa" w:w="1440"/>
            <w:shd w:fill="FAFAFA" w:val="clear"/>
          </w:tcPr>
          <w:p>
            <w:r>
              <w:rPr>
                <w:b/>
                <w:sz w:val="17"/>
              </w:rPr>
              <w:t>16,771</w:t>
            </w:r>
          </w:p>
        </w:tc>
        <w:tc>
          <w:tcPr>
            <w:tcW w:type="dxa" w:w="1440"/>
            <w:shd w:fill="FAFAFA" w:val="clear"/>
          </w:tcPr>
          <w:p>
            <w:r>
              <w:rPr>
                <w:sz w:val="17"/>
              </w:rPr>
              <w:t>17,269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16,142</w:t>
            </w:r>
          </w:p>
        </w:tc>
        <w:tc>
          <w:tcPr>
            <w:tcW w:type="dxa" w:w="1440"/>
            <w:shd w:fill="FAFAFA" w:val="clear"/>
          </w:tcPr>
          <w:p>
            <w:r>
              <w:rPr>
                <w:b/>
                <w:sz w:val="17"/>
              </w:rPr>
              <w:t>16,715</w:t>
            </w:r>
          </w:p>
        </w:tc>
        <w:tc>
          <w:tcPr>
            <w:tcW w:type="dxa" w:w="1440"/>
            <w:shd w:fill="FAFAFA" w:val="clear"/>
          </w:tcPr>
          <w:p>
            <w:r>
              <w:rPr>
                <w:sz w:val="17"/>
              </w:rPr>
              <w:t>17,288</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16,022</w:t>
            </w:r>
          </w:p>
        </w:tc>
        <w:tc>
          <w:tcPr>
            <w:tcW w:type="dxa" w:w="1440"/>
            <w:shd w:fill="FAFAFA" w:val="clear"/>
          </w:tcPr>
          <w:p>
            <w:r>
              <w:rPr>
                <w:b/>
                <w:sz w:val="17"/>
              </w:rPr>
              <w:t>16,660</w:t>
            </w:r>
          </w:p>
        </w:tc>
        <w:tc>
          <w:tcPr>
            <w:tcW w:type="dxa" w:w="1440"/>
            <w:shd w:fill="FAFAFA" w:val="clear"/>
          </w:tcPr>
          <w:p>
            <w:r>
              <w:rPr>
                <w:sz w:val="17"/>
              </w:rPr>
              <w:t>17,299</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15,910</w:t>
            </w:r>
          </w:p>
        </w:tc>
        <w:tc>
          <w:tcPr>
            <w:tcW w:type="dxa" w:w="1440"/>
            <w:shd w:fill="FFDCE0" w:val="clear"/>
          </w:tcPr>
          <w:p>
            <w:r>
              <w:rPr>
                <w:b/>
                <w:sz w:val="17"/>
              </w:rPr>
              <w:t>16,608</w:t>
            </w:r>
          </w:p>
        </w:tc>
        <w:tc>
          <w:tcPr>
            <w:tcW w:type="dxa" w:w="1440"/>
            <w:shd w:fill="FFDCE0" w:val="clear"/>
          </w:tcPr>
          <w:p>
            <w:r>
              <w:rPr>
                <w:sz w:val="17"/>
              </w:rPr>
              <w:t>17,305</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15,805</w:t>
            </w:r>
          </w:p>
        </w:tc>
        <w:tc>
          <w:tcPr>
            <w:tcW w:type="dxa" w:w="1440"/>
            <w:shd w:fill="FFDCE0" w:val="clear"/>
          </w:tcPr>
          <w:p>
            <w:r>
              <w:rPr>
                <w:b/>
                <w:sz w:val="17"/>
              </w:rPr>
              <w:t>16,556</w:t>
            </w:r>
          </w:p>
        </w:tc>
        <w:tc>
          <w:tcPr>
            <w:tcW w:type="dxa" w:w="1440"/>
            <w:shd w:fill="FFDCE0" w:val="clear"/>
          </w:tcPr>
          <w:p>
            <w:r>
              <w:rPr>
                <w:sz w:val="17"/>
              </w:rPr>
              <w:t>17,307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15,705</w:t>
            </w:r>
          </w:p>
        </w:tc>
        <w:tc>
          <w:tcPr>
            <w:tcW w:type="dxa" w:w="1440"/>
            <w:shd w:fill="FFDCE0" w:val="clear"/>
          </w:tcPr>
          <w:p>
            <w:r>
              <w:rPr>
                <w:b/>
                <w:sz w:val="17"/>
              </w:rPr>
              <w:t>16,506</w:t>
            </w:r>
          </w:p>
        </w:tc>
        <w:tc>
          <w:tcPr>
            <w:tcW w:type="dxa" w:w="1440"/>
            <w:shd w:fill="FFDCE0" w:val="clear"/>
          </w:tcPr>
          <w:p>
            <w:r>
              <w:rPr>
                <w:sz w:val="17"/>
              </w:rPr>
              <w:t>17,306</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15,610</w:t>
            </w:r>
          </w:p>
        </w:tc>
        <w:tc>
          <w:tcPr>
            <w:tcW w:type="dxa" w:w="1440"/>
            <w:shd w:fill="FFDCE0" w:val="clear"/>
          </w:tcPr>
          <w:p>
            <w:r>
              <w:rPr>
                <w:b/>
                <w:sz w:val="17"/>
              </w:rPr>
              <w:t>16,456</w:t>
            </w:r>
          </w:p>
        </w:tc>
        <w:tc>
          <w:tcPr>
            <w:tcW w:type="dxa" w:w="1440"/>
            <w:shd w:fill="FFDCE0" w:val="clear"/>
          </w:tcPr>
          <w:p>
            <w:r>
              <w:rPr>
                <w:sz w:val="17"/>
              </w:rPr>
              <w:t>17,302</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15,518</w:t>
            </w:r>
          </w:p>
        </w:tc>
        <w:tc>
          <w:tcPr>
            <w:tcW w:type="dxa" w:w="1440"/>
            <w:shd w:fill="FFDCE0" w:val="clear"/>
          </w:tcPr>
          <w:p>
            <w:r>
              <w:rPr>
                <w:b/>
                <w:sz w:val="17"/>
              </w:rPr>
              <w:t>16,408</w:t>
            </w:r>
          </w:p>
        </w:tc>
        <w:tc>
          <w:tcPr>
            <w:tcW w:type="dxa" w:w="1440"/>
            <w:shd w:fill="FFDCE0" w:val="clear"/>
          </w:tcPr>
          <w:p>
            <w:r>
              <w:rPr>
                <w:sz w:val="17"/>
              </w:rPr>
              <w:t>17,297</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375,20 milliards FCFA, ce qui positionne le titre parmi les valeurs de première ligne de la BRVM, reflétant la confiance des investisseurs dans ce leader des biens de consommation. Avec un BPA de 835 FCFA, chaque action génère un bénéfice substantiel, mais le PER de 20,4x indique que les investisseurs paient une prime significative par rapport à la moyenne du marché BRVM (8-12x). Cette prime suggère que le marché anticipe une croissance future des bénéfices, ce qui est cohérent avec les récentes performances trimestrielles. Le P/B de 12,68x est extrêmement élevé, signe d'une valorisation très exigeante par rapport à la valeur comptable des actifs, tandis que l'EV/EBITDA de 10,0x, bien que dans la fourchette haute, reste plus raisonnable et indique que la valeur totale de l'entreprise (dette incluse) reste soutenable par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remarquable de +31,27%, avec une dernière séance stable (0,00%) à 17 000 FCFA. Le titre a évolué dans une fourchette de 11 150 FCFA (plus bas) à 17 450 FCFA (plus haut), démontrant une forte dynamique haussière. La moyenne du cours sur la période (14 312 FCFA) est inférieure à la médiane (14 780 FCFA), indiquant une distribution légèrement asymétrique avec des valeurs extrêmes à la hausse récentes. L'écart-type de 2 013 FCFA (CV = 14,1%) révèle une dispersion modérée, tandis que le kurtosis de -1,615 (platykurtique) signale une distribution aplatie avec peu de pics extrêmes, réduisant le risque de mouvements brutaux. Le skewness proche de zéro (0,042) confirme une distribution quasi symétrique. La volatilité annualisée de 33,9% classe le titre comme très volatil, un niveau élevé qui implique un risque important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(17 000 FCFA) se situe au-dessus de la MM20 (16 862,5 FCFA) et de la MM50 (16 149,6 FCFA), confirmant une tendance haussière solide à court et moyen terme. La configuration des moyennes mobiles (MM20 &gt; MM50) génère un signal d'achat, indiquant que la dynamique positive est soutenue par les investisseurs.</w:t>
      </w:r>
    </w:p>
    <w:p>
      <w:pPr>
        <w:spacing w:after="120" w:line="276" w:lineRule="auto"/>
      </w:pPr>
      <w:r>
        <w:t>**Bandes de Bollinger** : Le prix évolue entre la borne inférieure (16 115,3 FCFA) et la borne supérieure (17 609,7 FCFA), se positionnant dans la partie haute du canal. Cette position suggère une pression acheteuse persistante sans atteindre des conditions de surachat extrême. La décision est neutre, le marché attendant une direction claire après cette phase de consolidation.</w:t>
      </w:r>
    </w:p>
    <w:p>
      <w:pPr>
        <w:spacing w:after="120" w:line="276" w:lineRule="auto"/>
      </w:pPr>
      <w:r>
        <w:t>**MACD** : La valeur du MACD (337,18) est inférieure à sa ligne de signal (386,21), indiquant un momentum baissier à court terme malgré la tendance haussière globale. Ce croisement baissier suggère une possible correction ou consolidation à venir, justifiant une décision de vente pour les traders à court terme.</w:t>
      </w:r>
    </w:p>
    <w:p>
      <w:pPr>
        <w:spacing w:after="120" w:line="276" w:lineRule="auto"/>
      </w:pPr>
      <w:r>
        <w:t>**RSI** : À 64,62, le RSI se situe en zone neutre, proche du seuil de surachat (70). Cette valeur indique que le titre conserve un potentiel haussier mais que la prudence est de mise, car une poursuite de la hausse pourrait amener le RSI en zone de surachat, signalant un risque de retournement.</w:t>
      </w:r>
    </w:p>
    <w:p>
      <w:pPr>
        <w:spacing w:after="120" w:line="276" w:lineRule="auto"/>
      </w:pPr>
      <w:r>
        <w:t>**Stochastique** : Le %K (50,0) est légèrement inférieur au %D (51,75), indiquant un momentum neutre. L'absence de croisement clair entre ces deux lignes suggère une phase d'indécision du marché, avec une décision neutre.</w:t>
      </w:r>
    </w:p>
    <w:p>
      <w:pPr>
        <w:spacing w:after="120" w:line="276" w:lineRule="auto"/>
      </w:pPr>
      <w:r>
        <w:t>**Conclusion technique** : Les indicateurs sont mitigés, avec une tendance haussière confirmée par les moyennes mobiles mais un momentum à court terme affaibli par le MACD et le RSI. La prudence est recommandée à court terme,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NTLC a réalisé un chiffre d'affaires de 233,26 milliards FCFA, en hausse de +5,97% par rapport à 2024, avec un résultat net de 18,43 milliards FCFA (+1,53%). La marge nette s'établit à 7,90%, en légère baisse par rapport à 2024 (8,25%), tandis que le ROE atteint un niveau exceptionnel de 62,28% et le ROA de 9,70%. Le BFR est positif à 22,63 milliards FCFA, indiquant un besoin de financement du cycle d'exploitation, et le délai clients de 74,3 jours représente un risque de trésorerie modéré. L'endettement est élevé (ratio d'endettement de 135,85%), mais la couverture des intérêts à 473,63% démontre une capacité solide à honorer les charges financières. **Le rapport annuel 2025 (analysé le 1er mai 2026)** confirme ces chiffres et révèle une politique de dividende plus conservatrice (payout de 50,3% contre 99,7% en 2024), privilégiant le réinvestissement. **Le rapport du T1 2026 (analysé le 1er mai 2026)** est nettement plus optimiste : le chiffre d'affaires bondit de +31% à 70,82 milliards FCFA et le résultat net de +37% à 7,53 milliards FCFA, avec une marge nette améliorée à 10,6%. Sur cette base, on estime que l'exercice 2026 pourrait dépasser les 260 milliards FCFA de CA et 25 milliards FCFA de résultat net, confirmant la solidité du modèle économique et l'efficacité des mesures de maîtrise des coûts.</w:t>
      </w:r>
    </w:p>
    <w:p>
      <w:pPr>
        <w:spacing w:after="120" w:line="276" w:lineRule="auto"/>
      </w:pPr>
      <w:r>
        <w:t>---</w:t>
      </w:r>
    </w:p>
    <w:p>
      <w:pPr>
        <w:spacing w:after="120" w:line="276" w:lineRule="auto"/>
      </w:pPr>
      <w:r>
        <w:t>### PARTIE 4 : CONCLUSION D'INVESTISSEMENT</w:t>
      </w:r>
    </w:p>
    <w:p>
      <w:pPr>
        <w:spacing w:after="120" w:line="276" w:lineRule="auto"/>
      </w:pPr>
      <w:r>
        <w:t>La valorisation de NTLC (PER 20,4x, P/B 12,68x) est exigeante, mais elle est justifiée par la dynamique de croissance exceptionnelle observée au T1 2026 (+31% CA) et la rentabilité élevée (ROE &gt;62%). Le comportement du cours (+31,27% sur 100 jours) reflète cette confiance, bien que la volatilité élevée (33,9%) et les statistiques descriptives (kurtosis platykurtique) suggèrent un risque de consolidation. Les signaux techniques sont mitigés : la tendance de fond reste haussière (MM), mais le MACD et le RSI indiquent un essoufflement à court terme. Les fondamentaux sont solides, avec une croissance soutenue et une amélioration des marges, malgré un endettement élevé. Les prédictions IA (16 885 à 16 660 FCFA sur 10 jours) suggèrent une légère correction, contredisant partiellement la tendance haussière. En synthèse, la convergence entre la solidité fondamentale et la dynamique de croissance est forte, mais la valorisation élevée et les signaux techniques mitigés imposent une approche prudente. **Recommandation : ACHAT** pour les investisseurs à moyen-long terme, avec un niveau de confiance **Moyen** et un risque global **Élevé**. L'horizon d'investissement optimal est de **moyen terme (3-12 mois)**, en attendant une éventuelle correction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4,722 titres</w:t>
            </w:r>
          </w:p>
        </w:tc>
        <w:tc>
          <w:tcPr>
            <w:tcW w:type="dxa" w:w="2268"/>
            <w:shd w:fill="FFF2CC" w:val="clear"/>
          </w:tcPr>
          <w:p>
            <w:r>
              <w:rPr>
                <w:b/>
                <w:color w:val="503200"/>
                <w:sz w:val="16"/>
              </w:rPr>
              <w:t xml:space="preserve">Cours actuel : </w:t>
            </w:r>
            <w:r>
              <w:rPr>
                <w:color w:val="000000"/>
                <w:sz w:val="17"/>
              </w:rPr>
              <w:t>2,885 FCFA</w:t>
            </w:r>
          </w:p>
          <w:p>
            <w:r>
              <w:rPr>
                <w:b/>
                <w:color w:val="503200"/>
                <w:sz w:val="16"/>
              </w:rPr>
              <w:t xml:space="preserve">Var. 100 jours : </w:t>
            </w:r>
            <w:r>
              <w:rPr>
                <w:b/>
                <w:color w:val="B40000"/>
                <w:sz w:val="17"/>
              </w:rPr>
              <w:t>-2.20%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3.11% (Faible) — μ=2,824 FCFA, σ=88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β=0.4667 (Défensif) — Cov=0.000015, Var(idx)=0.000033, ρ=0.136,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2,804</w:t>
            </w:r>
          </w:p>
        </w:tc>
        <w:tc>
          <w:tcPr>
            <w:tcW w:type="dxa" w:w="1440"/>
            <w:shd w:fill="FAFAFA" w:val="clear"/>
          </w:tcPr>
          <w:p>
            <w:r>
              <w:rPr>
                <w:b/>
                <w:sz w:val="17"/>
              </w:rPr>
              <w:t>2,900</w:t>
            </w:r>
          </w:p>
        </w:tc>
        <w:tc>
          <w:tcPr>
            <w:tcW w:type="dxa" w:w="1440"/>
            <w:shd w:fill="FAFAFA" w:val="clear"/>
          </w:tcPr>
          <w:p>
            <w:r>
              <w:rPr>
                <w:sz w:val="17"/>
              </w:rPr>
              <w:t>2,995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2,757</w:t>
            </w:r>
          </w:p>
        </w:tc>
        <w:tc>
          <w:tcPr>
            <w:tcW w:type="dxa" w:w="1440"/>
            <w:shd w:fill="FAFAFA" w:val="clear"/>
          </w:tcPr>
          <w:p>
            <w:r>
              <w:rPr>
                <w:b/>
                <w:sz w:val="17"/>
              </w:rPr>
              <w:t>2,891</w:t>
            </w:r>
          </w:p>
        </w:tc>
        <w:tc>
          <w:tcPr>
            <w:tcW w:type="dxa" w:w="1440"/>
            <w:shd w:fill="FAFAFA" w:val="clear"/>
          </w:tcPr>
          <w:p>
            <w:r>
              <w:rPr>
                <w:sz w:val="17"/>
              </w:rPr>
              <w:t>3,026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2,720</w:t>
            </w:r>
          </w:p>
        </w:tc>
        <w:tc>
          <w:tcPr>
            <w:tcW w:type="dxa" w:w="1440"/>
            <w:shd w:fill="FAFAFA" w:val="clear"/>
          </w:tcPr>
          <w:p>
            <w:r>
              <w:rPr>
                <w:b/>
                <w:sz w:val="17"/>
              </w:rPr>
              <w:t>2,885</w:t>
            </w:r>
          </w:p>
        </w:tc>
        <w:tc>
          <w:tcPr>
            <w:tcW w:type="dxa" w:w="1440"/>
            <w:shd w:fill="FAFAFA" w:val="clear"/>
          </w:tcPr>
          <w:p>
            <w:r>
              <w:rPr>
                <w:sz w:val="17"/>
              </w:rPr>
              <w:t>3,049</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2,689</w:t>
            </w:r>
          </w:p>
        </w:tc>
        <w:tc>
          <w:tcPr>
            <w:tcW w:type="dxa" w:w="1440"/>
            <w:shd w:fill="FAFAFA" w:val="clear"/>
          </w:tcPr>
          <w:p>
            <w:r>
              <w:rPr>
                <w:b/>
                <w:sz w:val="17"/>
              </w:rPr>
              <w:t>2,879</w:t>
            </w:r>
          </w:p>
        </w:tc>
        <w:tc>
          <w:tcPr>
            <w:tcW w:type="dxa" w:w="1440"/>
            <w:shd w:fill="FAFAFA" w:val="clear"/>
          </w:tcPr>
          <w:p>
            <w:r>
              <w:rPr>
                <w:sz w:val="17"/>
              </w:rPr>
              <w:t>3,068</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2,662</w:t>
            </w:r>
          </w:p>
        </w:tc>
        <w:tc>
          <w:tcPr>
            <w:tcW w:type="dxa" w:w="1440"/>
            <w:shd w:fill="FAFAFA" w:val="clear"/>
          </w:tcPr>
          <w:p>
            <w:r>
              <w:rPr>
                <w:b/>
                <w:sz w:val="17"/>
              </w:rPr>
              <w:t>2,873</w:t>
            </w:r>
          </w:p>
        </w:tc>
        <w:tc>
          <w:tcPr>
            <w:tcW w:type="dxa" w:w="1440"/>
            <w:shd w:fill="FAFAFA" w:val="clear"/>
          </w:tcPr>
          <w:p>
            <w:r>
              <w:rPr>
                <w:sz w:val="17"/>
              </w:rPr>
              <w:t>3,084</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2,636</w:t>
            </w:r>
          </w:p>
        </w:tc>
        <w:tc>
          <w:tcPr>
            <w:tcW w:type="dxa" w:w="1440"/>
            <w:shd w:fill="FAFAFA" w:val="clear"/>
          </w:tcPr>
          <w:p>
            <w:r>
              <w:rPr>
                <w:b/>
                <w:sz w:val="17"/>
              </w:rPr>
              <w:t>2,867</w:t>
            </w:r>
          </w:p>
        </w:tc>
        <w:tc>
          <w:tcPr>
            <w:tcW w:type="dxa" w:w="1440"/>
            <w:shd w:fill="FAFAFA" w:val="clear"/>
          </w:tcPr>
          <w:p>
            <w:r>
              <w:rPr>
                <w:sz w:val="17"/>
              </w:rPr>
              <w:t>3,098</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2,612</w:t>
            </w:r>
          </w:p>
        </w:tc>
        <w:tc>
          <w:tcPr>
            <w:tcW w:type="dxa" w:w="1440"/>
            <w:shd w:fill="FAFAFA" w:val="clear"/>
          </w:tcPr>
          <w:p>
            <w:r>
              <w:rPr>
                <w:b/>
                <w:sz w:val="17"/>
              </w:rPr>
              <w:t>2,861</w:t>
            </w:r>
          </w:p>
        </w:tc>
        <w:tc>
          <w:tcPr>
            <w:tcW w:type="dxa" w:w="1440"/>
            <w:shd w:fill="FAFAFA" w:val="clear"/>
          </w:tcPr>
          <w:p>
            <w:r>
              <w:rPr>
                <w:sz w:val="17"/>
              </w:rPr>
              <w:t>3,111</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2,590</w:t>
            </w:r>
          </w:p>
        </w:tc>
        <w:tc>
          <w:tcPr>
            <w:tcW w:type="dxa" w:w="1440"/>
            <w:shd w:fill="FAFAFA" w:val="clear"/>
          </w:tcPr>
          <w:p>
            <w:r>
              <w:rPr>
                <w:b/>
                <w:sz w:val="17"/>
              </w:rPr>
              <w:t>2,856</w:t>
            </w:r>
          </w:p>
        </w:tc>
        <w:tc>
          <w:tcPr>
            <w:tcW w:type="dxa" w:w="1440"/>
            <w:shd w:fill="FAFAFA" w:val="clear"/>
          </w:tcPr>
          <w:p>
            <w:r>
              <w:rPr>
                <w:sz w:val="17"/>
              </w:rPr>
              <w:t>3,122</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2,569</w:t>
            </w:r>
          </w:p>
        </w:tc>
        <w:tc>
          <w:tcPr>
            <w:tcW w:type="dxa" w:w="1440"/>
            <w:shd w:fill="FAFAFA" w:val="clear"/>
          </w:tcPr>
          <w:p>
            <w:r>
              <w:rPr>
                <w:b/>
                <w:sz w:val="17"/>
              </w:rPr>
              <w:t>2,850</w:t>
            </w:r>
          </w:p>
        </w:tc>
        <w:tc>
          <w:tcPr>
            <w:tcW w:type="dxa" w:w="1440"/>
            <w:shd w:fill="FAFAFA" w:val="clear"/>
          </w:tcPr>
          <w:p>
            <w:r>
              <w:rPr>
                <w:sz w:val="17"/>
              </w:rPr>
              <w:t>3,132</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2,549</w:t>
            </w:r>
          </w:p>
        </w:tc>
        <w:tc>
          <w:tcPr>
            <w:tcW w:type="dxa" w:w="1440"/>
            <w:shd w:fill="FAFAFA" w:val="clear"/>
          </w:tcPr>
          <w:p>
            <w:r>
              <w:rPr>
                <w:b/>
                <w:sz w:val="17"/>
              </w:rPr>
              <w:t>2,845</w:t>
            </w:r>
          </w:p>
        </w:tc>
        <w:tc>
          <w:tcPr>
            <w:tcW w:type="dxa" w:w="1440"/>
            <w:shd w:fill="FAFAFA" w:val="clear"/>
          </w:tcPr>
          <w:p>
            <w:r>
              <w:rPr>
                <w:sz w:val="17"/>
              </w:rPr>
              <w:t>3,141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d'ONTBF s'établit à 196,18 milliards FCFA, positionnant le titre comme une valeur moyenne sur la BRVM, loin des géants comme Sonatel mais avec une liquidité et une visibilité notables. Avec un BPA de 234 FCFA, le PER de 12,3x se situe dans la fourchette haute de la moyenne historique de la place (~8-12x), indiquant que le marché valorise l'entreprise à un niveau raisonnable, sans décote ni prime excessive. Le P/B de 3,41x reflète une prime de croissance accordée par le marché, les investisseurs acceptant de payer plus de trois fois la valeur comptable des actifs, ce qui témoigne d'une confiance dans la capacité de l'entreprise à générer de la valeur au-delà de son bilan. Enfin, l'EV/EBITDA de 5,2x est attractif, signalant que la valeur totale de l'entreprise (dette incluse) reste modérée par rapport à sa capacité opérationnelle de génération de cash, un signal positif pour un investisseur de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ONTBF affiche une variation totale de -2,20%, avec une dernière séance en baisse de -1,87%, traduisant une pression vendeuse récente. Le cours a évolué dans un range de 2 610 à 3 070 FCFA, montrant une amplitude de 460 FCFA, ce qui indique une volatilité intraday significative. La moyenne (2 824 FCFA) et la médiane (2 802 FCFA) sont proches, avec un mode à 2 800 FCFA, suggérant une distribution quasi symétrique des prix, confirmée par un skewness de 0,214. L'écart-type de 88 FCFA, avec un coefficient de variation de 3,1%, révèle une dispersion très faible du cours autour de la moyenne, indiquant une stabilité relative. Le kurtosis de -0,355 (mésokurtique) suggère une distribution proche de la normale, sans risque de variations extrêmes. La volatilité annualisée de 30,9% classe le titre dans la catégorie des valeurs à volatilité élevée, ce qui implique des fluctuations potentielles importantes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2 888,75 FCFA et la MM50 à 2 821,5 FCFA sont toutes deux proches du cours actuel de 2 885 FCFA, mais la MM20 est légèrement supérieure à la MM50, formant une configuration haussière à court terme. Le cours se situe au-dessus de la MM50, indiquant une tendance de fond positive, mais la proximité de la MM20 suggère une consolidation. La décision d'achat est justifiée par la position du cours au-dessus des deux moyennes, bien que le signal soit fragile.</w:t>
      </w:r>
    </w:p>
    <w:p>
      <w:pPr>
        <w:spacing w:after="120" w:line="276" w:lineRule="auto"/>
      </w:pPr>
      <w:r>
        <w:t>**Bandes de Bollinger** : Le prix actuel de 2 885 FCFA se situe entre la borne supérieure (3 029,158 FCFA) et la borne inférieure (2 748,342 FCFA), proche de la bande médiane, indiquant une volatilité modérée. La largeur des bandes reflète une volatilité en contraction, et le cours n'est pas en zone de surachat ni de survente. La décision neutre est cohérente avec une phase de consolidation, sans signal directionnel fort.</w:t>
      </w:r>
    </w:p>
    <w:p>
      <w:pPr>
        <w:spacing w:after="120" w:line="276" w:lineRule="auto"/>
      </w:pPr>
      <w:r>
        <w:t>**MACD** : La valeur du MACD (25,222) est légèrement inférieure à son signal (25,965), formant un croisement baissier récent. Bien que les deux indicateurs restent positifs, ce croisement suggère un affaiblissement du momentum haussier. La décision de vente est prudente, signalant une possible correction à court terme après une phase de hausse.</w:t>
      </w:r>
    </w:p>
    <w:p>
      <w:pPr>
        <w:spacing w:after="120" w:line="276" w:lineRule="auto"/>
      </w:pPr>
      <w:r>
        <w:t>**RSI** : À 38,776, le RSI se situe en zone neutre, proche de la zone de survente (30), indiquant que le titre n'est ni suracheté ni survendu. Cette valeur reflète une pression vendeuse modérée, mais sans excès, laissant place à un potentiel de rebond. La décision neutre est appropriée, le marché attendant un catalyseur directionnel.</w:t>
      </w:r>
    </w:p>
    <w:p>
      <w:pPr>
        <w:spacing w:after="120" w:line="276" w:lineRule="auto"/>
      </w:pPr>
      <w:r>
        <w:t>**Stochastique** : Le %K (44,737) est inférieur au %D (63,63), formant un croisement baissier, mais les deux valeurs restent en zone neutre. Ce croisement indique un affaiblissement de la dynamique haussière, mais sans signal de survente. La décision neutre est justifiée, le titre étant dans une phase de transition.</w:t>
      </w:r>
    </w:p>
    <w:p>
      <w:pPr>
        <w:spacing w:after="120" w:line="276" w:lineRule="auto"/>
      </w:pPr>
      <w:r>
        <w:t>**Conclusion technique** : Les indicateurs sont globalement mitigés, avec des signaux de vente sur le MACD et le Stochastique, mais des décisions neutres sur les bandes de Bollinger et le RSI. La MM20 et la MM50 soutiennent une tendance de fond positive, mais la pression vendeuse récente et le croisement baissier du MACD suggèrent une consolidation à court terme. Le titre semble en phase de digestion après une hausse, avec un biais légèrement négatif à très court terme.</w:t>
      </w:r>
    </w:p>
    <w:p>
      <w:pPr>
        <w:spacing w:after="120" w:line="276" w:lineRule="auto" w:before="240"/>
      </w:pPr>
      <w:r>
        <w:rPr>
          <w:b/>
          <w:color w:val="003366"/>
          <w:sz w:val="24"/>
        </w:rPr>
        <w:t>**PARTIE 3 : ANALYSE FONDAMENTALE (SECTION CRITIQUE)**</w:t>
      </w:r>
    </w:p>
    <w:p>
      <w:pPr>
        <w:spacing w:after="120" w:line="276" w:lineRule="auto"/>
      </w:pPr>
      <w:r>
        <w:t>En 2025, ONTBF a réalisé un chiffre d'affaires de 146,177 milliards FCFA, en hausse de 3,1% par rapport à 2024, mais le résultat net a chuté de 26% à 15,887 milliards FCFA, reflétant une pression significative sur les marges. Le ROE s'établit à 27,61%, un niveau excellent, et le ROA à 4,89%, indiquant une bonne utilisation des actifs. Le coefficient d'exploitation de 67,07% est élevé pour une banque, suggérant une efficacité opérationnelle perfectible. Le coût du risque de 3,57% est élevé, signalant un risque de crédit significatif, mais la couverture des intérêts à 491,55% est rassurante. La structure financière montre une dépendance financière de 82,29%, avec un ratio d'endettement de 186,99%, mais la solvabilité générale de 121,52% reste positive. Les rapports trimestriels 2025 (T1, S1, 9 mois) confirment une tendance de dégradation de la rentabilité, avec une baisse du résultat net de 17 à 29% selon les périodes, due aux coûts énergétiques et sécuritaires. Pour 2026, le rapport T1 2026 (publié en avril 2026) montre une croissance du CA de 2,7% à 37,1 milliards FCFA, mais une marge nette en baisse à 9,6%, suggérant une stabilisation de la rentabilité à un niveau inférieur. On estime que l'exercice 2026 devrait voir un résultat net autour de 14-15 milliards FCFA, si la tendance actuelle se maintient. La solidité financière reste robuste, avec une CAF de 46,95 milliards FCFA, mais les investissements massifs (-45,22 milliards FCFA) et la hausse de l'endettement (107,6 milliards FCFA) pèsent sur la trésorerie.</w:t>
      </w:r>
    </w:p>
    <w:p>
      <w:pPr>
        <w:spacing w:after="120" w:line="276" w:lineRule="auto" w:before="240"/>
      </w:pPr>
      <w:r>
        <w:rPr>
          <w:b/>
          <w:color w:val="003366"/>
          <w:sz w:val="24"/>
        </w:rPr>
        <w:t>**PARTIE 4 : CONCLUSION D'INVESTISSEMENT**</w:t>
      </w:r>
    </w:p>
    <w:p>
      <w:pPr>
        <w:spacing w:after="120" w:line="276" w:lineRule="auto"/>
      </w:pPr>
      <w:r>
        <w:t>La valorisation d'ONTBF est modérée, avec un PER de 12,3x et un EV/EBITDA de 5,2x, indiquant que le marché ne surévalue pas le titre, malgré une prime sur la valeur comptable (P/B de 3,41x). Le comportement du cours sur 100 jours est stable, avec une faible dispersion (CV 3,1%) et une distribution normale, mais une volatilité annualisée élevée (30,9%) et une tendance récente baissière (-2,20%) sont préoccupantes. Les signaux techniques sont mitigés, avec une convergence des MM vers un biais haussier, mais des divergences sur le MACD et le Stochastique, suggérant une consolidation. Les fondamentaux sont solides mais en dégradation, avec une baisse du résultat net de 26% en 2025, malgré une croissance du CA, et des perspectives 2026 de stabilisation à un niveau inférieur. Les prédictions IA (J+1 à J+10) indiquent une trajectoire baissière progressive, de 2 900 à 2 873 FCFA, confirmant la pression vendeuse à court terme. Sur la base de cette synthèse, la recommandation est **CONSERVER**, avec un niveau de confiance **Moyen**, car la valorisation raisonnable et la solidité financière compensent les signaux techniques et fondamentaux négatifs. Le risque global est **Élevé**, en raison de la volatilité et des incertitudes sécuritaires et réglementaires. L'horizon d'investissement optimal est le **moyen terme (3-12 mois)**, en attendant une amélioration de la rentabilité et une clarification de la stratégie de reconquête du leadership annoncée pour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3166.02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2,310 titres</w:t>
            </w:r>
          </w:p>
        </w:tc>
        <w:tc>
          <w:tcPr>
            <w:tcW w:type="dxa" w:w="2268"/>
            <w:shd w:fill="FFF2CC" w:val="clear"/>
          </w:tcPr>
          <w:p>
            <w:r>
              <w:rPr>
                <w:b/>
                <w:color w:val="503200"/>
                <w:sz w:val="16"/>
              </w:rPr>
              <w:t xml:space="preserve">Cours actuel : </w:t>
            </w:r>
            <w:r>
              <w:rPr>
                <w:color w:val="000000"/>
                <w:sz w:val="17"/>
              </w:rPr>
              <w:t>21,015 FCFA</w:t>
            </w:r>
          </w:p>
          <w:p>
            <w:r>
              <w:rPr>
                <w:b/>
                <w:color w:val="503200"/>
                <w:sz w:val="16"/>
              </w:rPr>
              <w:t xml:space="preserve">Var. 100 jours : </w:t>
            </w:r>
            <w:r>
              <w:rPr>
                <w:b/>
                <w:color w:val="007800"/>
                <w:sz w:val="17"/>
              </w:rPr>
              <w:t>+37.35%</w:t>
            </w:r>
          </w:p>
          <w:p>
            <w:r>
              <w:rPr>
                <w:b/>
                <w:color w:val="503200"/>
                <w:sz w:val="16"/>
              </w:rPr>
              <w:t xml:space="preserve">Plus haut 100j : </w:t>
            </w:r>
            <w:r>
              <w:rPr>
                <w:color w:val="000000"/>
                <w:sz w:val="17"/>
              </w:rPr>
              <w:t>21,015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7.13% (Moyenne) — μ=16,082 FCFA, σ=1,147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β=1.2318 (Agressif) — Cov=0.000040, Var(idx)=0.000033, ρ=0.384,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19,162</w:t>
            </w:r>
          </w:p>
        </w:tc>
        <w:tc>
          <w:tcPr>
            <w:tcW w:type="dxa" w:w="1440"/>
            <w:shd w:fill="FFDCE0" w:val="clear"/>
          </w:tcPr>
          <w:p>
            <w:r>
              <w:rPr>
                <w:b/>
                <w:sz w:val="17"/>
              </w:rPr>
              <w:t>19,727</w:t>
            </w:r>
          </w:p>
        </w:tc>
        <w:tc>
          <w:tcPr>
            <w:tcW w:type="dxa" w:w="1440"/>
            <w:shd w:fill="FFDCE0" w:val="clear"/>
          </w:tcPr>
          <w:p>
            <w:r>
              <w:rPr>
                <w:sz w:val="17"/>
              </w:rPr>
              <w:t>20,293</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18,942</w:t>
            </w:r>
          </w:p>
        </w:tc>
        <w:tc>
          <w:tcPr>
            <w:tcW w:type="dxa" w:w="1440"/>
            <w:shd w:fill="FFDCE0" w:val="clear"/>
          </w:tcPr>
          <w:p>
            <w:r>
              <w:rPr>
                <w:b/>
                <w:sz w:val="17"/>
              </w:rPr>
              <w:t>19,742</w:t>
            </w:r>
          </w:p>
        </w:tc>
        <w:tc>
          <w:tcPr>
            <w:tcW w:type="dxa" w:w="1440"/>
            <w:shd w:fill="FFDCE0" w:val="clear"/>
          </w:tcPr>
          <w:p>
            <w:r>
              <w:rPr>
                <w:sz w:val="17"/>
              </w:rPr>
              <w:t>20,543</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18,674</w:t>
            </w:r>
          </w:p>
        </w:tc>
        <w:tc>
          <w:tcPr>
            <w:tcW w:type="dxa" w:w="1440"/>
            <w:shd w:fill="FFDCE0" w:val="clear"/>
          </w:tcPr>
          <w:p>
            <w:r>
              <w:rPr>
                <w:b/>
                <w:sz w:val="17"/>
              </w:rPr>
              <w:t>19,650</w:t>
            </w:r>
          </w:p>
        </w:tc>
        <w:tc>
          <w:tcPr>
            <w:tcW w:type="dxa" w:w="1440"/>
            <w:shd w:fill="FFDCE0" w:val="clear"/>
          </w:tcPr>
          <w:p>
            <w:r>
              <w:rPr>
                <w:sz w:val="17"/>
              </w:rPr>
              <w:t>20,626</w:t>
            </w:r>
          </w:p>
        </w:tc>
        <w:tc>
          <w:tcPr>
            <w:tcW w:type="dxa" w:w="1440"/>
            <w:shd w:fill="FFDCE0" w:val="clear"/>
          </w:tcPr>
          <w:p>
            <w:r>
              <w:rPr>
                <w:b/>
                <w:color w:val="C00000"/>
                <w:sz w:val="17"/>
              </w:rPr>
              <w:t>-6.5%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18,423</w:t>
            </w:r>
          </w:p>
        </w:tc>
        <w:tc>
          <w:tcPr>
            <w:tcW w:type="dxa" w:w="1440"/>
            <w:shd w:fill="FFDCE0" w:val="clear"/>
          </w:tcPr>
          <w:p>
            <w:r>
              <w:rPr>
                <w:b/>
                <w:sz w:val="17"/>
              </w:rPr>
              <w:t>19,544</w:t>
            </w:r>
          </w:p>
        </w:tc>
        <w:tc>
          <w:tcPr>
            <w:tcW w:type="dxa" w:w="1440"/>
            <w:shd w:fill="FFDCE0" w:val="clear"/>
          </w:tcPr>
          <w:p>
            <w:r>
              <w:rPr>
                <w:sz w:val="17"/>
              </w:rPr>
              <w:t>20,664</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18,193</w:t>
            </w:r>
          </w:p>
        </w:tc>
        <w:tc>
          <w:tcPr>
            <w:tcW w:type="dxa" w:w="1440"/>
            <w:shd w:fill="FFDCE0" w:val="clear"/>
          </w:tcPr>
          <w:p>
            <w:r>
              <w:rPr>
                <w:b/>
                <w:sz w:val="17"/>
              </w:rPr>
              <w:t>19,439</w:t>
            </w:r>
          </w:p>
        </w:tc>
        <w:tc>
          <w:tcPr>
            <w:tcW w:type="dxa" w:w="1440"/>
            <w:shd w:fill="FFDCE0" w:val="clear"/>
          </w:tcPr>
          <w:p>
            <w:r>
              <w:rPr>
                <w:sz w:val="17"/>
              </w:rPr>
              <w:t>20,685</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17,980</w:t>
            </w:r>
          </w:p>
        </w:tc>
        <w:tc>
          <w:tcPr>
            <w:tcW w:type="dxa" w:w="1440"/>
            <w:shd w:fill="FFDCE0" w:val="clear"/>
          </w:tcPr>
          <w:p>
            <w:r>
              <w:rPr>
                <w:b/>
                <w:sz w:val="17"/>
              </w:rPr>
              <w:t>19,338</w:t>
            </w:r>
          </w:p>
        </w:tc>
        <w:tc>
          <w:tcPr>
            <w:tcW w:type="dxa" w:w="1440"/>
            <w:shd w:fill="FFDCE0" w:val="clear"/>
          </w:tcPr>
          <w:p>
            <w:r>
              <w:rPr>
                <w:sz w:val="17"/>
              </w:rPr>
              <w:t>20,696</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17,780</w:t>
            </w:r>
          </w:p>
        </w:tc>
        <w:tc>
          <w:tcPr>
            <w:tcW w:type="dxa" w:w="1440"/>
            <w:shd w:fill="FFDCE0" w:val="clear"/>
          </w:tcPr>
          <w:p>
            <w:r>
              <w:rPr>
                <w:b/>
                <w:sz w:val="17"/>
              </w:rPr>
              <w:t>19,240</w:t>
            </w:r>
          </w:p>
        </w:tc>
        <w:tc>
          <w:tcPr>
            <w:tcW w:type="dxa" w:w="1440"/>
            <w:shd w:fill="FFDCE0" w:val="clear"/>
          </w:tcPr>
          <w:p>
            <w:r>
              <w:rPr>
                <w:sz w:val="17"/>
              </w:rPr>
              <w:t>20,699</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17,592</w:t>
            </w:r>
          </w:p>
        </w:tc>
        <w:tc>
          <w:tcPr>
            <w:tcW w:type="dxa" w:w="1440"/>
            <w:shd w:fill="FFDCE0" w:val="clear"/>
          </w:tcPr>
          <w:p>
            <w:r>
              <w:rPr>
                <w:b/>
                <w:sz w:val="17"/>
              </w:rPr>
              <w:t>19,145</w:t>
            </w:r>
          </w:p>
        </w:tc>
        <w:tc>
          <w:tcPr>
            <w:tcW w:type="dxa" w:w="1440"/>
            <w:shd w:fill="FFDCE0" w:val="clear"/>
          </w:tcPr>
          <w:p>
            <w:r>
              <w:rPr>
                <w:sz w:val="17"/>
              </w:rPr>
              <w:t>20,697</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17,414</w:t>
            </w:r>
          </w:p>
        </w:tc>
        <w:tc>
          <w:tcPr>
            <w:tcW w:type="dxa" w:w="1440"/>
            <w:shd w:fill="FFDCE0" w:val="clear"/>
          </w:tcPr>
          <w:p>
            <w:r>
              <w:rPr>
                <w:b/>
                <w:sz w:val="17"/>
              </w:rPr>
              <w:t>19,053</w:t>
            </w:r>
          </w:p>
        </w:tc>
        <w:tc>
          <w:tcPr>
            <w:tcW w:type="dxa" w:w="1440"/>
            <w:shd w:fill="FFDCE0" w:val="clear"/>
          </w:tcPr>
          <w:p>
            <w:r>
              <w:rPr>
                <w:sz w:val="17"/>
              </w:rPr>
              <w:t>20,691</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17,245</w:t>
            </w:r>
          </w:p>
        </w:tc>
        <w:tc>
          <w:tcPr>
            <w:tcW w:type="dxa" w:w="1440"/>
            <w:shd w:fill="FFDCE0" w:val="clear"/>
          </w:tcPr>
          <w:p>
            <w:r>
              <w:rPr>
                <w:b/>
                <w:sz w:val="17"/>
              </w:rPr>
              <w:t>18,964</w:t>
            </w:r>
          </w:p>
        </w:tc>
        <w:tc>
          <w:tcPr>
            <w:tcW w:type="dxa" w:w="1440"/>
            <w:shd w:fill="FFDCE0" w:val="clear"/>
          </w:tcPr>
          <w:p>
            <w:r>
              <w:rPr>
                <w:sz w:val="17"/>
              </w:rPr>
              <w:t>20,683</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3 166,02 milliards FCFA, ce qui en fait l'une des plus importantes de la BRVM, représentant une part significative de la capitalisation totale du marché régional. Avec un BPA de 1 114 FCFA, le PER de 18,9x se situe nettement au-dessus de la moyenne historique de la BRVM (8-12x), indiquant que les investisseurs paient une prime substantielle pour la croissance et la qualité des actifs d'Orange CI. Le P/B de 4,47x confirme cette prime, le marché valorisant le titre bien au-delà de sa valeur comptable, ce qui reflète les attentes élevées de rentabilité future. L'EV/EBITDA de 7,5x reste dans une zone raisonnable (5-10x), suggérant que la valorisation, bien qu'exigeante sur les comparables de marché, demeure cohérente avec la capacité opérationnelle de l'entreprise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+37,35%, avec une accélération notable lors de la dernière séance (+4,01%), portant le cours à 21 015 FCFA, son plus haut niveau sur la période. Le titre a évolué dans une fourchette large de 14 650 à 21 015 FCFA, démontrant une dynamique haussière puissante et soutenue. La moyenne du cours sur la période (16 082 FCFA) est très proche de la médiane (16 000 FCFA), indiquant une distribution relativement symétrique des prix autour du centre, mais le skewness positif de 1,672 révèle que les journées sous la moyenne ont été plus fréquentes, avec des pics de hausse marqués. Le kurtosis élevé (4,050) signale un risque accru de mouvements extrêmes, tandis que l'écart-type de 1 152 FCFA (CV=7,2%) montre une dispersion modérée. La volatilité annualisée de 29,9% positionne le titre dans la zone élevée (&gt;30% étant considéré comme très volatil), ce qui implique des fluctuations importantes à anticiper.</w:t>
      </w:r>
    </w:p>
    <w:p>
      <w:pPr>
        <w:spacing w:after="120" w:line="276" w:lineRule="auto" w:before="240"/>
      </w:pPr>
      <w:r>
        <w:rPr>
          <w:b/>
          <w:color w:val="003366"/>
          <w:sz w:val="24"/>
        </w:rPr>
        <w:t>**PARTIE 2 : ANALYSE TECHNIQUE DÉTAILLÉE**</w:t>
      </w:r>
    </w:p>
    <w:p>
      <w:pPr>
        <w:spacing w:after="120" w:line="276" w:lineRule="auto"/>
      </w:pPr>
      <w:r>
        <w:t>**Moyennes Mobiles** : Le cours actuel de 21 015 FCFA se situe nettement au-dessus de la MM20 (17 730,75 FCFA) et de la MM50 (16 859,7 FCFA), avec un écart de plus de 18% par rapport à la moyenne courte. Cette configuration haussière classique, où le prix évolue au-dessus des deux moyennes, confirme la tendance positive de fond et justifie la décision d'achat, bien que l'écart important suggère une possible consolidation à court terme.</w:t>
      </w:r>
    </w:p>
    <w:p>
      <w:pPr>
        <w:spacing w:after="120" w:line="276" w:lineRule="auto"/>
      </w:pPr>
      <w:r>
        <w:t>**Bandes de Bollinger** : Le prix a franchi la borne supérieure (20 280,9 FCFA) pour atteindre 21 015 FCFA, signalant une extension excessive au-delà de l'enveloppe de volatilité. Cette sortie de bande indique une pression acheteuse extrême et une volatilité en expansion, mais elle suggère également des conditions de surachat temporaire. La décision de vente associée à cet indicateur reflète la probabilité accrue d'un repli technique vers la moyenne mobile.</w:t>
      </w:r>
    </w:p>
    <w:p>
      <w:pPr>
        <w:spacing w:after="120" w:line="276" w:lineRule="auto"/>
      </w:pPr>
      <w:r>
        <w:t>**MACD** : Le MACD (926,866) évolue nettement au-dessus de sa ligne de signal (562,134), avec un écart positif important qui témoigne d'un momentum haussier très fort. Cette configuration, bien que positive, montre une divergence croissante qui pourrait signaler un essoufflement prochain. La décision d'achat reste néanmoins justifiée tant que le MACD demeure au-dessus du signal.</w:t>
      </w:r>
    </w:p>
    <w:p>
      <w:pPr>
        <w:spacing w:after="120" w:line="276" w:lineRule="auto"/>
      </w:pPr>
      <w:r>
        <w:t>**RSI** : Le RSI à 95,995 est extrêmement suracheté, dépassant largement le seuil critique de 70. Cette valeur extrême indique que le titre est massivement suracheté et qu'une correction technique est hautement probable à court terme. La décision de vente est donc parfaitement justifiée, car les conditions actuelles ne sont pas soutenables durablement.</w:t>
      </w:r>
    </w:p>
    <w:p>
      <w:pPr>
        <w:spacing w:after="120" w:line="276" w:lineRule="auto"/>
      </w:pPr>
      <w:r>
        <w:t>**Stochastique** : Le %K et le %D sont tous deux à 100,0, en territoire de surachat extrême. Cette configuration, où les deux lignes sont au maximum, signale une condition de marché extrêmement tendue, avec un risque élevé de retournement. La décision de vente est cohérente avec cette lecture, indiquant que le potentiel de hausse immédiat est largement épuisé.</w:t>
      </w:r>
    </w:p>
    <w:p>
      <w:pPr>
        <w:spacing w:after="120" w:line="276" w:lineRule="auto"/>
      </w:pPr>
      <w:r>
        <w:t>**Conclusion technique** : La convergence des indicateurs de momentum (RSI, Stochastique, Bandes de Bollinger) vers des zones de surachat extrême contraste avec la tendance haussière confirmée par les moyennes mobiles et le MACD. Cette divergence entre la tendance de fond et les conditions de surachat suggère une correction technique probable à court terme, mais qui s'inscrirait dans une tendance haussière plus large.</w:t>
      </w:r>
    </w:p>
    <w:p>
      <w:pPr>
        <w:spacing w:after="120" w:line="276" w:lineRule="auto" w:before="240"/>
      </w:pPr>
      <w:r>
        <w:rPr>
          <w:b/>
          <w:color w:val="003366"/>
          <w:sz w:val="24"/>
        </w:rPr>
        <w:t>**PARTIE 3 : ANALYSE FONDAMENTALE (SECTION CRITIQUE)**</w:t>
      </w:r>
    </w:p>
    <w:p>
      <w:pPr>
        <w:spacing w:after="120" w:line="276" w:lineRule="auto"/>
      </w:pPr>
      <w:r>
        <w:t>En 2025, Orange Côte d'Ivoire a réalisé un chiffre d'affaires consolidé de 1 197,1 milliards FCFA, en progression de +10,4% par rapport à 2024 (1 084,1 milliards FCFA), confirmant une dynamique commerciale robuste. Le résultat net consolidé s'établit à 167,8 milliards FCFA (+6,1%), avec un résultat net part du groupe de 129,1 milliards FCFA (+14,5%). La rentabilité demeure solide avec un ROE de 23,7% (excellent, &gt;15%) et un ROA de 6,6%, tandis que la marge nette atteint 14,0%. Le BFR négatif de -198 milliards FCFA constitue un avantage structurel majeur, l'entreprise finançant son exploitation grâce aux délais fournisseurs très favorables (210,87 jours) contre 52,26 jours pour les délais clients. Le ratio d'endettement de 47,5% reste maîtrisé, avec une capacité de remboursement de 0,99 an. Selon le rapport T1 2026 (publié en mai 2026), la dynamique s'accélère nettement avec un CA de 325,6 milliards FCFA (+14,8%) et un résultat net de 48,3 milliards FCFA (+25,2%), laissant anticiper un exercice 2026 potentiellement exceptionnel. Le dividende proposé de 800 FCFA brut par action pour 2025 offre un rendement de 3,8% au cours actuel, avec un taux de distribution de 93,3% du résultat net part du groupe. Les risques identifiés concernent principalement la pression fiscale et réglementaire, la concurrence sur les services financiers mobiles et les tensions sécuritaires au Burkina Faso.</w:t>
      </w:r>
    </w:p>
    <w:p>
      <w:pPr>
        <w:spacing w:after="120" w:line="276" w:lineRule="auto" w:before="240"/>
      </w:pPr>
      <w:r>
        <w:rPr>
          <w:b/>
          <w:color w:val="003366"/>
          <w:sz w:val="24"/>
        </w:rPr>
        <w:t>**PARTIE 4 : CONCLUSION D'INVESTISSEMENT**</w:t>
      </w:r>
    </w:p>
    <w:p>
      <w:pPr>
        <w:spacing w:after="120" w:line="276" w:lineRule="auto"/>
      </w:pPr>
      <w:r>
        <w:t>La valorisation d'ORAC, avec un PER de 18,9x et un P/B de 4,47x, apparaît exigeante par rapport aux standards BRVM, mais se justifie par la qualité exceptionnelle des fondamentaux (ROE de 23,7%, croissance à deux chiffres, BFR négatif favorable). Le comportement du cours sur 100 jours (+37,35%) reflète cette confiance des investisseurs, mais les statistiques descriptives (kurtosis élevé, skewness positif) et la volatilité de 29,9% signalent un risque accru de mouvements brusques. Les signaux techniques sont paradoxalement divergents : la tendance de fond reste haussière (MM, MACD) mais tous les indicateurs de momentum (RSI à 96, Stochastique à 100, sortie des Bandes de Bollinger) crient au surachat extrême. Les fondamentaux, portés par un T1 2026 exceptionnel (+25,2% de résultat net), restent très solides et soutiennent la croissance à moyen terme. Les prédictions IA (19 727 FCFA à J+10) anticipent une correction de -6,1% par rapport au cours actuel, confirmant le scénario technique de consolidation. La convergence entre les signaux de surachat technique et les prédictions IA suggère une pause nécessaire dans la hausse. Recommandation finale : **CONSERVER** avec un niveau de confiance **Moyen**, un risque global **Élevé** à court terme, et un horizon d'investissement optimal à **moyen terme (3-12 mois)** pour capitaliser sur la solidité fondamentale après la correction technique attendue.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-14.38%</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μ=2,960 FCFA, σ=347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β=0.4284 (Défensif) — Cov=0.000014, Var(idx)=0.000033, ρ=0.089,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3,025</w:t>
            </w:r>
          </w:p>
        </w:tc>
        <w:tc>
          <w:tcPr>
            <w:tcW w:type="dxa" w:w="1440"/>
            <w:shd w:fill="FAFAFA" w:val="clear"/>
          </w:tcPr>
          <w:p>
            <w:r>
              <w:rPr>
                <w:b/>
                <w:sz w:val="17"/>
              </w:rPr>
              <w:t>3,119</w:t>
            </w:r>
          </w:p>
        </w:tc>
        <w:tc>
          <w:tcPr>
            <w:tcW w:type="dxa" w:w="1440"/>
            <w:shd w:fill="FAFAFA" w:val="clear"/>
          </w:tcPr>
          <w:p>
            <w:r>
              <w:rPr>
                <w:sz w:val="17"/>
              </w:rPr>
              <w:t>3,212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2,982</w:t>
            </w:r>
          </w:p>
        </w:tc>
        <w:tc>
          <w:tcPr>
            <w:tcW w:type="dxa" w:w="1440"/>
            <w:shd w:fill="FAFAFA" w:val="clear"/>
          </w:tcPr>
          <w:p>
            <w:r>
              <w:rPr>
                <w:b/>
                <w:sz w:val="17"/>
              </w:rPr>
              <w:t>3,114</w:t>
            </w:r>
          </w:p>
        </w:tc>
        <w:tc>
          <w:tcPr>
            <w:tcW w:type="dxa" w:w="1440"/>
            <w:shd w:fill="FAFAFA" w:val="clear"/>
          </w:tcPr>
          <w:p>
            <w:r>
              <w:rPr>
                <w:sz w:val="17"/>
              </w:rPr>
              <w:t>3,246</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2,948</w:t>
            </w:r>
          </w:p>
        </w:tc>
        <w:tc>
          <w:tcPr>
            <w:tcW w:type="dxa" w:w="1440"/>
            <w:shd w:fill="FAFAFA" w:val="clear"/>
          </w:tcPr>
          <w:p>
            <w:r>
              <w:rPr>
                <w:b/>
                <w:sz w:val="17"/>
              </w:rPr>
              <w:t>3,110</w:t>
            </w:r>
          </w:p>
        </w:tc>
        <w:tc>
          <w:tcPr>
            <w:tcW w:type="dxa" w:w="1440"/>
            <w:shd w:fill="FAFAFA" w:val="clear"/>
          </w:tcPr>
          <w:p>
            <w:r>
              <w:rPr>
                <w:sz w:val="17"/>
              </w:rPr>
              <w:t>3,272</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2,920</w:t>
            </w:r>
          </w:p>
        </w:tc>
        <w:tc>
          <w:tcPr>
            <w:tcW w:type="dxa" w:w="1440"/>
            <w:shd w:fill="FAFAFA" w:val="clear"/>
          </w:tcPr>
          <w:p>
            <w:r>
              <w:rPr>
                <w:b/>
                <w:sz w:val="17"/>
              </w:rPr>
              <w:t>3,107</w:t>
            </w:r>
          </w:p>
        </w:tc>
        <w:tc>
          <w:tcPr>
            <w:tcW w:type="dxa" w:w="1440"/>
            <w:shd w:fill="FAFAFA" w:val="clear"/>
          </w:tcPr>
          <w:p>
            <w:r>
              <w:rPr>
                <w:sz w:val="17"/>
              </w:rPr>
              <w:t>3,293</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2,895</w:t>
            </w:r>
          </w:p>
        </w:tc>
        <w:tc>
          <w:tcPr>
            <w:tcW w:type="dxa" w:w="1440"/>
            <w:shd w:fill="FAFAFA" w:val="clear"/>
          </w:tcPr>
          <w:p>
            <w:r>
              <w:rPr>
                <w:b/>
                <w:sz w:val="17"/>
              </w:rPr>
              <w:t>3,104</w:t>
            </w:r>
          </w:p>
        </w:tc>
        <w:tc>
          <w:tcPr>
            <w:tcW w:type="dxa" w:w="1440"/>
            <w:shd w:fill="FAFAFA" w:val="clear"/>
          </w:tcPr>
          <w:p>
            <w:r>
              <w:rPr>
                <w:sz w:val="17"/>
              </w:rPr>
              <w:t>3,312</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2,873</w:t>
            </w:r>
          </w:p>
        </w:tc>
        <w:tc>
          <w:tcPr>
            <w:tcW w:type="dxa" w:w="1440"/>
            <w:shd w:fill="FAFAFA" w:val="clear"/>
          </w:tcPr>
          <w:p>
            <w:r>
              <w:rPr>
                <w:b/>
                <w:sz w:val="17"/>
              </w:rPr>
              <w:t>3,101</w:t>
            </w:r>
          </w:p>
        </w:tc>
        <w:tc>
          <w:tcPr>
            <w:tcW w:type="dxa" w:w="1440"/>
            <w:shd w:fill="FAFAFA" w:val="clear"/>
          </w:tcPr>
          <w:p>
            <w:r>
              <w:rPr>
                <w:sz w:val="17"/>
              </w:rPr>
              <w:t>3,329</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2,852</w:t>
            </w:r>
          </w:p>
        </w:tc>
        <w:tc>
          <w:tcPr>
            <w:tcW w:type="dxa" w:w="1440"/>
            <w:shd w:fill="FAFAFA" w:val="clear"/>
          </w:tcPr>
          <w:p>
            <w:r>
              <w:rPr>
                <w:b/>
                <w:sz w:val="17"/>
              </w:rPr>
              <w:t>3,098</w:t>
            </w:r>
          </w:p>
        </w:tc>
        <w:tc>
          <w:tcPr>
            <w:tcW w:type="dxa" w:w="1440"/>
            <w:shd w:fill="FAFAFA" w:val="clear"/>
          </w:tcPr>
          <w:p>
            <w:r>
              <w:rPr>
                <w:sz w:val="17"/>
              </w:rPr>
              <w:t>3,344</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2,832</w:t>
            </w:r>
          </w:p>
        </w:tc>
        <w:tc>
          <w:tcPr>
            <w:tcW w:type="dxa" w:w="1440"/>
            <w:shd w:fill="FAFAFA" w:val="clear"/>
          </w:tcPr>
          <w:p>
            <w:r>
              <w:rPr>
                <w:b/>
                <w:sz w:val="17"/>
              </w:rPr>
              <w:t>3,095</w:t>
            </w:r>
          </w:p>
        </w:tc>
        <w:tc>
          <w:tcPr>
            <w:tcW w:type="dxa" w:w="1440"/>
            <w:shd w:fill="FAFAFA" w:val="clear"/>
          </w:tcPr>
          <w:p>
            <w:r>
              <w:rPr>
                <w:sz w:val="17"/>
              </w:rPr>
              <w:t>3,358</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2,814</w:t>
            </w:r>
          </w:p>
        </w:tc>
        <w:tc>
          <w:tcPr>
            <w:tcW w:type="dxa" w:w="1440"/>
            <w:shd w:fill="FAFAFA" w:val="clear"/>
          </w:tcPr>
          <w:p>
            <w:r>
              <w:rPr>
                <w:b/>
                <w:sz w:val="17"/>
              </w:rPr>
              <w:t>3,093</w:t>
            </w:r>
          </w:p>
        </w:tc>
        <w:tc>
          <w:tcPr>
            <w:tcW w:type="dxa" w:w="1440"/>
            <w:shd w:fill="FAFAFA" w:val="clear"/>
          </w:tcPr>
          <w:p>
            <w:r>
              <w:rPr>
                <w:sz w:val="17"/>
              </w:rPr>
              <w:t>3,371</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2,797</w:t>
            </w:r>
          </w:p>
        </w:tc>
        <w:tc>
          <w:tcPr>
            <w:tcW w:type="dxa" w:w="1440"/>
            <w:shd w:fill="FAFAFA" w:val="clear"/>
          </w:tcPr>
          <w:p>
            <w:r>
              <w:rPr>
                <w:b/>
                <w:sz w:val="17"/>
              </w:rPr>
              <w:t>3,090</w:t>
            </w:r>
          </w:p>
        </w:tc>
        <w:tc>
          <w:tcPr>
            <w:tcW w:type="dxa" w:w="1440"/>
            <w:shd w:fill="FAFAFA" w:val="clear"/>
          </w:tcPr>
          <w:p>
            <w:r>
              <w:rPr>
                <w:sz w:val="17"/>
              </w:rPr>
              <w:t>3,383</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ce qui positionne le titre parmi les valeurs moyennes de la cote BRVM, reflétant une présence notable mais non dominante dans le secteur bancaire régional. Avec un BPA de 312 FCFA, chaque action génère un bénéfice substantiel, justifiant un PER de 10,0x, en phase avec la moyenne historique de la place (~8-12x), indiquant une valorisation raisonnable sans prime excessive. Le P/B de 1,92x montre que le marché valorise la société à près du double de sa valeur comptable, ce qui traduit une confiance dans la création de valeur future, bien que cela écarte toute décote profonde. En revanche, l'EV/EBITDA de 19,9x est nettement supérieur au seuil de 15x, signalant une exigence élevée des investisseurs sur la capacité opérationnelle à générer des flux, un point de vigilance pour une banque en phase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ORGT a enregistré une variation totale de -14,38%, avec une baisse de -1,73% lors de la dernière séance, illustrant une pression vendeuse persistante. Le cours a évolué dans un range de trading de 2 435 FCFA (plus bas) à 3 660 FCFA (plus haut), soit une amplitude de 1 225 FCFA, indiquant une forte volatilité intraday et des mouvements amples. La moyenne de 2 960 FCFA est supérieure à la médiane de 2 780 FCFA, et le mode de 2 680 FCFA est encore plus bas, ce qui révèle une distribution asymétrique positive (skewness de 0,691) : le cours a passé plus de journées sous la moyenne, avec des pics occasionnels tirant la moyenne vers le haut. L'écart-type de 348 FCFA (CV=11,8%) montre une dispersion modérée autour de la moyenne, tandis que le kurtosis de -0,741 (mésokurtique) indique l'absence de queues épaisses, donc un risque de mouvements extrêmes limité. La volatilité annualisée de 43,4% est élevée (&gt;30%), signalant un titre spéculatif, ce qui est cohérent avec la tendance baissière récente et la phase de restructuration de la société.</w:t>
      </w:r>
    </w:p>
    <w:p>
      <w:pPr>
        <w:spacing w:after="120" w:line="276" w:lineRule="auto" w:before="240"/>
      </w:pPr>
      <w:r>
        <w:rPr>
          <w:b/>
          <w:color w:val="003366"/>
          <w:sz w:val="24"/>
        </w:rPr>
        <w:t>**PARTIE 2 : ANALYSE TECHNIQUE DÉTAILLÉE**</w:t>
      </w:r>
    </w:p>
    <w:p>
      <w:pPr>
        <w:spacing w:after="120" w:line="276" w:lineRule="auto"/>
      </w:pPr>
      <w:r>
        <w:t>Les Moyennes Mobiles (MM20=3037,75 et MM50=2827,6) sont toutes deux inférieures au cours actuel de 3 125 FCFA, avec une MM20 au-dessus de la MM50, formant une configuration haussière à court terme. Cette dynamique suggère que le cours a rebondi au-dessus de ses moyennes récentes, justifiant la décision d'Achat, bien que la MM20 proche du prix indique une consolidation possible.</w:t>
      </w:r>
    </w:p>
    <w:p>
      <w:pPr>
        <w:spacing w:after="120" w:line="276" w:lineRule="auto"/>
      </w:pPr>
      <w:r>
        <w:t>Les Bandes de Bollinger (borne supérieure=3329,288, borne inférieure=2746,212) montrent un cours à 3 125 FCFA, positionné dans la partie médiane-haute de l'enveloppe, avec une largeur de bande significative reflétant la volatilité élevée. La décision Neutre est appropriée, car le prix n'est ni en zone de surachat ni de survente, laissant place à une évolution dans les deux sens.</w:t>
      </w:r>
    </w:p>
    <w:p>
      <w:pPr>
        <w:spacing w:after="120" w:line="276" w:lineRule="auto"/>
      </w:pPr>
      <w:r>
        <w:t>Le MACD (valeur=90,121, signal=95,248) affiche une valeur inférieure à son signal, indiquant un momentum baissier à court terme, malgré des niveaux positifs. Cette divergence suggère un essoufflement de la dynamique haussière récente, justifiant la décision de Vente, avec un risque de retournement si la tendance se confirme.</w:t>
      </w:r>
    </w:p>
    <w:p>
      <w:pPr>
        <w:spacing w:after="120" w:line="276" w:lineRule="auto"/>
      </w:pPr>
      <w:r>
        <w:t>Le RSI à 47,826 est en zone neutre (30-70), montrant un équilibre entre pression acheteuse et vendeuse, sans signal extrême. La décision Neutre est cohérente, car le titre n'est ni suracheté ni survendu, offrant une marge de manœuvre pour une reprise ou une correction.</w:t>
      </w:r>
    </w:p>
    <w:p>
      <w:pPr>
        <w:spacing w:after="120" w:line="276" w:lineRule="auto"/>
      </w:pPr>
      <w:r>
        <w:t>Le Stochastique (%K=62,069, %D=74,023) montre %K sous %D, un croisement baissier potentiel, mais les deux valeurs restent en zone positive, indiquant une dynamique de prix encore soutenue. La décision Neutre reflète cette ambiguïté, avec un risque de consolidation à court terme.</w:t>
      </w:r>
    </w:p>
    <w:p>
      <w:pPr>
        <w:spacing w:after="120" w:line="276" w:lineRule="auto"/>
      </w:pPr>
      <w:r>
        <w:t>La conclusion technique est mitigée : les moyennes mobiles sont haussières, mais le MACD et le Stochastique montrent des signaux de faiblesse, tandis que le RSI et les Bandes de Bollinger restent neutres. Cette divergence suggère une phase de transition, où le titre pourrait évoluer latéralement avant de choisir une direction, nécessitant une prudence accrue.</w:t>
      </w:r>
    </w:p>
    <w:p>
      <w:pPr>
        <w:spacing w:after="120" w:line="276" w:lineRule="auto" w:before="240"/>
      </w:pPr>
      <w:r>
        <w:rPr>
          <w:b/>
          <w:color w:val="003366"/>
          <w:sz w:val="24"/>
        </w:rPr>
        <w:t>**PARTIE 3 : ANALYSE FONDAMENTALE (SECTION CRITIQUE)**</w:t>
      </w:r>
    </w:p>
    <w:p>
      <w:pPr>
        <w:spacing w:after="120" w:line="276" w:lineRule="auto"/>
      </w:pPr>
      <w:r>
        <w:t>En 2025, les données structurées montrent un Produit Net Bancaire (PNB) de 186,609 milliards FCFA, en baisse de -4,52% par rapport à 2024 (195,436 milliards), avec un résultat net consolidé de 21,643 milliards FCFA, contre une perte de -44,363 milliards en 2024, marquant un retour spectaculaire à la rentabilité. Le ROE de 19,13% est excellent (&gt;15%), tandis que le ROA de 0,54% reste faible, typique du secteur bancaire, et le coefficient d'exploitation de 42,85% est excellent (&lt;50%), démontrant une gestion rigoureuse des charges. Le coût du risque de 3,74% est élevé, mais en forte amélioration, car les provisions sont passées de -69,056 milliards en 2024 à -6,971 milliards en 2025, grâce à des actions de recouvrement intensifiées. Les dépôts clientèle (3 088,698 milliards) couvrent largement les créances clientèle (1 523,765 milliards), soit un ratio de transformation de 49%, indiquant une liquidité abondante et une stratégie prudente. Les rapports trimestriels 2025 (T1, S1, T3) confirment cette trajectoire : le T1 2025 montre un résultat net de 4,8 milliards (+259% vs T1 2024), le S1 atteint 18,3 milliards (+232%), et le T3 cumulé 19,6 milliards (+248%), tous datés de 2025. Sur la base du rapport T1 2026 (résultat net de 6,555 milliards, +37%), on estime que l'exercice 2026 pourrait voir un PNB stable autour de 185-190 milliards et un résultat net en progression vers 25-28 milliards, si la maîtrise du risque se maintient. La solidité financière est renforcée par des capitaux propres de 113,165 milliards (+17% vs 2024), mais la baisse du PNB et l'absence de dividende (comptes sociaux en perte de -8,036 milliards) restent des points de vigilance, justifiant une recommandation de CONSERVER.</w:t>
      </w:r>
    </w:p>
    <w:p>
      <w:pPr>
        <w:spacing w:after="120" w:line="276" w:lineRule="auto" w:before="240"/>
      </w:pPr>
      <w:r>
        <w:rPr>
          <w:b/>
          <w:color w:val="003366"/>
          <w:sz w:val="24"/>
        </w:rPr>
        <w:t>**PARTIE 4 : CONCLUSION D'INVESTISSEMENT**</w:t>
      </w:r>
    </w:p>
    <w:p>
      <w:pPr>
        <w:spacing w:after="120" w:line="276" w:lineRule="auto"/>
      </w:pPr>
      <w:r>
        <w:t>La valorisation d'ORGT est raisonnable (PER 10,0x, P/B 1,92x), mais l'EV/EBITDA de 19,9x est exigeant, indiquant une attente de performance opérationnelle future. Le comportement du cours est préoccupant avec une baisse de -14,38% sur 100 jours et une volatilité élevée (43,4%), bien que la distribution mésokurtique et l'asymétrie positive suggèrent un risque de pics limité. Les signaux techniques sont divergents : les moyennes mobiles sont haussières, mais le MACD et le Stochastique montrent une faiblesse à court terme, avec un RSI neutre, indiquant une consolidation. Les fondamentaux sont solides, avec un redressement spectaculaire en 2025 (résultat net de 21,643 milliards, ROE de 19,13%), et les estimations pour 2026 (résultat net de 25-28 milliards) sont positives, mais la baisse du PNB et l'absence de dividende tempèrent l'enthousiasme. Les prédictions IA (J+1 à J+10) montrent une légère baisse de 3 119 à 3 104 FCFA, confirmant la tendance baissière récente et la prudence technique. En synthèse, la convergence entre la valorisation modérée, les fondamentaux en amélioration et les signaux techniques mitigés justifie une recommandation de CONSERVER, avec un niveau de confiance Moyen, un risque global Élevé (volatilité et environnement économique), et un horizon d'investissement optimal à moyen terme (3-12 mois) pour observer la relance de la dynamique commerciale et la confirmation du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148.87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3,567 titres</w:t>
            </w:r>
          </w:p>
        </w:tc>
        <w:tc>
          <w:tcPr>
            <w:tcW w:type="dxa" w:w="2268"/>
            <w:shd w:fill="FFF2CC" w:val="clear"/>
          </w:tcPr>
          <w:p>
            <w:r>
              <w:rPr>
                <w:b/>
                <w:color w:val="503200"/>
                <w:sz w:val="16"/>
              </w:rPr>
              <w:t xml:space="preserve">Cours actuel : </w:t>
            </w:r>
            <w:r>
              <w:rPr>
                <w:color w:val="000000"/>
                <w:sz w:val="17"/>
              </w:rPr>
              <w:t>9,630 FCFA</w:t>
            </w:r>
          </w:p>
          <w:p>
            <w:r>
              <w:rPr>
                <w:b/>
                <w:color w:val="503200"/>
                <w:sz w:val="16"/>
              </w:rPr>
              <w:t xml:space="preserve">Var. 100 jours : </w:t>
            </w:r>
            <w:r>
              <w:rPr>
                <w:b/>
                <w:color w:val="007800"/>
                <w:sz w:val="17"/>
              </w:rPr>
              <w:t>+17.44%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μ=8,436 FCFA, σ=533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β=-0.2868 (Contre-cyclique) — Cov=-0.000009, Var(idx)=0.000033, ρ=-0.069,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9,387</w:t>
            </w:r>
          </w:p>
        </w:tc>
        <w:tc>
          <w:tcPr>
            <w:tcW w:type="dxa" w:w="1440"/>
            <w:shd w:fill="FAFAFA" w:val="clear"/>
          </w:tcPr>
          <w:p>
            <w:r>
              <w:rPr>
                <w:b/>
                <w:sz w:val="17"/>
              </w:rPr>
              <w:t>9,659</w:t>
            </w:r>
          </w:p>
        </w:tc>
        <w:tc>
          <w:tcPr>
            <w:tcW w:type="dxa" w:w="1440"/>
            <w:shd w:fill="FAFAFA" w:val="clear"/>
          </w:tcPr>
          <w:p>
            <w:r>
              <w:rPr>
                <w:sz w:val="17"/>
              </w:rPr>
              <w:t>9,931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9,298</w:t>
            </w:r>
          </w:p>
        </w:tc>
        <w:tc>
          <w:tcPr>
            <w:tcW w:type="dxa" w:w="1440"/>
            <w:shd w:fill="FAFAFA" w:val="clear"/>
          </w:tcPr>
          <w:p>
            <w:r>
              <w:rPr>
                <w:b/>
                <w:sz w:val="17"/>
              </w:rPr>
              <w:t>9,684</w:t>
            </w:r>
          </w:p>
        </w:tc>
        <w:tc>
          <w:tcPr>
            <w:tcW w:type="dxa" w:w="1440"/>
            <w:shd w:fill="FAFAFA" w:val="clear"/>
          </w:tcPr>
          <w:p>
            <w:r>
              <w:rPr>
                <w:sz w:val="17"/>
              </w:rPr>
              <w:t>10,070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9,235</w:t>
            </w:r>
          </w:p>
        </w:tc>
        <w:tc>
          <w:tcPr>
            <w:tcW w:type="dxa" w:w="1440"/>
            <w:shd w:fill="FAFAFA" w:val="clear"/>
          </w:tcPr>
          <w:p>
            <w:r>
              <w:rPr>
                <w:b/>
                <w:sz w:val="17"/>
              </w:rPr>
              <w:t>9,709</w:t>
            </w:r>
          </w:p>
        </w:tc>
        <w:tc>
          <w:tcPr>
            <w:tcW w:type="dxa" w:w="1440"/>
            <w:shd w:fill="FAFAFA" w:val="clear"/>
          </w:tcPr>
          <w:p>
            <w:r>
              <w:rPr>
                <w:sz w:val="17"/>
              </w:rPr>
              <w:t>10,182</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9,186</w:t>
            </w:r>
          </w:p>
        </w:tc>
        <w:tc>
          <w:tcPr>
            <w:tcW w:type="dxa" w:w="1440"/>
            <w:shd w:fill="FAFAFA" w:val="clear"/>
          </w:tcPr>
          <w:p>
            <w:r>
              <w:rPr>
                <w:b/>
                <w:sz w:val="17"/>
              </w:rPr>
              <w:t>9,734</w:t>
            </w:r>
          </w:p>
        </w:tc>
        <w:tc>
          <w:tcPr>
            <w:tcW w:type="dxa" w:w="1440"/>
            <w:shd w:fill="FAFAFA" w:val="clear"/>
          </w:tcPr>
          <w:p>
            <w:r>
              <w:rPr>
                <w:sz w:val="17"/>
              </w:rPr>
              <w:t>10,282</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9,145</w:t>
            </w:r>
          </w:p>
        </w:tc>
        <w:tc>
          <w:tcPr>
            <w:tcW w:type="dxa" w:w="1440"/>
            <w:shd w:fill="FAFAFA" w:val="clear"/>
          </w:tcPr>
          <w:p>
            <w:r>
              <w:rPr>
                <w:b/>
                <w:sz w:val="17"/>
              </w:rPr>
              <w:t>9,760</w:t>
            </w:r>
          </w:p>
        </w:tc>
        <w:tc>
          <w:tcPr>
            <w:tcW w:type="dxa" w:w="1440"/>
            <w:shd w:fill="FAFAFA" w:val="clear"/>
          </w:tcPr>
          <w:p>
            <w:r>
              <w:rPr>
                <w:sz w:val="17"/>
              </w:rPr>
              <w:t>10,374</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9,110</w:t>
            </w:r>
          </w:p>
        </w:tc>
        <w:tc>
          <w:tcPr>
            <w:tcW w:type="dxa" w:w="1440"/>
            <w:shd w:fill="FAFAFA" w:val="clear"/>
          </w:tcPr>
          <w:p>
            <w:r>
              <w:rPr>
                <w:b/>
                <w:sz w:val="17"/>
              </w:rPr>
              <w:t>9,785</w:t>
            </w:r>
          </w:p>
        </w:tc>
        <w:tc>
          <w:tcPr>
            <w:tcW w:type="dxa" w:w="1440"/>
            <w:shd w:fill="FAFAFA" w:val="clear"/>
          </w:tcPr>
          <w:p>
            <w:r>
              <w:rPr>
                <w:sz w:val="17"/>
              </w:rPr>
              <w:t>10,460</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9,079</w:t>
            </w:r>
          </w:p>
        </w:tc>
        <w:tc>
          <w:tcPr>
            <w:tcW w:type="dxa" w:w="1440"/>
            <w:shd w:fill="FAFAFA" w:val="clear"/>
          </w:tcPr>
          <w:p>
            <w:r>
              <w:rPr>
                <w:b/>
                <w:sz w:val="17"/>
              </w:rPr>
              <w:t>9,810</w:t>
            </w:r>
          </w:p>
        </w:tc>
        <w:tc>
          <w:tcPr>
            <w:tcW w:type="dxa" w:w="1440"/>
            <w:shd w:fill="FAFAFA" w:val="clear"/>
          </w:tcPr>
          <w:p>
            <w:r>
              <w:rPr>
                <w:sz w:val="17"/>
              </w:rPr>
              <w:t>10,541</w:t>
            </w:r>
          </w:p>
        </w:tc>
        <w:tc>
          <w:tcPr>
            <w:tcW w:type="dxa" w:w="1440"/>
            <w:shd w:fill="FAFAFA" w:val="clear"/>
          </w:tcPr>
          <w:p>
            <w:r>
              <w:rPr>
                <w:b/>
                <w:color w:val="008000"/>
                <w:sz w:val="17"/>
              </w:rPr>
              <w:t>+1.9%</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9,052</w:t>
            </w:r>
          </w:p>
        </w:tc>
        <w:tc>
          <w:tcPr>
            <w:tcW w:type="dxa" w:w="1440"/>
            <w:shd w:fill="C6EFCE" w:val="clear"/>
          </w:tcPr>
          <w:p>
            <w:r>
              <w:rPr>
                <w:b/>
                <w:sz w:val="17"/>
              </w:rPr>
              <w:t>9,835</w:t>
            </w:r>
          </w:p>
        </w:tc>
        <w:tc>
          <w:tcPr>
            <w:tcW w:type="dxa" w:w="1440"/>
            <w:shd w:fill="C6EFCE" w:val="clear"/>
          </w:tcPr>
          <w:p>
            <w:r>
              <w:rPr>
                <w:sz w:val="17"/>
              </w:rPr>
              <w:t>10,619</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9,027</w:t>
            </w:r>
          </w:p>
        </w:tc>
        <w:tc>
          <w:tcPr>
            <w:tcW w:type="dxa" w:w="1440"/>
            <w:shd w:fill="C6EFCE" w:val="clear"/>
          </w:tcPr>
          <w:p>
            <w:r>
              <w:rPr>
                <w:b/>
                <w:sz w:val="17"/>
              </w:rPr>
              <w:t>9,860</w:t>
            </w:r>
          </w:p>
        </w:tc>
        <w:tc>
          <w:tcPr>
            <w:tcW w:type="dxa" w:w="1440"/>
            <w:shd w:fill="C6EFCE" w:val="clear"/>
          </w:tcPr>
          <w:p>
            <w:r>
              <w:rPr>
                <w:sz w:val="17"/>
              </w:rPr>
              <w:t>10,693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9,005</w:t>
            </w:r>
          </w:p>
        </w:tc>
        <w:tc>
          <w:tcPr>
            <w:tcW w:type="dxa" w:w="1440"/>
            <w:shd w:fill="C6EFCE" w:val="clear"/>
          </w:tcPr>
          <w:p>
            <w:r>
              <w:rPr>
                <w:b/>
                <w:sz w:val="17"/>
              </w:rPr>
              <w:t>9,885</w:t>
            </w:r>
          </w:p>
        </w:tc>
        <w:tc>
          <w:tcPr>
            <w:tcW w:type="dxa" w:w="1440"/>
            <w:shd w:fill="C6EFCE" w:val="clear"/>
          </w:tcPr>
          <w:p>
            <w:r>
              <w:rPr>
                <w:sz w:val="17"/>
              </w:rPr>
              <w:t>10,765</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148,87 milliards FCFA, ce qui positionne le titre parmi les valeurs moyennes de la cote de la BRVM, avec un poids significatif dans le secteur agro-industriel. Le BPA de 1 003 FCFA indique que chaque action génère un bénéfice substantiel, justifiant un PER de 9,6x, légèrement inférieur à la moyenne historique du marché (8-12x), ce qui suggère une sous-évaluation relative du titre par rapport à ses pairs. Le P/B de 1,04x est particulièrement intéressant : le marché valorise l'action quasiment à hauteur de sa valeur comptable, ce qui est rare pour une entreprise de cette qualité et offre une marge de sécurité appréciable. Enfin, l'EV/EBITDA de 4,7x, nettement sous le seuil de 5x, confirme que la valeur totale de l'entreprise (dette incluse) reste très bon marché par rapport à sa capacité opérationnelle à générer des bénéfices avant intérêts, impôts et amortissements. L'ensemble de ces ratios plaide en faveur d'une valorisation attrayante.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 enregistré une progression remarquable de +17,44%, avec une variation quasi nulle de -0,10% lors de la dernière séance, suggérant une consolidation après une forte hausse. Le cours a évolué dans une fourchette de 7 000 FCFA (plus bas) à 9 640 FCFA (plus haut), démontrant une dynamique haussière soutenue. La moyenne du cours sur la période est de 8 436 FCFA, tandis que la médiane s'établit à 8 638 FCFA ; cet écart, avec une moyenne inférieure à la médiane, indique une distribution légèrement asymétrique à gauche, confirmée par un skewness de -0,152, signifiant que les fortes baisses ont été plus fréquentes mais moins amples que les hausses. L'écart-type de 536 FCFA, avec un coefficient de variation de 6,4%, révèle une dispersion modérée des prix autour de la moyenne. Le kurtosis de -0,431 (mésokurtique) indique une distribution proche de la normale, sans risque de pics extrêmes. La volatilité annualisée de 37,2% classe le titre dans la catégorie des valeurs à forte volatilité, ce qui implique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**Moyennes Mobiles :** La MM20 à 9 078,75 FCFA et la MM50 à 8 867,2 FCFA sont toutes deux largement dépassées par le cours actuel de 9 630 FCFA, confirmant une tendance haussière robuste. L'écart positif entre le cours et les deux moyennes, ainsi que la configuration où la MM20 est au-dessus de la MM50, valident la dynamique positive. La décision d'achat est justifiée par cette structure de prix, typique d'un marché en forte tendance.</w:t>
      </w:r>
    </w:p>
    <w:p>
      <w:pPr>
        <w:spacing w:after="120" w:line="276" w:lineRule="auto"/>
      </w:pPr>
      <w:r>
        <w:t>**Bandes de Bollinger :** Le cours à 9 630 FCFA se situe très près de la borne supérieure (9 682,84 FCFA), indiquant une pression acheteuse intense et une volatilité élevée. La largeur des bandes (de 8 474,66 à 9 682,84 FCFA) reflète une volatilité accrue. La décision "Neutre" s'explique par le fait que le prix n'a pas encore franchi la borne, mais sa proximité suggère un risque de retournement ou une poursuite de la tendance, selon la force du mouvement.</w:t>
      </w:r>
    </w:p>
    <w:p>
      <w:pPr>
        <w:spacing w:after="120" w:line="276" w:lineRule="auto"/>
      </w:pPr>
      <w:r>
        <w:t>**MACD :** Le MACD (216,553) est nettement supérieur à sa ligne de signal (155,3), avec un écart positif croissant, ce qui confirme un momentum haussier puissant. La décision d'achat est justifiée par cette divergence positive, qui indique que la dynamique de hausse s'accélère, soutenant la poursuite de la tendance.</w:t>
      </w:r>
    </w:p>
    <w:p>
      <w:pPr>
        <w:spacing w:after="120" w:line="276" w:lineRule="auto"/>
      </w:pPr>
      <w:r>
        <w:t>**RSI :** Le RSI à 77,876 est en zone de surachat (au-dessus de 70), signalant que le titre est techniquement surévalué à court terme. La décision de vente est justifiée par ce niveau extrême, qui suggère une probabilité accrue de correction ou de consolidation, les acheteurs ayant potentiellement épuisé leur force.</w:t>
      </w:r>
    </w:p>
    <w:p>
      <w:pPr>
        <w:spacing w:after="120" w:line="276" w:lineRule="auto"/>
      </w:pPr>
      <w:r>
        <w:t>**Stochastique :** Le %K (98,485) et le %D (99,495) sont tous deux à des niveaux extrêmement élevés, proches de 100, confirmant une condition de surachat sévère. La décision de vente est justifiée par ce croisement dans la zone de surachat, indiquant que le titre est survendu et qu'un repli technique est probable à court terme.</w:t>
      </w:r>
    </w:p>
    <w:p>
      <w:pPr>
        <w:spacing w:after="120" w:line="276" w:lineRule="auto"/>
      </w:pPr>
      <w:r>
        <w:t>**Conclusion technique :** La convergence des indicateurs de tendance (MM, MACD) vers l'achat contraste fortement avec les oscillateurs (RSI, Stochastique) qui hurlent au surachat. Cette divergence signale que la tendance de fond reste haussière, mais qu'un repli technique est imminent pour purger les conditions de surachat. Les bandes de Bollinger, neutres, confirment cette lecture. L'investisseur devrait donc attendre une correction pour renforcer ses positions.</w:t>
      </w:r>
    </w:p>
    <w:p>
      <w:pPr>
        <w:spacing w:after="120" w:line="276" w:lineRule="auto" w:before="240"/>
      </w:pPr>
      <w:r>
        <w:rPr>
          <w:b/>
          <w:color w:val="003366"/>
          <w:sz w:val="24"/>
        </w:rPr>
        <w:t>**PARTIE 3 : ANALYSE FONDAMENTALE (SECTION CRITIQUE)**</w:t>
      </w:r>
    </w:p>
    <w:p>
      <w:pPr>
        <w:spacing w:after="120" w:line="276" w:lineRule="auto"/>
      </w:pPr>
      <w:r>
        <w:t>En 2025, PALC affiche des états financiers solides avec un chiffre d'affaires de 197,630 milliards FCFA, en croissance de +14,78% par rapport à 2024, et un résultat net de 15,509 milliards FCFA. La marge nette s'établit à 7,85%, tandis que le ROE atteint 10,87% et le ROA 7,79%, des niveaux corrects mais en deçà des standards de l'excellence. La structure financière est saine avec une autonomie financière de 71,64% et une dette financière très faible (796,56 millions FCFA), ce qui confère une grande solidité. Le BFR de 44,623 milliards FCFA est positif, indiquant un besoin de financement, mais le délai clients de 142,58 jours est élevé et constitue un point de vigilance pour la trésorerie. Les rapports trimestriels 2025 montrent une performance exceptionnelle au T1 (CA de 67,5 milliards FCFA, +32%, résultat net de 11,6 milliards FCFA, +65%) et au S1 (CA de 134,8 milliards FCFA, +25%, résultat net de 22,9 milliards FCFA, +37%), mais le T3 2025 (cumul 9 mois : CA de 168,9 milliards FCFA, +18%, résultat net de 18,0 milliards FCFA, +11%) révèle un ralentissement de la rentabilité. Le rapport annuel 2025 confirme cette tendance avec un résultat net de 15,5 milliards FCFA, en baisse de -2,2% par rapport à 2024, malgré la croissance du CA. Le rapport T1 2026 (publié en 2026) est alarmant : CA en baisse de -27% à 49,4 milliards FCFA et résultat net en chute de -86% à 1,6 milliard FCFA, bien que la direction évoque un décalage temporel des ventes. La recommandation fondamentale est de conserver le titre, la solidité financière compensant les risques opérationnels liés à la volatilité des prix de l'huile de palme.</w:t>
      </w:r>
    </w:p>
    <w:p>
      <w:pPr>
        <w:spacing w:after="120" w:line="276" w:lineRule="auto" w:before="240"/>
      </w:pPr>
      <w:r>
        <w:rPr>
          <w:b/>
          <w:color w:val="003366"/>
          <w:sz w:val="24"/>
        </w:rPr>
        <w:t>**PARTIE 4 : CONCLUSION D'INVESTISSEMENT**</w:t>
      </w:r>
    </w:p>
    <w:p>
      <w:pPr>
        <w:spacing w:after="120" w:line="276" w:lineRule="auto"/>
      </w:pPr>
      <w:r>
        <w:t>La valorisation de PALC est indéniablement attractive, avec un PER de 9,6x, un P/B de 1,04x et un EV/EBITDA de 4,7x, tous inférieurs aux références du marché, indiquant une sous-évaluation. Le comportement du cours sur 100 jours est haussier (+17,44%), mais la volatilité élevée (37,2%) et les statistiques (kurtosis mésokurtique, skewness légèrement négatif) appellent à la prudence. Les signaux techniques sont mitigés : les indicateurs de tendance (MM, MACD) sont positifs, mais les oscillateurs (RSI, Stochastique) sont en surachat extrême, suggérant un repli imminent. Les fondamentaux sont solides, avec une croissance du CA et une structure financière saine, mais la rentabilité est sous pression, comme le montre la baisse du résultat net en 2025 et le T1 2026 décevant. Les prédictions IA (9 659 à 9 760 FCFA sur 10 jours) confirment une poursuite modérée de la hausse, mais contredisent les signaux de surachat technique. En synthèse, la convergence entre la sous-évaluation, la tendance haussière et les fondamentaux solides est contrebalancée par les signaux techniques de surachat et les incertitudes opérationnelles. La recommandation finale est **CONSERVER**, avec un niveau de confiance **Moyen** et un risque global **Élevé**. L'horizon d'investissement optimal est le **moyen terme (3-12 mois)**, en attendant une correction technique pour renforcer les positions ou une confirmation de la reprise de la rentabilité.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 titres</w:t>
            </w:r>
          </w:p>
        </w:tc>
        <w:tc>
          <w:tcPr>
            <w:tcW w:type="dxa" w:w="2268"/>
            <w:shd w:fill="FFF2CC" w:val="clear"/>
          </w:tcPr>
          <w:p>
            <w:r>
              <w:rPr>
                <w:b/>
                <w:color w:val="503200"/>
                <w:sz w:val="16"/>
              </w:rPr>
              <w:t xml:space="preserve">Cours actuel : </w:t>
            </w:r>
            <w:r>
              <w:rPr>
                <w:color w:val="000000"/>
                <w:sz w:val="17"/>
              </w:rPr>
              <w:t>4,470 FCFA</w:t>
            </w:r>
          </w:p>
          <w:p>
            <w:r>
              <w:rPr>
                <w:b/>
                <w:color w:val="503200"/>
                <w:sz w:val="16"/>
              </w:rPr>
              <w:t xml:space="preserve">Var. 100 jours : </w:t>
            </w:r>
            <w:r>
              <w:rPr>
                <w:b/>
                <w:color w:val="B40000"/>
                <w:sz w:val="17"/>
              </w:rPr>
              <w:t>-8.59%</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7.99% (Moyenne) — μ=4,460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β=-0.3166 (Contre-cyclique) — Cov=-0.000010, Var(idx)=0.000033, ρ=-0.071,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4,314</w:t>
            </w:r>
          </w:p>
        </w:tc>
        <w:tc>
          <w:tcPr>
            <w:tcW w:type="dxa" w:w="1440"/>
            <w:shd w:fill="FAFAFA" w:val="clear"/>
          </w:tcPr>
          <w:p>
            <w:r>
              <w:rPr>
                <w:b/>
                <w:sz w:val="17"/>
              </w:rPr>
              <w:t>4,426</w:t>
            </w:r>
          </w:p>
        </w:tc>
        <w:tc>
          <w:tcPr>
            <w:tcW w:type="dxa" w:w="1440"/>
            <w:shd w:fill="FAFAFA" w:val="clear"/>
          </w:tcPr>
          <w:p>
            <w:r>
              <w:rPr>
                <w:sz w:val="17"/>
              </w:rPr>
              <w:t>4,537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4,252</w:t>
            </w:r>
          </w:p>
        </w:tc>
        <w:tc>
          <w:tcPr>
            <w:tcW w:type="dxa" w:w="1440"/>
            <w:shd w:fill="FAFAFA" w:val="clear"/>
          </w:tcPr>
          <w:p>
            <w:r>
              <w:rPr>
                <w:b/>
                <w:sz w:val="17"/>
              </w:rPr>
              <w:t>4,409</w:t>
            </w:r>
          </w:p>
        </w:tc>
        <w:tc>
          <w:tcPr>
            <w:tcW w:type="dxa" w:w="1440"/>
            <w:shd w:fill="FAFAFA" w:val="clear"/>
          </w:tcPr>
          <w:p>
            <w:r>
              <w:rPr>
                <w:sz w:val="17"/>
              </w:rPr>
              <w:t>4,566</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4,195</w:t>
            </w:r>
          </w:p>
        </w:tc>
        <w:tc>
          <w:tcPr>
            <w:tcW w:type="dxa" w:w="1440"/>
            <w:shd w:fill="FAFAFA" w:val="clear"/>
          </w:tcPr>
          <w:p>
            <w:r>
              <w:rPr>
                <w:b/>
                <w:sz w:val="17"/>
              </w:rPr>
              <w:t>4,386</w:t>
            </w:r>
          </w:p>
        </w:tc>
        <w:tc>
          <w:tcPr>
            <w:tcW w:type="dxa" w:w="1440"/>
            <w:shd w:fill="FAFAFA" w:val="clear"/>
          </w:tcPr>
          <w:p>
            <w:r>
              <w:rPr>
                <w:sz w:val="17"/>
              </w:rPr>
              <w:t>4,578</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4,145</w:t>
            </w:r>
          </w:p>
        </w:tc>
        <w:tc>
          <w:tcPr>
            <w:tcW w:type="dxa" w:w="1440"/>
            <w:shd w:fill="FFDCE0" w:val="clear"/>
          </w:tcPr>
          <w:p>
            <w:r>
              <w:rPr>
                <w:b/>
                <w:sz w:val="17"/>
              </w:rPr>
              <w:t>4,365</w:t>
            </w:r>
          </w:p>
        </w:tc>
        <w:tc>
          <w:tcPr>
            <w:tcW w:type="dxa" w:w="1440"/>
            <w:shd w:fill="FFDCE0" w:val="clear"/>
          </w:tcPr>
          <w:p>
            <w:r>
              <w:rPr>
                <w:sz w:val="17"/>
              </w:rPr>
              <w:t>4,584</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4,099</w:t>
            </w:r>
          </w:p>
        </w:tc>
        <w:tc>
          <w:tcPr>
            <w:tcW w:type="dxa" w:w="1440"/>
            <w:shd w:fill="FFDCE0" w:val="clear"/>
          </w:tcPr>
          <w:p>
            <w:r>
              <w:rPr>
                <w:b/>
                <w:sz w:val="17"/>
              </w:rPr>
              <w:t>4,344</w:t>
            </w:r>
          </w:p>
        </w:tc>
        <w:tc>
          <w:tcPr>
            <w:tcW w:type="dxa" w:w="1440"/>
            <w:shd w:fill="FFDCE0" w:val="clear"/>
          </w:tcPr>
          <w:p>
            <w:r>
              <w:rPr>
                <w:sz w:val="17"/>
              </w:rPr>
              <w:t>4,588</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4,057</w:t>
            </w:r>
          </w:p>
        </w:tc>
        <w:tc>
          <w:tcPr>
            <w:tcW w:type="dxa" w:w="1440"/>
            <w:shd w:fill="FFDCE0" w:val="clear"/>
          </w:tcPr>
          <w:p>
            <w:r>
              <w:rPr>
                <w:b/>
                <w:sz w:val="17"/>
              </w:rPr>
              <w:t>4,323</w:t>
            </w:r>
          </w:p>
        </w:tc>
        <w:tc>
          <w:tcPr>
            <w:tcW w:type="dxa" w:w="1440"/>
            <w:shd w:fill="FFDCE0" w:val="clear"/>
          </w:tcPr>
          <w:p>
            <w:r>
              <w:rPr>
                <w:sz w:val="17"/>
              </w:rPr>
              <w:t>4,590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4,017</w:t>
            </w:r>
          </w:p>
        </w:tc>
        <w:tc>
          <w:tcPr>
            <w:tcW w:type="dxa" w:w="1440"/>
            <w:shd w:fill="FFDCE0" w:val="clear"/>
          </w:tcPr>
          <w:p>
            <w:r>
              <w:rPr>
                <w:b/>
                <w:sz w:val="17"/>
              </w:rPr>
              <w:t>4,303</w:t>
            </w:r>
          </w:p>
        </w:tc>
        <w:tc>
          <w:tcPr>
            <w:tcW w:type="dxa" w:w="1440"/>
            <w:shd w:fill="FFDCE0" w:val="clear"/>
          </w:tcPr>
          <w:p>
            <w:r>
              <w:rPr>
                <w:sz w:val="17"/>
              </w:rPr>
              <w:t>4,590</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3,979</w:t>
            </w:r>
          </w:p>
        </w:tc>
        <w:tc>
          <w:tcPr>
            <w:tcW w:type="dxa" w:w="1440"/>
            <w:shd w:fill="FFDCE0" w:val="clear"/>
          </w:tcPr>
          <w:p>
            <w:r>
              <w:rPr>
                <w:b/>
                <w:sz w:val="17"/>
              </w:rPr>
              <w:t>4,284</w:t>
            </w:r>
          </w:p>
        </w:tc>
        <w:tc>
          <w:tcPr>
            <w:tcW w:type="dxa" w:w="1440"/>
            <w:shd w:fill="FFDCE0" w:val="clear"/>
          </w:tcPr>
          <w:p>
            <w:r>
              <w:rPr>
                <w:sz w:val="17"/>
              </w:rPr>
              <w:t>4,589</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3,943</w:t>
            </w:r>
          </w:p>
        </w:tc>
        <w:tc>
          <w:tcPr>
            <w:tcW w:type="dxa" w:w="1440"/>
            <w:shd w:fill="FFDCE0" w:val="clear"/>
          </w:tcPr>
          <w:p>
            <w:r>
              <w:rPr>
                <w:b/>
                <w:sz w:val="17"/>
              </w:rPr>
              <w:t>4,265</w:t>
            </w:r>
          </w:p>
        </w:tc>
        <w:tc>
          <w:tcPr>
            <w:tcW w:type="dxa" w:w="1440"/>
            <w:shd w:fill="FFDCE0" w:val="clear"/>
          </w:tcPr>
          <w:p>
            <w:r>
              <w:rPr>
                <w:sz w:val="17"/>
              </w:rPr>
              <w:t>4,587</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3,908</w:t>
            </w:r>
          </w:p>
        </w:tc>
        <w:tc>
          <w:tcPr>
            <w:tcW w:type="dxa" w:w="1440"/>
            <w:shd w:fill="FFDCE0" w:val="clear"/>
          </w:tcPr>
          <w:p>
            <w:r>
              <w:rPr>
                <w:b/>
                <w:sz w:val="17"/>
              </w:rPr>
              <w:t>4,246</w:t>
            </w:r>
          </w:p>
        </w:tc>
        <w:tc>
          <w:tcPr>
            <w:tcW w:type="dxa" w:w="1440"/>
            <w:shd w:fill="FFDCE0" w:val="clear"/>
          </w:tcPr>
          <w:p>
            <w:r>
              <w:rPr>
                <w:sz w:val="17"/>
              </w:rPr>
              <w:t>4,584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PRSC s'établit à 45,77 milliards FCFA, ce qui la positionne comme une valeur de taille moyenne sur le marché de la BRVM, offrant une liquidité potentiellement limitée au regard du volume quotidien échangé (883 titres). Le BPA de 231 FCFA indique que chaque action génère un bénéfice modeste, justifiant un PER de 19,3x. Ce ratio est nettement supérieur à la moyenne historique de la BRVM (8-12x), signifiant que les investisseurs paient une prime substantielle pour la croissance anticipée, ce qui rend le titre exigeant en termes de performance future. Le P/B de 3,97x confirme cette prime, le marché valorisant le titre près de 4 fois sa valeur comptable, un niveau qui reflète des attentes élevées de rendement des capitaux propres. Enfin, l'EV/EBITDA de 9,9x, bien que dans la fourchette raisonnable (5-10x), indique que la valeur totale de l'entreprise (dette incluse) reste en ligne avec sa capacité opérationnelle, sans décote ni prime excessive sur ce plan.</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PRSC a enregistré une baisse de 8,59%, avec une dernière séance quasi stable (-0,11%), illustrant un essoufflement baissier. Le cours a évolué dans une fourchette large de 3 620 à 5 100 FCFA, montrant une forte amplitude de trading. La moyenne (4 460 FCFA) est inférieure à la médiane (4 495 FCFA), ce qui, combiné à un skewness négatif (-0,683), indique une distribution asymétrique avec des épisodes de fortes baisses plus fréquents que les fortes hausses, tirant la moyenne vers le bas. L'écart-type de 358 FCFA (CV de 8,0%) révèle une dispersion modérée des prix autour de la moyenne. Le kurtosis proche de zéro (0,090) suggère une distribution mésokurtique, sans risque de variations extrêmes particulier. La volatilité annualisée de 40,0% classe le titre comme très volatil, un niveau élevé qui implique un risque important pour les investisseurs à court terme, malgré une tendance générale baissière sur la période.</w:t>
      </w:r>
    </w:p>
    <w:p>
      <w:pPr>
        <w:spacing w:after="120" w:line="276" w:lineRule="auto" w:before="240"/>
      </w:pPr>
      <w:r>
        <w:rPr>
          <w:b/>
          <w:color w:val="003366"/>
          <w:sz w:val="24"/>
        </w:rPr>
        <w:t>**PARTIE 2 : ANALYSE TECHNIQUE DÉTAILLÉE**</w:t>
      </w:r>
    </w:p>
    <w:p>
      <w:pPr>
        <w:spacing w:after="120" w:line="276" w:lineRule="auto"/>
      </w:pPr>
      <w:r>
        <w:t>Les **Moyennes Mobiles** (MM20 à 4 472,5 FCFA et MM50 à 4 485,4 FCFA) sont toutes deux supérieures au cours actuel de 4 470 FCFA, indiquant une configuration baissière à court et moyen terme. Le croisement de ces moyennes suggère une dynamique négative, justifiant la décision de Vente.</w:t>
      </w:r>
    </w:p>
    <w:p>
      <w:pPr>
        <w:spacing w:after="120" w:line="276" w:lineRule="auto"/>
      </w:pPr>
      <w:r>
        <w:t>Les **Bandes de Bollinger** (bornes à 4 352,9 et 4 592,0 FCFA) montrent un cours positionné près de la moyenne de la bande, signalant une volatilité en contraction et une absence de direction claire. La décision Neutre est cohérente avec un marché en consolidation après une phase de baisse.</w:t>
      </w:r>
    </w:p>
    <w:p>
      <w:pPr>
        <w:spacing w:after="120" w:line="276" w:lineRule="auto"/>
      </w:pPr>
      <w:r>
        <w:t>Le **MACD** présente une valeur négative (-5,398) inférieure à son signal (-1,366), confirmant un momentum baissier. La divergence négative indique que la pression vendeuse persiste, justifiant la décision de Vente.</w:t>
      </w:r>
    </w:p>
    <w:p>
      <w:pPr>
        <w:spacing w:after="120" w:line="276" w:lineRule="auto"/>
      </w:pPr>
      <w:r>
        <w:t>Le **RSI** à 45,872 se situe en zone neutre (30-70), indiquant un équilibre entre acheteurs et vendeurs. Cette valeur suggère que le titre n'est ni suracheté ni survendu, laissant place à une possible poursuite de la tendance ou à un retournement, d'où la décision Neutre.</w:t>
      </w:r>
    </w:p>
    <w:p>
      <w:pPr>
        <w:spacing w:after="120" w:line="276" w:lineRule="auto"/>
      </w:pPr>
      <w:r>
        <w:t>Le **Stochastique** (%K à 73,684 et %D à 47,689) montre un %K nettement supérieur à %D, signalant un momentum haussier à très court terme. Cependant, le %K approche la zone de surachat, ce qui pourrait limiter la hausse. La décision Neutre reflète cette ambiguïté.</w:t>
      </w:r>
    </w:p>
    <w:p>
      <w:pPr>
        <w:spacing w:after="120" w:line="276" w:lineRule="auto"/>
      </w:pPr>
      <w:r>
        <w:t>En conclusion technique, les indicateurs sont partagés : les moyennes mobiles et le MACD penchent pour une tendance baissière, tandis que le RSI et le Stochastique suggèrent un potentiel de rebond technique. La prudence reste de mise, le titre semblant chercher un point d'équilibre après une phase de correction.</w:t>
      </w:r>
    </w:p>
    <w:p>
      <w:pPr>
        <w:spacing w:after="120" w:line="276" w:lineRule="auto" w:before="240"/>
      </w:pPr>
      <w:r>
        <w:rPr>
          <w:b/>
          <w:color w:val="003366"/>
          <w:sz w:val="24"/>
        </w:rPr>
        <w:t>**PARTIE 3 : ANALYSE FONDAMENTALE (SECTION CRITIQUE)**</w:t>
      </w:r>
    </w:p>
    <w:p>
      <w:pPr>
        <w:spacing w:after="120" w:line="276" w:lineRule="auto"/>
      </w:pPr>
      <w:r>
        <w:t>En 2025, PRSC affiche un chiffre d'affaires de 81,127 milliards FCFA, en hausse de 9,5% par rapport à 2024 (74,45 milliards FCFA), selon les données structurées officielles. Le résultat net s'établit à 2,367 milliards FCFA, stable par rapport aux 2,177 milliards de 2024, mais en légère baisse par rapport aux 2,35 milliards mentionnés dans le rapport annuel 2025. La marge nette reste faible à 2,92%, tandis que le ROE est excellent à 20,53%, démontrant une utilisation très efficace des capitaux propres (11,531 milliards FCFA). Le ROA de 4,95% est plus modeste, reflétant un total de bilan important (47,836 milliards FCFA). En tant qu'entreprise de distribution automobile, l'analyse du BFR est cruciale : le BFR de 11,267 milliards FCFA est positif, avec un délai de stockage de 150,5 jours (élevé, immobilisant du capital) et un délai clients de 46 jours, contre un délai fournisseurs de 102,6 jours, ce qui est favorable pour la trésorerie. Le rapport d'activité du S1 2025 (daté du 30/06/2025) montre une performance exceptionnelle avec un CA de 39,968 milliards FCFA (+15,1%) et un résultat net de 1,436 milliard FCFA (multiplié par 28), laissant présager une dynamique positive pour le second semestre, malgré les incertitudes politiques. La société a annoncé un dividende de 209 FCFA par action pour 2025 (source : convocation AG du 15/06/2026), offrant un rendement d'environ 4,7%, un signal positif pour les actionnaires. La solidité financière est confortée par une solvabilité générale de 131,76% et une capacité de remboursement de 1,83 an, mais la trésorerie nette est négative (-4,092 milliards FCFA), un point de vigilance.</w:t>
      </w:r>
    </w:p>
    <w:p>
      <w:pPr>
        <w:spacing w:after="120" w:line="276" w:lineRule="auto" w:before="240"/>
      </w:pPr>
      <w:r>
        <w:rPr>
          <w:b/>
          <w:color w:val="003366"/>
          <w:sz w:val="24"/>
        </w:rPr>
        <w:t>**PARTIE 4 : CONCLUSION D'INVESTISSEMENT**</w:t>
      </w:r>
    </w:p>
    <w:p>
      <w:pPr>
        <w:spacing w:after="120" w:line="276" w:lineRule="auto"/>
      </w:pPr>
      <w:r>
        <w:t>La valorisation de PRSC (PER de 19,3x, P/B de 3,97x) est exigeante, ne laissant que peu de marge de sécurité pour un titre dont le cours a baissé de 8,59% sur 100 jours, avec une volatilité élevée (40%) et des statistiques montrant une asymétrie négative. Les signaux techniques sont mitigés, avec une tendance baissière dominante (MM, MACD) mais des indicateurs de momentum neutres (RSI, Stochastique) suggérant un possible rééquilibrage. Les fondamentaux, bien que marqués par une marge nette faible (2,92%), sont soutenus par un ROE excellent (20,53%), une croissance du CA de 9,5% en 2025 et une performance semestrielle 2025 très solide. Les prédictions IA pour les 10 prochains jours (de 4 426 à 4 344 FCFA) confirment la tendance baissière à court terme, anticipant une poursuite de la baisse. En synthèse, la convergence entre la valorisation élevée, la tendance technique baissière et les prédictions IA négatives l'emporte sur la solidité fondamentale. Nous recommandons donc une position de **CONSERVER** pour les investisseurs actuels, avec un niveau de confiance **Moyen** et un risque global **Élevé**. L'horizon d'investissement optimal serait le **moyen terme (3-12 mois)**, en attendant une clarification de la tendance technique et une éventuelle amélioration de la valorisation.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7,434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B40000"/>
                <w:sz w:val="17"/>
              </w:rPr>
              <w:t>-6.63%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23.16% (Élevée) — μ=4,773 FCFA, σ=1,106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β=0.5274 (Défensif) — Cov=0.000017, Var(idx)=0.000033,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σ_j=5.34%/j (Instable) — Vol. annualisée≈84.7%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4,952</w:t>
            </w:r>
          </w:p>
        </w:tc>
        <w:tc>
          <w:tcPr>
            <w:tcW w:type="dxa" w:w="1440"/>
            <w:shd w:fill="FFDCE0" w:val="clear"/>
          </w:tcPr>
          <w:p>
            <w:r>
              <w:rPr>
                <w:b/>
                <w:sz w:val="17"/>
              </w:rPr>
              <w:t>5,272</w:t>
            </w:r>
          </w:p>
        </w:tc>
        <w:tc>
          <w:tcPr>
            <w:tcW w:type="dxa" w:w="1440"/>
            <w:shd w:fill="FFDCE0" w:val="clear"/>
          </w:tcPr>
          <w:p>
            <w:r>
              <w:rPr>
                <w:sz w:val="17"/>
              </w:rPr>
              <w:t>5,593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4,458</w:t>
            </w:r>
          </w:p>
        </w:tc>
        <w:tc>
          <w:tcPr>
            <w:tcW w:type="dxa" w:w="1440"/>
            <w:shd w:fill="FFDCE0" w:val="clear"/>
          </w:tcPr>
          <w:p>
            <w:r>
              <w:rPr>
                <w:b/>
                <w:sz w:val="17"/>
              </w:rPr>
              <w:t>4,877</w:t>
            </w:r>
          </w:p>
        </w:tc>
        <w:tc>
          <w:tcPr>
            <w:tcW w:type="dxa" w:w="1440"/>
            <w:shd w:fill="FFDCE0" w:val="clear"/>
          </w:tcPr>
          <w:p>
            <w:r>
              <w:rPr>
                <w:sz w:val="17"/>
              </w:rPr>
              <w:t>5,296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4,037</w:t>
            </w:r>
          </w:p>
        </w:tc>
        <w:tc>
          <w:tcPr>
            <w:tcW w:type="dxa" w:w="1440"/>
            <w:shd w:fill="FFDCE0" w:val="clear"/>
          </w:tcPr>
          <w:p>
            <w:r>
              <w:rPr>
                <w:b/>
                <w:sz w:val="17"/>
              </w:rPr>
              <w:t>4,511</w:t>
            </w:r>
          </w:p>
        </w:tc>
        <w:tc>
          <w:tcPr>
            <w:tcW w:type="dxa" w:w="1440"/>
            <w:shd w:fill="FFDCE0" w:val="clear"/>
          </w:tcPr>
          <w:p>
            <w:r>
              <w:rPr>
                <w:sz w:val="17"/>
              </w:rPr>
              <w:t>4,986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3,666</w:t>
            </w:r>
          </w:p>
        </w:tc>
        <w:tc>
          <w:tcPr>
            <w:tcW w:type="dxa" w:w="1440"/>
            <w:shd w:fill="FFDCE0" w:val="clear"/>
          </w:tcPr>
          <w:p>
            <w:r>
              <w:rPr>
                <w:b/>
                <w:sz w:val="17"/>
              </w:rPr>
              <w:t>4,173</w:t>
            </w:r>
          </w:p>
        </w:tc>
        <w:tc>
          <w:tcPr>
            <w:tcW w:type="dxa" w:w="1440"/>
            <w:shd w:fill="FFDCE0" w:val="clear"/>
          </w:tcPr>
          <w:p>
            <w:r>
              <w:rPr>
                <w:sz w:val="17"/>
              </w:rPr>
              <w:t>4,680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3,336</w:t>
            </w:r>
          </w:p>
        </w:tc>
        <w:tc>
          <w:tcPr>
            <w:tcW w:type="dxa" w:w="1440"/>
            <w:shd w:fill="FFDCE0" w:val="clear"/>
          </w:tcPr>
          <w:p>
            <w:r>
              <w:rPr>
                <w:b/>
                <w:sz w:val="17"/>
              </w:rPr>
              <w:t>3,860</w:t>
            </w:r>
          </w:p>
        </w:tc>
        <w:tc>
          <w:tcPr>
            <w:tcW w:type="dxa" w:w="1440"/>
            <w:shd w:fill="FFDCE0" w:val="clear"/>
          </w:tcPr>
          <w:p>
            <w:r>
              <w:rPr>
                <w:sz w:val="17"/>
              </w:rPr>
              <w:t>4,384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3,040</w:t>
            </w:r>
          </w:p>
        </w:tc>
        <w:tc>
          <w:tcPr>
            <w:tcW w:type="dxa" w:w="1440"/>
            <w:shd w:fill="FFDCE0" w:val="clear"/>
          </w:tcPr>
          <w:p>
            <w:r>
              <w:rPr>
                <w:b/>
                <w:sz w:val="17"/>
              </w:rPr>
              <w:t>3,570</w:t>
            </w:r>
          </w:p>
        </w:tc>
        <w:tc>
          <w:tcPr>
            <w:tcW w:type="dxa" w:w="1440"/>
            <w:shd w:fill="FFDCE0" w:val="clear"/>
          </w:tcPr>
          <w:p>
            <w:r>
              <w:rPr>
                <w:sz w:val="17"/>
              </w:rPr>
              <w:t>4,101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2,772</w:t>
            </w:r>
          </w:p>
        </w:tc>
        <w:tc>
          <w:tcPr>
            <w:tcW w:type="dxa" w:w="1440"/>
            <w:shd w:fill="FFDCE0" w:val="clear"/>
          </w:tcPr>
          <w:p>
            <w:r>
              <w:rPr>
                <w:b/>
                <w:sz w:val="17"/>
              </w:rPr>
              <w:t>3,303</w:t>
            </w:r>
          </w:p>
        </w:tc>
        <w:tc>
          <w:tcPr>
            <w:tcW w:type="dxa" w:w="1440"/>
            <w:shd w:fill="FFDCE0" w:val="clear"/>
          </w:tcPr>
          <w:p>
            <w:r>
              <w:rPr>
                <w:sz w:val="17"/>
              </w:rPr>
              <w:t>3,833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2,530</w:t>
            </w:r>
          </w:p>
        </w:tc>
        <w:tc>
          <w:tcPr>
            <w:tcW w:type="dxa" w:w="1440"/>
            <w:shd w:fill="FFDCE0" w:val="clear"/>
          </w:tcPr>
          <w:p>
            <w:r>
              <w:rPr>
                <w:b/>
                <w:sz w:val="17"/>
              </w:rPr>
              <w:t>3,055</w:t>
            </w:r>
          </w:p>
        </w:tc>
        <w:tc>
          <w:tcPr>
            <w:tcW w:type="dxa" w:w="1440"/>
            <w:shd w:fill="FFDCE0" w:val="clear"/>
          </w:tcPr>
          <w:p>
            <w:r>
              <w:rPr>
                <w:sz w:val="17"/>
              </w:rPr>
              <w:t>3,580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2,311</w:t>
            </w:r>
          </w:p>
        </w:tc>
        <w:tc>
          <w:tcPr>
            <w:tcW w:type="dxa" w:w="1440"/>
            <w:shd w:fill="FFDCE0" w:val="clear"/>
          </w:tcPr>
          <w:p>
            <w:r>
              <w:rPr>
                <w:b/>
                <w:sz w:val="17"/>
              </w:rPr>
              <w:t>2,826</w:t>
            </w:r>
          </w:p>
        </w:tc>
        <w:tc>
          <w:tcPr>
            <w:tcW w:type="dxa" w:w="1440"/>
            <w:shd w:fill="FFDCE0" w:val="clear"/>
          </w:tcPr>
          <w:p>
            <w:r>
              <w:rPr>
                <w:sz w:val="17"/>
              </w:rPr>
              <w:t>3,340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2,112</w:t>
            </w:r>
          </w:p>
        </w:tc>
        <w:tc>
          <w:tcPr>
            <w:tcW w:type="dxa" w:w="1440"/>
            <w:shd w:fill="FFDCE0" w:val="clear"/>
          </w:tcPr>
          <w:p>
            <w:r>
              <w:rPr>
                <w:b/>
                <w:sz w:val="17"/>
              </w:rPr>
              <w:t>2,614</w:t>
            </w:r>
          </w:p>
        </w:tc>
        <w:tc>
          <w:tcPr>
            <w:tcW w:type="dxa" w:w="1440"/>
            <w:shd w:fill="FFDCE0" w:val="clear"/>
          </w:tcPr>
          <w:p>
            <w:r>
              <w:rPr>
                <w:sz w:val="17"/>
              </w:rPr>
              <w:t>3,116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24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46,28 milliards FCFA, un niveau significatif qui la positionne comme une valeur de taille moyenne sur le marché BRVM. Le BPA de 86 FCFA par action indique que chaque titre génère un bénéfice modeste, ce qui explique le PER de 66,0x, extrêmement élevé par rapport à la moyenne du marché BRVM (8-12x). Les investisseurs paient donc une prime très substantielle pour les bénéfices actuels, anticipant une forte croissance future. Le P/B de 7,82x confirme cette valorisation exigeante, le marché valorisant le titre près de 8 fois sa valeur comptable, signe d'une forte prime. Enfin, l'EV/EBITDA de 81,0x est également très élevé, indiquant que la valeur totale de l'entreprise est très supérieure à sa capacité opérationnelle actuelle. Ces ratios suggèrent une valorisation très optimiste qui repose entièrement sur la poursuite du redressement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enregistré une variation totale de -6,63%, avec une dernière séance stable à 5 700 FCFA. Le titre a évolué dans une fourchette très large, entre un plus bas de 3 340 FCFA et un plus haut de 7 555 FCFA, illustrant une volatilité extrême. La moyenne du cours sur la période est de 4 773 FCFA, tandis que la médiane est de 4 505 FCFA, l'écart entre les deux indiquant une distribution asymétrique. Le mode de 3 700 FCFA montre que le cours a fréquemment évolué à des niveaux plus bas. L'écart-type de 1 111 FCFA (CV=23,3%) confirme une dispersion importante. Le kurtosis de 0,084 (mésokurtique) indique un risque de pics limité, mais le skewness positif de 0,979 révèle une asymétrie positive avec plus de journées sous la moyenne. La volatilité annualisée de 84,7% est extrêmement élevée, classant le titre comme très risqué.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5 700 FCFA est nettement au-dessus de la MM20 (5 266 FCFA) et de la MM50 (4 737,8 FCFA), indiquant une tendance haussière de court et moyen terme. La configuration des moyennes mobiles, avec le cours au-dessus des deux, génère un signal d'achat cohérent avec la dynamique positive du titre.</w:t>
      </w:r>
    </w:p>
    <w:p>
      <w:pPr>
        <w:spacing w:after="120" w:line="276" w:lineRule="auto"/>
      </w:pPr>
      <w:r>
        <w:t>**Bandes de Bollinger** : Le cours se situe à 5 700 FCFA, en dessous de la borne supérieure (5 980,7 FCFA) mais au-dessus de la borne inférieure (4 551,3 FCFA). La position du prix dans la partie haute des bandes suggère une pression acheteuse modérée, mais la décision est neutre car le cours n'a pas encore atteint les extrêmes, indiquant une volatilité contenue.</w:t>
      </w:r>
    </w:p>
    <w:p>
      <w:pPr>
        <w:spacing w:after="120" w:line="276" w:lineRule="auto"/>
      </w:pPr>
      <w:r>
        <w:t>**MACD** : La valeur du MACD (302,97) est supérieure à son signal (269,48), confirmant un momentum haussier positif. La divergence positive entre le MACD et son signal renforce le signal d'achat, indiquant que la dynamique de court terme reste favorable malgré la récente consolidation.</w:t>
      </w:r>
    </w:p>
    <w:p>
      <w:pPr>
        <w:spacing w:after="120" w:line="276" w:lineRule="auto"/>
      </w:pPr>
      <w:r>
        <w:t>**RSI** : Le RSI s'établit à 62,02, en zone neutre (entre 30 et 70). Cette valeur indique que le titre n'est ni suracheté ni survendu, laissant une marge de progression avant d'atteindre des niveaux extrêmes. La décision est neutre, le RSI ne fournissant pas de signal directionnel fort.</w:t>
      </w:r>
    </w:p>
    <w:p>
      <w:pPr>
        <w:spacing w:after="120" w:line="276" w:lineRule="auto"/>
      </w:pPr>
      <w:r>
        <w:t>**Stochastique** : Le %K et le %D sont tous deux à 86,41, en zone de surachat. Cette configuration suggère que le titre a fortement progressé récemment et pourrait être sujet à un repli technique. La décision de vente est cohérente avec cette lecture, signalant une possible correction à court terme.</w:t>
      </w:r>
    </w:p>
    <w:p>
      <w:pPr>
        <w:spacing w:after="120" w:line="276" w:lineRule="auto"/>
      </w:pPr>
      <w:r>
        <w:t>**Conclusion technique** : Les indicateurs sont mitigés. Les moyennes mobiles et le MACD sont positifs, mais le stochastique en surachat et le RSI neutre suggèrent une prudence. La tendance de fond reste haussière, mais un repli technique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en hausse de 44% par rapport à 2024, et un résultat net positif de 701 millions FCFA, après huit années de pertes consécutives. La marge nette s'établit à 12,2%, le ROE à 11,85% et le ROA à 0,88%. Le coefficient d'exploitation de 77,6% reste élevé, indiquant une efficacité opérationnelle perfectible. Le coût du risque de 6,57% demeure significatif, reflétant la qualité encore fragile du portefeuille de crédits. La structure financière montre une dépendance élevée aux dettes interbancaires (35,7 milliards FCFA) et des capitaux propres modestes (5,9 milliards FCFA), avec un ratio d'autonomie financière faible à 7,4%. Sur la base du rapport T1 2026 (PNB de 1,395 milliards FCFA, +29%, et résultat net de 151 millions FCFA, +1062%), on estime que l'exercice 2026 devrait confirmer la dynamique de redressement, avec un PNB annuel potentiel de 5,6 à 6 milliards FCFA et un résultat net de 600 à 700 millions FCFA. L'entrée de CREDAF Group en avril 2025 a transformé la gouvernance et impulsé cette nouvelle dynamique. Les risques principaux restent la dépendance au financement interbancaire et la nécessité de renforcer les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avec un PER de 66x et un P/B de 7,82x, indiquant une forte surévaluation par rapport aux bénéfices et à la valeur comptable actuels. Le comportement du cours montre une volatilité très élevée (84,7% annualisée) avec une tendance récente baissière (-6,63% sur 100 jours), mais les statistiques révèlent une asymétrie positive. Les signaux techniques sont mitigés : les moyennes mobiles et le MACD sont positifs, mais le stochastique en surachat suggère une correction possible. Les fondamentaux montrent un redressement spectaculaire en 2025 et une dynamique positive au T1 2026, mais la structure financière reste fragile. Les prédictions IA indiquent une trajectoire baissière sur les 10 prochains jours (de 5 272 à 3 860 FCFA), contredisant les signaux techniques positifs. **Recommandation finale : VENTE**. La convergence entre la valorisation excessive, la volatilité extrême, les signaux techniques mitigés et les prédictions IA baissières justifie cette position. Niveau de confiance : Moyen. Risque global : Élevé. Horizon d'investissement : court terme (&lt;3 mois), avec une surveillance étroite des prochains résultats trimestriels pour réévaluer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12,756 titres</w:t>
            </w:r>
          </w:p>
        </w:tc>
        <w:tc>
          <w:tcPr>
            <w:tcW w:type="dxa" w:w="2268"/>
            <w:shd w:fill="FFF2CC" w:val="clear"/>
          </w:tcPr>
          <w:p>
            <w:r>
              <w:rPr>
                <w:b/>
                <w:color w:val="503200"/>
                <w:sz w:val="16"/>
              </w:rPr>
              <w:t xml:space="preserve">Cours actuel : </w:t>
            </w:r>
            <w:r>
              <w:rPr>
                <w:color w:val="000000"/>
                <w:sz w:val="17"/>
              </w:rPr>
              <w:t>3,380 FCFA</w:t>
            </w:r>
          </w:p>
          <w:p>
            <w:r>
              <w:rPr>
                <w:b/>
                <w:color w:val="503200"/>
                <w:sz w:val="16"/>
              </w:rPr>
              <w:t xml:space="preserve">Var. 100 jours : </w:t>
            </w:r>
            <w:r>
              <w:rPr>
                <w:b/>
                <w:color w:val="007800"/>
                <w:sz w:val="17"/>
              </w:rPr>
              <w:t>+113.92%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1,550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23.98% (Élevée) — μ=2,856 FCFA, σ=685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β=0.6953 (Défensif) — Cov=0.000023, Var(idx)=0.000033, ρ=0.111,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2,970</w:t>
            </w:r>
          </w:p>
        </w:tc>
        <w:tc>
          <w:tcPr>
            <w:tcW w:type="dxa" w:w="1440"/>
            <w:shd w:fill="FFDCE0" w:val="clear"/>
          </w:tcPr>
          <w:p>
            <w:r>
              <w:rPr>
                <w:b/>
                <w:sz w:val="17"/>
              </w:rPr>
              <w:t>3,126</w:t>
            </w:r>
          </w:p>
        </w:tc>
        <w:tc>
          <w:tcPr>
            <w:tcW w:type="dxa" w:w="1440"/>
            <w:shd w:fill="FFDCE0" w:val="clear"/>
          </w:tcPr>
          <w:p>
            <w:r>
              <w:rPr>
                <w:sz w:val="17"/>
              </w:rPr>
              <w:t>3,283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2,688</w:t>
            </w:r>
          </w:p>
        </w:tc>
        <w:tc>
          <w:tcPr>
            <w:tcW w:type="dxa" w:w="1440"/>
            <w:shd w:fill="FFDCE0" w:val="clear"/>
          </w:tcPr>
          <w:p>
            <w:r>
              <w:rPr>
                <w:b/>
                <w:sz w:val="17"/>
              </w:rPr>
              <w:t>2,892</w:t>
            </w:r>
          </w:p>
        </w:tc>
        <w:tc>
          <w:tcPr>
            <w:tcW w:type="dxa" w:w="1440"/>
            <w:shd w:fill="FFDCE0" w:val="clear"/>
          </w:tcPr>
          <w:p>
            <w:r>
              <w:rPr>
                <w:sz w:val="17"/>
              </w:rPr>
              <w:t>3,096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2,444</w:t>
            </w:r>
          </w:p>
        </w:tc>
        <w:tc>
          <w:tcPr>
            <w:tcW w:type="dxa" w:w="1440"/>
            <w:shd w:fill="FFDCE0" w:val="clear"/>
          </w:tcPr>
          <w:p>
            <w:r>
              <w:rPr>
                <w:b/>
                <w:sz w:val="17"/>
              </w:rPr>
              <w:t>2,675</w:t>
            </w:r>
          </w:p>
        </w:tc>
        <w:tc>
          <w:tcPr>
            <w:tcW w:type="dxa" w:w="1440"/>
            <w:shd w:fill="FFDCE0" w:val="clear"/>
          </w:tcPr>
          <w:p>
            <w:r>
              <w:rPr>
                <w:sz w:val="17"/>
              </w:rPr>
              <w:t>2,906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2,227</w:t>
            </w:r>
          </w:p>
        </w:tc>
        <w:tc>
          <w:tcPr>
            <w:tcW w:type="dxa" w:w="1440"/>
            <w:shd w:fill="FFDCE0" w:val="clear"/>
          </w:tcPr>
          <w:p>
            <w:r>
              <w:rPr>
                <w:b/>
                <w:sz w:val="17"/>
              </w:rPr>
              <w:t>2,474</w:t>
            </w:r>
          </w:p>
        </w:tc>
        <w:tc>
          <w:tcPr>
            <w:tcW w:type="dxa" w:w="1440"/>
            <w:shd w:fill="FFDCE0" w:val="clear"/>
          </w:tcPr>
          <w:p>
            <w:r>
              <w:rPr>
                <w:sz w:val="17"/>
              </w:rPr>
              <w:t>2,722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2,033</w:t>
            </w:r>
          </w:p>
        </w:tc>
        <w:tc>
          <w:tcPr>
            <w:tcW w:type="dxa" w:w="1440"/>
            <w:shd w:fill="FFDCE0" w:val="clear"/>
          </w:tcPr>
          <w:p>
            <w:r>
              <w:rPr>
                <w:b/>
                <w:sz w:val="17"/>
              </w:rPr>
              <w:t>2,289</w:t>
            </w:r>
          </w:p>
        </w:tc>
        <w:tc>
          <w:tcPr>
            <w:tcW w:type="dxa" w:w="1440"/>
            <w:shd w:fill="FFDCE0" w:val="clear"/>
          </w:tcPr>
          <w:p>
            <w:r>
              <w:rPr>
                <w:sz w:val="17"/>
              </w:rPr>
              <w:t>2,544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1,858</w:t>
            </w:r>
          </w:p>
        </w:tc>
        <w:tc>
          <w:tcPr>
            <w:tcW w:type="dxa" w:w="1440"/>
            <w:shd w:fill="FFDCE0" w:val="clear"/>
          </w:tcPr>
          <w:p>
            <w:r>
              <w:rPr>
                <w:b/>
                <w:sz w:val="17"/>
              </w:rPr>
              <w:t>2,117</w:t>
            </w:r>
          </w:p>
        </w:tc>
        <w:tc>
          <w:tcPr>
            <w:tcW w:type="dxa" w:w="1440"/>
            <w:shd w:fill="FFDCE0" w:val="clear"/>
          </w:tcPr>
          <w:p>
            <w:r>
              <w:rPr>
                <w:sz w:val="17"/>
              </w:rPr>
              <w:t>2,376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1,700</w:t>
            </w:r>
          </w:p>
        </w:tc>
        <w:tc>
          <w:tcPr>
            <w:tcW w:type="dxa" w:w="1440"/>
            <w:shd w:fill="FFDCE0" w:val="clear"/>
          </w:tcPr>
          <w:p>
            <w:r>
              <w:rPr>
                <w:b/>
                <w:sz w:val="17"/>
              </w:rPr>
              <w:t>1,958</w:t>
            </w:r>
          </w:p>
        </w:tc>
        <w:tc>
          <w:tcPr>
            <w:tcW w:type="dxa" w:w="1440"/>
            <w:shd w:fill="FFDCE0" w:val="clear"/>
          </w:tcPr>
          <w:p>
            <w:r>
              <w:rPr>
                <w:sz w:val="17"/>
              </w:rPr>
              <w:t>2,217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1,556</w:t>
            </w:r>
          </w:p>
        </w:tc>
        <w:tc>
          <w:tcPr>
            <w:tcW w:type="dxa" w:w="1440"/>
            <w:shd w:fill="FFDCE0" w:val="clear"/>
          </w:tcPr>
          <w:p>
            <w:r>
              <w:rPr>
                <w:b/>
                <w:sz w:val="17"/>
              </w:rPr>
              <w:t>1,812</w:t>
            </w:r>
          </w:p>
        </w:tc>
        <w:tc>
          <w:tcPr>
            <w:tcW w:type="dxa" w:w="1440"/>
            <w:shd w:fill="FFDCE0" w:val="clear"/>
          </w:tcPr>
          <w:p>
            <w:r>
              <w:rPr>
                <w:sz w:val="17"/>
              </w:rPr>
              <w:t>2,067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1,425</w:t>
            </w:r>
          </w:p>
        </w:tc>
        <w:tc>
          <w:tcPr>
            <w:tcW w:type="dxa" w:w="1440"/>
            <w:shd w:fill="FFDCE0" w:val="clear"/>
          </w:tcPr>
          <w:p>
            <w:r>
              <w:rPr>
                <w:b/>
                <w:sz w:val="17"/>
              </w:rPr>
              <w:t>1,676</w:t>
            </w:r>
          </w:p>
        </w:tc>
        <w:tc>
          <w:tcPr>
            <w:tcW w:type="dxa" w:w="1440"/>
            <w:shd w:fill="FFDCE0" w:val="clear"/>
          </w:tcPr>
          <w:p>
            <w:r>
              <w:rPr>
                <w:sz w:val="17"/>
              </w:rPr>
              <w:t>1,927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1,305</w:t>
            </w:r>
          </w:p>
        </w:tc>
        <w:tc>
          <w:tcPr>
            <w:tcW w:type="dxa" w:w="1440"/>
            <w:shd w:fill="FFDCE0" w:val="clear"/>
          </w:tcPr>
          <w:p>
            <w:r>
              <w:rPr>
                <w:b/>
                <w:sz w:val="17"/>
              </w:rPr>
              <w:t>1,550</w:t>
            </w:r>
          </w:p>
        </w:tc>
        <w:tc>
          <w:tcPr>
            <w:tcW w:type="dxa" w:w="1440"/>
            <w:shd w:fill="FFDCE0" w:val="clear"/>
          </w:tcPr>
          <w:p>
            <w:r>
              <w:rPr>
                <w:sz w:val="17"/>
              </w:rPr>
              <w:t>1,795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66,25 milliards FCFA, un niveau relativement modeste dans l'écosystème BRVM, reflétant une société de taille moyenne. Le BPA est négatif à -406 FCFA, ce qui traduit une perte nette par action et rend le PER non significatif à -8,3x, signalant que la société est déficitaire sur l'exercice 2025. Le P/B de 3,84x indique que le marché valorise l'action à près de quatre fois sa valeur comptable, ce qui suggère que les investisseurs anticipent un retour à la rentabilité et accordent une prime de croissance, malgré des fondamentaux dégradés. Enfin, l'EV/EBITDA de 10,6x se situe dans la fourchette haute (10-15x), signifiant que la valeur d'entreprise est élevée par rapport à la capacité opérationnelle, ce qui pourrait refléter des attentes de redressement futur ou une surévaluation relative.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variation totale spectaculaire de +113,92%, avec une légère progression de +0,90% lors de la dernière séance, pour s'établir à 3 380 FCFA. Le titre a évolué dans une fourchette très large, oscillant entre un plus bas de 1 550 FCFA et un plus haut de 3 920 FCFA, illustrant une volatilité extrême et un intérêt marqué des investisseurs. La moyenne du cours sur la période est de 2 856 FCFA, inférieure à la médiane de 2 995 FCFA, ce qui indique une distribution légèrement asymétrique avec des épisodes de forte baisse. L'écart-type de 688 FCFA (CV=24,1%) confirme une dispersion élevée des prix, tandis que le kurtosis de -1,405 (distribution platykurtique) suggère une absence de pics extrêmes, et le skewness de -0,234 indique une asymétrie négative modérée. La volatilité annualisée de 57,1% est très élevée (&gt;30%), positionnant SCRC comme un titre spéculatif à risque majeur, malgré une tendance générale haussière soutenue.</w:t>
      </w:r>
    </w:p>
    <w:p>
      <w:pPr>
        <w:spacing w:after="120" w:line="276" w:lineRule="auto" w:before="240"/>
      </w:pPr>
      <w:r>
        <w:rPr>
          <w:b/>
          <w:color w:val="003366"/>
          <w:sz w:val="24"/>
        </w:rPr>
        <w:t>**PARTIE 2 : ANALYSE TECHNIQUE DÉTAILLÉE**</w:t>
      </w:r>
    </w:p>
    <w:p>
      <w:pPr>
        <w:spacing w:after="120" w:line="276" w:lineRule="auto"/>
      </w:pPr>
      <w:r>
        <w:t>**Moyennes Mobiles** : Le cours actuel de 3 380 FCFA est inférieur à la MM20 (3 597,5 FCFA) et à la MM50 (3 464,8 FCFA), ce qui indique une pression baissière à court et moyen terme. Cependant, la décision globale est "Achat", suggérant que la tendance de fond reste positive après la forte hausse récente, mais un croisement baissier pourrait se profiler si le cours continue de reculer sous ces moyennes.</w:t>
      </w:r>
    </w:p>
    <w:p>
      <w:pPr>
        <w:spacing w:after="120" w:line="276" w:lineRule="auto"/>
      </w:pPr>
      <w:r>
        <w:t>**Bandes de Bollinger** : Le prix se situe à 3 380 FCFA, proche de la borne inférieure (3 372,5 FCFA) et nettement sous la borne supérieure (3 822,5 FCFA). Cette position indique une volatilité élevée avec un repli récent vers le bas de l'enveloppe, signalant une possible zone de survente à court terme. La décision "Neutre" reflète l'absence de cassure claire, mais un rebond technique est envisageable si le support tient.</w:t>
      </w:r>
    </w:p>
    <w:p>
      <w:pPr>
        <w:spacing w:after="120" w:line="276" w:lineRule="auto"/>
      </w:pPr>
      <w:r>
        <w:t>**MACD** : La valeur du MACD est négative à -3,396, tandis que le signal est positif à 42,814, créant une divergence baissière marquée. Cela traduit un momentum négatif récent, avec une perte de vitesse de la tendance haussière. La décision "Vente" est justifiée par ce croisement baissier, indiquant que la pression vendeuse domine actuellement.</w:t>
      </w:r>
    </w:p>
    <w:p>
      <w:pPr>
        <w:spacing w:after="120" w:line="276" w:lineRule="auto"/>
      </w:pPr>
      <w:r>
        <w:t>**RSI** : Le RSI s'établit à 34,503, proche de la zone de survente (&lt;30), mais encore en territoire neutre (30-70). Cette valeur suggère que le titre est affaibli mais pas encore survendu, laissant place à une possible stabilisation ou à une poursuite de la baisse. La décision "Neutre" est cohérente avec cette lecture, invitant à la prudence.</w:t>
      </w:r>
    </w:p>
    <w:p>
      <w:pPr>
        <w:spacing w:after="120" w:line="276" w:lineRule="auto"/>
      </w:pPr>
      <w:r>
        <w:t>**Stochastique** : Le %K est à 8,571 et le %D à 2,857, tous deux en zone de survente profonde (&lt;20). Ce niveau extrême indique que le titre est fortement survendu à court terme, avec un croisement haussier potentiel en préparation. La décision "Achat" reflète cette opportunité de rebond technique, mais elle doit être confirmée par un retour du %K au-dessus du %D.</w:t>
      </w:r>
    </w:p>
    <w:p>
      <w:pPr>
        <w:spacing w:after="120" w:line="276" w:lineRule="auto"/>
      </w:pPr>
      <w:r>
        <w:t>**Conclusion technique** : Les indicateurs sont mitigés, avec un MACD vendeur et un RSI neutre, mais un stochastique en survente suggérant un rebond imminent. Les moyennes mobiles et les bandes de Bollinger indiquent une faiblesse à court terme, mais la tendance de fond reste haussière après la forte appréciation. Globalement, le titre est dans une phase de consolidation, avec un potentiel de rebond technique, mais la prudence est de mise en raison de la volatilité élevée.</w:t>
      </w:r>
    </w:p>
    <w:p>
      <w:pPr>
        <w:spacing w:after="120" w:line="276" w:lineRule="auto" w:before="240"/>
      </w:pPr>
      <w:r>
        <w:rPr>
          <w:b/>
          <w:color w:val="003366"/>
          <w:sz w:val="24"/>
        </w:rPr>
        <w:t>**PARTIE 3 : ANALYSE FONDAMENTALE (SECTION CRITIQUE)**</w:t>
      </w:r>
    </w:p>
    <w:p>
      <w:pPr>
        <w:spacing w:after="120" w:line="276" w:lineRule="auto"/>
      </w:pPr>
      <w:r>
        <w:t>En 2025, les données structurées de SCRC révèlent une situation financière très dégradée. Le chiffre d'affaires s'établit à 80,569 milliards FCFA, en baisse de 7,6% par rapport à 2024 (87,219 milliards FCFA), tandis que le résultat net est une perte massive de -7,954 milliards FCFA, contre un bénéfice de 2,474 milliards en 2024. La marge nette est négative à -9,87%, et le ROE s'effondre à -46,13%, tandis que le ROA est à -5,08%, indiquant une destruction de valeur significative. La structure financière est fragile avec un ratio d'endettement de 88,98% et une autonomie financière faible à 11,02%, tandis que le BFR est positif à 6,529 milliards, signalant des tensions de trésorerie, avec un délai fournisseurs très élevé à 366 jours et une durée de stockage de 360 jours. Les rapports narratifs de 2025 confirment cette dégradation, notamment l'explosion des charges financières à 6,79 milliards FCFA (+262%) et un endettement long terme qui a bondi à 64,5 milliards FCFA. Les rapports trimestriels de 2025 montrent une tendance contrastée : le T1 2025 affichait un bénéfice de 3,21 milliards FCFA, mais le S1 2025 a basculé en perte de -6,71 milliards FCFA, en raison de coûts exceptionnels et d'une baisse des volumes. Sur la base de ces éléments, on estime que l'exercice 2026 pourrait rester difficile, avec une pression continue sur la rentabilité opérationnelle et un besoin urgent de restructuration de la dette pour éviter une défaillance financière.</w:t>
      </w:r>
    </w:p>
    <w:p>
      <w:pPr>
        <w:spacing w:after="120" w:line="276" w:lineRule="auto" w:before="240"/>
      </w:pPr>
      <w:r>
        <w:rPr>
          <w:b/>
          <w:color w:val="003366"/>
          <w:sz w:val="24"/>
        </w:rPr>
        <w:t>**PARTIE 4 : CONCLUSION D'INVESTISSEMENT**</w:t>
      </w:r>
    </w:p>
    <w:p>
      <w:pPr>
        <w:spacing w:after="120" w:line="276" w:lineRule="auto"/>
      </w:pPr>
      <w:r>
        <w:t>La valorisation de SCRC est préoccupante, avec un PER négatif et un P/B élevé à 3,84x, indiquant une surévaluation relative malgré les pertes. Le comportement du cours montre une hausse spectaculaire de +113,92% sur 100 jours, mais avec une volatilité extrême (57,1%) et une distribution platykurtique, signalant un risque élevé de corrections brutales. Les signaux techniques sont divergents, avec un MACD vendeur et un stochastique en survente, suggérant un rebond possible mais fragile. Les fondamentaux sont très dégradés, avec une perte nette de 7,95 milliards FCFA en 2025, un endettement massif et une rentabilité négative, malgré des investissements importants. Les prédictions IA pour les 10 prochains jours indiquent une chute continue du cours, passant de 3 126 FCFA à 2 289 FCFA, confirmant la pression baissière. En synthèse, la convergence des signaux (fondamentaux faibles, technique baissier, prédictions négatives) justifie une recommandation de **VENTE FORTE**, avec un niveau de confiance **Élevé** et un risque global **Élevé**. L'horizon d'investissement optimal est le **court terme (&lt;3 mois)** pour les investisseurs cherchant à limiter les pertes, tandis qu'un retour à l'achat nécessiterait une amélioration significative des résultats semestriels 2026 et une restructuration réussie de la dette.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109.31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 titres</w:t>
            </w:r>
          </w:p>
        </w:tc>
        <w:tc>
          <w:tcPr>
            <w:tcW w:type="dxa" w:w="2268"/>
            <w:shd w:fill="FFF2CC" w:val="clear"/>
          </w:tcPr>
          <w:p>
            <w:r>
              <w:rPr>
                <w:b/>
                <w:color w:val="503200"/>
                <w:sz w:val="16"/>
              </w:rPr>
              <w:t xml:space="preserve">Cours actuel : </w:t>
            </w:r>
            <w:r>
              <w:rPr>
                <w:color w:val="000000"/>
                <w:sz w:val="17"/>
              </w:rPr>
              <w:t>12,145 FCFA</w:t>
            </w:r>
          </w:p>
          <w:p>
            <w:r>
              <w:rPr>
                <w:b/>
                <w:color w:val="503200"/>
                <w:sz w:val="16"/>
              </w:rPr>
              <w:t xml:space="preserve">Var. 100 jours : </w:t>
            </w:r>
            <w:r>
              <w:rPr>
                <w:b/>
                <w:color w:val="007800"/>
                <w:sz w:val="17"/>
              </w:rPr>
              <w:t>+65.24%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17.96% (Élevée) — μ=10,464 FCFA, σ=1,880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β=0.3290 (Défensif) — Cov=0.000011, Var(idx)=0.000033, ρ=0.083,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11,353</w:t>
            </w:r>
          </w:p>
        </w:tc>
        <w:tc>
          <w:tcPr>
            <w:tcW w:type="dxa" w:w="1440"/>
            <w:shd w:fill="FFDCE0" w:val="clear"/>
          </w:tcPr>
          <w:p>
            <w:r>
              <w:rPr>
                <w:b/>
                <w:sz w:val="17"/>
              </w:rPr>
              <w:t>11,756</w:t>
            </w:r>
          </w:p>
        </w:tc>
        <w:tc>
          <w:tcPr>
            <w:tcW w:type="dxa" w:w="1440"/>
            <w:shd w:fill="FFDCE0" w:val="clear"/>
          </w:tcPr>
          <w:p>
            <w:r>
              <w:rPr>
                <w:sz w:val="17"/>
              </w:rPr>
              <w:t>12,160</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11,058</w:t>
            </w:r>
          </w:p>
        </w:tc>
        <w:tc>
          <w:tcPr>
            <w:tcW w:type="dxa" w:w="1440"/>
            <w:shd w:fill="FFDCE0" w:val="clear"/>
          </w:tcPr>
          <w:p>
            <w:r>
              <w:rPr>
                <w:b/>
                <w:sz w:val="17"/>
              </w:rPr>
              <w:t>11,622</w:t>
            </w:r>
          </w:p>
        </w:tc>
        <w:tc>
          <w:tcPr>
            <w:tcW w:type="dxa" w:w="1440"/>
            <w:shd w:fill="FFDCE0" w:val="clear"/>
          </w:tcPr>
          <w:p>
            <w:r>
              <w:rPr>
                <w:sz w:val="17"/>
              </w:rPr>
              <w:t>12,187</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10,814</w:t>
            </w:r>
          </w:p>
        </w:tc>
        <w:tc>
          <w:tcPr>
            <w:tcW w:type="dxa" w:w="1440"/>
            <w:shd w:fill="FFDCE0" w:val="clear"/>
          </w:tcPr>
          <w:p>
            <w:r>
              <w:rPr>
                <w:b/>
                <w:sz w:val="17"/>
              </w:rPr>
              <w:t>11,497</w:t>
            </w:r>
          </w:p>
        </w:tc>
        <w:tc>
          <w:tcPr>
            <w:tcW w:type="dxa" w:w="1440"/>
            <w:shd w:fill="FFDCE0" w:val="clear"/>
          </w:tcPr>
          <w:p>
            <w:r>
              <w:rPr>
                <w:sz w:val="17"/>
              </w:rPr>
              <w:t>12,181</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10,603</w:t>
            </w:r>
          </w:p>
        </w:tc>
        <w:tc>
          <w:tcPr>
            <w:tcW w:type="dxa" w:w="1440"/>
            <w:shd w:fill="FFDCE0" w:val="clear"/>
          </w:tcPr>
          <w:p>
            <w:r>
              <w:rPr>
                <w:b/>
                <w:sz w:val="17"/>
              </w:rPr>
              <w:t>11,384</w:t>
            </w:r>
          </w:p>
        </w:tc>
        <w:tc>
          <w:tcPr>
            <w:tcW w:type="dxa" w:w="1440"/>
            <w:shd w:fill="FFDCE0" w:val="clear"/>
          </w:tcPr>
          <w:p>
            <w:r>
              <w:rPr>
                <w:sz w:val="17"/>
              </w:rPr>
              <w:t>12,166</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10,418</w:t>
            </w:r>
          </w:p>
        </w:tc>
        <w:tc>
          <w:tcPr>
            <w:tcW w:type="dxa" w:w="1440"/>
            <w:shd w:fill="FFDCE0" w:val="clear"/>
          </w:tcPr>
          <w:p>
            <w:r>
              <w:rPr>
                <w:b/>
                <w:sz w:val="17"/>
              </w:rPr>
              <w:t>11,284</w:t>
            </w:r>
          </w:p>
        </w:tc>
        <w:tc>
          <w:tcPr>
            <w:tcW w:type="dxa" w:w="1440"/>
            <w:shd w:fill="FFDCE0" w:val="clear"/>
          </w:tcPr>
          <w:p>
            <w:r>
              <w:rPr>
                <w:sz w:val="17"/>
              </w:rPr>
              <w:t>12,150</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10,253</w:t>
            </w:r>
          </w:p>
        </w:tc>
        <w:tc>
          <w:tcPr>
            <w:tcW w:type="dxa" w:w="1440"/>
            <w:shd w:fill="FFDCE0" w:val="clear"/>
          </w:tcPr>
          <w:p>
            <w:r>
              <w:rPr>
                <w:b/>
                <w:sz w:val="17"/>
              </w:rPr>
              <w:t>11,194</w:t>
            </w:r>
          </w:p>
        </w:tc>
        <w:tc>
          <w:tcPr>
            <w:tcW w:type="dxa" w:w="1440"/>
            <w:shd w:fill="FFDCE0" w:val="clear"/>
          </w:tcPr>
          <w:p>
            <w:r>
              <w:rPr>
                <w:sz w:val="17"/>
              </w:rPr>
              <w:t>12,135</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10,106</w:t>
            </w:r>
          </w:p>
        </w:tc>
        <w:tc>
          <w:tcPr>
            <w:tcW w:type="dxa" w:w="1440"/>
            <w:shd w:fill="FFDCE0" w:val="clear"/>
          </w:tcPr>
          <w:p>
            <w:r>
              <w:rPr>
                <w:b/>
                <w:sz w:val="17"/>
              </w:rPr>
              <w:t>11,115</w:t>
            </w:r>
          </w:p>
        </w:tc>
        <w:tc>
          <w:tcPr>
            <w:tcW w:type="dxa" w:w="1440"/>
            <w:shd w:fill="FFDCE0" w:val="clear"/>
          </w:tcPr>
          <w:p>
            <w:r>
              <w:rPr>
                <w:sz w:val="17"/>
              </w:rPr>
              <w:t>12,124</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9,969</w:t>
            </w:r>
          </w:p>
        </w:tc>
        <w:tc>
          <w:tcPr>
            <w:tcW w:type="dxa" w:w="1440"/>
            <w:shd w:fill="FFDCE0" w:val="clear"/>
          </w:tcPr>
          <w:p>
            <w:r>
              <w:rPr>
                <w:b/>
                <w:sz w:val="17"/>
              </w:rPr>
              <w:t>11,041</w:t>
            </w:r>
          </w:p>
        </w:tc>
        <w:tc>
          <w:tcPr>
            <w:tcW w:type="dxa" w:w="1440"/>
            <w:shd w:fill="FFDCE0" w:val="clear"/>
          </w:tcPr>
          <w:p>
            <w:r>
              <w:rPr>
                <w:sz w:val="17"/>
              </w:rPr>
              <w:t>12,113</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9,841</w:t>
            </w:r>
          </w:p>
        </w:tc>
        <w:tc>
          <w:tcPr>
            <w:tcW w:type="dxa" w:w="1440"/>
            <w:shd w:fill="FFDCE0" w:val="clear"/>
          </w:tcPr>
          <w:p>
            <w:r>
              <w:rPr>
                <w:b/>
                <w:sz w:val="17"/>
              </w:rPr>
              <w:t>10,971</w:t>
            </w:r>
          </w:p>
        </w:tc>
        <w:tc>
          <w:tcPr>
            <w:tcW w:type="dxa" w:w="1440"/>
            <w:shd w:fill="FFDCE0" w:val="clear"/>
          </w:tcPr>
          <w:p>
            <w:r>
              <w:rPr>
                <w:sz w:val="17"/>
              </w:rPr>
              <w:t>12,100</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9,722</w:t>
            </w:r>
          </w:p>
        </w:tc>
        <w:tc>
          <w:tcPr>
            <w:tcW w:type="dxa" w:w="1440"/>
            <w:shd w:fill="FFDCE0" w:val="clear"/>
          </w:tcPr>
          <w:p>
            <w:r>
              <w:rPr>
                <w:b/>
                <w:sz w:val="17"/>
              </w:rPr>
              <w:t>10,906</w:t>
            </w:r>
          </w:p>
        </w:tc>
        <w:tc>
          <w:tcPr>
            <w:tcW w:type="dxa" w:w="1440"/>
            <w:shd w:fill="FFDCE0" w:val="clear"/>
          </w:tcPr>
          <w:p>
            <w:r>
              <w:rPr>
                <w:sz w:val="17"/>
              </w:rPr>
              <w:t>12,089</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22 août 2026 | Marché : BRVM (Côte d'Ivoire)**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109,31 milliards FCFA, un niveau conséquent qui en fait l'une des valeurs significatives de la côte ouest-africaine, reflétant son statut de quasi-monopole dans la distribution d'eau en Côte d'Ivoire. Avec un BPA de 518 FCFA, le titre se négocie à un PER de 23,4x, soit environ le double de la moyenne historique de la BRVM (8-12x). Cette prime traduit soit des attentes de croissance soutenue, soit une surévaluation relative. Le P/B de 5,54x confirme cette lecture : le marché valorise l'actif net comptable plus de cinq fois au-dessus de sa valeur, signe d'une forte prime de confiance. Enfin, l'EV/EBITDA de 14,6x se situe dans la fourchette haute des standards régionaux, indiquant que la valeur d'entreprise intègre déjà une capacité opérationnelle robuste. Ces ratios suggèrent une valorisation exigeante, justifiée uniquement par une exécution financière irréprochable.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SDCC a enregistré une progression spectaculaire de +65,24%, passant d'un plus bas de 7 140 FCFA à un plus haut de 12 195 FCFA, pour clôturer à 12 145 FCFA (+0,45% sur la dernière séance). Cette tendance haussière marquée s'accompagne d'une moyenne de 10 464 FCFA et d'une médiane de 11 320 FCFA ; l'écart entre ces deux valeurs (médiane &gt; moyenne) confirme une distribution asymétrique négative (skewness de -0,832), signifiant que le titre a passé la majorité du temps au-dessus de sa moyenne, avec des épisodes de correction rapide. L'écart-type de 1 889 FCFA (CV = 18,1%) indique une dispersion modérée, tandis que le kurtosis de -1,015 (platykurtique) révèle une absence de pics extrêmes, réduisant le risque de mouvements violents. La volatilité annualisée de 35,6% classe le titre dans la catégorie "élevée" (&gt;30%), ce qui implique des fluctuations importantes à court terme, mais aussi un potentiel de rendement supérieur.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(11 837,75 FCFA) et la MM50 (11 870,1 FCFA) sont quasi identiques et légèrement inférieures au cours actuel (12 145 FCFA). Le signal de "Vente" émis par cet indicateur est paradoxal : il suggère que le cours a récemment cassé sous ses moyennes après une période de hausse, indiquant un possible essoufflement à court terme. La convergence des deux moyennes renforce cette lecture de consolidation.</w:t>
      </w:r>
    </w:p>
    <w:p>
      <w:pPr>
        <w:spacing w:after="120" w:line="276" w:lineRule="auto"/>
      </w:pPr>
      <w:r>
        <w:t>**Bandes de Bollinger** : Le cours se situe à 12 145 FCFA, proche de la borne supérieure (12 230,319 FCFA) et nettement au-dessus de la borne inférieure (11 445,181 FCFA). Cette position indique une pression acheteuse persistante, mais le signal "Neutre" suggère que le titre n'est pas encore en zone de surachat extrême. La largeur des bandes reflète la volatilité élevée mesurée sur 100 jours.</w:t>
      </w:r>
    </w:p>
    <w:p>
      <w:pPr>
        <w:spacing w:after="120" w:line="276" w:lineRule="auto"/>
      </w:pPr>
      <w:r>
        <w:t>**MACD** : La valeur du MACD (76,471) est nettement supérieure à son signal (33,538), avec un écart positif de 42,9 points. Ce croisement haussier confirme un momentum positif soutenu, signalant que la tendance haussière de fond reste intacte malgré les signaux de court terme. La décision "Achat" est cohérente avec cette dynamique.</w:t>
      </w:r>
    </w:p>
    <w:p>
      <w:pPr>
        <w:spacing w:after="120" w:line="276" w:lineRule="auto"/>
      </w:pPr>
      <w:r>
        <w:t>**RSI** : À 56,298, le RSI se situe en zone neutre (30-70), indiquant un équilibre entre acheteurs et vendeurs. Cette valeur suggère que le titre dispose encore de marge avant d'atteindre des conditions de surachat (&gt;70), ce qui laisse présager un potentiel de hausse supplémentaire sans risque immédiat de retournement.</w:t>
      </w:r>
    </w:p>
    <w:p>
      <w:pPr>
        <w:spacing w:after="120" w:line="276" w:lineRule="auto"/>
      </w:pPr>
      <w:r>
        <w:t>**Stochastique** : Le %K (100,0) et le %D (97,539) sont tous deux en zone de surachat extrême (&gt;80), signalant une possible correction technique à très court terme. Le croisement baissier imminent (le %K commençant à fléchir) renforce la décision "Vente", indiquant que les acheteurs sont épuisés à ces niveaux.</w:t>
      </w:r>
    </w:p>
    <w:p>
      <w:pPr>
        <w:spacing w:after="120" w:line="276" w:lineRule="auto"/>
      </w:pPr>
      <w:r>
        <w:t>**Conclusion technique** : Les indicateurs sont mitigés : le MACD et le RSI soutiennent la tendance haussière, tandis que les moyennes mobiles et le stochastique signalent un essoufflement. Cette divergence suggère une période de consolidation à court terme avant une éventuelle reprise, avec un risque de correction technique vers les 11 500-11 800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SDCC a réalisé un chiffre d'affaires de 189,430 milliards FCFA (+10% vs 2024), avec un résultat net de 4,663 milliards FCFA (+31%), portant la marge nette à 2,46%. Le ROE s'établit à 23,65% (excellent, &gt;15%), tandis que le ROA est faible à 0,99% (résultat net / total actif de 472,672 milliards FCFA). La structure financière est fragile : l'autonomie financière n'est que de 4,17% (capitaux propres de 19,716 milliards vs total bilan de 472,672 milliards), avec un ratio d'endettement de 95,83%. Le BFR est positif à 104,748 milliards, et le délai clients est alarmant à 749 jours, reflétant un risque de trésorerie majeur. La trésorerie nette est négative à -61,710 milliards, et le flux opérationnel est déficitaire à -36,655 milliards.</w:t>
      </w:r>
    </w:p>
    <w:p>
      <w:pPr>
        <w:spacing w:after="120" w:line="276" w:lineRule="auto"/>
      </w:pPr>
      <w:r>
        <w:t>**Rapports narratifs** : Le rapport annuel 2025 (publié en 2026) confirme ces chiffres : CA de 189,4 milliards, RN de 4,663 milliards, EBE de 21,8 milliards (+21%), et un dividende proposé de 525 FCFA par action. Le rapport du S1 2025 (daté du 30/06/2025) montrait un CA stable à 82,3 milliards (-0,4%) et un RN en baisse de -24% à 1,355 milliard, mais le T1 2026 (rapport du 31/03/2026) révèle une forte amélioration : RN de 1,318 milliard (+118% vs T1 2025), avec un résultat d'exploitation multiplié par 2,5. **Estimations** : Sur la base du T1 2026, on estime que l'exercice 2026 pourrait voir un RN annuel de 5,2 à 5,5 milliards FCFA (+12 à +18%), si la tendance se maintient. La croissance du CA 2025 (+10%) et l'amélioration opérationnelle récente suggèrent une trajectoire positive, mais la pression fiscale (+476% au T1 2026) et les tensions de trésorerie restent des freins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est exigeante (PER 23,4x, P/B 5,54x, EV/EBITDA 14,6x), indiquant une surévaluation relative par rapport aux standards BRVM, mais justifiée par un ROE de 23,65% et une croissance du RN de +31% en 2025. Le comportement du cours est très favorable à long terme (+65% sur 100 jours), mais la volatilité élevée (35,6%) et le skewness négatif signalent des corrections possibles. Les signaux techniques sont divergents : le MACD et le RSI soutiennent la hausse, tandis que le stochastique (surachat extrême) et les moyennes mobiles suggèrent une consolidation. Les fondamentaux sont solides mais fragiles : la trésorerie nette négative (-61,7 milliards) et le délai clients de 749 jours constituent des risques majeurs, bien que les estimations 2026 (RN +12-18%) soient encourageantes. Les prédictions IA (J+1 à J+10) montrent une trajectoire baissière de 11 756 à 11 284 FCFA (-7%), contredisant les signaux haussiers de long terme. **Recommandation finale : CONSERVER** — la convergence entre une valorisation élevée, des signaux techniques mitigés et des prédictions IA baissières à court terme justifie une position d'attente. **Niveau de confiance : Moyen** (divergence entre fondamentaux positifs et technique court terme). **Risque global : Élevé** (volatilité, trésorerie tendue, valorisation exigeante). **Horizon optimal : Moyen terme (3-12 mois)** pour capitaliser sur les fondamentaux, en attendant une correction technique vers 11 000-11 500 FCFA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16,818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+39.35%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17.56% (Élevée) — μ=2,184 FCFA, σ=383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β=0.1913 (Défensif) — Cov=0.000006, Var(idx)=0.000033, ρ=0.035,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16,818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2,736</w:t>
            </w:r>
          </w:p>
        </w:tc>
        <w:tc>
          <w:tcPr>
            <w:tcW w:type="dxa" w:w="1440"/>
            <w:shd w:fill="FAFAFA" w:val="clear"/>
          </w:tcPr>
          <w:p>
            <w:r>
              <w:rPr>
                <w:sz w:val="17"/>
              </w:rPr>
              <w:t>2,907</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2,459</w:t>
            </w:r>
          </w:p>
        </w:tc>
        <w:tc>
          <w:tcPr>
            <w:tcW w:type="dxa" w:w="1440"/>
            <w:shd w:fill="FFDCE0" w:val="clear"/>
          </w:tcPr>
          <w:p>
            <w:r>
              <w:rPr>
                <w:b/>
                <w:sz w:val="17"/>
              </w:rPr>
              <w:t>2,697</w:t>
            </w:r>
          </w:p>
        </w:tc>
        <w:tc>
          <w:tcPr>
            <w:tcW w:type="dxa" w:w="1440"/>
            <w:shd w:fill="FFDCE0" w:val="clear"/>
          </w:tcPr>
          <w:p>
            <w:r>
              <w:rPr>
                <w:sz w:val="17"/>
              </w:rPr>
              <w:t>2,936</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2,379</w:t>
            </w:r>
          </w:p>
        </w:tc>
        <w:tc>
          <w:tcPr>
            <w:tcW w:type="dxa" w:w="1440"/>
            <w:shd w:fill="FFDCE0" w:val="clear"/>
          </w:tcPr>
          <w:p>
            <w:r>
              <w:rPr>
                <w:b/>
                <w:sz w:val="17"/>
              </w:rPr>
              <w:t>2,668</w:t>
            </w:r>
          </w:p>
        </w:tc>
        <w:tc>
          <w:tcPr>
            <w:tcW w:type="dxa" w:w="1440"/>
            <w:shd w:fill="FFDCE0" w:val="clear"/>
          </w:tcPr>
          <w:p>
            <w:r>
              <w:rPr>
                <w:sz w:val="17"/>
              </w:rPr>
              <w:t>2,956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2,314</w:t>
            </w:r>
          </w:p>
        </w:tc>
        <w:tc>
          <w:tcPr>
            <w:tcW w:type="dxa" w:w="1440"/>
            <w:shd w:fill="FFDCE0" w:val="clear"/>
          </w:tcPr>
          <w:p>
            <w:r>
              <w:rPr>
                <w:b/>
                <w:sz w:val="17"/>
              </w:rPr>
              <w:t>2,644</w:t>
            </w:r>
          </w:p>
        </w:tc>
        <w:tc>
          <w:tcPr>
            <w:tcW w:type="dxa" w:w="1440"/>
            <w:shd w:fill="FFDCE0" w:val="clear"/>
          </w:tcPr>
          <w:p>
            <w:r>
              <w:rPr>
                <w:sz w:val="17"/>
              </w:rPr>
              <w:t>2,974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2,257</w:t>
            </w:r>
          </w:p>
        </w:tc>
        <w:tc>
          <w:tcPr>
            <w:tcW w:type="dxa" w:w="1440"/>
            <w:shd w:fill="FFDCE0" w:val="clear"/>
          </w:tcPr>
          <w:p>
            <w:r>
              <w:rPr>
                <w:b/>
                <w:sz w:val="17"/>
              </w:rPr>
              <w:t>2,623</w:t>
            </w:r>
          </w:p>
        </w:tc>
        <w:tc>
          <w:tcPr>
            <w:tcW w:type="dxa" w:w="1440"/>
            <w:shd w:fill="FFDCE0" w:val="clear"/>
          </w:tcPr>
          <w:p>
            <w:r>
              <w:rPr>
                <w:sz w:val="17"/>
              </w:rPr>
              <w:t>2,989</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2,206</w:t>
            </w:r>
          </w:p>
        </w:tc>
        <w:tc>
          <w:tcPr>
            <w:tcW w:type="dxa" w:w="1440"/>
            <w:shd w:fill="FFDCE0" w:val="clear"/>
          </w:tcPr>
          <w:p>
            <w:r>
              <w:rPr>
                <w:b/>
                <w:sz w:val="17"/>
              </w:rPr>
              <w:t>2,604</w:t>
            </w:r>
          </w:p>
        </w:tc>
        <w:tc>
          <w:tcPr>
            <w:tcW w:type="dxa" w:w="1440"/>
            <w:shd w:fill="FFDCE0" w:val="clear"/>
          </w:tcPr>
          <w:p>
            <w:r>
              <w:rPr>
                <w:sz w:val="17"/>
              </w:rPr>
              <w:t>3,002</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2,158</w:t>
            </w:r>
          </w:p>
        </w:tc>
        <w:tc>
          <w:tcPr>
            <w:tcW w:type="dxa" w:w="1440"/>
            <w:shd w:fill="FFDCE0" w:val="clear"/>
          </w:tcPr>
          <w:p>
            <w:r>
              <w:rPr>
                <w:b/>
                <w:sz w:val="17"/>
              </w:rPr>
              <w:t>2,585</w:t>
            </w:r>
          </w:p>
        </w:tc>
        <w:tc>
          <w:tcPr>
            <w:tcW w:type="dxa" w:w="1440"/>
            <w:shd w:fill="FFDCE0" w:val="clear"/>
          </w:tcPr>
          <w:p>
            <w:r>
              <w:rPr>
                <w:sz w:val="17"/>
              </w:rPr>
              <w:t>3,012</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2,114</w:t>
            </w:r>
          </w:p>
        </w:tc>
        <w:tc>
          <w:tcPr>
            <w:tcW w:type="dxa" w:w="1440"/>
            <w:shd w:fill="FFDCE0" w:val="clear"/>
          </w:tcPr>
          <w:p>
            <w:r>
              <w:rPr>
                <w:b/>
                <w:sz w:val="17"/>
              </w:rPr>
              <w:t>2,568</w:t>
            </w:r>
          </w:p>
        </w:tc>
        <w:tc>
          <w:tcPr>
            <w:tcW w:type="dxa" w:w="1440"/>
            <w:shd w:fill="FFDCE0" w:val="clear"/>
          </w:tcPr>
          <w:p>
            <w:r>
              <w:rPr>
                <w:sz w:val="17"/>
              </w:rPr>
              <w:t>3,021</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2,073</w:t>
            </w:r>
          </w:p>
        </w:tc>
        <w:tc>
          <w:tcPr>
            <w:tcW w:type="dxa" w:w="1440"/>
            <w:shd w:fill="FFDCE0" w:val="clear"/>
          </w:tcPr>
          <w:p>
            <w:r>
              <w:rPr>
                <w:b/>
                <w:sz w:val="17"/>
              </w:rPr>
              <w:t>2,551</w:t>
            </w:r>
          </w:p>
        </w:tc>
        <w:tc>
          <w:tcPr>
            <w:tcW w:type="dxa" w:w="1440"/>
            <w:shd w:fill="FFDCE0" w:val="clear"/>
          </w:tcPr>
          <w:p>
            <w:r>
              <w:rPr>
                <w:sz w:val="17"/>
              </w:rPr>
              <w:t>3,028</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2,034</w:t>
            </w:r>
          </w:p>
        </w:tc>
        <w:tc>
          <w:tcPr>
            <w:tcW w:type="dxa" w:w="1440"/>
            <w:shd w:fill="FFDCE0" w:val="clear"/>
          </w:tcPr>
          <w:p>
            <w:r>
              <w:rPr>
                <w:b/>
                <w:sz w:val="17"/>
              </w:rPr>
              <w:t>2,534</w:t>
            </w:r>
          </w:p>
        </w:tc>
        <w:tc>
          <w:tcPr>
            <w:tcW w:type="dxa" w:w="1440"/>
            <w:shd w:fill="FFDCE0" w:val="clear"/>
          </w:tcPr>
          <w:p>
            <w:r>
              <w:rPr>
                <w:sz w:val="17"/>
              </w:rPr>
              <w:t>3,034</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151,33 milliards FCFA, un niveau significatif qui la positionne parmi les valeurs moyennes à grandes capitalisations de la BRVM. Avec un BPA de 387 FCFA, chaque action génère un bénéfice confortable, ce qui explique un PER de 7,2x, nettement inférieur à la moyenne du marché régional (8-12x), signalant une potentielle sous-évaluation relative. Le P/B de 1,94x indique que le marché valorise la société à près du double de sa valeur comptable, une valorisation raisonnable pour une entreprise affichant un ROE de 27%. En revanche, l'EV/EBITDA de 32,6x apparaît très exigeant, suggérant que la valeur d'entreprise intègre une prime importante par rapport à la capacité opérationnelle, probablement liée à la trésorerie abondante et aux actifs stratégiques. Ce contraste entre un PER attractif et un EV/EBITDA élevé reflète une situation financière complexe où la rentabilité nette est soutenue par des éléments non opérationnels.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spectaculaire de +39,35%, avec une dernière séance en hausse de +1,65% à 2 780 FCFA, témoignant d'un momentum haussier soutenu. Le cours a évolué dans une fourchette large de 1 650 à 2 820 FCFA, démontrant une forte amplitude de trading. La moyenne de 2 184 FCFA, inférieure à la médiane de 2 068 FCFA, révèle une distribution asymétrique avec une concentration des cours vers le bas de la fourchette avant une accélération récente. L'écart-type de 385 FCFA (CV de 17,6%) indique une dispersion modérée, tandis que le kurtosis de -1,486 (platykurtique) suggère une absence de pics extrêmes et une distribution aplatie. Le skewness positif de 0,237 confirme une légère asymétrie vers les valeurs hautes. La volatilité annualisée de 48,9% classe le titre comme très volatil, un niveau élevé qui implique un risque substantiel mais aussi un potentiel de rendement important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2 780 FCFA se positionne nettement au-dessus de la MM20 (2 667,75 FCFA) et de la MM50 (2 531,7 FCFA), confirmant une tendance haussière solide à court et moyen terme. L'écart positif entre les deux moyennes et le cours indique une dynamique positive, justifiant la décision d'achat. La configuration en pente ascendante des MM renforce le signal haussier.</w:t>
      </w:r>
    </w:p>
    <w:p>
      <w:pPr>
        <w:spacing w:after="120" w:line="276" w:lineRule="auto"/>
      </w:pPr>
      <w:r>
        <w:t>**Bandes de Bollinger** : Le cours évolue à 2 780 FCFA, proche de la borne supérieure (2 878,95 FCFA) et loin de la borne inférieure (2 456,55 FCFA), indiquant une pression acheteuse soutenue. La largeur des bandes reflète la volatilité élevée du titre. La décision neutre s'explique par la proximité de la borne supérieure, qui pourrait limiter le potentiel de hausse immédiat sans consolidation préalable.</w:t>
      </w:r>
    </w:p>
    <w:p>
      <w:pPr>
        <w:spacing w:after="120" w:line="276" w:lineRule="auto"/>
      </w:pPr>
      <w:r>
        <w:t>**MACD** : La valeur du MACD (59,48) est inférieure à son signal (61,96), créant une divergence baissière légère. Ce croisement suggère un ralentissement du momentum haussier, justifiant la décision de vente. Cependant, la valeur positive du MACD indique que la tendance de fond reste haussière, et ce signal pourrait n'être que temporaire.</w:t>
      </w:r>
    </w:p>
    <w:p>
      <w:pPr>
        <w:spacing w:after="120" w:line="276" w:lineRule="auto"/>
      </w:pPr>
      <w:r>
        <w:t>**RSI** : À 53,54, le RSI se situe en zone neutre, sans signal de surachat ni de survente. Cette valeur indique un équilibre entre pressions acheteuses et vendeuses, laissant place à une poursuite de la tendance sans risque immédiat de retournement violent. La décision neutre est cohérente avec cette lecture.</w:t>
      </w:r>
    </w:p>
    <w:p>
      <w:pPr>
        <w:spacing w:after="120" w:line="276" w:lineRule="auto"/>
      </w:pPr>
      <w:r>
        <w:t>**Stochastique** : Le %K (96,59) et le %D (86,74) sont tous deux en zone de surachat, avec un %K au-dessus du %D, indiquant une force acheteuse extrême. Cette configuration suggère un risque de correction technique à court terme, justifiant la décision de vente. Les niveaux très élevés appellent à la prudence.</w:t>
      </w:r>
    </w:p>
    <w:p>
      <w:pPr>
        <w:spacing w:after="120" w:line="276" w:lineRule="auto"/>
      </w:pPr>
      <w:r>
        <w:t>**Conclusion technique** : Les indicateurs sont partagés entre signaux haussiers (MM, Bollinger) et baissiers (MACD, Stochastique), avec un RSI neutre. La tendance de fond reste positive, mais les signaux de surachat et la divergence MACD suggèrent une possible consolidation à court terme. Un scénario de pause technique avant reprise de la tendance haussière semble le plus probable.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de 27,08% et le ROA de 11,2% témoignent d'une excellente rentabilité des fonds propres et des actifs. La structure financière est saine avec une autonomie financière de 41,36% et une solvabilité générale de 170,53%. Cependant, le délai clients de 467 jours est préoccupant, indiquant un risque de trésorerie significatif, tandis que le BFR de 17,874 milliards FCFA reste positif. Les rapports trimestriels 2025 montrent une dégradation marquée : le T1 2025 affiche un résultat net de -193 millions FCFA (amélioré vs -416 millions au T1 2024), le S1 2025 un déficit de -427 millions FCFA, et le T3 2025 un résultat de 4,341 milliards FCFA en chute de 77%. Pour l'exercice 2025, le rapport annuel provisoire indique un CA de 92,004 milliards FCFA (+7,43%) mais un résultat net effondré à 784,97 millions FCFA (marge nette de 0,85%), avec un résultat d'exploitation négatif de -2,271 milliards FCFA. La trésorerie nette a bondi à 74,78 milliards FCFA, mais le dividende proposé chute de 89% à 544 millions FCFA. On estime que l'exercice 2026 pourrait voir une stabilisation si la direction parvient à restaurer les marges opérationnelles, mais la dépendance aux dividendes des filiales et la pression fiscale (83% du résultat avant impôt) constituent des risques majeurs.</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La valorisation (PER de 7,2x) suggère une sous-évaluation, mais l'EV/EBITDA très élevé (32,6x) tempère cet optimisme. Le comportement du cours montre une tendance haussière spectaculaire (+39,35% sur 100 jours) avec une volatilité élevée (48,9%) et une distribution platykurtique indiquant un risque de mouvements brusques. Les signaux techniques sont mitigés : les moyennes mobiles et les bandes de Bollinger sont haussiers, tandis que le MACD et le stochastique en surachat suggèrent une correction imminente. Fondamentalement, la dégradation sévère de la rentabilité en 2025 (marge nette de 0,85% vs 24,6% en 2024) contraste avec la solidité du bilan et la trésorerie abondante. Les prédictions IA (2 736 à 2 623 FCFA sur 10 jours) confirment un repli technique attendu. La convergence entre les signaux techniques baissiers à court terme et les prédictions IA, opposée à la tendance haussière de fond et à la valorisation attractive, conduit à une recommandation **CONSERVER**. Le niveau de confiance est **Moyen**, le risque global **Élevé**, et l'horizon d'investissement optimal serait le **moyen terme (3-12 mois)** pour observer la capacité de la direction à redresser les marges opérationnelles et clarifier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5,628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-26.54%</w:t>
            </w:r>
          </w:p>
          <w:p>
            <w:r>
              <w:rPr>
                <w:b/>
                <w:color w:val="503200"/>
                <w:sz w:val="16"/>
              </w:rPr>
              <w:t xml:space="preserve">Plus haut 100j : </w:t>
            </w:r>
            <w:r>
              <w:rPr>
                <w:color w:val="000000"/>
                <w:sz w:val="17"/>
              </w:rPr>
              <w:t>2,110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μ=1,588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β=1.6662 (Agressif) — Cov=0.000055, Var(idx)=0.000033, ρ=0.302,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1,447</w:t>
            </w:r>
          </w:p>
        </w:tc>
        <w:tc>
          <w:tcPr>
            <w:tcW w:type="dxa" w:w="1440"/>
            <w:shd w:fill="FAFAFA" w:val="clear"/>
          </w:tcPr>
          <w:p>
            <w:r>
              <w:rPr>
                <w:b/>
                <w:sz w:val="17"/>
              </w:rPr>
              <w:t>1,520</w:t>
            </w:r>
          </w:p>
        </w:tc>
        <w:tc>
          <w:tcPr>
            <w:tcW w:type="dxa" w:w="1440"/>
            <w:shd w:fill="FAFAFA" w:val="clear"/>
          </w:tcPr>
          <w:p>
            <w:r>
              <w:rPr>
                <w:sz w:val="17"/>
              </w:rPr>
              <w:t>1,592</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1,407</w:t>
            </w:r>
          </w:p>
        </w:tc>
        <w:tc>
          <w:tcPr>
            <w:tcW w:type="dxa" w:w="1440"/>
            <w:shd w:fill="FFDCE0" w:val="clear"/>
          </w:tcPr>
          <w:p>
            <w:r>
              <w:rPr>
                <w:b/>
                <w:sz w:val="17"/>
              </w:rPr>
              <w:t>1,509</w:t>
            </w:r>
          </w:p>
        </w:tc>
        <w:tc>
          <w:tcPr>
            <w:tcW w:type="dxa" w:w="1440"/>
            <w:shd w:fill="FFDCE0" w:val="clear"/>
          </w:tcPr>
          <w:p>
            <w:r>
              <w:rPr>
                <w:sz w:val="17"/>
              </w:rPr>
              <w:t>1,611</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1,371</w:t>
            </w:r>
          </w:p>
        </w:tc>
        <w:tc>
          <w:tcPr>
            <w:tcW w:type="dxa" w:w="1440"/>
            <w:shd w:fill="FFDCE0" w:val="clear"/>
          </w:tcPr>
          <w:p>
            <w:r>
              <w:rPr>
                <w:b/>
                <w:sz w:val="17"/>
              </w:rPr>
              <w:t>1,494</w:t>
            </w:r>
          </w:p>
        </w:tc>
        <w:tc>
          <w:tcPr>
            <w:tcW w:type="dxa" w:w="1440"/>
            <w:shd w:fill="FFDCE0" w:val="clear"/>
          </w:tcPr>
          <w:p>
            <w:r>
              <w:rPr>
                <w:sz w:val="17"/>
              </w:rPr>
              <w:t>1,618</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1,338</w:t>
            </w:r>
          </w:p>
        </w:tc>
        <w:tc>
          <w:tcPr>
            <w:tcW w:type="dxa" w:w="1440"/>
            <w:shd w:fill="FFDCE0" w:val="clear"/>
          </w:tcPr>
          <w:p>
            <w:r>
              <w:rPr>
                <w:b/>
                <w:sz w:val="17"/>
              </w:rPr>
              <w:t>1,479</w:t>
            </w:r>
          </w:p>
        </w:tc>
        <w:tc>
          <w:tcPr>
            <w:tcW w:type="dxa" w:w="1440"/>
            <w:shd w:fill="FFDCE0" w:val="clear"/>
          </w:tcPr>
          <w:p>
            <w:r>
              <w:rPr>
                <w:sz w:val="17"/>
              </w:rPr>
              <w:t>1,620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1,307</w:t>
            </w:r>
          </w:p>
        </w:tc>
        <w:tc>
          <w:tcPr>
            <w:tcW w:type="dxa" w:w="1440"/>
            <w:shd w:fill="FFDCE0" w:val="clear"/>
          </w:tcPr>
          <w:p>
            <w:r>
              <w:rPr>
                <w:b/>
                <w:sz w:val="17"/>
              </w:rPr>
              <w:t>1,464</w:t>
            </w:r>
          </w:p>
        </w:tc>
        <w:tc>
          <w:tcPr>
            <w:tcW w:type="dxa" w:w="1440"/>
            <w:shd w:fill="FFDCE0" w:val="clear"/>
          </w:tcPr>
          <w:p>
            <w:r>
              <w:rPr>
                <w:sz w:val="17"/>
              </w:rPr>
              <w:t>1,620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1,279</w:t>
            </w:r>
          </w:p>
        </w:tc>
        <w:tc>
          <w:tcPr>
            <w:tcW w:type="dxa" w:w="1440"/>
            <w:shd w:fill="FFDCE0" w:val="clear"/>
          </w:tcPr>
          <w:p>
            <w:r>
              <w:rPr>
                <w:b/>
                <w:sz w:val="17"/>
              </w:rPr>
              <w:t>1,449</w:t>
            </w:r>
          </w:p>
        </w:tc>
        <w:tc>
          <w:tcPr>
            <w:tcW w:type="dxa" w:w="1440"/>
            <w:shd w:fill="FFDCE0" w:val="clear"/>
          </w:tcPr>
          <w:p>
            <w:r>
              <w:rPr>
                <w:sz w:val="17"/>
              </w:rPr>
              <w:t>1,618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1,253</w:t>
            </w:r>
          </w:p>
        </w:tc>
        <w:tc>
          <w:tcPr>
            <w:tcW w:type="dxa" w:w="1440"/>
            <w:shd w:fill="FFDCE0" w:val="clear"/>
          </w:tcPr>
          <w:p>
            <w:r>
              <w:rPr>
                <w:b/>
                <w:sz w:val="17"/>
              </w:rPr>
              <w:t>1,434</w:t>
            </w:r>
          </w:p>
        </w:tc>
        <w:tc>
          <w:tcPr>
            <w:tcW w:type="dxa" w:w="1440"/>
            <w:shd w:fill="FFDCE0" w:val="clear"/>
          </w:tcPr>
          <w:p>
            <w:r>
              <w:rPr>
                <w:sz w:val="17"/>
              </w:rPr>
              <w:t>1,615</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1,228</w:t>
            </w:r>
          </w:p>
        </w:tc>
        <w:tc>
          <w:tcPr>
            <w:tcW w:type="dxa" w:w="1440"/>
            <w:shd w:fill="FFDCE0" w:val="clear"/>
          </w:tcPr>
          <w:p>
            <w:r>
              <w:rPr>
                <w:b/>
                <w:sz w:val="17"/>
              </w:rPr>
              <w:t>1,420</w:t>
            </w:r>
          </w:p>
        </w:tc>
        <w:tc>
          <w:tcPr>
            <w:tcW w:type="dxa" w:w="1440"/>
            <w:shd w:fill="FFDCE0" w:val="clear"/>
          </w:tcPr>
          <w:p>
            <w:r>
              <w:rPr>
                <w:sz w:val="17"/>
              </w:rPr>
              <w:t>1,612</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1,204</w:t>
            </w:r>
          </w:p>
        </w:tc>
        <w:tc>
          <w:tcPr>
            <w:tcW w:type="dxa" w:w="1440"/>
            <w:shd w:fill="FFDCE0" w:val="clear"/>
          </w:tcPr>
          <w:p>
            <w:r>
              <w:rPr>
                <w:b/>
                <w:sz w:val="17"/>
              </w:rPr>
              <w:t>1,406</w:t>
            </w:r>
          </w:p>
        </w:tc>
        <w:tc>
          <w:tcPr>
            <w:tcW w:type="dxa" w:w="1440"/>
            <w:shd w:fill="FFDCE0" w:val="clear"/>
          </w:tcPr>
          <w:p>
            <w:r>
              <w:rPr>
                <w:sz w:val="17"/>
              </w:rPr>
              <w:t>1,607</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1,181</w:t>
            </w:r>
          </w:p>
        </w:tc>
        <w:tc>
          <w:tcPr>
            <w:tcW w:type="dxa" w:w="1440"/>
            <w:shd w:fill="FFDCE0" w:val="clear"/>
          </w:tcPr>
          <w:p>
            <w:r>
              <w:rPr>
                <w:b/>
                <w:sz w:val="17"/>
              </w:rPr>
              <w:t>1,392</w:t>
            </w:r>
          </w:p>
        </w:tc>
        <w:tc>
          <w:tcPr>
            <w:tcW w:type="dxa" w:w="1440"/>
            <w:shd w:fill="FFDCE0" w:val="clear"/>
          </w:tcPr>
          <w:p>
            <w:r>
              <w:rPr>
                <w:sz w:val="17"/>
              </w:rPr>
              <w:t>1,602</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votre rapport d'analyse financière structuré pour l'action SEMC,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39,04 milliards FCFA, un niveau qui la positionne comme une valeur de taille moyenne sur la BRVM. Ce montant est relativement faible pour une entreprise industrielle de cette envergure, ce qui peut refléter une décote ou une méfiance du marché. Les ratios de valorisation (BPA, PER, P/B, EV/EBITDA) ne sont pas calculables en raison de l'absence de données financières structurées récentes dans la base. Cette absence est principalement due à la suspension de la cote et au retard de publication des états financiers, ce qui empêche une évaluation précise de la cherté du titre par rapport à ses bénéfices ou à ses actifs. En l'état, l'investisseur ne peut se baser que sur les données historiques et les rapports narratifs pour estimer la valorisation intrinsèque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forte dépréciation de -26,54%, avec une nouvelle baisse de -2,52% lors de la dernière séance, clôturant à 1 550 FCFA. Le titre a évolué dans une fourchette large de 1 350 à 2 110 FCFA, illustrant une forte amplitude de trading. La moyenne (1 588 FCFA) est supérieure à la médiane (1 538 FCFA), et le skewness positif (1.482) confirme une distribution asymétrique avec des journées plus nombreuses sous la moyenne, mais quelques fortes hausses ponctuelles. L'écart-type de 164 FCFA (CV=10,3%) indique une dispersion modérée autour de la moyenne. Le kurtosis élevé (1.386) signale un risque de mouvements extrêmes (queues épaisses). Enfin, la volatilité annualisée de 49,8% est extrêmement élevée, classant SEMC comme un actif à très haut risque, bien au-delà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(1 550 FCFA) est supérieur à la MM20 (1 504,5 FCFA) et à la MM50 (1 505,8 FCFA), ce qui suggère un momentum haussier à court terme. Cependant, la décision globale reste "Vente", probablement en raison de la tendance baissière de fond qui a prévalu sur la période. Le croisement récent du cours au-dessus de ces moyennes pourrait signaler un début de retournement, mais il est encore trop tôt pour le confirmer.</w:t>
      </w:r>
    </w:p>
    <w:p>
      <w:pPr>
        <w:spacing w:after="120" w:line="276" w:lineRule="auto"/>
      </w:pPr>
      <w:r>
        <w:t>**Bandes de Bollinger** : Le prix se situe à 1 550 FCFA, entre la borne supérieure (1 598 FCFA) et la borne inférieure (1 411 FCFA), proche de la moyenne. La décision "Neutre" est cohérente avec cette position centrale. La largeur des bandes reflète la volatilité élevée du titre. Un mouvement vers la borne supérieure pourrait indiquer une poursuite de la hausse, tandis qu'un retour vers la borne inférieure signalerait une nouvelle phase de baisse.</w:t>
      </w:r>
    </w:p>
    <w:p>
      <w:pPr>
        <w:spacing w:after="120" w:line="276" w:lineRule="auto"/>
      </w:pPr>
      <w:r>
        <w:t>**MACD** : Le MACD (19.466) est nettement supérieur à son signal (7.463), avec une divergence positive. Cette configuration est un signal d'achat classique, indiquant un renforcement du momentum haussier à moyen terme. Cela suggère que la pression acheteuse prend le dessus sur la pression vendeuse, malgré la tendance baissière passée.</w:t>
      </w:r>
    </w:p>
    <w:p>
      <w:pPr>
        <w:spacing w:after="120" w:line="276" w:lineRule="auto"/>
      </w:pPr>
      <w:r>
        <w:t>**RSI** : Le RSI est à 61.017, dans la zone neutre (30-70), mais proche de la zone de surachat (70). Cela indique une dynamique positive sans pour autant être excessive. La décision "Neutre" est justifiée, mais l'investisseur doit surveiller une éventuelle entrée en zone de surachat, ce qui pourrait précéder un repli technique.</w:t>
      </w:r>
    </w:p>
    <w:p>
      <w:pPr>
        <w:spacing w:after="120" w:line="276" w:lineRule="auto"/>
      </w:pPr>
      <w:r>
        <w:t>**Stochastique** : Le %K (67.742) est inférieur au %D (87.097), ce qui indique un croisement baissier potentiel. Bien que les deux valeurs soient élevées, cette configuration suggère un essoufflement du momentum haussier à très court terme. La décision "Neutre" est donc prudente, car elle anticipe une possible consolidation ou un léger repli avant une éventuelle reprise.</w:t>
      </w:r>
    </w:p>
    <w:p>
      <w:pPr>
        <w:spacing w:after="120" w:line="276" w:lineRule="auto"/>
      </w:pPr>
      <w:r>
        <w:t>**Conclusion technique** : Les indicateurs sont mitigés. Les moyennes mobiles et le MACD suggèrent un potentiel de hausse, tandis que le RSI et le stochastique indiquent une possible consolidation à court terme. La tendance de fond reste baissière, mais les signaux de retournement se multiplient. L'analyse technique suggère une phase de stabilisation avec un biais haussier à moyen terme, mais la prudence reste de mise tant que le cours ne confirme pas une cassure au-dessus des 1 600 FCFA.</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SEMC est complexe en raison de la présence de rapports financiers contradictoires. Les rapports datés du 31/12/2024 (analysés en 2026) présentent deux visions opposées de l'exercice 2023. Le premier rapport indique un **chiffre d'affaires de 27,88 milliards FCFA** (en baisse de 6%), un **résultat net de 1,01 milliard FCFA** (en chute de 74%) et une marge nette de 3,6%. Le second rapport, pour la même période, fait état d'un **CA consolidé de 125,4 milliards FCFA** et d'un **résultat net de 12,8 milliards FCFA**, soit une marge nette de 10,2%. Cette divergence majeure suggère une possible confusion entre les comptes sociaux et consolidés, ou une erreur dans l'un des rapports. Le rapport du 31/12/2023 (T1 2023) indique un **CA de 7,65 milliards FCFA** et un **bénéfice net de 855 millions FCFA**, avec une marge nette de 11,2%, ce qui semble plus cohérent avec le premier rapport. Enfin, le rapport de 2022 (daté du 31/12/2022) réitère les chiffres consolidés de 125,4 milliards FCFA de CA et 12,8 milliards FCFA de résultat net. Face à ces incohérences, il est impossible de fournir une analyse fiable. Cependant, tous les rapports s'accordent sur des **perspectives de croissance pour 2024** (objectif de CA de 32 milliards FCFA dans un scénario, ou +10% dans l'autre) et sur le **rachat par Sonoco Products Company** (finalisé en décembre 2024), qui est perçu comme un potentiel catalyseur majeur. La suspension de la cote BRVM pour flottant insuffisant (10,42% vs 15% requis) est un risque majeur de liquidité. En conclusion, la recommandation fondamentale est **CONSERVER avec une très grande vigilance**, en attendant la publication d'états financiers audités et non ambigus pour clarifier la situation réelle de la société.</w:t>
      </w:r>
    </w:p>
    <w:p>
      <w:pPr>
        <w:spacing w:after="120" w:line="276" w:lineRule="auto"/>
      </w:pPr>
      <w:r>
        <w:t>---</w:t>
      </w:r>
    </w:p>
    <w:p>
      <w:pPr>
        <w:spacing w:after="120" w:line="276" w:lineRule="auto"/>
      </w:pPr>
      <w:r>
        <w:t>### **PARTIE 4 : CONCLUSION D'INVESTISSEMENT**</w:t>
      </w:r>
    </w:p>
    <w:p>
      <w:pPr>
        <w:spacing w:after="120" w:line="276" w:lineRule="auto"/>
      </w:pPr>
      <w:r>
        <w:t>La valorisation de SEMC est impossible à déterminer avec précision (Partie 0), les données étant manquantes ou contradictoires. Le comportement du cours (Partie 1) est très préoccupant avec une chute de 26,5% sur 100 jours et une volatilité extrême de 49,8%, indiquant un risque élevé. Les signaux techniques (Partie 2) sont mitigés, avec un MACD haussier mais des indicateurs de momentum (RSI, Stochastique) en perte de vitesse, suggérant une possible consolidation. Les fondamentaux (Partie 3) sont entachés d'incohérences majeures entre les rapports, mais tous pointent vers une période de transition avec un potentiel de rebond grâce au nouveau propriétaire, Sonoco. Les prédictions IA pour les 10 prochains jours (Partie 4) prévoient une poursuite de la baisse, de 1 520 à 1 464 FCFA, contredisant les signaux techniques haussiers à moyen terme. Cette divergence entre les signaux techniques de court terme et la prédiction IA, couplée à une situation fondamentale opaque et à une volatilité extrême, justifie une position extrêmement prudente. La recommandation finale est **VENTE** pour les investisseurs à court terme, avec un niveau de confiance **Moyen** et un risque global **Élevé**. Pour les investisseurs à long terme, une position de "surveillance active" est conseillée, en attendant la clarification des comptes et la confirmation de la stratégie de Sonoco. L'horizon d'investissement optimal est le **moyen terme (3-12 mois)**, après la résolution des incertitudes actuelles.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4,845 titres</w:t>
            </w:r>
          </w:p>
        </w:tc>
        <w:tc>
          <w:tcPr>
            <w:tcW w:type="dxa" w:w="2268"/>
            <w:shd w:fill="FFF2CC" w:val="clear"/>
          </w:tcPr>
          <w:p>
            <w:r>
              <w:rPr>
                <w:b/>
                <w:color w:val="503200"/>
                <w:sz w:val="16"/>
              </w:rPr>
              <w:t xml:space="preserve">Cours actuel : </w:t>
            </w:r>
            <w:r>
              <w:rPr>
                <w:color w:val="000000"/>
                <w:sz w:val="17"/>
              </w:rPr>
              <w:t>39,195 FCFA</w:t>
            </w:r>
          </w:p>
          <w:p>
            <w:r>
              <w:rPr>
                <w:b/>
                <w:color w:val="503200"/>
                <w:sz w:val="16"/>
              </w:rPr>
              <w:t xml:space="preserve">Var. 100 jours : </w:t>
            </w:r>
            <w:r>
              <w:rPr>
                <w:b/>
                <w:color w:val="007800"/>
                <w:sz w:val="17"/>
              </w:rPr>
              <w:t>+11.99%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μ=36,877 FCFA, σ=2,121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β=0.4680 (Défensif) — Cov=0.000015, Var(idx)=0.000033, ρ=0.186,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37,660</w:t>
            </w:r>
          </w:p>
        </w:tc>
        <w:tc>
          <w:tcPr>
            <w:tcW w:type="dxa" w:w="1440"/>
            <w:shd w:fill="FAFAFA" w:val="clear"/>
          </w:tcPr>
          <w:p>
            <w:r>
              <w:rPr>
                <w:b/>
                <w:sz w:val="17"/>
              </w:rPr>
              <w:t>38,470</w:t>
            </w:r>
          </w:p>
        </w:tc>
        <w:tc>
          <w:tcPr>
            <w:tcW w:type="dxa" w:w="1440"/>
            <w:shd w:fill="FAFAFA" w:val="clear"/>
          </w:tcPr>
          <w:p>
            <w:r>
              <w:rPr>
                <w:sz w:val="17"/>
              </w:rPr>
              <w:t>39,280</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37,249</w:t>
            </w:r>
          </w:p>
        </w:tc>
        <w:tc>
          <w:tcPr>
            <w:tcW w:type="dxa" w:w="1440"/>
            <w:shd w:fill="FFDCE0" w:val="clear"/>
          </w:tcPr>
          <w:p>
            <w:r>
              <w:rPr>
                <w:b/>
                <w:sz w:val="17"/>
              </w:rPr>
              <w:t>38,392</w:t>
            </w:r>
          </w:p>
        </w:tc>
        <w:tc>
          <w:tcPr>
            <w:tcW w:type="dxa" w:w="1440"/>
            <w:shd w:fill="FFDCE0" w:val="clear"/>
          </w:tcPr>
          <w:p>
            <w:r>
              <w:rPr>
                <w:sz w:val="17"/>
              </w:rPr>
              <w:t>39,536</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36,903</w:t>
            </w:r>
          </w:p>
        </w:tc>
        <w:tc>
          <w:tcPr>
            <w:tcW w:type="dxa" w:w="1440"/>
            <w:shd w:fill="FFDCE0" w:val="clear"/>
          </w:tcPr>
          <w:p>
            <w:r>
              <w:rPr>
                <w:b/>
                <w:sz w:val="17"/>
              </w:rPr>
              <w:t>38,300</w:t>
            </w:r>
          </w:p>
        </w:tc>
        <w:tc>
          <w:tcPr>
            <w:tcW w:type="dxa" w:w="1440"/>
            <w:shd w:fill="FFDCE0" w:val="clear"/>
          </w:tcPr>
          <w:p>
            <w:r>
              <w:rPr>
                <w:sz w:val="17"/>
              </w:rPr>
              <w:t>39,696</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36,599</w:t>
            </w:r>
          </w:p>
        </w:tc>
        <w:tc>
          <w:tcPr>
            <w:tcW w:type="dxa" w:w="1440"/>
            <w:shd w:fill="FFDCE0" w:val="clear"/>
          </w:tcPr>
          <w:p>
            <w:r>
              <w:rPr>
                <w:b/>
                <w:sz w:val="17"/>
              </w:rPr>
              <w:t>38,208</w:t>
            </w:r>
          </w:p>
        </w:tc>
        <w:tc>
          <w:tcPr>
            <w:tcW w:type="dxa" w:w="1440"/>
            <w:shd w:fill="FFDCE0" w:val="clear"/>
          </w:tcPr>
          <w:p>
            <w:r>
              <w:rPr>
                <w:sz w:val="17"/>
              </w:rPr>
              <w:t>39,817</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36,326</w:t>
            </w:r>
          </w:p>
        </w:tc>
        <w:tc>
          <w:tcPr>
            <w:tcW w:type="dxa" w:w="1440"/>
            <w:shd w:fill="FFDCE0" w:val="clear"/>
          </w:tcPr>
          <w:p>
            <w:r>
              <w:rPr>
                <w:b/>
                <w:sz w:val="17"/>
              </w:rPr>
              <w:t>38,121</w:t>
            </w:r>
          </w:p>
        </w:tc>
        <w:tc>
          <w:tcPr>
            <w:tcW w:type="dxa" w:w="1440"/>
            <w:shd w:fill="FFDCE0" w:val="clear"/>
          </w:tcPr>
          <w:p>
            <w:r>
              <w:rPr>
                <w:sz w:val="17"/>
              </w:rPr>
              <w:t>39,915</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36,074</w:t>
            </w:r>
          </w:p>
        </w:tc>
        <w:tc>
          <w:tcPr>
            <w:tcW w:type="dxa" w:w="1440"/>
            <w:shd w:fill="FFDCE0" w:val="clear"/>
          </w:tcPr>
          <w:p>
            <w:r>
              <w:rPr>
                <w:b/>
                <w:sz w:val="17"/>
              </w:rPr>
              <w:t>38,036</w:t>
            </w:r>
          </w:p>
        </w:tc>
        <w:tc>
          <w:tcPr>
            <w:tcW w:type="dxa" w:w="1440"/>
            <w:shd w:fill="FFDCE0" w:val="clear"/>
          </w:tcPr>
          <w:p>
            <w:r>
              <w:rPr>
                <w:sz w:val="17"/>
              </w:rPr>
              <w:t>39,998</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35,839</w:t>
            </w:r>
          </w:p>
        </w:tc>
        <w:tc>
          <w:tcPr>
            <w:tcW w:type="dxa" w:w="1440"/>
            <w:shd w:fill="FFDCE0" w:val="clear"/>
          </w:tcPr>
          <w:p>
            <w:r>
              <w:rPr>
                <w:b/>
                <w:sz w:val="17"/>
              </w:rPr>
              <w:t>37,953</w:t>
            </w:r>
          </w:p>
        </w:tc>
        <w:tc>
          <w:tcPr>
            <w:tcW w:type="dxa" w:w="1440"/>
            <w:shd w:fill="FFDCE0" w:val="clear"/>
          </w:tcPr>
          <w:p>
            <w:r>
              <w:rPr>
                <w:sz w:val="17"/>
              </w:rPr>
              <w:t>40,068</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35,617</w:t>
            </w:r>
          </w:p>
        </w:tc>
        <w:tc>
          <w:tcPr>
            <w:tcW w:type="dxa" w:w="1440"/>
            <w:shd w:fill="FFDCE0" w:val="clear"/>
          </w:tcPr>
          <w:p>
            <w:r>
              <w:rPr>
                <w:b/>
                <w:sz w:val="17"/>
              </w:rPr>
              <w:t>37,873</w:t>
            </w:r>
          </w:p>
        </w:tc>
        <w:tc>
          <w:tcPr>
            <w:tcW w:type="dxa" w:w="1440"/>
            <w:shd w:fill="FFDCE0" w:val="clear"/>
          </w:tcPr>
          <w:p>
            <w:r>
              <w:rPr>
                <w:sz w:val="17"/>
              </w:rPr>
              <w:t>40,128</w:t>
            </w:r>
          </w:p>
        </w:tc>
        <w:tc>
          <w:tcPr>
            <w:tcW w:type="dxa" w:w="1440"/>
            <w:shd w:fill="FFDCE0" w:val="clear"/>
          </w:tcPr>
          <w:p>
            <w:r>
              <w:rPr>
                <w:b/>
                <w:color w:val="C00000"/>
                <w:sz w:val="17"/>
              </w:rPr>
              <w:t>-3.4%</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35,406</w:t>
            </w:r>
          </w:p>
        </w:tc>
        <w:tc>
          <w:tcPr>
            <w:tcW w:type="dxa" w:w="1440"/>
            <w:shd w:fill="FFDCE0" w:val="clear"/>
          </w:tcPr>
          <w:p>
            <w:r>
              <w:rPr>
                <w:b/>
                <w:sz w:val="17"/>
              </w:rPr>
              <w:t>37,794</w:t>
            </w:r>
          </w:p>
        </w:tc>
        <w:tc>
          <w:tcPr>
            <w:tcW w:type="dxa" w:w="1440"/>
            <w:shd w:fill="FFDCE0" w:val="clear"/>
          </w:tcPr>
          <w:p>
            <w:r>
              <w:rPr>
                <w:sz w:val="17"/>
              </w:rPr>
              <w:t>40,181</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35,204</w:t>
            </w:r>
          </w:p>
        </w:tc>
        <w:tc>
          <w:tcPr>
            <w:tcW w:type="dxa" w:w="1440"/>
            <w:shd w:fill="FFDCE0" w:val="clear"/>
          </w:tcPr>
          <w:p>
            <w:r>
              <w:rPr>
                <w:b/>
                <w:sz w:val="17"/>
              </w:rPr>
              <w:t>37,716</w:t>
            </w:r>
          </w:p>
        </w:tc>
        <w:tc>
          <w:tcPr>
            <w:tcW w:type="dxa" w:w="1440"/>
            <w:shd w:fill="FFDCE0" w:val="clear"/>
          </w:tcPr>
          <w:p>
            <w:r>
              <w:rPr>
                <w:sz w:val="17"/>
              </w:rPr>
              <w:t>40,227</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**Date de l'analyse :** 2026 | **Cours de référence :** 39 195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1 219,40 Mds FCFA, ce qui en fait l'une des plus importantes capitalisations de la BRVM, reflétant son statut de leader bancaire régional. Avec un BPA de 3 258 FCFA, chaque action génère un bénéfice substantiel, justifiant un PER de 12,0x. Ce niveau de valorisation se situe dans la fourchette haute des références historiques de la BRVM (8-12x), indiquant que le marché valorise déjà correctement les bénéfices actuels, sans décote particulière. Le P/B de 2,46x confirme cette perception, le marché accordant une prime de croissance de près de 150% par rapport à la valeur comptable des actifs, signe de la confiance dans la rentabilité future. Enfin, l'EV/EBITDA de 24,7x est particulièrement exigeant, signalant que la valeur totale de l'entreprise (dette incluse) est élevée par rapport à sa capacité opérationnelle, ce qui pourrait limiter le potentiel de hausse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 affiché une performance remarquable de +11,99%, avec une accélération notable lors de la dernière séance (+3,95%), portant le cours à 39 195 FCFA. Le titre a évolué dans une fourchette de 32 800 FCFA (plus bas) à 39 300 FCFA (plus haut), démontrant une tendance haussière soutenue. La moyenne du cours sur la période (36 877 FCFA) est inférieure à la médiane (37 972 FCFA), et le skewness négatif (-0.538) confirme une distribution asymétrique avec des journées de forte hausse plus fréquentes. L'écart-type de 2 132 FCFA (CV=5,8%) indique une dispersion modérée autour de la moyenne, tandis que le kurtosis négatif (-1.202) révèle une distribution platykurtique, c'est-à-dire sans pics extrêmes, signe d'une progression régulière plutôt que de mouvements erratiques. La volatilité annualisée de 24,4% classe le titre dans une zone de volatilité modérée (15-30%), acceptable pour un investisseur tolérant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(39 195 FCFA) se positionne au-dessus de la MM20 (38 467 FCFA) et de la MM50 (38 567 FCFA), ce qui témoigne d'une dynamique haussière à court et moyen terme. Cependant, la décision technique globale est "Vente", ce qui suggère que les moyennes mobiles pourraient signaler un essoufflement après une hausse rapide, ou que la configuration à plus long terme n'est pas encore alignée avec le mouvement récent.</w:t>
      </w:r>
    </w:p>
    <w:p>
      <w:pPr>
        <w:spacing w:after="120" w:line="276" w:lineRule="auto"/>
      </w:pPr>
      <w:r>
        <w:t>**Bandes de Bollinger :** Le prix se situe à 39 195 FCFA, proche de la borne supérieure (39 652 FCFA) et nettement au-dessus de la borne inférieure (37 281 FCFA). Cette position indique une pression acheteuse soutenue, mais le resserrement des bandes suggère une volatilité modérée. La décision "Neutre" reflète l'absence de signal directionnel fort, le titre n'étant pas encore en situation de surachat extrême.</w:t>
      </w:r>
    </w:p>
    <w:p>
      <w:pPr>
        <w:spacing w:after="120" w:line="276" w:lineRule="auto"/>
      </w:pPr>
      <w:r>
        <w:t>**MACD :** Le MACD (185,50) est nettement supérieur à son signal (149,65), avec un écart positif croissant. Cette configuration est un signal d'achat classique, confirmant un momentum haussier solide. La dynamique positive du MACD suggère que la tendance haussière pourrait se poursuivre à court terme, malgré les signaux de prudence émis par d'autres indicateurs.</w:t>
      </w:r>
    </w:p>
    <w:p>
      <w:pPr>
        <w:spacing w:after="120" w:line="276" w:lineRule="auto"/>
      </w:pPr>
      <w:r>
        <w:t>**RSI :** Le RSI s'établit à 59,65, se situant dans la zone neutre (30-70). Cette valeur indique que le titre n'est ni suracheté ni survendu, laissant une marge de progression avant d'atteindre des niveaux extrêmes. La décision "Neutre" est cohérente avec un marché qui conserve un potentiel haussier sans être surchauffé.</w:t>
      </w:r>
    </w:p>
    <w:p>
      <w:pPr>
        <w:spacing w:after="120" w:line="276" w:lineRule="auto"/>
      </w:pPr>
      <w:r>
        <w:t>**Stochastique :** Le %K (93,42) est très élevé et nettement au-dessus du %D (64,47), signalant une zone de surachat extrême. Cette configuration, associée à une décision "Vente", suggère qu'un repli technique est probable à très court terme, le marché ayant potentiellement anticipé les bonnes nouvelles.</w:t>
      </w:r>
    </w:p>
    <w:p>
      <w:pPr>
        <w:spacing w:after="120" w:line="276" w:lineRule="auto"/>
      </w:pPr>
      <w:r>
        <w:t>**Conclusion technique :** La divergence entre les signaux est notable : le MACD et la position du cours par rapport aux moyennes mobiles plaident pour une poursuite de la hausse, tandis que le Stochastique en surachat extrême et la décision de vente des MM appellent à la prudence. Cette configuration indique un marché en tension, où le potentiel haussier à moyen terme coexiste avec un risque de correction technique immédiate.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SGBC confirment sa position de leader bancaire : le Produit Net Bancaire (PNB) s'établit à 276,05 Mds FCFA, en croissance de +4,9% par rapport à 2024, et le résultat net atteint 101,35 Mds FCFA, franchissant pour la deuxième fois consécutive le seuil des 100 Mds. La rentabilité est exceptionnelle avec un ROE de 20,47% et un ROA de 2,69%, tandis que le coefficient d'exploitation de 38,75% démontre une efficacité opérationnelle remarquable (bien en dessous du seuil de 60%). Le coût du risque, bien que non détaillé dans les données structurées, semble maîtrisé, les provisions s'élevant à 17,99 Mds FCFA. Les dépôts clientèle (2 907,68 Mds FCFA) excèdent largement les créances clientèle (2 546,29 Mds FCFA), soit un ratio de transformation de 87,6%, indiquant une liquidité confortable. Les rapports trimestriels 2025 confirment cette dynamique : le T1 2025 (PNB de 66,3 Mds FCFA, +1,3%) et le S1 2025 (PNB de 132,0 Mds FCFA, +1,0%) montrent une croissance modérée du PNB, mais le résultat net progresse plus fortement (+2,2% au T1, +10,0% au S1), grâce à une maîtrise rigoureuse des coûts. Le cumul des 9 mois 2025 (PNB de 201,0 Mds FCFA, +2,5% ; résultat net de 83,3 Mds FCFA, +11,7%) confirme cette tendance. Sur la base de ces données, on estime que l'exercice 2025 devrait se solder par un résultat net proche de 105-110 Mds FCFA, en légère hausse par rapport à 2024. La solidité financière est renforcée par un ratio de solvabilité de 17,7% (S1 2025), bien au-dessus du minimum réglementaire, et une notation AAA, unique sur le marché. Les risques identifiés incluent une hausse des créances en souffrance (NPL à 7,8% au S1 2025) et un taux de couverture en baisse (91%), nécessitant une vigilance sur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SGBC. La valorisation (PER de 12,0x, P/B de 2,46x, EV/EBITDA de 24,7x) indique que le marché intègre déjà une croissance future, sans décote significative, ce qui limite le potentiel de hausse à court terme. Le comportement du cours sur 100 jours (+11,99%) est très positif, avec une volatilité modérée (24,4%) et une distribution statistique favorable (skewness négatif, kurtosis platykurtique), suggérant une progression régulière. Les signaux techniques sont mitigés : le MACD et la position du cours par rapport aux MM20/MM50 sont haussiers, mais le Stochastique en surachat extrême et la décision de vente des MM appellent à une correction technique imminente. Les fondamentaux sont excellents, avec un ROE de 20,47%, un coefficient d'exploitation de 38,75% et une notation AAA, soutenus par une croissance du résultat net de +11,7% sur les 9 premiers mois de 2025. Les prédictions IA (38 470 FCFA à J+1, 38 121 FCFA à J+10) confirment un léger repli technique à court terme, cohérent avec les signaux de surachat. En conséquence, la recommandation est **CONSERVER** avec un niveau de confiance **Moyen** et un risque global **Moyen**. L'horizon d'investissement optimal est le **moyen terme (3-12 mois)**, permettant d'absorber une éventuelle correction technique et de bénéficier de la solidité fondamentale et de la politique de dividende généreuse (DPA 2024 de 1 863 FCFA, +8,4%).</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4,348 titres</w:t>
            </w:r>
          </w:p>
        </w:tc>
        <w:tc>
          <w:tcPr>
            <w:tcW w:type="dxa" w:w="2268"/>
            <w:shd w:fill="FFF2CC" w:val="clear"/>
          </w:tcPr>
          <w:p>
            <w:r>
              <w:rPr>
                <w:b/>
                <w:color w:val="503200"/>
                <w:sz w:val="16"/>
              </w:rPr>
              <w:t xml:space="preserve">Cours actuel : </w:t>
            </w:r>
            <w:r>
              <w:rPr>
                <w:color w:val="000000"/>
                <w:sz w:val="17"/>
              </w:rPr>
              <w:t>2,460 FCFA</w:t>
            </w:r>
          </w:p>
          <w:p>
            <w:r>
              <w:rPr>
                <w:b/>
                <w:color w:val="503200"/>
                <w:sz w:val="16"/>
              </w:rPr>
              <w:t xml:space="preserve">Var. 100 jours : </w:t>
            </w:r>
            <w:r>
              <w:rPr>
                <w:b/>
                <w:color w:val="007800"/>
                <w:sz w:val="17"/>
              </w:rPr>
              <w:t>+13.36%</w:t>
            </w:r>
          </w:p>
          <w:p>
            <w:r>
              <w:rPr>
                <w:b/>
                <w:color w:val="503200"/>
                <w:sz w:val="16"/>
              </w:rPr>
              <w:t xml:space="preserve">Plus haut 100j : </w:t>
            </w:r>
            <w:r>
              <w:rPr>
                <w:color w:val="000000"/>
                <w:sz w:val="17"/>
              </w:rPr>
              <w:t>2,460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μ=2,114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β=1.1315 (Neutre (suit le marché)) — Cov=0.000037, Var(idx)=0.000033, ρ=0.290,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2,214</w:t>
            </w:r>
          </w:p>
        </w:tc>
        <w:tc>
          <w:tcPr>
            <w:tcW w:type="dxa" w:w="1440"/>
            <w:shd w:fill="FFDCE0" w:val="clear"/>
          </w:tcPr>
          <w:p>
            <w:r>
              <w:rPr>
                <w:b/>
                <w:sz w:val="17"/>
              </w:rPr>
              <w:t>2,300</w:t>
            </w:r>
          </w:p>
        </w:tc>
        <w:tc>
          <w:tcPr>
            <w:tcW w:type="dxa" w:w="1440"/>
            <w:shd w:fill="FFDCE0" w:val="clear"/>
          </w:tcPr>
          <w:p>
            <w:r>
              <w:rPr>
                <w:sz w:val="17"/>
              </w:rPr>
              <w:t>2,386</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2,066</w:t>
            </w:r>
          </w:p>
        </w:tc>
        <w:tc>
          <w:tcPr>
            <w:tcW w:type="dxa" w:w="1440"/>
            <w:shd w:fill="FFDCE0" w:val="clear"/>
          </w:tcPr>
          <w:p>
            <w:r>
              <w:rPr>
                <w:b/>
                <w:sz w:val="17"/>
              </w:rPr>
              <w:t>2,182</w:t>
            </w:r>
          </w:p>
        </w:tc>
        <w:tc>
          <w:tcPr>
            <w:tcW w:type="dxa" w:w="1440"/>
            <w:shd w:fill="FFDCE0" w:val="clear"/>
          </w:tcPr>
          <w:p>
            <w:r>
              <w:rPr>
                <w:sz w:val="17"/>
              </w:rPr>
              <w:t>2,297</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1,942</w:t>
            </w:r>
          </w:p>
        </w:tc>
        <w:tc>
          <w:tcPr>
            <w:tcW w:type="dxa" w:w="1440"/>
            <w:shd w:fill="FFDCE0" w:val="clear"/>
          </w:tcPr>
          <w:p>
            <w:r>
              <w:rPr>
                <w:b/>
                <w:sz w:val="17"/>
              </w:rPr>
              <w:t>2,077</w:t>
            </w:r>
          </w:p>
        </w:tc>
        <w:tc>
          <w:tcPr>
            <w:tcW w:type="dxa" w:w="1440"/>
            <w:shd w:fill="FFDCE0" w:val="clear"/>
          </w:tcPr>
          <w:p>
            <w:r>
              <w:rPr>
                <w:sz w:val="17"/>
              </w:rPr>
              <w:t>2,212</w:t>
            </w:r>
          </w:p>
        </w:tc>
        <w:tc>
          <w:tcPr>
            <w:tcW w:type="dxa" w:w="1440"/>
            <w:shd w:fill="FFDCE0" w:val="clear"/>
          </w:tcPr>
          <w:p>
            <w:r>
              <w:rPr>
                <w:b/>
                <w:color w:val="C00000"/>
                <w:sz w:val="17"/>
              </w:rPr>
              <w:t>-15.6%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w:t>
            </w:r>
          </w:p>
        </w:tc>
        <w:tc>
          <w:tcPr>
            <w:tcW w:type="dxa" w:w="1440"/>
            <w:shd w:fill="FFDCE0" w:val="clear"/>
          </w:tcPr>
          <w:p>
            <w:r>
              <w:rPr>
                <w:b/>
                <w:sz w:val="17"/>
              </w:rPr>
              <w:t>1,991</w:t>
            </w:r>
          </w:p>
        </w:tc>
        <w:tc>
          <w:tcPr>
            <w:tcW w:type="dxa" w:w="1440"/>
            <w:shd w:fill="FFDCE0" w:val="clear"/>
          </w:tcPr>
          <w:p>
            <w:r>
              <w:rPr>
                <w:sz w:val="17"/>
              </w:rPr>
              <w:t>2,140</w:t>
            </w:r>
          </w:p>
        </w:tc>
        <w:tc>
          <w:tcPr>
            <w:tcW w:type="dxa" w:w="1440"/>
            <w:shd w:fill="FFDCE0" w:val="clear"/>
          </w:tcPr>
          <w:p>
            <w:r>
              <w:rPr>
                <w:b/>
                <w:color w:val="C00000"/>
                <w:sz w:val="17"/>
              </w:rPr>
              <w:t>-19.1%</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1,761</w:t>
            </w:r>
          </w:p>
        </w:tc>
        <w:tc>
          <w:tcPr>
            <w:tcW w:type="dxa" w:w="1440"/>
            <w:shd w:fill="FFDCE0" w:val="clear"/>
          </w:tcPr>
          <w:p>
            <w:r>
              <w:rPr>
                <w:b/>
                <w:sz w:val="17"/>
              </w:rPr>
              <w:t>1,922</w:t>
            </w:r>
          </w:p>
        </w:tc>
        <w:tc>
          <w:tcPr>
            <w:tcW w:type="dxa" w:w="1440"/>
            <w:shd w:fill="FFDCE0" w:val="clear"/>
          </w:tcPr>
          <w:p>
            <w:r>
              <w:rPr>
                <w:sz w:val="17"/>
              </w:rPr>
              <w:t>2,083</w:t>
            </w:r>
          </w:p>
        </w:tc>
        <w:tc>
          <w:tcPr>
            <w:tcW w:type="dxa" w:w="1440"/>
            <w:shd w:fill="FFDCE0" w:val="clear"/>
          </w:tcPr>
          <w:p>
            <w:r>
              <w:rPr>
                <w:b/>
                <w:color w:val="C00000"/>
                <w:sz w:val="17"/>
              </w:rPr>
              <w:t>-21.9%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1,693</w:t>
            </w:r>
          </w:p>
        </w:tc>
        <w:tc>
          <w:tcPr>
            <w:tcW w:type="dxa" w:w="1440"/>
            <w:shd w:fill="FFDCE0" w:val="clear"/>
          </w:tcPr>
          <w:p>
            <w:r>
              <w:rPr>
                <w:b/>
                <w:sz w:val="17"/>
              </w:rPr>
              <w:t>1,864</w:t>
            </w:r>
          </w:p>
        </w:tc>
        <w:tc>
          <w:tcPr>
            <w:tcW w:type="dxa" w:w="1440"/>
            <w:shd w:fill="FFDCE0" w:val="clear"/>
          </w:tcPr>
          <w:p>
            <w:r>
              <w:rPr>
                <w:sz w:val="17"/>
              </w:rPr>
              <w:t>2,036</w:t>
            </w:r>
          </w:p>
        </w:tc>
        <w:tc>
          <w:tcPr>
            <w:tcW w:type="dxa" w:w="1440"/>
            <w:shd w:fill="FFDCE0" w:val="clear"/>
          </w:tcPr>
          <w:p>
            <w:r>
              <w:rPr>
                <w:b/>
                <w:color w:val="C00000"/>
                <w:sz w:val="17"/>
              </w:rPr>
              <w:t>-24.2%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1,636</w:t>
            </w:r>
          </w:p>
        </w:tc>
        <w:tc>
          <w:tcPr>
            <w:tcW w:type="dxa" w:w="1440"/>
            <w:shd w:fill="FFDCE0" w:val="clear"/>
          </w:tcPr>
          <w:p>
            <w:r>
              <w:rPr>
                <w:b/>
                <w:sz w:val="17"/>
              </w:rPr>
              <w:t>1,816</w:t>
            </w:r>
          </w:p>
        </w:tc>
        <w:tc>
          <w:tcPr>
            <w:tcW w:type="dxa" w:w="1440"/>
            <w:shd w:fill="FFDCE0" w:val="clear"/>
          </w:tcPr>
          <w:p>
            <w:r>
              <w:rPr>
                <w:sz w:val="17"/>
              </w:rPr>
              <w:t>1,996</w:t>
            </w:r>
          </w:p>
        </w:tc>
        <w:tc>
          <w:tcPr>
            <w:tcW w:type="dxa" w:w="1440"/>
            <w:shd w:fill="FFDCE0" w:val="clear"/>
          </w:tcPr>
          <w:p>
            <w:r>
              <w:rPr>
                <w:b/>
                <w:color w:val="C00000"/>
                <w:sz w:val="17"/>
              </w:rPr>
              <w:t>-26.2%</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1,585</w:t>
            </w:r>
          </w:p>
        </w:tc>
        <w:tc>
          <w:tcPr>
            <w:tcW w:type="dxa" w:w="1440"/>
            <w:shd w:fill="FFDCE0" w:val="clear"/>
          </w:tcPr>
          <w:p>
            <w:r>
              <w:rPr>
                <w:b/>
                <w:sz w:val="17"/>
              </w:rPr>
              <w:t>1,773</w:t>
            </w:r>
          </w:p>
        </w:tc>
        <w:tc>
          <w:tcPr>
            <w:tcW w:type="dxa" w:w="1440"/>
            <w:shd w:fill="FFDCE0" w:val="clear"/>
          </w:tcPr>
          <w:p>
            <w:r>
              <w:rPr>
                <w:sz w:val="17"/>
              </w:rPr>
              <w:t>1,961</w:t>
            </w:r>
          </w:p>
        </w:tc>
        <w:tc>
          <w:tcPr>
            <w:tcW w:type="dxa" w:w="1440"/>
            <w:shd w:fill="FFDCE0" w:val="clear"/>
          </w:tcPr>
          <w:p>
            <w:r>
              <w:rPr>
                <w:b/>
                <w:color w:val="C00000"/>
                <w:sz w:val="17"/>
              </w:rPr>
              <w:t>-27.9%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1,539</w:t>
            </w:r>
          </w:p>
        </w:tc>
        <w:tc>
          <w:tcPr>
            <w:tcW w:type="dxa" w:w="1440"/>
            <w:shd w:fill="FFDCE0" w:val="clear"/>
          </w:tcPr>
          <w:p>
            <w:r>
              <w:rPr>
                <w:b/>
                <w:sz w:val="17"/>
              </w:rPr>
              <w:t>1,734</w:t>
            </w:r>
          </w:p>
        </w:tc>
        <w:tc>
          <w:tcPr>
            <w:tcW w:type="dxa" w:w="1440"/>
            <w:shd w:fill="FFDCE0" w:val="clear"/>
          </w:tcPr>
          <w:p>
            <w:r>
              <w:rPr>
                <w:sz w:val="17"/>
              </w:rPr>
              <w:t>1,929</w:t>
            </w:r>
          </w:p>
        </w:tc>
        <w:tc>
          <w:tcPr>
            <w:tcW w:type="dxa" w:w="1440"/>
            <w:shd w:fill="FFDCE0" w:val="clear"/>
          </w:tcPr>
          <w:p>
            <w:r>
              <w:rPr>
                <w:b/>
                <w:color w:val="C00000"/>
                <w:sz w:val="17"/>
              </w:rPr>
              <w:t>-29.5%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1,498</w:t>
            </w:r>
          </w:p>
        </w:tc>
        <w:tc>
          <w:tcPr>
            <w:tcW w:type="dxa" w:w="1440"/>
            <w:shd w:fill="FFDCE0" w:val="clear"/>
          </w:tcPr>
          <w:p>
            <w:r>
              <w:rPr>
                <w:b/>
                <w:sz w:val="17"/>
              </w:rPr>
              <w:t>1,699</w:t>
            </w:r>
          </w:p>
        </w:tc>
        <w:tc>
          <w:tcPr>
            <w:tcW w:type="dxa" w:w="1440"/>
            <w:shd w:fill="FFDCE0" w:val="clear"/>
          </w:tcPr>
          <w:p>
            <w:r>
              <w:rPr>
                <w:sz w:val="17"/>
              </w:rPr>
              <w:t>1,900</w:t>
            </w:r>
          </w:p>
        </w:tc>
        <w:tc>
          <w:tcPr>
            <w:tcW w:type="dxa" w:w="1440"/>
            <w:shd w:fill="FFDCE0" w:val="clear"/>
          </w:tcPr>
          <w:p>
            <w:r>
              <w:rPr>
                <w:b/>
                <w:color w:val="C00000"/>
                <w:sz w:val="17"/>
              </w:rPr>
              <w:t>-30.9%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154,98 milliards FCFA, un niveau significatif qui la positionne parmi les valeurs moyennes de la BRVM, reflétant un profil de distribution pétrolier majeur en Côte d'Ivoire. Le BPA de 96 FCFA par action indique que chaque titre génère un bénéfice modeste, ce qui explique un PER de 25,7x, très supérieur à la moyenne du marché BRVM (8-12x). Ce niveau de valorisation suggère que les investisseurs anticipent une croissance future des bénéfices ou acceptent de payer une prime pour la solidité de la marque Vivo Energy. Le P/B de 5,71x confirme cette prime, le marché valorisant le titre bien au-delà de sa valeur comptable (27,16 Mds FCFA de capitaux propres). Enfin, l'EV/EBITDA de 13,5x, dans la fourchette haute (10-15x), indique que la valeur totale de l'entreprise (capitalisation + dette nette) reste élevée par rapport à sa capacité opérationnelle, ce qui renforce le constat d'une valorisation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+13,36%, avec une dernière séance en hausse de +0,41% à 2 460 FCFA, proche de son plus haut sur la période. Le cours a évolué dans une fourchette de 1 840 à 2 460 FCFA, démontrant une dynamique haussière soutenue. La moyenne (2 114 FCFA) est inférieure à la médiane (2 160 FCFA), indiquant une distribution légèrement asymétrique avec des valeurs extrêmes élevées tirant la moyenne vers le haut. L'écart-type de 139 FCFA (CV=6,6%) révèle une dispersion relativement faible autour de la moyenne, signe d'une certaine stabilité relative. Le kurtosis de -0,520 (mésokurtique) suggère un risque de pics limité, proche d'une distribution normale, tandis que le skewness de 0,077 confirme une symétrie quasi parfaite. La volatilité annualisée de 35,2% classe le titre dans la catégorie élevée (&gt;30%), indiquant des fluctuations importantes malgré une tendance haussière marquée.</w:t>
      </w:r>
    </w:p>
    <w:p>
      <w:pPr>
        <w:spacing w:after="120" w:line="276" w:lineRule="auto" w:before="240"/>
      </w:pPr>
      <w:r>
        <w:rPr>
          <w:b/>
          <w:color w:val="003366"/>
          <w:sz w:val="24"/>
        </w:rPr>
        <w:t>**PARTIE 2 : ANALYSE TECHNIQUE DÉTAILLÉE**</w:t>
      </w:r>
    </w:p>
    <w:p>
      <w:pPr>
        <w:spacing w:after="120" w:line="276" w:lineRule="auto"/>
      </w:pPr>
      <w:r>
        <w:t>**Moyennes Mobiles** : Le cours actuel (2 460 FCFA) se situe nettement au-dessus de la MM20 (2 278,75 FCFA) et de la MM50 (2 211,2 FCFA), avec un écart positif croissant. Cette configuration haussière, où les moyennes sont orientées à la hausse et le cours les dépasse, confirme une tendance de fond positive. La décision "Achat" est justifiée par cette dynamique de momentum.</w:t>
      </w:r>
    </w:p>
    <w:p>
      <w:pPr>
        <w:spacing w:after="120" w:line="276" w:lineRule="auto"/>
      </w:pPr>
      <w:r>
        <w:t>**Bandes de Bollinger** : Le prix évolue à 2 460 FCFA, très proche de la borne supérieure (2 476,84 FCFA), indiquant une pression acheteuse intense. La largeur des bandes (écart de 396 FCFA) reflète une volatilité élevée. La décision "Neutre" s'explique par le fait que le cours n'a pas encore franchi la borne, mais la proximité suggère un possible retournement ou une poursuite de la tendance.</w:t>
      </w:r>
    </w:p>
    <w:p>
      <w:pPr>
        <w:spacing w:after="120" w:line="276" w:lineRule="auto"/>
      </w:pPr>
      <w:r>
        <w:t>**MACD** : Le MACD (61,28) est nettement supérieur à son signal (42,63), avec un écart positif de 18,65 points. Cette divergence positive indique un momentum haussier fort et persistant. La décision "Achat" est cohérente avec cette dynamique, même si l'écart important pourrait signaler une saturation à court terme.</w:t>
      </w:r>
    </w:p>
    <w:p>
      <w:pPr>
        <w:spacing w:after="120" w:line="276" w:lineRule="auto"/>
      </w:pPr>
      <w:r>
        <w:t>**RSI** : À 75,49, le RSI est en zone de surachat (&gt;70), indiquant que le titre est potentiellement surévalué à court terme. Cette situation suggère un risque de correction technique, justifiant la décision "Vente". Les acheteurs ont été très actifs, mais la pression vendeuse pourrait s'intensifier.</w:t>
      </w:r>
    </w:p>
    <w:p>
      <w:pPr>
        <w:spacing w:after="120" w:line="276" w:lineRule="auto"/>
      </w:pPr>
      <w:r>
        <w:t>**Stochastique** : Le %K et le %D sont tous deux à 100, un niveau extrême de surachat. Cette configuration indique que le titre est fortement suracheté, avec un risque élevé de retournement. La décision "Vente" est justifiée par cette position extrême, même si elle peut persister en tendance haussière forte.</w:t>
      </w:r>
    </w:p>
    <w:p>
      <w:pPr>
        <w:spacing w:after="120" w:line="276" w:lineRule="auto"/>
      </w:pPr>
      <w:r>
        <w:t>**Conclusion technique** : Les indicateurs de tendance (MM, MACD) sont positifs, mais les oscillateurs (RSI, Stochastique) signalent un surachat extrême. Cette divergence entre tendance et momentum suggère une possible consolidation à court terme avant une poursuite de la hausse. La prudence est recommandée pour les nouveaux achats, tandis que les positions existantes peuvent être conservées.</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604,98 milliards FCFA, en légère progression de +0,71% par rapport à 2024 (600,71 Mds FCFA), avec un résultat net de 6,03 milliards FCFA, en hausse de +12,6% (source : états financiers annuels 2025, rapport du 24 juin 2026). La marge nette reste faible à 1%, mais le ROE est excellent à 22,2%, démontrant une création de valeur efficace pour les actionnaires, tandis que le ROA s'établit à 3,1%. En tant qu'entreprise de distribution pétrolière, les délais clients (23,27 jours) et fournisseurs (35,47 jours) sont bien gérés, avec un BFR de 15,3 Mds FCFA. Cependant, la trésorerie nette est fortement négative (-65,26 Mds FCFA) et l'endettement total atteint 166,4 Mds FCFA, avec une autonomie financière faible (14%). Sur la base du rapport S1 2026 (CA de 305,04 Mds FCFA, -1% vs S1 2025, résultat net de 3,02 Mds FCFA), on estime que l'exercice 2026 devrait afficher une stabilisation du CA autour de 600 Mds FCFA, avec un résultat net potentiel de 6,5 à 7 Mds FCFA si la maîtrise des charges se poursuit. Le dividende proposé de 6,09 Mds FCFA (taux de distribution de 101%) témoigne d'une politique généreuse mais fragile. Les fondamentaux montrent une amélioration de la rentabilité, mais la structure financière reste préoccupante.</w:t>
      </w:r>
    </w:p>
    <w:p>
      <w:pPr>
        <w:spacing w:after="120" w:line="276" w:lineRule="auto" w:before="240"/>
      </w:pPr>
      <w:r>
        <w:rPr>
          <w:b/>
          <w:color w:val="003366"/>
          <w:sz w:val="24"/>
        </w:rPr>
        <w:t>**PARTIE 4 : CONCLUSION D'INVESTISSEMENT**</w:t>
      </w:r>
    </w:p>
    <w:p>
      <w:pPr>
        <w:spacing w:after="120" w:line="276" w:lineRule="auto"/>
      </w:pPr>
      <w:r>
        <w:t>La valorisation de SHEC (PER 25,7x, P/B 5,71x, EV/EBITDA 13,5x) indique une surévaluation relative par rapport au marché BRVM, les investisseurs payant une prime pour la solidité de la marque et les perspectives de croissance. Le comportement du cours sur 100 jours (+13,36%) est favorable, avec une volatilité élevée (35,2%) et une distribution symétrique, mais le surachat technique (RSI 75,49, Stochastique 100) suggère un risque de correction à court terme. Les signaux techniques sont mitigés : les moyennes mobiles et le MACD restent positifs, mais les oscillateurs appellent à la prudence. Les fondamentaux montrent une amélioration de la rentabilité (ROE 22,2%) mais une trésorerie nette très négative (-65,26 Mds FCFA) et un endettement élevé, avec une marge nette fragile de 1%. Les prédictions IA (2 300 à 1 922 FCFA sur 10 jours) confirment un repli probable, en cohérence avec les signaux de surachat. En synthèse, la convergence entre la surévaluation, les signaux techniques de surachat et les prédictions baissières conduit à une recommandation **CONSERVER**, avec un niveau de confiance **Moyen** et un risque global **Élevé**. L'horizon d'investissement optimal serait le **moyen terme (3-12 mois)**, en attendant une correction du cours et une amélioration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8,924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+27.66%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10.84% (Moyenne) — μ=8,221 FCFA, σ=891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β=0.4797 (Défensif) — Cov=0.000016, Var(idx)=0.000033, ρ=0.152,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8,416</w:t>
            </w:r>
          </w:p>
        </w:tc>
        <w:tc>
          <w:tcPr>
            <w:tcW w:type="dxa" w:w="1440"/>
            <w:shd w:fill="FFDCE0" w:val="clear"/>
          </w:tcPr>
          <w:p>
            <w:r>
              <w:rPr>
                <w:b/>
                <w:sz w:val="17"/>
              </w:rPr>
              <w:t>8,690</w:t>
            </w:r>
          </w:p>
        </w:tc>
        <w:tc>
          <w:tcPr>
            <w:tcW w:type="dxa" w:w="1440"/>
            <w:shd w:fill="FFDCE0" w:val="clear"/>
          </w:tcPr>
          <w:p>
            <w:r>
              <w:rPr>
                <w:sz w:val="17"/>
              </w:rPr>
              <w:t>8,964</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8,038</w:t>
            </w:r>
          </w:p>
        </w:tc>
        <w:tc>
          <w:tcPr>
            <w:tcW w:type="dxa" w:w="1440"/>
            <w:shd w:fill="FFDCE0" w:val="clear"/>
          </w:tcPr>
          <w:p>
            <w:r>
              <w:rPr>
                <w:b/>
                <w:sz w:val="17"/>
              </w:rPr>
              <w:t>8,413</w:t>
            </w:r>
          </w:p>
        </w:tc>
        <w:tc>
          <w:tcPr>
            <w:tcW w:type="dxa" w:w="1440"/>
            <w:shd w:fill="FFDCE0" w:val="clear"/>
          </w:tcPr>
          <w:p>
            <w:r>
              <w:rPr>
                <w:sz w:val="17"/>
              </w:rPr>
              <w:t>8,789</w:t>
            </w:r>
          </w:p>
        </w:tc>
        <w:tc>
          <w:tcPr>
            <w:tcW w:type="dxa" w:w="1440"/>
            <w:shd w:fill="FFDCE0" w:val="clear"/>
          </w:tcPr>
          <w:p>
            <w:r>
              <w:rPr>
                <w:b/>
                <w:color w:val="C00000"/>
                <w:sz w:val="17"/>
              </w:rPr>
              <w:t>-6.5%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7,723</w:t>
            </w:r>
          </w:p>
        </w:tc>
        <w:tc>
          <w:tcPr>
            <w:tcW w:type="dxa" w:w="1440"/>
            <w:shd w:fill="FFDCE0" w:val="clear"/>
          </w:tcPr>
          <w:p>
            <w:r>
              <w:rPr>
                <w:b/>
                <w:sz w:val="17"/>
              </w:rPr>
              <w:t>8,170</w:t>
            </w:r>
          </w:p>
        </w:tc>
        <w:tc>
          <w:tcPr>
            <w:tcW w:type="dxa" w:w="1440"/>
            <w:shd w:fill="FFDCE0" w:val="clear"/>
          </w:tcPr>
          <w:p>
            <w:r>
              <w:rPr>
                <w:sz w:val="17"/>
              </w:rPr>
              <w:t>8,616</w:t>
            </w:r>
          </w:p>
        </w:tc>
        <w:tc>
          <w:tcPr>
            <w:tcW w:type="dxa" w:w="1440"/>
            <w:shd w:fill="FFDCE0" w:val="clear"/>
          </w:tcPr>
          <w:p>
            <w:r>
              <w:rPr>
                <w:b/>
                <w:color w:val="C00000"/>
                <w:sz w:val="17"/>
              </w:rPr>
              <w:t>-9.2%</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7,460</w:t>
            </w:r>
          </w:p>
        </w:tc>
        <w:tc>
          <w:tcPr>
            <w:tcW w:type="dxa" w:w="1440"/>
            <w:shd w:fill="FFDCE0" w:val="clear"/>
          </w:tcPr>
          <w:p>
            <w:r>
              <w:rPr>
                <w:b/>
                <w:sz w:val="17"/>
              </w:rPr>
              <w:t>7,962</w:t>
            </w:r>
          </w:p>
        </w:tc>
        <w:tc>
          <w:tcPr>
            <w:tcW w:type="dxa" w:w="1440"/>
            <w:shd w:fill="FFDCE0" w:val="clear"/>
          </w:tcPr>
          <w:p>
            <w:r>
              <w:rPr>
                <w:sz w:val="17"/>
              </w:rPr>
              <w:t>8,464</w:t>
            </w:r>
          </w:p>
        </w:tc>
        <w:tc>
          <w:tcPr>
            <w:tcW w:type="dxa" w:w="1440"/>
            <w:shd w:fill="FFDCE0" w:val="clear"/>
          </w:tcPr>
          <w:p>
            <w:r>
              <w:rPr>
                <w:b/>
                <w:color w:val="C00000"/>
                <w:sz w:val="17"/>
              </w:rPr>
              <w:t>-11.5%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7,235</w:t>
            </w:r>
          </w:p>
        </w:tc>
        <w:tc>
          <w:tcPr>
            <w:tcW w:type="dxa" w:w="1440"/>
            <w:shd w:fill="FFDCE0" w:val="clear"/>
          </w:tcPr>
          <w:p>
            <w:r>
              <w:rPr>
                <w:b/>
                <w:sz w:val="17"/>
              </w:rPr>
              <w:t>7,784</w:t>
            </w:r>
          </w:p>
        </w:tc>
        <w:tc>
          <w:tcPr>
            <w:tcW w:type="dxa" w:w="1440"/>
            <w:shd w:fill="FFDCE0" w:val="clear"/>
          </w:tcPr>
          <w:p>
            <w:r>
              <w:rPr>
                <w:sz w:val="17"/>
              </w:rPr>
              <w:t>8,333</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7,041</w:t>
            </w:r>
          </w:p>
        </w:tc>
        <w:tc>
          <w:tcPr>
            <w:tcW w:type="dxa" w:w="1440"/>
            <w:shd w:fill="FFDCE0" w:val="clear"/>
          </w:tcPr>
          <w:p>
            <w:r>
              <w:rPr>
                <w:b/>
                <w:sz w:val="17"/>
              </w:rPr>
              <w:t>7,630</w:t>
            </w:r>
          </w:p>
        </w:tc>
        <w:tc>
          <w:tcPr>
            <w:tcW w:type="dxa" w:w="1440"/>
            <w:shd w:fill="FFDCE0" w:val="clear"/>
          </w:tcPr>
          <w:p>
            <w:r>
              <w:rPr>
                <w:sz w:val="17"/>
              </w:rPr>
              <w:t>8,219</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6,868</w:t>
            </w:r>
          </w:p>
        </w:tc>
        <w:tc>
          <w:tcPr>
            <w:tcW w:type="dxa" w:w="1440"/>
            <w:shd w:fill="FFDCE0" w:val="clear"/>
          </w:tcPr>
          <w:p>
            <w:r>
              <w:rPr>
                <w:b/>
                <w:sz w:val="17"/>
              </w:rPr>
              <w:t>7,494</w:t>
            </w:r>
          </w:p>
        </w:tc>
        <w:tc>
          <w:tcPr>
            <w:tcW w:type="dxa" w:w="1440"/>
            <w:shd w:fill="FFDCE0" w:val="clear"/>
          </w:tcPr>
          <w:p>
            <w:r>
              <w:rPr>
                <w:sz w:val="17"/>
              </w:rPr>
              <w:t>8,119</w:t>
            </w:r>
          </w:p>
        </w:tc>
        <w:tc>
          <w:tcPr>
            <w:tcW w:type="dxa" w:w="1440"/>
            <w:shd w:fill="FFDCE0" w:val="clear"/>
          </w:tcPr>
          <w:p>
            <w:r>
              <w:rPr>
                <w:b/>
                <w:color w:val="C00000"/>
                <w:sz w:val="17"/>
              </w:rPr>
              <w:t>-16.7%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6,714</w:t>
            </w:r>
          </w:p>
        </w:tc>
        <w:tc>
          <w:tcPr>
            <w:tcW w:type="dxa" w:w="1440"/>
            <w:shd w:fill="FFDCE0" w:val="clear"/>
          </w:tcPr>
          <w:p>
            <w:r>
              <w:rPr>
                <w:b/>
                <w:sz w:val="17"/>
              </w:rPr>
              <w:t>7,371</w:t>
            </w:r>
          </w:p>
        </w:tc>
        <w:tc>
          <w:tcPr>
            <w:tcW w:type="dxa" w:w="1440"/>
            <w:shd w:fill="FFDCE0" w:val="clear"/>
          </w:tcPr>
          <w:p>
            <w:r>
              <w:rPr>
                <w:sz w:val="17"/>
              </w:rPr>
              <w:t>8,029</w:t>
            </w:r>
          </w:p>
        </w:tc>
        <w:tc>
          <w:tcPr>
            <w:tcW w:type="dxa" w:w="1440"/>
            <w:shd w:fill="FFDCE0" w:val="clear"/>
          </w:tcPr>
          <w:p>
            <w:r>
              <w:rPr>
                <w:b/>
                <w:color w:val="C00000"/>
                <w:sz w:val="17"/>
              </w:rPr>
              <w:t>-18.1%</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6,573</w:t>
            </w:r>
          </w:p>
        </w:tc>
        <w:tc>
          <w:tcPr>
            <w:tcW w:type="dxa" w:w="1440"/>
            <w:shd w:fill="FFDCE0" w:val="clear"/>
          </w:tcPr>
          <w:p>
            <w:r>
              <w:rPr>
                <w:b/>
                <w:sz w:val="17"/>
              </w:rPr>
              <w:t>7,260</w:t>
            </w:r>
          </w:p>
        </w:tc>
        <w:tc>
          <w:tcPr>
            <w:tcW w:type="dxa" w:w="1440"/>
            <w:shd w:fill="FFDCE0" w:val="clear"/>
          </w:tcPr>
          <w:p>
            <w:r>
              <w:rPr>
                <w:sz w:val="17"/>
              </w:rPr>
              <w:t>7,947</w:t>
            </w:r>
          </w:p>
        </w:tc>
        <w:tc>
          <w:tcPr>
            <w:tcW w:type="dxa" w:w="1440"/>
            <w:shd w:fill="FFDCE0" w:val="clear"/>
          </w:tcPr>
          <w:p>
            <w:r>
              <w:rPr>
                <w:b/>
                <w:color w:val="C00000"/>
                <w:sz w:val="17"/>
              </w:rPr>
              <w:t>-19.3%</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6,444</w:t>
            </w:r>
          </w:p>
        </w:tc>
        <w:tc>
          <w:tcPr>
            <w:tcW w:type="dxa" w:w="1440"/>
            <w:shd w:fill="FFDCE0" w:val="clear"/>
          </w:tcPr>
          <w:p>
            <w:r>
              <w:rPr>
                <w:b/>
                <w:sz w:val="17"/>
              </w:rPr>
              <w:t>7,158</w:t>
            </w:r>
          </w:p>
        </w:tc>
        <w:tc>
          <w:tcPr>
            <w:tcW w:type="dxa" w:w="1440"/>
            <w:shd w:fill="FFDCE0" w:val="clear"/>
          </w:tcPr>
          <w:p>
            <w:r>
              <w:rPr>
                <w:sz w:val="17"/>
              </w:rPr>
              <w:t>7,872</w:t>
            </w:r>
          </w:p>
        </w:tc>
        <w:tc>
          <w:tcPr>
            <w:tcW w:type="dxa" w:w="1440"/>
            <w:shd w:fill="FFDCE0" w:val="clear"/>
          </w:tcPr>
          <w:p>
            <w:r>
              <w:rPr>
                <w:b/>
                <w:color w:val="C00000"/>
                <w:sz w:val="17"/>
              </w:rPr>
              <w:t>-20.5%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votre rapport d'analyse financière structuré pour l'action SIBC (Société Ivoirienne de Banque)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s'élève à 900 milliards FCFA, ce qui en fait l'une des valeurs les plus lourdes et les plus liquides de la BRVM, représentant un poids considérable dans l'indice principal. Avec un BPA de 556 FCFA, le titre se négocie à un PER de 16,2x, nettement supérieur à la moyenne historique du marché (8-12x), indiquant que les investisseurs paient une prime substantielle pour la qualité des bénéfices de la banque. Cette prime est confirmée par un P/B de 4,4x, signifiant que le marché valorise l'actif net comptable plus de quatre fois sa valeur, et un EV/EBITDA de 15,0x, qui reste exigeant. Ces ratios suggèrent une valorisation qui intègre déjà des attentes de croissance et de performance élevées, laissant peu de marge d'erreur en cas de déception.</w:t>
      </w:r>
    </w:p>
    <w:p>
      <w:pPr>
        <w:spacing w:after="120" w:line="276" w:lineRule="auto"/>
      </w:pPr>
      <w:r>
        <w:t>### PARTIE 1 : ANALYSE DU COURS — STATISTIQUES ET ÉVOLUTION (100 derniers jours)</w:t>
      </w:r>
    </w:p>
    <w:p>
      <w:pPr>
        <w:spacing w:after="120" w:line="276" w:lineRule="auto"/>
      </w:pPr>
      <w:r>
        <w:t>Sur les 100 derniers jours, l'action SIBC a affiché une performance remarquable de +27,66%, passant d'un plus bas de 6 805 FCFA à un plus haut de 9 500 FCFA, avant de clôturer à 9 000 FCFA, soit une légère baisse de -1,10% lors de la dernière séance. La moyenne du cours sur la période est de 8 221 FCFA, tandis que la médiane est plus élevée (8 700 FCFA), ce qui, combiné à un skewness négatif (-0.408), suggère que la distribution des prix a été asymétrique avec des épisodes de fortes baisses suivis de fortes hausses. L'écart-type de 896 FCFA (CV=10,9%) indique une dispersion modérée autour de la moyenne. Le kurtosis négatif (-1.578) révèle une distribution platykurtique, signifiant une faible concentration des prix autour de la moyenne et un risque de mouvements brusques moins fréquent. La volatilité annualisée de 28,5% classe le titre dans une catégorie à risque élevé, mais la tendance globale reste résolument haussière.</w:t>
      </w:r>
    </w:p>
    <w:p>
      <w:pPr>
        <w:spacing w:after="120" w:line="276" w:lineRule="auto"/>
      </w:pPr>
      <w:r>
        <w:t>### PARTIE 2 : ANALYSE TECHNIQUE DÉTAILLÉE</w:t>
      </w:r>
    </w:p>
    <w:p>
      <w:pPr>
        <w:spacing w:after="120" w:line="276" w:lineRule="auto"/>
      </w:pPr>
      <w:r>
        <w:t>**Moyennes Mobiles :** Le cours actuel (9 000 FCFA) est inférieur à la MM20 (9 121,5 FCFA) mais supérieur à la MM50 (8 958,0 FCFA). Cette configuration, où le prix est sous la moyenne à court terme mais au-dessus de la moyenne à long terme, indique un possible essoufflement du momentum haussier à très court terme, mais une tendance de fond toujours positive. Le signal global reste un "Achat", car la structure haussière à moyen terme est intacte.</w:t>
      </w:r>
    </w:p>
    <w:p>
      <w:pPr>
        <w:spacing w:after="120" w:line="276" w:lineRule="auto"/>
      </w:pPr>
      <w:r>
        <w:t>**Bandes de Bollinger :** Le prix se situe à 9 000 FCFA, entre la borne supérieure (9 518,94 FCFA) et la borne inférieure (8 724,06 FCFA), proche de la moyenne. Cette position neutre suggère une phase de consolidation après une période de forte volatilité. La largeur des bandes indique une volatilité encore élevée, mais le signal est "Neutre", le prix n'étant pas en situation de surachat ou de survente extrême.</w:t>
      </w:r>
    </w:p>
    <w:p>
      <w:pPr>
        <w:spacing w:after="120" w:line="276" w:lineRule="auto"/>
      </w:pPr>
      <w:r>
        <w:t>**MACD :** La valeur du MACD (76,353) est passée sous sa ligne de signal (102,958), ce qui constitue un croisement baissier. Ce signal de "Vente" indique un ralentissement du momentum haussier et pourrait précéder une correction ou une phase de consolidation plus profonde. C'est le signal technique le plus baissier actuellement.</w:t>
      </w:r>
    </w:p>
    <w:p>
      <w:pPr>
        <w:spacing w:after="120" w:line="276" w:lineRule="auto"/>
      </w:pPr>
      <w:r>
        <w:t>**RSI :** Le RSI est à 50,0, une valeur parfaitement neutre. Cela signifie que le titre n'est ni suracheté (ce qui pourrait précéder une baisse) ni survendu (ce qui pourrait précéder une hausse). Le marché est dans un état d'équilibre, sans pression d'achat ou de vente dominante, ce qui justifie la décision "Neutre".</w:t>
      </w:r>
    </w:p>
    <w:p>
      <w:pPr>
        <w:spacing w:after="120" w:line="276" w:lineRule="auto"/>
      </w:pPr>
      <w:r>
        <w:t>**Stochastique :** Le %K (28,571) est inférieur à %D (44,643), indiquant que le titre est en zone de survente relative. Bien que le signal soit "Neutre", la position basse de %K suggère un potentiel de rebond technique à court terme, mais il faudra surveiller un éventuel croisement haussier pour confirmer cette hypothèse.</w:t>
      </w:r>
    </w:p>
    <w:p>
      <w:pPr>
        <w:spacing w:after="120" w:line="276" w:lineRule="auto"/>
      </w:pPr>
      <w:r>
        <w:t>**Conclusion technique :** Les indicateurs techniques sont mitigés. La tendance de fond (MM50) reste haussière, mais les signaux à court terme (MACD baissier, prix sous MM20) et le RSI neutre suggèrent une phase de consolidation ou de correction. Le Stochastique, en zone de survente, pourrait offrir un point d'entrée opportun si un signal de retournement se confirme. Globalement, le titre est dans une phase de pause après une forte progression.</w:t>
      </w:r>
    </w:p>
    <w:p>
      <w:pPr>
        <w:spacing w:after="120" w:line="276" w:lineRule="auto"/>
      </w:pPr>
      <w:r>
        <w:t>### PARTIE 3 : ANALYSE FONDAMENTALE (SECTION CRITIQUE)</w:t>
      </w:r>
    </w:p>
    <w:p>
      <w:pPr>
        <w:spacing w:after="120" w:line="276" w:lineRule="auto"/>
      </w:pPr>
      <w:r>
        <w:t>En 2025, la SIBC affiche des fondamentaux solides avec un Produit Net Bancaire (PNB) de 108,66 milliards FCFA et un résultat net de 55,62 milliards FCFA. La banque démontre une excellente efficacité opérationnelle avec un coefficient d'exploitation de 38,59%, bien en dessous du seuil de 60% considéré comme sain, et une rentabilité exceptionnelle avec un ROE de 27,16% et un ROA de 2,96%. Le coût du risque, bien que non chiffré précisément, est présent dans les provisions (14,12 Mds FCFA), mais la forte croissance du PNB (+5,74%) et la maîtrise des charges indiquent une gestion prudente. Les rapports trimestriels de 2025 confirment cette dynamique : le T1 2025 (PNB +12%, RN +10%) et le S1 2025 (PNB +9%, RN +15%) montrent une accélération, tandis que le T3 2025 (PNB +8%, RN +11%) confirme la tendance. Sur la base de ces performances, on estime que l'exercice 2025 devrait dépasser les chiffres de 2024 (PNB 102,8 Mds, RN 50,2 Mds). Le rapport T1 2026 (PNB +4%, RN +11%) suggère une poursuite de la croissance, bien que plus modérée. La banque, avec un total de bilan de 1 881,73 Mds FCFA et des dépôts clients massifs (1 503,44 Mds FCFA), conserve une position de leader et une capacité de transformation élevée, malgré une autonomie financière (10,88%) qui reste un point de vigilance.</w:t>
      </w:r>
    </w:p>
    <w:p>
      <w:pPr>
        <w:spacing w:after="120" w:line="276" w:lineRule="auto"/>
      </w:pPr>
      <w:r>
        <w:t>### PARTIE 4 : CONCLUSION D'INVESTISSEMENT</w:t>
      </w:r>
    </w:p>
    <w:p>
      <w:pPr>
        <w:spacing w:after="120" w:line="276" w:lineRule="auto"/>
      </w:pPr>
      <w:r>
        <w:t>La valorisation de SIBC est exigeante (PER 16,2x, P/B 4,4x), intégrant déjà des attentes élevées. Le comportement du cours sur 100 jours est haussier mais avec une volatilité élevée (28,5%) et des signes récents de consolidation. Les signaux techniques sont mitigés, avec un MACD baissier et un RSI neutre, suggérant un potentiel de correction à court terme. Cependant, les fondamentaux sont d'une solidité remarquable, avec une rentabilité (ROE &gt;27%) et une efficacité opérationnelle parmi les meilleures de la place, soutenues par une croissance continue du PNB et du résultat net. Les prédictions IA pour les 10 prochains jours (baisse de 9 000 à 7 784 FCFA) confirment la faiblesse technique à court terme. En synthèse, la convergence entre une valorisation élevée, des signaux techniques baissiers et des prédictions IA négatives contraste avec des fondamentaux excellents. Par conséquent, la recommandation est de **CONSERVER** le titre pour les investisseurs à long terme, mais d'éviter de nouvelles positions à court terme. Le niveau de confiance est **Moyen**, le risque global est **Élevé** en raison de la volatilité et de la valorisation. L'horizon d'investissement optimal serait le **moyen terme (3-12 mois)**, en attendant une correction du cours pour renforcer la position ou une confirmation de la poursuite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5.19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117 titres</w:t>
            </w:r>
          </w:p>
        </w:tc>
        <w:tc>
          <w:tcPr>
            <w:tcW w:type="dxa" w:w="2268"/>
            <w:shd w:fill="FFF2CC" w:val="clear"/>
          </w:tcPr>
          <w:p>
            <w:r>
              <w:rPr>
                <w:b/>
                <w:color w:val="503200"/>
                <w:sz w:val="16"/>
              </w:rPr>
              <w:t xml:space="preserve">Cours actuel : </w:t>
            </w:r>
            <w:r>
              <w:rPr>
                <w:color w:val="000000"/>
                <w:sz w:val="17"/>
              </w:rPr>
              <w:t>8,650 FCFA</w:t>
            </w:r>
          </w:p>
          <w:p>
            <w:r>
              <w:rPr>
                <w:b/>
                <w:color w:val="503200"/>
                <w:sz w:val="16"/>
              </w:rPr>
              <w:t xml:space="preserve">Var. 100 jours : </w:t>
            </w:r>
            <w:r>
              <w:rPr>
                <w:b/>
                <w:color w:val="007800"/>
                <w:sz w:val="17"/>
              </w:rPr>
              <w:t>+109.19%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29.75% (Élevée) — μ=5,145 FCFA, σ=1,531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β=-0.3835 (Contre-cyclique) — Cov=-0.000013, Var(idx)=0.000033, ρ=-0.060,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117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7,860</w:t>
            </w:r>
          </w:p>
        </w:tc>
        <w:tc>
          <w:tcPr>
            <w:tcW w:type="dxa" w:w="1440"/>
            <w:shd w:fill="FAFAFA" w:val="clear"/>
          </w:tcPr>
          <w:p>
            <w:r>
              <w:rPr>
                <w:b/>
                <w:sz w:val="17"/>
              </w:rPr>
              <w:t>8,498</w:t>
            </w:r>
          </w:p>
        </w:tc>
        <w:tc>
          <w:tcPr>
            <w:tcW w:type="dxa" w:w="1440"/>
            <w:shd w:fill="FAFAFA" w:val="clear"/>
          </w:tcPr>
          <w:p>
            <w:r>
              <w:rPr>
                <w:sz w:val="17"/>
              </w:rPr>
              <w:t>9,135</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7,258</w:t>
            </w:r>
          </w:p>
        </w:tc>
        <w:tc>
          <w:tcPr>
            <w:tcW w:type="dxa" w:w="1440"/>
            <w:shd w:fill="FFDCE0" w:val="clear"/>
          </w:tcPr>
          <w:p>
            <w:r>
              <w:rPr>
                <w:b/>
                <w:sz w:val="17"/>
              </w:rPr>
              <w:t>8,196</w:t>
            </w:r>
          </w:p>
        </w:tc>
        <w:tc>
          <w:tcPr>
            <w:tcW w:type="dxa" w:w="1440"/>
            <w:shd w:fill="FFDCE0" w:val="clear"/>
          </w:tcPr>
          <w:p>
            <w:r>
              <w:rPr>
                <w:sz w:val="17"/>
              </w:rPr>
              <w:t>9,134</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6,839</w:t>
            </w:r>
          </w:p>
        </w:tc>
        <w:tc>
          <w:tcPr>
            <w:tcW w:type="dxa" w:w="1440"/>
            <w:shd w:fill="FFDCE0" w:val="clear"/>
          </w:tcPr>
          <w:p>
            <w:r>
              <w:rPr>
                <w:b/>
                <w:sz w:val="17"/>
              </w:rPr>
              <w:t>7,954</w:t>
            </w:r>
          </w:p>
        </w:tc>
        <w:tc>
          <w:tcPr>
            <w:tcW w:type="dxa" w:w="1440"/>
            <w:shd w:fill="FFDCE0" w:val="clear"/>
          </w:tcPr>
          <w:p>
            <w:r>
              <w:rPr>
                <w:sz w:val="17"/>
              </w:rPr>
              <w:t>9,068</w:t>
            </w:r>
          </w:p>
        </w:tc>
        <w:tc>
          <w:tcPr>
            <w:tcW w:type="dxa" w:w="1440"/>
            <w:shd w:fill="FFDCE0" w:val="clear"/>
          </w:tcPr>
          <w:p>
            <w:r>
              <w:rPr>
                <w:b/>
                <w:color w:val="C00000"/>
                <w:sz w:val="17"/>
              </w:rPr>
              <w:t>-8.1%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6,483</w:t>
            </w:r>
          </w:p>
        </w:tc>
        <w:tc>
          <w:tcPr>
            <w:tcW w:type="dxa" w:w="1440"/>
            <w:shd w:fill="FFDCE0" w:val="clear"/>
          </w:tcPr>
          <w:p>
            <w:r>
              <w:rPr>
                <w:b/>
                <w:sz w:val="17"/>
              </w:rPr>
              <w:t>7,735</w:t>
            </w:r>
          </w:p>
        </w:tc>
        <w:tc>
          <w:tcPr>
            <w:tcW w:type="dxa" w:w="1440"/>
            <w:shd w:fill="FFDCE0" w:val="clear"/>
          </w:tcPr>
          <w:p>
            <w:r>
              <w:rPr>
                <w:sz w:val="17"/>
              </w:rPr>
              <w:t>8,986</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6,171</w:t>
            </w:r>
          </w:p>
        </w:tc>
        <w:tc>
          <w:tcPr>
            <w:tcW w:type="dxa" w:w="1440"/>
            <w:shd w:fill="FFDCE0" w:val="clear"/>
          </w:tcPr>
          <w:p>
            <w:r>
              <w:rPr>
                <w:b/>
                <w:sz w:val="17"/>
              </w:rPr>
              <w:t>7,534</w:t>
            </w:r>
          </w:p>
        </w:tc>
        <w:tc>
          <w:tcPr>
            <w:tcW w:type="dxa" w:w="1440"/>
            <w:shd w:fill="FFDCE0" w:val="clear"/>
          </w:tcPr>
          <w:p>
            <w:r>
              <w:rPr>
                <w:sz w:val="17"/>
              </w:rPr>
              <w:t>8,896</w:t>
            </w:r>
          </w:p>
        </w:tc>
        <w:tc>
          <w:tcPr>
            <w:tcW w:type="dxa" w:w="1440"/>
            <w:shd w:fill="FFDCE0" w:val="clear"/>
          </w:tcPr>
          <w:p>
            <w:r>
              <w:rPr>
                <w:b/>
                <w:color w:val="C00000"/>
                <w:sz w:val="17"/>
              </w:rPr>
              <w:t>-12.9%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5,892</w:t>
            </w:r>
          </w:p>
        </w:tc>
        <w:tc>
          <w:tcPr>
            <w:tcW w:type="dxa" w:w="1440"/>
            <w:shd w:fill="FFDCE0" w:val="clear"/>
          </w:tcPr>
          <w:p>
            <w:r>
              <w:rPr>
                <w:b/>
                <w:sz w:val="17"/>
              </w:rPr>
              <w:t>7,349</w:t>
            </w:r>
          </w:p>
        </w:tc>
        <w:tc>
          <w:tcPr>
            <w:tcW w:type="dxa" w:w="1440"/>
            <w:shd w:fill="FFDCE0" w:val="clear"/>
          </w:tcPr>
          <w:p>
            <w:r>
              <w:rPr>
                <w:sz w:val="17"/>
              </w:rPr>
              <w:t>8,805</w:t>
            </w:r>
          </w:p>
        </w:tc>
        <w:tc>
          <w:tcPr>
            <w:tcW w:type="dxa" w:w="1440"/>
            <w:shd w:fill="FFDCE0" w:val="clear"/>
          </w:tcPr>
          <w:p>
            <w:r>
              <w:rPr>
                <w:b/>
                <w:color w:val="C00000"/>
                <w:sz w:val="17"/>
              </w:rPr>
              <w:t>-15.0%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5,641</w:t>
            </w:r>
          </w:p>
        </w:tc>
        <w:tc>
          <w:tcPr>
            <w:tcW w:type="dxa" w:w="1440"/>
            <w:shd w:fill="FFDCE0" w:val="clear"/>
          </w:tcPr>
          <w:p>
            <w:r>
              <w:rPr>
                <w:b/>
                <w:sz w:val="17"/>
              </w:rPr>
              <w:t>7,178</w:t>
            </w:r>
          </w:p>
        </w:tc>
        <w:tc>
          <w:tcPr>
            <w:tcW w:type="dxa" w:w="1440"/>
            <w:shd w:fill="FFDCE0" w:val="clear"/>
          </w:tcPr>
          <w:p>
            <w:r>
              <w:rPr>
                <w:sz w:val="17"/>
              </w:rPr>
              <w:t>8,714</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5,413</w:t>
            </w:r>
          </w:p>
        </w:tc>
        <w:tc>
          <w:tcPr>
            <w:tcW w:type="dxa" w:w="1440"/>
            <w:shd w:fill="FFDCE0" w:val="clear"/>
          </w:tcPr>
          <w:p>
            <w:r>
              <w:rPr>
                <w:b/>
                <w:sz w:val="17"/>
              </w:rPr>
              <w:t>7,020</w:t>
            </w:r>
          </w:p>
        </w:tc>
        <w:tc>
          <w:tcPr>
            <w:tcW w:type="dxa" w:w="1440"/>
            <w:shd w:fill="FFDCE0" w:val="clear"/>
          </w:tcPr>
          <w:p>
            <w:r>
              <w:rPr>
                <w:sz w:val="17"/>
              </w:rPr>
              <w:t>8,626</w:t>
            </w:r>
          </w:p>
        </w:tc>
        <w:tc>
          <w:tcPr>
            <w:tcW w:type="dxa" w:w="1440"/>
            <w:shd w:fill="FFDCE0" w:val="clear"/>
          </w:tcPr>
          <w:p>
            <w:r>
              <w:rPr>
                <w:b/>
                <w:color w:val="C00000"/>
                <w:sz w:val="17"/>
              </w:rPr>
              <w:t>-18.8%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5,205</w:t>
            </w:r>
          </w:p>
        </w:tc>
        <w:tc>
          <w:tcPr>
            <w:tcW w:type="dxa" w:w="1440"/>
            <w:shd w:fill="FFDCE0" w:val="clear"/>
          </w:tcPr>
          <w:p>
            <w:r>
              <w:rPr>
                <w:b/>
                <w:sz w:val="17"/>
              </w:rPr>
              <w:t>6,873</w:t>
            </w:r>
          </w:p>
        </w:tc>
        <w:tc>
          <w:tcPr>
            <w:tcW w:type="dxa" w:w="1440"/>
            <w:shd w:fill="FFDCE0" w:val="clear"/>
          </w:tcPr>
          <w:p>
            <w:r>
              <w:rPr>
                <w:sz w:val="17"/>
              </w:rPr>
              <w:t>8,541</w:t>
            </w:r>
          </w:p>
        </w:tc>
        <w:tc>
          <w:tcPr>
            <w:tcW w:type="dxa" w:w="1440"/>
            <w:shd w:fill="FFDCE0" w:val="clear"/>
          </w:tcPr>
          <w:p>
            <w:r>
              <w:rPr>
                <w:b/>
                <w:color w:val="C00000"/>
                <w:sz w:val="17"/>
              </w:rPr>
              <w:t>-20.5%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5,013</w:t>
            </w:r>
          </w:p>
        </w:tc>
        <w:tc>
          <w:tcPr>
            <w:tcW w:type="dxa" w:w="1440"/>
            <w:shd w:fill="FFDCE0" w:val="clear"/>
          </w:tcPr>
          <w:p>
            <w:r>
              <w:rPr>
                <w:b/>
                <w:sz w:val="17"/>
              </w:rPr>
              <w:t>6,736</w:t>
            </w:r>
          </w:p>
        </w:tc>
        <w:tc>
          <w:tcPr>
            <w:tcW w:type="dxa" w:w="1440"/>
            <w:shd w:fill="FFDCE0" w:val="clear"/>
          </w:tcPr>
          <w:p>
            <w:r>
              <w:rPr>
                <w:sz w:val="17"/>
              </w:rPr>
              <w:t>8,460</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5,19 milliards FCFA, un niveau modeste qui la classe parmi les petites capitalisations de la BRVM, reflétant une liquidité limitée avec un volume moyen de seulement 117 titres par jour. Les ratios de valorisation (BPA, PER, P/B, EV/EBITDA) ne sont pas calculables en raison de l'absence de données financières structurées récentes dans la base, ce qui constitue une limite importante pour évaluer le caractère attractif ou non du titre par rapport à ses bénéfices. Cette absence de données actualisées empêche toute comparaison fiable avec le PER moyen de la BRVM (8-12x) et ne permet pas de déterminer si le marché valorise l'action au-dessus ou en-dessous de sa valeur comptable. L'investisseur doit donc s'appuyer sur les données fondamentales historiques disponibles et sur l'analyse technique pour se forger une opinion.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+109,19%, passant d'un plus bas de 3 765 FCFA à un plus haut de 10 200 FCFA, avant de clôturer à 8 650 FCFA, soit une baisse de -7,49% lors de la dernière séance, suggérant une prise de bénéfices après une forte hausse. La moyenne du cours sur la période (5 145 FCFA) est nettement supérieure à la médiane (4 480 FCFA), indiquant une distribution asymétrique positive (skewness de 1,987) où les fortes hausses récentes tirent la moyenne vers le haut, tandis que le mode à 4 380 FCFA confirme que le titre a passé la majorité du temps à des niveaux bien inférieurs au cours actuel. L'écart-type de 1 539 FCFA (CV de 29,9%) révèle une dispersion importante, et le kurtosis excédentaire de 3,069 signale un risque de mouvements extrêmes (queues épaisses), typique des titres spéculatifs. La volatilité annualisée de 59,3% est très élevée, positionnant SICOR comme un actif à risque majeur,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MM20 (7 744,5 FCFA) et MM50 (6 029,9 FCFA) sont toutes deux inférieures au cours actuel de 8 650 FCFA, confirmant une tendance haussière solide à court et moyen terme, avec un écart croissant entre les deux MM qui renforce le signal d'achat. Le prix évolue au-dessus de ces moyennes, indiquant que les acheteurs contrôlent le marché, bien que l'écart important avec la MM20 suggère une possible correction à venir.</w:t>
      </w:r>
    </w:p>
    <w:p>
      <w:pPr>
        <w:spacing w:after="120" w:line="276" w:lineRule="auto"/>
      </w:pPr>
      <w:r>
        <w:t>Les bandes de Bollinger, avec une borne supérieure à 11 016 FCFA et une borne inférieure à 4 473 FCFA, montrent un canal extrêmement large reflétant la volatilité élevée du titre. Le cours à 8 650 FCFA se situe dans la partie supérieure du canal, mais sans toucher la borne supérieure, ce qui explique la décision "Neutre" : le titre n'est ni suracheté ni survendu selon cet indicateur, mais la largeur des bandes signale une instabilité persistante.</w:t>
      </w:r>
    </w:p>
    <w:p>
      <w:pPr>
        <w:spacing w:after="120" w:line="276" w:lineRule="auto"/>
      </w:pPr>
      <w:r>
        <w:t>Le MACD affiche une valeur de 1 084,75 avec un signal à 1 015,88, soit un écart positif de 68,87 points, indiquant un momentum haussier toujours actif. La divergence positive entre le MACD et sa ligne de signal confirme la dynamique acheteuse, même si la récente baisse du cours pourrait amorcer un resserrement de cet écart dans les prochaines séances.</w:t>
      </w:r>
    </w:p>
    <w:p>
      <w:pPr>
        <w:spacing w:after="120" w:line="276" w:lineRule="auto"/>
      </w:pPr>
      <w:r>
        <w:t>Le RSI à 70,95 se situe juste au-dessus du seuil de surachat fixé à 70, déclenchant un signal de vente. Cette valeur indique que le titre est techniquement suracheté après la forte progression récente, ce qui augmente le risque d'un repli correctif à court terme, d'autant plus que la dernière séance a déjà montré une baisse de 7,49%.</w:t>
      </w:r>
    </w:p>
    <w:p>
      <w:pPr>
        <w:spacing w:after="120" w:line="276" w:lineRule="auto"/>
      </w:pPr>
      <w:r>
        <w:t>Le stochastique avec %K à 56,94 et %D à 71,72 montre que %K est passé sous %D, ce qui constitue un signal baissier précoce, bien que la décision reste "Neutre" car les valeurs sont encore dans la zone médiane. Ce croisement suggère un affaiblissement du momentum haussier, à surveiller dans les prochaines séances.</w:t>
      </w:r>
    </w:p>
    <w:p>
      <w:pPr>
        <w:spacing w:after="120" w:line="276" w:lineRule="auto"/>
      </w:pPr>
      <w:r>
        <w:t>La conclusion technique est mitigée : la tendance de fond reste haussière (MM, MACD), mais les indicateurs de surachat (RSI) et le croisement baissier du stochastique signalent un essoufflement probable à court terme. La forte volatilité et la baisse récente de 7,49% suggèrent une phase de consolidation après la hausse spectaculaire, avec un risque de correction vers les 7 700-8 000 FCFA (MM20) avant une éventuelle reprise.</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fournis permettent une analyse historique. Pour l'exercice 2023 (rapport daté du 31/12/2024), le chiffre d'affaires s'établit à 701,09 millions FCFA, en baisse de 38,4% par rapport à 2022 (1 138,17 millions FCFA), avec un résultat net bénéficiaire de 19,25 millions FCFA contre une perte de 39,95 millions en 2022, marquant un retour à la profitabilité après deux années de pertes. La marge nette reste faible à 2,75%, bien inférieure aux standards sectoriels, et la société n'a distribué aucun dividende depuis 2019 en raison de pertes cumulées de 689,86 millions FCFA à éponger. En 2022, le CA était de 1,138 milliard FCFA (-17,58% vs 2021) avec une perte nette de 39,95 millions FCFA, illustrant une forte volatilité des performances. Les rapports plus anciens montrent un CA de 1,57 milliard FCFA en 2016 avec un résultat net de 53,3 millions (marge 3,4%), et un CA de 1,56 milliard en 2017 avec un résultat net divisé par deux à 100,6 millions (marge 6,4%). L'exercice 2020 a été un point positif avec un CA de 2,36 milliards FCFA (+27%) et un bénéfice net de 109,8 millions FCFA, démontrant la capacité de redressement de l'entreprise. La société souffre d'une trésorerie tendue (découverts bancaires multipliés par 14 en 2023), d'une dépendance aux cours mondiaux du coprah et de vols récurrents sur ses plantations, mais elle a réussi à réduire drastiquement ses charges (-43,68% en 2023) et à diversifier ses revenus vers les noix de coco et tourteaux. L'AGO convoquée pour le 22 mai 2026 doit approuver les comptes 2024, dont les résultats ne sont pas encore publiés, mais la tendance de redressement semble se confirmer. La recommandation fondamentale est de CONSERVER avec vigilance, car la société est fragile mais montre des signes d'amélioration opérationnelle.</w:t>
      </w:r>
    </w:p>
    <w:p>
      <w:pPr>
        <w:spacing w:after="120" w:line="276" w:lineRule="auto" w:before="240"/>
      </w:pPr>
      <w:r>
        <w:rPr>
          <w:b/>
          <w:color w:val="003366"/>
          <w:sz w:val="24"/>
        </w:rPr>
        <w:t>**PARTIE 4 : CONCLUSION D'INVESTISSEMENT**</w:t>
      </w:r>
    </w:p>
    <w:p>
      <w:pPr>
        <w:spacing w:after="120" w:line="276" w:lineRule="auto"/>
      </w:pPr>
      <w:r>
        <w:t>La valorisation de SICOR ne peut être appréciée via les ratios classiques faute de données récentes, mais la capitalisation de 5,19 milliards FCFA paraît élevée au regard des bénéfices historiques (19 millions en 2023), suggérant une possible surévaluation spéculative. Le comportement du cours montre une tendance haussière spectaculaire de +109% sur 100 jours, mais avec une volatilité extrême (59,3%), un kurtosis élevé et une asymétrie positive qui signalent un risque de retournement brutal, comme l'indique la baisse de 7,49% de la dernière séance. Les signaux techniques sont divergents : les moyennes mobiles et le MACD restent positifs, mais le RSI surachété et le croisement baissier du stochastique suggèrent une correction imminente. Les fondamentaux montrent une entreprise en redressement fragile, avec un retour à la profitabilité en 2023 mais des pertes cumulées importantes, aucun dividende et une trésorerie tendue. Les prédictions IA pour les 10 prochains jours (8 498 à 7 534 FCFA) confirment cette analyse en projetant une baisse progressive d'environ 13%, en ligne avec les signaux techniques de surachat. La convergence entre les signaux techniques de correction, les prédictions IA baissières et les fondamentaux mitigés conduit à une recommandation de VENTE pour les investisseurs à court terme, avec un niveau de confiance Moyen et un risque global Élevé. Pour les investisseurs à long terme, conserver le titre pourrait se justifier si le redressement se confirme, mais l'horizon optimal est le court terme (&lt;3 mois) pour les traders opportunistes, avec une prudence extrême sur ce titre très volatil et peu liquide.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5,569 titres</w:t>
            </w:r>
          </w:p>
        </w:tc>
        <w:tc>
          <w:tcPr>
            <w:tcW w:type="dxa" w:w="2268"/>
            <w:shd w:fill="FFF2CC" w:val="clear"/>
          </w:tcPr>
          <w:p>
            <w:r>
              <w:rPr>
                <w:b/>
                <w:color w:val="503200"/>
                <w:sz w:val="16"/>
              </w:rPr>
              <w:t xml:space="preserve">Cours actuel : </w:t>
            </w:r>
            <w:r>
              <w:rPr>
                <w:color w:val="000000"/>
                <w:sz w:val="17"/>
              </w:rPr>
              <w:t>2,370 FCFA</w:t>
            </w:r>
          </w:p>
          <w:p>
            <w:r>
              <w:rPr>
                <w:b/>
                <w:color w:val="503200"/>
                <w:sz w:val="16"/>
              </w:rPr>
              <w:t xml:space="preserve">Var. 100 jours : </w:t>
            </w:r>
            <w:r>
              <w:rPr>
                <w:b/>
                <w:color w:val="B40000"/>
                <w:sz w:val="17"/>
              </w:rPr>
              <w:t>-20.87%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μ=2,619 FCFA, σ=295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β=0.2576 (Défensif) — Cov=0.000008, Var(idx)=0.000033, ρ=0.046,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2,088</w:t>
            </w:r>
          </w:p>
        </w:tc>
        <w:tc>
          <w:tcPr>
            <w:tcW w:type="dxa" w:w="1440"/>
            <w:shd w:fill="FFDCE0" w:val="clear"/>
          </w:tcPr>
          <w:p>
            <w:r>
              <w:rPr>
                <w:b/>
                <w:sz w:val="17"/>
              </w:rPr>
              <w:t>2,231</w:t>
            </w:r>
          </w:p>
        </w:tc>
        <w:tc>
          <w:tcPr>
            <w:tcW w:type="dxa" w:w="1440"/>
            <w:shd w:fill="FFDCE0" w:val="clear"/>
          </w:tcPr>
          <w:p>
            <w:r>
              <w:rPr>
                <w:sz w:val="17"/>
              </w:rPr>
              <w:t>2,374</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1,993</w:t>
            </w:r>
          </w:p>
        </w:tc>
        <w:tc>
          <w:tcPr>
            <w:tcW w:type="dxa" w:w="1440"/>
            <w:shd w:fill="FFDCE0" w:val="clear"/>
          </w:tcPr>
          <w:p>
            <w:r>
              <w:rPr>
                <w:b/>
                <w:sz w:val="17"/>
              </w:rPr>
              <w:t>2,192</w:t>
            </w:r>
          </w:p>
        </w:tc>
        <w:tc>
          <w:tcPr>
            <w:tcW w:type="dxa" w:w="1440"/>
            <w:shd w:fill="FFDCE0" w:val="clear"/>
          </w:tcPr>
          <w:p>
            <w:r>
              <w:rPr>
                <w:sz w:val="17"/>
              </w:rPr>
              <w:t>2,390</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1,906</w:t>
            </w:r>
          </w:p>
        </w:tc>
        <w:tc>
          <w:tcPr>
            <w:tcW w:type="dxa" w:w="1440"/>
            <w:shd w:fill="FFDCE0" w:val="clear"/>
          </w:tcPr>
          <w:p>
            <w:r>
              <w:rPr>
                <w:b/>
                <w:sz w:val="17"/>
              </w:rPr>
              <w:t>2,144</w:t>
            </w:r>
          </w:p>
        </w:tc>
        <w:tc>
          <w:tcPr>
            <w:tcW w:type="dxa" w:w="1440"/>
            <w:shd w:fill="FFDCE0" w:val="clear"/>
          </w:tcPr>
          <w:p>
            <w:r>
              <w:rPr>
                <w:sz w:val="17"/>
              </w:rPr>
              <w:t>2,381</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1,826</w:t>
            </w:r>
          </w:p>
        </w:tc>
        <w:tc>
          <w:tcPr>
            <w:tcW w:type="dxa" w:w="1440"/>
            <w:shd w:fill="FFDCE0" w:val="clear"/>
          </w:tcPr>
          <w:p>
            <w:r>
              <w:rPr>
                <w:b/>
                <w:sz w:val="17"/>
              </w:rPr>
              <w:t>2,095</w:t>
            </w:r>
          </w:p>
        </w:tc>
        <w:tc>
          <w:tcPr>
            <w:tcW w:type="dxa" w:w="1440"/>
            <w:shd w:fill="FFDCE0" w:val="clear"/>
          </w:tcPr>
          <w:p>
            <w:r>
              <w:rPr>
                <w:sz w:val="17"/>
              </w:rPr>
              <w:t>2,363</w:t>
            </w:r>
          </w:p>
        </w:tc>
        <w:tc>
          <w:tcPr>
            <w:tcW w:type="dxa" w:w="1440"/>
            <w:shd w:fill="FFDCE0" w:val="clear"/>
          </w:tcPr>
          <w:p>
            <w:r>
              <w:rPr>
                <w:b/>
                <w:color w:val="C00000"/>
                <w:sz w:val="17"/>
              </w:rPr>
              <w:t>-11.6%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1,754</w:t>
            </w:r>
          </w:p>
        </w:tc>
        <w:tc>
          <w:tcPr>
            <w:tcW w:type="dxa" w:w="1440"/>
            <w:shd w:fill="FFDCE0" w:val="clear"/>
          </w:tcPr>
          <w:p>
            <w:r>
              <w:rPr>
                <w:b/>
                <w:sz w:val="17"/>
              </w:rPr>
              <w:t>2,047</w:t>
            </w:r>
          </w:p>
        </w:tc>
        <w:tc>
          <w:tcPr>
            <w:tcW w:type="dxa" w:w="1440"/>
            <w:shd w:fill="FFDCE0" w:val="clear"/>
          </w:tcPr>
          <w:p>
            <w:r>
              <w:rPr>
                <w:sz w:val="17"/>
              </w:rPr>
              <w:t>2,340</w:t>
            </w:r>
          </w:p>
        </w:tc>
        <w:tc>
          <w:tcPr>
            <w:tcW w:type="dxa" w:w="1440"/>
            <w:shd w:fill="FFDCE0" w:val="clear"/>
          </w:tcPr>
          <w:p>
            <w:r>
              <w:rPr>
                <w:b/>
                <w:color w:val="C00000"/>
                <w:sz w:val="17"/>
              </w:rPr>
              <w:t>-13.6%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1,687</w:t>
            </w:r>
          </w:p>
        </w:tc>
        <w:tc>
          <w:tcPr>
            <w:tcW w:type="dxa" w:w="1440"/>
            <w:shd w:fill="FFDCE0" w:val="clear"/>
          </w:tcPr>
          <w:p>
            <w:r>
              <w:rPr>
                <w:b/>
                <w:sz w:val="17"/>
              </w:rPr>
              <w:t>2,000</w:t>
            </w:r>
          </w:p>
        </w:tc>
        <w:tc>
          <w:tcPr>
            <w:tcW w:type="dxa" w:w="1440"/>
            <w:shd w:fill="FFDCE0" w:val="clear"/>
          </w:tcPr>
          <w:p>
            <w:r>
              <w:rPr>
                <w:sz w:val="17"/>
              </w:rPr>
              <w:t>2,314</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1,624</w:t>
            </w:r>
          </w:p>
        </w:tc>
        <w:tc>
          <w:tcPr>
            <w:tcW w:type="dxa" w:w="1440"/>
            <w:shd w:fill="FFDCE0" w:val="clear"/>
          </w:tcPr>
          <w:p>
            <w:r>
              <w:rPr>
                <w:b/>
                <w:sz w:val="17"/>
              </w:rPr>
              <w:t>1,956</w:t>
            </w:r>
          </w:p>
        </w:tc>
        <w:tc>
          <w:tcPr>
            <w:tcW w:type="dxa" w:w="1440"/>
            <w:shd w:fill="FFDCE0" w:val="clear"/>
          </w:tcPr>
          <w:p>
            <w:r>
              <w:rPr>
                <w:sz w:val="17"/>
              </w:rPr>
              <w:t>2,287</w:t>
            </w:r>
          </w:p>
        </w:tc>
        <w:tc>
          <w:tcPr>
            <w:tcW w:type="dxa" w:w="1440"/>
            <w:shd w:fill="FFDCE0" w:val="clear"/>
          </w:tcPr>
          <w:p>
            <w:r>
              <w:rPr>
                <w:b/>
                <w:color w:val="C00000"/>
                <w:sz w:val="17"/>
              </w:rPr>
              <w:t>-17.5%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1,566</w:t>
            </w:r>
          </w:p>
        </w:tc>
        <w:tc>
          <w:tcPr>
            <w:tcW w:type="dxa" w:w="1440"/>
            <w:shd w:fill="FFDCE0" w:val="clear"/>
          </w:tcPr>
          <w:p>
            <w:r>
              <w:rPr>
                <w:b/>
                <w:sz w:val="17"/>
              </w:rPr>
              <w:t>1,913</w:t>
            </w:r>
          </w:p>
        </w:tc>
        <w:tc>
          <w:tcPr>
            <w:tcW w:type="dxa" w:w="1440"/>
            <w:shd w:fill="FFDCE0" w:val="clear"/>
          </w:tcPr>
          <w:p>
            <w:r>
              <w:rPr>
                <w:sz w:val="17"/>
              </w:rPr>
              <w:t>2,259</w:t>
            </w:r>
          </w:p>
        </w:tc>
        <w:tc>
          <w:tcPr>
            <w:tcW w:type="dxa" w:w="1440"/>
            <w:shd w:fill="FFDCE0" w:val="clear"/>
          </w:tcPr>
          <w:p>
            <w:r>
              <w:rPr>
                <w:b/>
                <w:color w:val="C00000"/>
                <w:sz w:val="17"/>
              </w:rPr>
              <w:t>-19.3%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1,511</w:t>
            </w:r>
          </w:p>
        </w:tc>
        <w:tc>
          <w:tcPr>
            <w:tcW w:type="dxa" w:w="1440"/>
            <w:shd w:fill="FFDCE0" w:val="clear"/>
          </w:tcPr>
          <w:p>
            <w:r>
              <w:rPr>
                <w:b/>
                <w:sz w:val="17"/>
              </w:rPr>
              <w:t>1,871</w:t>
            </w:r>
          </w:p>
        </w:tc>
        <w:tc>
          <w:tcPr>
            <w:tcW w:type="dxa" w:w="1440"/>
            <w:shd w:fill="FFDCE0" w:val="clear"/>
          </w:tcPr>
          <w:p>
            <w:r>
              <w:rPr>
                <w:sz w:val="17"/>
              </w:rPr>
              <w:t>2,230</w:t>
            </w:r>
          </w:p>
        </w:tc>
        <w:tc>
          <w:tcPr>
            <w:tcW w:type="dxa" w:w="1440"/>
            <w:shd w:fill="FFDCE0" w:val="clear"/>
          </w:tcPr>
          <w:p>
            <w:r>
              <w:rPr>
                <w:b/>
                <w:color w:val="C00000"/>
                <w:sz w:val="17"/>
              </w:rPr>
              <w:t>-21.1%</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1,460</w:t>
            </w:r>
          </w:p>
        </w:tc>
        <w:tc>
          <w:tcPr>
            <w:tcW w:type="dxa" w:w="1440"/>
            <w:shd w:fill="FFDCE0" w:val="clear"/>
          </w:tcPr>
          <w:p>
            <w:r>
              <w:rPr>
                <w:b/>
                <w:sz w:val="17"/>
              </w:rPr>
              <w:t>1,831</w:t>
            </w:r>
          </w:p>
        </w:tc>
        <w:tc>
          <w:tcPr>
            <w:tcW w:type="dxa" w:w="1440"/>
            <w:shd w:fill="FFDCE0" w:val="clear"/>
          </w:tcPr>
          <w:p>
            <w:r>
              <w:rPr>
                <w:sz w:val="17"/>
              </w:rPr>
              <w:t>2,201</w:t>
            </w:r>
          </w:p>
        </w:tc>
        <w:tc>
          <w:tcPr>
            <w:tcW w:type="dxa" w:w="1440"/>
            <w:shd w:fill="FFDCE0" w:val="clear"/>
          </w:tcPr>
          <w:p>
            <w:r>
              <w:rPr>
                <w:b/>
                <w:color w:val="C00000"/>
                <w:sz w:val="17"/>
              </w:rPr>
              <w:t>-22.8%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sur l'action SIVC, désormais ERIUM CI,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20,70 milliards FCFA positionne ERIUM CI comme une valeur de taille moyenne sur la BRVM. Avec un BPA de 43 FCFA, le PER de 54,9x est extrêmement élevé, très au-dessus de la moyenne du marché (8-12x), indiquant que les investisseurs paient une prime considérable pour chaque franc de bénéfice, ce qui reflète des attentes de croissance très fortes mais aussi un risque de correction. Le P/B de 6,33x confirme cette valorisation exigeante, le marché valorisant l'actif net comptable plus de six fois au-dessus de sa valeur, signe d'une confiance dans la création de valeur future. Enfin, l'EV/EBITDA de 17,3x, bien que supérieur au seuil de 15x considéré comme exigeant, suggère que la valeur totale de l'entreprise (capitalisation + dette) reste élevée par rapport à sa capacité opérationnelle, mais peut se justifier par des perspectives de croissance ou des actifs stratégiques.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ERIUM CI a subi une forte correction de -20,87%, avec une légère baisse de -0,42% lors de la dernière séance, s'établissant à 2 370 FCFA. Le titre a évolué dans une fourchette large de 1 920 FCFA (plus bas) à 3 215 FCFA (plus haut), illustrant une volatilité et une incertitude marquées. La moyenne du cours sur la période (2 619 FCFA) est inférieure à la médiane (2 725 FCFA), et le skewness négatif (-0.423) confirme une distribution asymétrique avec une queue de distribution vers les valeurs basses, indiquant des épisodes de vente plus violents que les hausses. L'écart-type de 297 FCFA (CV=11.3%) montre une dispersion modérée, tandis que le kurtosis de -0.942 (mésokurtique) suggère l'absence de valeurs extrêmes fréquentes, mais le skewness négatif reste un point de vigilance. La volatilité annualisée de 50,7% est très élevée, classant le titre comme spéculatif et risqué à court terme, nécessitant une grande prudence.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(2 370 FCFA) est supérieur à la MM20 (2 283,5 FCFA) mais inférieur à la MM50 (2 380,2 FCFA). Cette configuration, où le prix est sous la moyenne à long terme mais au-dessus de la moyenne à court terme, signale une tendance baissière de fond, avec un potentiel rebond technique à court terme. La décision de "Vente" est justifiée par la prédominance de la tendance lourde à la baisse.</w:t>
      </w:r>
    </w:p>
    <w:p>
      <w:pPr>
        <w:spacing w:after="120" w:line="276" w:lineRule="auto"/>
      </w:pPr>
      <w:r>
        <w:t>**Bandes de Bollinger**: Le prix se situe à 2 370 FCFA, entre la borne inférieure (2 054,5 FCFA) et la borne supérieure (2 512,4 FCFA), proche du milieu de la bande. Cela indique une volatilité modérée et une absence de signal directionnel fort. La décision "Neutre" est cohérente, le marché semblant chercher une direction après une phase de forte baisse.</w:t>
      </w:r>
    </w:p>
    <w:p>
      <w:pPr>
        <w:spacing w:after="120" w:line="276" w:lineRule="auto"/>
      </w:pPr>
      <w:r>
        <w:t>**MACD**: La valeur du MACD (13.498) est positive et nettement supérieure à sa ligne de signal (-8.898). Cette configuration haussière est un signal d'achat précoce, indiquant que le momentum baissier s'essouffle et qu'un retournement de tendance pourrait être en cours. La décision "Achat" est justifiée par ce croisement haussier.</w:t>
      </w:r>
    </w:p>
    <w:p>
      <w:pPr>
        <w:spacing w:after="120" w:line="276" w:lineRule="auto"/>
      </w:pPr>
      <w:r>
        <w:t>**RSI**: Le RSI à 62.879 est en zone neutre (entre 30 et 70), sans être en surachat ni survente. Cela indique que le marché est équilibré, sans pression d'achat ou de vente excessive. La décision "Neutre" est appropriée, laissant place à une évolution dans un sens ou dans l'autre.</w:t>
      </w:r>
    </w:p>
    <w:p>
      <w:pPr>
        <w:spacing w:after="120" w:line="276" w:lineRule="auto"/>
      </w:pPr>
      <w:r>
        <w:t>**Stochastique**: Le %K (83.099) et le %D (82.16) sont tous deux à des niveaux élevés, proches de la zone de surachat (&gt;80). Cette configuration suggère que le titre est temporairement suracheté à court terme, ce qui pourrait précéder un repli technique. La décision "Vente" est justifiée par ce risque de correction à très court terme.</w:t>
      </w:r>
    </w:p>
    <w:p>
      <w:pPr>
        <w:spacing w:after="120" w:line="276" w:lineRule="auto"/>
      </w:pPr>
      <w:r>
        <w:t>**Conclusion technique**: Les signaux techniques sont mitigés. Le MACD suggère un potentiel retournement haussier, tandis que les moyennes mobiles et le stochastique appellent à la prudence. Le RSI et les bandes de Bollinger sont neutres. Cette divergence indique une phase de transition incertaine, où le titre pourrait consolider avant de choisir une direction. La prudence est donc de mise.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un ROE de 11,52% et un ROA de 2,69%. Le coefficient d'exploitation est très élevé à 95,83%, signe d'une efficacité opérationnelle très faible. Le coût du risque est de 3,10%, ce qui est élevé et signale un risque de crédit significatif. L'endettement est important (80,09% du total des capitaux propres) et la trésorerie nette est négative (-2,143 milliards FCFA), fragilisant la structure financière. Les rapports narratifs montrent une évolution contrastée. Le rapport annuel 2025 (daté du 31/12/2025) fait état d'un chiffre d'affaires en hausse de 8,5% à 10,07 milliards FCFA, mais d'un résultat net en chute de 52% à 179 millions FCFA, avec une marge nette dégradée à 1,78%. En revanche, les rapports trimestriels 2025 sont très positifs : au 3e trimestre, le CA est en hausse de 13% et le résultat net progresse de 58% à 832,5 millions FCFA, avec une marge nette de 11%. Sur la base de ces performances trimestrielles, on peut estimer que l'exercice 2025 aurait dû être excellent, mais le rapport annuel contredit cette tendance, probablement en raison de charges exceptionnelles et d'un résultat financier négatif. La société a changé de nom (ERIUM CI) suite à la cession de la participation d'Air Liquide International à ERIUM LTD, un changement d'actionnariat majeur.</w:t>
      </w:r>
    </w:p>
    <w:p>
      <w:pPr>
        <w:spacing w:after="120" w:line="276" w:lineRule="auto"/>
      </w:pPr>
      <w:r>
        <w:t>---</w:t>
      </w:r>
    </w:p>
    <w:p>
      <w:pPr>
        <w:spacing w:after="120" w:line="276" w:lineRule="auto"/>
      </w:pPr>
      <w:r>
        <w:t>### PARTIE 4 : CONCLUSION D'INVESTISSEMENT</w:t>
      </w:r>
    </w:p>
    <w:p>
      <w:pPr>
        <w:spacing w:after="120" w:line="276" w:lineRule="auto"/>
      </w:pPr>
      <w:r>
        <w:t>La valorisation boursière de l'action ERIUM CI est extrêmement exigeante (PER 54,9x, P/B 6,33x), suggérant une surévaluation par rapport aux bénéfices et aux actifs, malgré un EV/EBITDA élevé. Le comportement du cours est préoccupant avec une tendance baissière de -20,87% sur 100 jours et une volatilité très élevée (50,7%), bien que les statistiques (kurtosis, skewness) montrent une distribution relativement normale. Les signaux techniques sont mitigés, avec un MACD haussier mais des moyennes mobiles et un stochastique baissiers, indiquant une incertitude à court terme. Les fondamentaux sont paradoxaux : une croissance du chiffre d'affaires solide, mais une rentabilité nette très faible et en chute en 2025, malgré d'excellents trimestres. Les prédictions IA pour les 10 prochains jours prévoient une poursuite de la baisse vers 2 047 FCFA, ce qui contredit le signal d'achat du MACD. En synthèse, les signaux sont divergents, mais la valorisation élevée, la dégradation des résultats annuels et les prédictions baissières dominent. **Recommandation : VENTE.** Le niveau de confiance est **Moyen**, car les excellents résultats trimestriels pourraient soutenir le titre. Le risque global est **Élevé** en raison de la volatilité et de l'incertitude sur la rentabilité future. L'horizon d'investissement optimal serait de **court terme (&lt;3 mois)** pour les investisseurs cherchant à réduire leur exposition, ou d'attendre une clarification de la stratégie et une amélioration durable des marges pour envisager un réinvestissement à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1,127 titres</w:t>
            </w:r>
          </w:p>
        </w:tc>
        <w:tc>
          <w:tcPr>
            <w:tcW w:type="dxa" w:w="2268"/>
            <w:shd w:fill="FFF2CC" w:val="clear"/>
          </w:tcPr>
          <w:p>
            <w:r>
              <w:rPr>
                <w:b/>
                <w:color w:val="503200"/>
                <w:sz w:val="16"/>
              </w:rPr>
              <w:t xml:space="preserve">Cours actuel : </w:t>
            </w:r>
            <w:r>
              <w:rPr>
                <w:color w:val="000000"/>
                <w:sz w:val="17"/>
              </w:rPr>
              <w:t>37,005 FCFA</w:t>
            </w:r>
          </w:p>
          <w:p>
            <w:r>
              <w:rPr>
                <w:b/>
                <w:color w:val="503200"/>
                <w:sz w:val="16"/>
              </w:rPr>
              <w:t xml:space="preserve">Var. 100 jours : </w:t>
            </w:r>
            <w:r>
              <w:rPr>
                <w:b/>
                <w:color w:val="B40000"/>
                <w:sz w:val="17"/>
              </w:rPr>
              <w:t>-4.63%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2.47% (Faible) — μ=38,378 FCFA, σ=950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β=0.3088 (Défensif) — Cov=0.000010, Var(idx)=0.000033,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36,144</w:t>
            </w:r>
          </w:p>
        </w:tc>
        <w:tc>
          <w:tcPr>
            <w:tcW w:type="dxa" w:w="1440"/>
            <w:shd w:fill="FAFAFA" w:val="clear"/>
          </w:tcPr>
          <w:p>
            <w:r>
              <w:rPr>
                <w:b/>
                <w:sz w:val="17"/>
              </w:rPr>
              <w:t>37,371</w:t>
            </w:r>
          </w:p>
        </w:tc>
        <w:tc>
          <w:tcPr>
            <w:tcW w:type="dxa" w:w="1440"/>
            <w:shd w:fill="FAFAFA" w:val="clear"/>
          </w:tcPr>
          <w:p>
            <w:r>
              <w:rPr>
                <w:sz w:val="17"/>
              </w:rPr>
              <w:t>38,598</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35,524</w:t>
            </w:r>
          </w:p>
        </w:tc>
        <w:tc>
          <w:tcPr>
            <w:tcW w:type="dxa" w:w="1440"/>
            <w:shd w:fill="FAFAFA" w:val="clear"/>
          </w:tcPr>
          <w:p>
            <w:r>
              <w:rPr>
                <w:b/>
                <w:sz w:val="17"/>
              </w:rPr>
              <w:t>37,254</w:t>
            </w:r>
          </w:p>
        </w:tc>
        <w:tc>
          <w:tcPr>
            <w:tcW w:type="dxa" w:w="1440"/>
            <w:shd w:fill="FAFAFA" w:val="clear"/>
          </w:tcPr>
          <w:p>
            <w:r>
              <w:rPr>
                <w:sz w:val="17"/>
              </w:rPr>
              <w:t>38,984</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35,088</w:t>
            </w:r>
          </w:p>
        </w:tc>
        <w:tc>
          <w:tcPr>
            <w:tcW w:type="dxa" w:w="1440"/>
            <w:shd w:fill="FAFAFA" w:val="clear"/>
          </w:tcPr>
          <w:p>
            <w:r>
              <w:rPr>
                <w:b/>
                <w:sz w:val="17"/>
              </w:rPr>
              <w:t>37,204</w:t>
            </w:r>
          </w:p>
        </w:tc>
        <w:tc>
          <w:tcPr>
            <w:tcW w:type="dxa" w:w="1440"/>
            <w:shd w:fill="FAFAFA" w:val="clear"/>
          </w:tcPr>
          <w:p>
            <w:r>
              <w:rPr>
                <w:sz w:val="17"/>
              </w:rPr>
              <w:t>39,320</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34,728</w:t>
            </w:r>
          </w:p>
        </w:tc>
        <w:tc>
          <w:tcPr>
            <w:tcW w:type="dxa" w:w="1440"/>
            <w:shd w:fill="FAFAFA" w:val="clear"/>
          </w:tcPr>
          <w:p>
            <w:r>
              <w:rPr>
                <w:b/>
                <w:sz w:val="17"/>
              </w:rPr>
              <w:t>37,169</w:t>
            </w:r>
          </w:p>
        </w:tc>
        <w:tc>
          <w:tcPr>
            <w:tcW w:type="dxa" w:w="1440"/>
            <w:shd w:fill="FAFAFA" w:val="clear"/>
          </w:tcPr>
          <w:p>
            <w:r>
              <w:rPr>
                <w:sz w:val="17"/>
              </w:rPr>
              <w:t>39,610</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34,411</w:t>
            </w:r>
          </w:p>
        </w:tc>
        <w:tc>
          <w:tcPr>
            <w:tcW w:type="dxa" w:w="1440"/>
            <w:shd w:fill="FAFAFA" w:val="clear"/>
          </w:tcPr>
          <w:p>
            <w:r>
              <w:rPr>
                <w:b/>
                <w:sz w:val="17"/>
              </w:rPr>
              <w:t>37,138</w:t>
            </w:r>
          </w:p>
        </w:tc>
        <w:tc>
          <w:tcPr>
            <w:tcW w:type="dxa" w:w="1440"/>
            <w:shd w:fill="FAFAFA" w:val="clear"/>
          </w:tcPr>
          <w:p>
            <w:r>
              <w:rPr>
                <w:sz w:val="17"/>
              </w:rPr>
              <w:t>39,865</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34,122</w:t>
            </w:r>
          </w:p>
        </w:tc>
        <w:tc>
          <w:tcPr>
            <w:tcW w:type="dxa" w:w="1440"/>
            <w:shd w:fill="FAFAFA" w:val="clear"/>
          </w:tcPr>
          <w:p>
            <w:r>
              <w:rPr>
                <w:b/>
                <w:sz w:val="17"/>
              </w:rPr>
              <w:t>37,107</w:t>
            </w:r>
          </w:p>
        </w:tc>
        <w:tc>
          <w:tcPr>
            <w:tcW w:type="dxa" w:w="1440"/>
            <w:shd w:fill="FAFAFA" w:val="clear"/>
          </w:tcPr>
          <w:p>
            <w:r>
              <w:rPr>
                <w:sz w:val="17"/>
              </w:rPr>
              <w:t>40,092</w:t>
            </w:r>
          </w:p>
        </w:tc>
        <w:tc>
          <w:tcPr>
            <w:tcW w:type="dxa" w:w="1440"/>
            <w:shd w:fill="FAFAFA" w:val="clear"/>
          </w:tcPr>
          <w:p>
            <w:r>
              <w:rPr>
                <w:b/>
                <w:color w:val="008000"/>
                <w:sz w:val="17"/>
              </w:rPr>
              <w:t>+0.3%</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33,855</w:t>
            </w:r>
          </w:p>
        </w:tc>
        <w:tc>
          <w:tcPr>
            <w:tcW w:type="dxa" w:w="1440"/>
            <w:shd w:fill="FAFAFA" w:val="clear"/>
          </w:tcPr>
          <w:p>
            <w:r>
              <w:rPr>
                <w:b/>
                <w:sz w:val="17"/>
              </w:rPr>
              <w:t>37,076</w:t>
            </w:r>
          </w:p>
        </w:tc>
        <w:tc>
          <w:tcPr>
            <w:tcW w:type="dxa" w:w="1440"/>
            <w:shd w:fill="FAFAFA" w:val="clear"/>
          </w:tcPr>
          <w:p>
            <w:r>
              <w:rPr>
                <w:sz w:val="17"/>
              </w:rPr>
              <w:t>40,297</w:t>
            </w:r>
          </w:p>
        </w:tc>
        <w:tc>
          <w:tcPr>
            <w:tcW w:type="dxa" w:w="1440"/>
            <w:shd w:fill="FAFAFA" w:val="clear"/>
          </w:tcPr>
          <w:p>
            <w:r>
              <w:rPr>
                <w:b/>
                <w:color w:val="008000"/>
                <w:sz w:val="17"/>
              </w:rPr>
              <w:t>+0.2%</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33,604</w:t>
            </w:r>
          </w:p>
        </w:tc>
        <w:tc>
          <w:tcPr>
            <w:tcW w:type="dxa" w:w="1440"/>
            <w:shd w:fill="FAFAFA" w:val="clear"/>
          </w:tcPr>
          <w:p>
            <w:r>
              <w:rPr>
                <w:b/>
                <w:sz w:val="17"/>
              </w:rPr>
              <w:t>37,045</w:t>
            </w:r>
          </w:p>
        </w:tc>
        <w:tc>
          <w:tcPr>
            <w:tcW w:type="dxa" w:w="1440"/>
            <w:shd w:fill="FAFAFA" w:val="clear"/>
          </w:tcPr>
          <w:p>
            <w:r>
              <w:rPr>
                <w:sz w:val="17"/>
              </w:rPr>
              <w:t>40,485</w:t>
            </w:r>
          </w:p>
        </w:tc>
        <w:tc>
          <w:tcPr>
            <w:tcW w:type="dxa" w:w="1440"/>
            <w:shd w:fill="FAFAFA" w:val="clear"/>
          </w:tcPr>
          <w:p>
            <w:r>
              <w:rPr>
                <w:b/>
                <w:color w:val="008000"/>
                <w:sz w:val="17"/>
              </w:rPr>
              <w:t>+0.1%</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33,367</w:t>
            </w:r>
          </w:p>
        </w:tc>
        <w:tc>
          <w:tcPr>
            <w:tcW w:type="dxa" w:w="1440"/>
            <w:shd w:fill="FAFAFA" w:val="clear"/>
          </w:tcPr>
          <w:p>
            <w:r>
              <w:rPr>
                <w:b/>
                <w:sz w:val="17"/>
              </w:rPr>
              <w:t>37,013</w:t>
            </w:r>
          </w:p>
        </w:tc>
        <w:tc>
          <w:tcPr>
            <w:tcW w:type="dxa" w:w="1440"/>
            <w:shd w:fill="FAFAFA" w:val="clear"/>
          </w:tcPr>
          <w:p>
            <w:r>
              <w:rPr>
                <w:sz w:val="17"/>
              </w:rPr>
              <w:t>40,660</w:t>
            </w:r>
          </w:p>
        </w:tc>
        <w:tc>
          <w:tcPr>
            <w:tcW w:type="dxa" w:w="1440"/>
            <w:shd w:fill="FAFAFA" w:val="clear"/>
          </w:tcPr>
          <w:p>
            <w:r>
              <w:rPr>
                <w:b/>
                <w:color w:val="008000"/>
                <w:sz w:val="17"/>
              </w:rPr>
              <w:t>+0.0%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33,142</w:t>
            </w:r>
          </w:p>
        </w:tc>
        <w:tc>
          <w:tcPr>
            <w:tcW w:type="dxa" w:w="1440"/>
            <w:shd w:fill="FAFAFA" w:val="clear"/>
          </w:tcPr>
          <w:p>
            <w:r>
              <w:rPr>
                <w:b/>
                <w:sz w:val="17"/>
              </w:rPr>
              <w:t>36,982</w:t>
            </w:r>
          </w:p>
        </w:tc>
        <w:tc>
          <w:tcPr>
            <w:tcW w:type="dxa" w:w="1440"/>
            <w:shd w:fill="FAFAFA" w:val="clear"/>
          </w:tcPr>
          <w:p>
            <w:r>
              <w:rPr>
                <w:sz w:val="17"/>
              </w:rPr>
              <w:t>40,822</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r>
    </w:p>
    <w:p>
      <w:pPr>
        <w:spacing w:after="120" w:line="276" w:lineRule="auto"/>
      </w:pPr>
      <w:r>
        <w:t>**Date : 24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609,13 milliards FCFA, ce qui en fait l'une des valeurs les plus significatives de la BRVM, reflétant la position dominante de SOLIBRA sur le marché ivoirien des boissons. Avec un BPA de 2 781 FCFA, chaque action génère un bénéfice substantiel. Le PER de 13,3x se situe légèrement au-dessus de la moyenne historique de la BRVM (8-12x), indiquant que les investisseurs acceptent de payer une prime raisonnable pour la qualité des fondamentaux de l'entreprise. Le P/B de 3,12x confirme cette prime de croissance, le marché valorisant nettement au-dessus de la valeur comptable, ce qui est justifié par un ROE exceptionnel de 23,46%. Enfin, l'EV/EBITDA de 7,2x reste dans une zone raisonnable, indiquant que la valorisation globale de l'entreprise, rapportée à sa capacité opérationnelle, n'apparaît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variation totale de -4,63%, avec une dernière séance en baisse de -1,84%, clôturant à 37 005 FCFA. Le cours a évolué dans un range de 35 540 FCFA (plus bas) à 41 500 FCFA (plus haut), soit une amplitude de près de 17%, témoignant d'une volatilité notable. La tendance générale est baissière, le cours s'inscrivant en retrait par rapport à ses plus hauts. Les statistiques descriptives révèlent une moyenne de 38 378 FCFA et une médiane de 38 445 FCFA, très proches l'une de l'autre, indiquant une distribution symétrique des prix, confirmée par un skewness de 0,160. L'écart-type de 954 FCFA, avec un coefficient de variation de seulement 2,5%, montre une dispersion relativement faible autour de la moyenne. Le kurtosis de 0,279 (mésokurtique) suggère une distribution proche de la normale, sans risque de pics extrêmes. La volatilité annualisée de 29,5% classe le titre dans la catégorie des valeurs à volatilité élevée, un niveau à surveiller pour les investisseurs prudents.</w:t>
      </w:r>
    </w:p>
    <w:p>
      <w:pPr>
        <w:spacing w:after="120" w:line="276" w:lineRule="auto"/>
      </w:pPr>
      <w:r>
        <w:t>---</w:t>
      </w:r>
    </w:p>
    <w:p>
      <w:pPr>
        <w:spacing w:after="120" w:line="276" w:lineRule="auto"/>
      </w:pPr>
      <w:r>
        <w:t>### PARTIE 2 : ANALYSE TECHNIQUE DÉTAILLÉE</w:t>
      </w:r>
    </w:p>
    <w:p>
      <w:pPr>
        <w:spacing w:after="120" w:line="276" w:lineRule="auto"/>
      </w:pPr>
      <w:r>
        <w:t>**Moyennes Mobiles** : La MM20 à 37 804,75 FCFA et la MM50 à 38 633,2 FCFA sont toutes deux supérieures au cours actuel de 37 005 FCFA. Cette configuration, où le prix évolue sous ses moyennes mobiles, confirme une tendance baissière à court et moyen terme. Le signal de Vente est cohérent avec cette lecture, le titre n'ayant pas réussi à se maintenir au-dessus de ces niveaux clés.</w:t>
      </w:r>
    </w:p>
    <w:p>
      <w:pPr>
        <w:spacing w:after="120" w:line="276" w:lineRule="auto"/>
      </w:pPr>
      <w:r>
        <w:t>**Bandes de Bollinger** : Le cours se situe à 37 005 FCFA, proche de la borne inférieure de 36 140,29 FCFA et nettement sous la borne supérieure de 39 469,21 FCFA. Cette position suggère que le titre est dans la partie basse de son canal de volatilité, sans toutefois être en situation de surachat ou de survente extrême. Le signal Neutre est approprié, le marché semblant chercher un point d'équilibre.</w:t>
      </w:r>
    </w:p>
    <w:p>
      <w:pPr>
        <w:spacing w:after="120" w:line="276" w:lineRule="auto"/>
      </w:pPr>
      <w:r>
        <w:t>**MACD** : Le MACD affiche une valeur de -360,593, légèrement au-dessus de sa ligne de signal à -374,054. Cette configuration, bien que négative, montre un début de convergence positive, suggérant un possible retournement haussier à court terme. Le signal d'Achat est précoce mais indique que la dynamique baissière pourrait s'essouffler.</w:t>
      </w:r>
    </w:p>
    <w:p>
      <w:pPr>
        <w:spacing w:after="120" w:line="276" w:lineRule="auto"/>
      </w:pPr>
      <w:r>
        <w:t>**RSI** : À 43,627, le RSI se situe dans la zone neutre (30-70), sans signal de surachat ni de survente. Cette valeur indique que le titre n'est ni survendu ni suracheté, laissant une marge de manœuvre dans les deux sens. Le signal Neutre est justifié, le momentum n'étant pas clairement orienté.</w:t>
      </w:r>
    </w:p>
    <w:p>
      <w:pPr>
        <w:spacing w:after="120" w:line="276" w:lineRule="auto"/>
      </w:pPr>
      <w:r>
        <w:t>**Stochastique** : Le %K à 9,545 est très bas, tandis que le %D à 40,566 indique une divergence marquée. Cette configuration suggère que le titre est en situation de survente technique, avec un %K nettement sous le %D. Le signal d'Achat est cohérent avec cette lecture, anticipant un possible rebond technique.</w:t>
      </w:r>
    </w:p>
    <w:p>
      <w:pPr>
        <w:spacing w:after="120" w:line="276" w:lineRule="auto"/>
      </w:pPr>
      <w:r>
        <w:t>**Conclusion technique** : La convergence des signaux est mitigée. Les moyennes mobiles et les bandes de Bollinger suggèrent une faiblesse persistante, tandis que le MACD et le stochastique pointent vers un potentiel de rebond. Le RSI neutre ne tranche pas. Globalement, la tendance reste baissière à court terme, mais les indicateurs de momentum commencent à montrer des signes d'épuisement de la vente, laissant entrevoir une possible stabilisation.</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une performance exceptionnelle avec un chiffre d'affaires de 378,123 milliards FCFA, en hausse de 22,08% par rapport à 2024, et un résultat net de 45,781 milliards FCFA, soit une progression spectaculaire de 113% (contre 21,472 milliards en 2024). Cette performance s'explique par une amélioration significative de la marge nette, passée de 6,9% à 12,1%, et d'un ROE de 23,46%, bien au-dessus du seuil de 15% considéré comme excellent. Le ROA de 13,48% témoigne également d'une utilisation efficace des actifs. La structure financière est saine avec une autonomie financière de 57,48% et une capacité de remboursement de seulement 0,67 an. Le BFR de 61,587 milliards FCFA, bien que positif, est compensé par un fonds de roulement de 83,689 milliards FCFA, assurant une trésorerie nette positive de 22,117 milliards FCFA. Les délais clients de 64 jours et fournisseurs de 77 jours sont raisonnables, mais la durée de stockage de 117 jours mérite une attention particulière. Le rapport du S1 2025 (daté de 2025) confirme cette dynamique avec un CA de 165,8 milliards FCFA (+12,3%) et un résultat net de 28 milliards FCFA (+175,1%), tandis que le rapport T1 2026 (daté de 2026) montre une poursuite de la croissance avec un CA de 93,46 milliards FCFA (+7,6%) et un résultat net de 16,26 milliards FCFA (+4,8%). Sur la base de ces données trimestrielles, on estime que l'exercice 2026 devrait confirmer la tendance, avec un CA annuel potentiellement autour de 400 milliards FCFA et un résultat net dépassant 50 milliards FCFA. La politique de dividende est très généreuse, avec un dividende proposé de 2 127 FCFA par action pour 2025, représentant un taux de distribution de 76,5%. Les perspectives restent favorables, portées par la position de leader de l'entreprise et la croissance démographique de la zone UEMOA.</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La valorisation (Partie 0) est raisonnable, avec un PER de 13,3x et un EV/EBITDA de 7,2x, justifiant une prime de croissance pour un leader du marché. Le comportement du cours (Partie 1) est préoccupant à court terme, avec une tendance baissière de -4,63% sur 100 jours et une volatilité élevée de 29,5%, bien que les statistiques descriptives (distribution symétrique, kurtosis normal) indiquent une stabilité relative. Les signaux techniques (Partie 2) sont mitigés, avec une convergence entre les indicateurs de momentum (MACD, Stochastique) suggérant un possible rebond, mais les moyennes mobiles et les bandes de Bollinger restent baissières. Les fondamentaux (Partie 3) sont exceptionnellement solides, avec une croissance à deux chiffres du CA et du résultat net, une rentabilité élevée (ROE de 23,46%) et une politique de dividende généreuse. Les prédictions IA pour les 10 prochains jours (37 371 FCFA à 37 138 FCFA) suggèrent une stabilisation autour des niveaux actuels, avec une légère tendance à la baisse, contredisant partiellement les signaux de rebond technique. En conclusion, la solidité des fondamentaux et la valorisation raisonnable plaident pour une recommandation **ACHAT** pour les investisseurs de moyen et long terme, malgré les incertitudes techniques à court terme. Le niveau de confiance est **Moyen**, le risque global est **Moyen**, et l'horizon d'investissement optimal est le **moyen terme (3-12 mois)**, en attendant une confirmation technique du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16,620 FCFA</w:t>
            </w:r>
          </w:p>
          <w:p>
            <w:r>
              <w:rPr>
                <w:b/>
                <w:color w:val="503200"/>
                <w:sz w:val="16"/>
              </w:rPr>
              <w:t xml:space="preserve">Var. 100 jours : </w:t>
            </w:r>
            <w:r>
              <w:rPr>
                <w:b/>
                <w:color w:val="007800"/>
                <w:sz w:val="17"/>
              </w:rPr>
              <w:t>+35.67%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14.98% (Moyenne) — μ=14,471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β=-0.5042 (Contre-cyclique) — Cov=-0.000017, Var(idx)=0.000033, ρ=-0.124,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15,868</w:t>
            </w:r>
          </w:p>
        </w:tc>
        <w:tc>
          <w:tcPr>
            <w:tcW w:type="dxa" w:w="1440"/>
            <w:shd w:fill="FAFAFA" w:val="clear"/>
          </w:tcPr>
          <w:p>
            <w:r>
              <w:rPr>
                <w:b/>
                <w:sz w:val="17"/>
              </w:rPr>
              <w:t>16,460</w:t>
            </w:r>
          </w:p>
        </w:tc>
        <w:tc>
          <w:tcPr>
            <w:tcW w:type="dxa" w:w="1440"/>
            <w:shd w:fill="FAFAFA" w:val="clear"/>
          </w:tcPr>
          <w:p>
            <w:r>
              <w:rPr>
                <w:sz w:val="17"/>
              </w:rPr>
              <w:t>17,052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15,569</w:t>
            </w:r>
          </w:p>
        </w:tc>
        <w:tc>
          <w:tcPr>
            <w:tcW w:type="dxa" w:w="1440"/>
            <w:shd w:fill="FAFAFA" w:val="clear"/>
          </w:tcPr>
          <w:p>
            <w:r>
              <w:rPr>
                <w:b/>
                <w:sz w:val="17"/>
              </w:rPr>
              <w:t>16,404</w:t>
            </w:r>
          </w:p>
        </w:tc>
        <w:tc>
          <w:tcPr>
            <w:tcW w:type="dxa" w:w="1440"/>
            <w:shd w:fill="FAFAFA" w:val="clear"/>
          </w:tcPr>
          <w:p>
            <w:r>
              <w:rPr>
                <w:sz w:val="17"/>
              </w:rPr>
              <w:t>17,238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15,321</w:t>
            </w:r>
          </w:p>
        </w:tc>
        <w:tc>
          <w:tcPr>
            <w:tcW w:type="dxa" w:w="1440"/>
            <w:shd w:fill="FAFAFA" w:val="clear"/>
          </w:tcPr>
          <w:p>
            <w:r>
              <w:rPr>
                <w:b/>
                <w:sz w:val="17"/>
              </w:rPr>
              <w:t>16,339</w:t>
            </w:r>
          </w:p>
        </w:tc>
        <w:tc>
          <w:tcPr>
            <w:tcW w:type="dxa" w:w="1440"/>
            <w:shd w:fill="FAFAFA" w:val="clear"/>
          </w:tcPr>
          <w:p>
            <w:r>
              <w:rPr>
                <w:sz w:val="17"/>
              </w:rPr>
              <w:t>17,357</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15,108</w:t>
            </w:r>
          </w:p>
        </w:tc>
        <w:tc>
          <w:tcPr>
            <w:tcW w:type="dxa" w:w="1440"/>
            <w:shd w:fill="FFDCE0" w:val="clear"/>
          </w:tcPr>
          <w:p>
            <w:r>
              <w:rPr>
                <w:b/>
                <w:sz w:val="17"/>
              </w:rPr>
              <w:t>16,279</w:t>
            </w:r>
          </w:p>
        </w:tc>
        <w:tc>
          <w:tcPr>
            <w:tcW w:type="dxa" w:w="1440"/>
            <w:shd w:fill="FFDCE0" w:val="clear"/>
          </w:tcPr>
          <w:p>
            <w:r>
              <w:rPr>
                <w:sz w:val="17"/>
              </w:rPr>
              <w:t>17,450</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14,917</w:t>
            </w:r>
          </w:p>
        </w:tc>
        <w:tc>
          <w:tcPr>
            <w:tcW w:type="dxa" w:w="1440"/>
            <w:shd w:fill="FFDCE0" w:val="clear"/>
          </w:tcPr>
          <w:p>
            <w:r>
              <w:rPr>
                <w:b/>
                <w:sz w:val="17"/>
              </w:rPr>
              <w:t>16,222</w:t>
            </w:r>
          </w:p>
        </w:tc>
        <w:tc>
          <w:tcPr>
            <w:tcW w:type="dxa" w:w="1440"/>
            <w:shd w:fill="FFDCE0" w:val="clear"/>
          </w:tcPr>
          <w:p>
            <w:r>
              <w:rPr>
                <w:sz w:val="17"/>
              </w:rPr>
              <w:t>17,527</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14,741</w:t>
            </w:r>
          </w:p>
        </w:tc>
        <w:tc>
          <w:tcPr>
            <w:tcW w:type="dxa" w:w="1440"/>
            <w:shd w:fill="FFDCE0" w:val="clear"/>
          </w:tcPr>
          <w:p>
            <w:r>
              <w:rPr>
                <w:b/>
                <w:sz w:val="17"/>
              </w:rPr>
              <w:t>16,165</w:t>
            </w:r>
          </w:p>
        </w:tc>
        <w:tc>
          <w:tcPr>
            <w:tcW w:type="dxa" w:w="1440"/>
            <w:shd w:fill="FFDCE0" w:val="clear"/>
          </w:tcPr>
          <w:p>
            <w:r>
              <w:rPr>
                <w:sz w:val="17"/>
              </w:rPr>
              <w:t>17,590</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14,577</w:t>
            </w:r>
          </w:p>
        </w:tc>
        <w:tc>
          <w:tcPr>
            <w:tcW w:type="dxa" w:w="1440"/>
            <w:shd w:fill="FFDCE0" w:val="clear"/>
          </w:tcPr>
          <w:p>
            <w:r>
              <w:rPr>
                <w:b/>
                <w:sz w:val="17"/>
              </w:rPr>
              <w:t>16,110</w:t>
            </w:r>
          </w:p>
        </w:tc>
        <w:tc>
          <w:tcPr>
            <w:tcW w:type="dxa" w:w="1440"/>
            <w:shd w:fill="FFDCE0" w:val="clear"/>
          </w:tcPr>
          <w:p>
            <w:r>
              <w:rPr>
                <w:sz w:val="17"/>
              </w:rPr>
              <w:t>17,643</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14,421</w:t>
            </w:r>
          </w:p>
        </w:tc>
        <w:tc>
          <w:tcPr>
            <w:tcW w:type="dxa" w:w="1440"/>
            <w:shd w:fill="FFDCE0" w:val="clear"/>
          </w:tcPr>
          <w:p>
            <w:r>
              <w:rPr>
                <w:b/>
                <w:sz w:val="17"/>
              </w:rPr>
              <w:t>16,055</w:t>
            </w:r>
          </w:p>
        </w:tc>
        <w:tc>
          <w:tcPr>
            <w:tcW w:type="dxa" w:w="1440"/>
            <w:shd w:fill="FFDCE0" w:val="clear"/>
          </w:tcPr>
          <w:p>
            <w:r>
              <w:rPr>
                <w:sz w:val="17"/>
              </w:rPr>
              <w:t>17,688</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14,274</w:t>
            </w:r>
          </w:p>
        </w:tc>
        <w:tc>
          <w:tcPr>
            <w:tcW w:type="dxa" w:w="1440"/>
            <w:shd w:fill="FFDCE0" w:val="clear"/>
          </w:tcPr>
          <w:p>
            <w:r>
              <w:rPr>
                <w:b/>
                <w:sz w:val="17"/>
              </w:rPr>
              <w:t>16,001</w:t>
            </w:r>
          </w:p>
        </w:tc>
        <w:tc>
          <w:tcPr>
            <w:tcW w:type="dxa" w:w="1440"/>
            <w:shd w:fill="FFDCE0" w:val="clear"/>
          </w:tcPr>
          <w:p>
            <w:r>
              <w:rPr>
                <w:sz w:val="17"/>
              </w:rPr>
              <w:t>17,727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14,133</w:t>
            </w:r>
          </w:p>
        </w:tc>
        <w:tc>
          <w:tcPr>
            <w:tcW w:type="dxa" w:w="1440"/>
            <w:shd w:fill="FFDCE0" w:val="clear"/>
          </w:tcPr>
          <w:p>
            <w:r>
              <w:rPr>
                <w:b/>
                <w:sz w:val="17"/>
              </w:rPr>
              <w:t>15,947</w:t>
            </w:r>
          </w:p>
        </w:tc>
        <w:tc>
          <w:tcPr>
            <w:tcW w:type="dxa" w:w="1440"/>
            <w:shd w:fill="FFDCE0" w:val="clear"/>
          </w:tcPr>
          <w:p>
            <w:r>
              <w:rPr>
                <w:sz w:val="17"/>
              </w:rPr>
              <w:t>17,761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129,56 milliards FCFA, un niveau significatif qui la positionne parmi les valeurs moyennes de la cote BRVM. Avec un BPA de 1 677 FCFA, chaque action génère un bénéfice substantiel, justifiant un PER de 9,9x, inférieur à la moyenne du marché (8-12x), ce qui suggère une sous-évaluation relative du titre. Le P/B de 3,02x indique que le marché valorise l'entreprise à plus de trois fois ses capitaux propres, traduisant une prime de croissance accordée par les investisseurs. Enfin, l'EV/EBITDA de 6,2x, dans la fourchette raisonnable de 5-10x, confirme une valorisation cohérente avec la capacité opérationnelle de la société, renforçant l'attrait du titre sur le plan fondamental.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+35,67%, avec un cours actuel de 16 620 FCFA, stable par rapport à la séance précédente. Le titre a évolué dans une fourchette large, entre un plus bas de 11 450 FCFA et un plus haut de 17 735 FCFA, démontrant une dynamique haussière soutenue. La moyenne du cours sur la période (14 471 FCFA) est inférieure à la médiane (15 498 FCFA), indiquant une distribution légèrement asymétrique avec une concentration des valeurs vers le haut. L'écart-type de 2 179 FCFA (CV=15,1%) révèle une dispersion modérée, tandis que le kurtosis négatif (-1,632) signale une distribution aplatie, sans pics extrêmes. Le skewness de -0,124 confirme une symétrie relative. La volatilité annualisée de 36,6% classe le titre comme très volatil, un niveau élevé qui implique des fluctuations importantes et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 Les MM20 (16 224 FCFA) et MM50 (16 434,7 FCFA) sont toutes deux inférieures au cours actuel (16 620 FCFA), indiquant une tendance haussière à court et moyen terme. Cependant, la décision technique est "Vente", probablement en raison d'un écart croissant entre le prix et les moyennes, signalant une possible correction à venir.</w:t>
      </w:r>
    </w:p>
    <w:p>
      <w:pPr>
        <w:spacing w:after="120" w:line="276" w:lineRule="auto"/>
      </w:pPr>
      <w:r>
        <w:t>**Bandes de Bollinger** : Le cours se situe à 16 620 FCFA, proche de la borne supérieure (17 002,8 FCFA), ce qui reflète une pression acheteuse soutenue. La décision "Neutre" suggère que le marché attend une confirmation directionnelle, avec une volatilité modérée.</w:t>
      </w:r>
    </w:p>
    <w:p>
      <w:pPr>
        <w:spacing w:after="120" w:line="276" w:lineRule="auto"/>
      </w:pPr>
      <w:r>
        <w:t>**MACD** : La valeur du MACD (115,369) est supérieure à son signal (78,728), indiquant un momentum haussier positif. La décision "Achat" confirme la dynamique ascendante, bien que l'écart croissant puisse signaler une saturation à court terme.</w:t>
      </w:r>
    </w:p>
    <w:p>
      <w:pPr>
        <w:spacing w:after="120" w:line="276" w:lineRule="auto"/>
      </w:pPr>
      <w:r>
        <w:t>**RSI** : À 83,988, le RSI est en zone de surachat (&gt;70), signalant que le titre est surévalué à court terme. La décision "Vente" est justifiée par ce niveau extrême, qui précède souvent un repli technique.</w:t>
      </w:r>
    </w:p>
    <w:p>
      <w:pPr>
        <w:spacing w:after="120" w:line="276" w:lineRule="auto"/>
      </w:pPr>
      <w:r>
        <w:t>**Stochastique** : Le %K (100,0) et le %D (96,983) sont tous deux en zone de surachat, avec un croisement potentiel à la baisse. La décision "Vente" reflète ce risque de retournement imminent.</w:t>
      </w:r>
    </w:p>
    <w:p>
      <w:pPr>
        <w:spacing w:after="120" w:line="276" w:lineRule="auto"/>
      </w:pPr>
      <w:r>
        <w:t>**Conclusion technique** : Les indicateurs sont partagés, avec une majorité de signaux de vente (MM, RSI, Stochastique) contre un signal d'achat (MACD) et un neutre (Bollinger). Cette divergence suggère une possible consolidation à court terme après la forte hausse, mais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le résultat net progresse spectaculairement de +50,3% à 13,075 milliards FCFA, porté par une marge nette de 6,3% (contre 3,8% en 2024). Le ROE de 30,47% et le ROA de 7,26% témoignent d'une excellente rentabilité des fonds propres et des actifs. La structure financière est solide avec des capitaux propres de 42,913 milliards FCFA (+21,6%) et une trésorerie nette positive de 23,988 milliards FCFA. Le BFR de 1,693 milliards FCFA est faible, mais le délai clients de 193,75 jours reste élevé, un risque de trésorerie à surveiller. Les rapports trimestriels 2025 (T1, S1, 9M) montrent une baisse du CA (-22% au T1, -23% au S1, -14% au 9M) mais une amélioration des marges grâce à un environnement de raffinage favorable. Sur la base des 9M 2025 (résultat net de 5,7 milliards FCFA, +6%), on estime que l'exercice 2025 devrait confirmer la tendance positive, avec un résultat net annuel potentiellement supérieur aux 13 milliards FCFA, soutenu par la demande locale et les projets d'infrastructures.</w:t>
      </w:r>
    </w:p>
    <w:p>
      <w:pPr>
        <w:spacing w:after="120" w:line="276" w:lineRule="auto" w:before="240"/>
      </w:pPr>
      <w:r>
        <w:rPr>
          <w:b/>
          <w:color w:val="003366"/>
          <w:sz w:val="24"/>
        </w:rPr>
        <w:t>**PARTIE 4 : CONCLUSION D'INVESTISSEMENT**</w:t>
      </w:r>
    </w:p>
    <w:p>
      <w:pPr>
        <w:spacing w:after="120" w:line="276" w:lineRule="auto"/>
      </w:pPr>
      <w:r>
        <w:t>La valorisation de SMBC (PER 9,9x, P/B 3,02x, EV/EBITDA 6,2x) indique une sous-évaluation relative, renforcée par des fondamentaux solides (ROE 30,47%, trésorerie positive). Le cours a progressé de +35,67% sur 100 jours, mais la volatilité élevée (36,6%) et les statistiques (kurtosis plat, skewness symétrique) suggèrent une stabilité relative malgré les fluctuations. Les signaux techniques sont mitigés, avec une majorité de ventes (RSI, Stochastique, MM) contre un achat (MACD), indiquant un possible repli à court terme. Les fondamentaux, eux, sont très positifs, avec une amélioration spectaculaire de la rentabilité et une gestion rigoureuse des coûts. Les prédictions IA (16 460 à 16 222 FCFA sur 10 jours) confirment une légère correction, alignée sur les signaux techniques. En synthèse, la convergence entre la sous-évaluation, la solidité financière et les perspectives de croissance justifie une recommandation **ACHAT**, avec un niveau de confiance **Élevé** et un risque **Moyen**. L'horizon optimal est le **moyen terme (3-12 mois)**, pour capitaliser sur la reprise de la demande et les investissements en cours.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9,592 titres</w:t>
            </w:r>
          </w:p>
        </w:tc>
        <w:tc>
          <w:tcPr>
            <w:tcW w:type="dxa" w:w="2268"/>
            <w:shd w:fill="FFF2CC" w:val="clear"/>
          </w:tcPr>
          <w:p>
            <w:r>
              <w:rPr>
                <w:b/>
                <w:color w:val="503200"/>
                <w:sz w:val="16"/>
              </w:rPr>
              <w:t xml:space="preserve">Cours actuel : </w:t>
            </w:r>
            <w:r>
              <w:rPr>
                <w:color w:val="000000"/>
                <w:sz w:val="17"/>
              </w:rPr>
              <w:t>36,980 FCFA</w:t>
            </w:r>
          </w:p>
          <w:p>
            <w:r>
              <w:rPr>
                <w:b/>
                <w:color w:val="503200"/>
                <w:sz w:val="16"/>
              </w:rPr>
              <w:t xml:space="preserve">Var. 100 jours : </w:t>
            </w:r>
            <w:r>
              <w:rPr>
                <w:b/>
                <w:color w:val="007800"/>
                <w:sz w:val="17"/>
              </w:rPr>
              <w:t>+30.21%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μ=29,677 FCFA, σ=1,693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β=1.4842 (Agressif) — Cov=0.000049, Var(idx)=0.000033, ρ=0.497,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32,990</w:t>
            </w:r>
          </w:p>
        </w:tc>
        <w:tc>
          <w:tcPr>
            <w:tcW w:type="dxa" w:w="1440"/>
            <w:shd w:fill="FFDCE0" w:val="clear"/>
          </w:tcPr>
          <w:p>
            <w:r>
              <w:rPr>
                <w:b/>
                <w:sz w:val="17"/>
              </w:rPr>
              <w:t>34,206</w:t>
            </w:r>
          </w:p>
        </w:tc>
        <w:tc>
          <w:tcPr>
            <w:tcW w:type="dxa" w:w="1440"/>
            <w:shd w:fill="FFDCE0" w:val="clear"/>
          </w:tcPr>
          <w:p>
            <w:r>
              <w:rPr>
                <w:sz w:val="17"/>
              </w:rPr>
              <w:t>35,423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32,539</w:t>
            </w:r>
          </w:p>
        </w:tc>
        <w:tc>
          <w:tcPr>
            <w:tcW w:type="dxa" w:w="1440"/>
            <w:shd w:fill="FFDCE0" w:val="clear"/>
          </w:tcPr>
          <w:p>
            <w:r>
              <w:rPr>
                <w:b/>
                <w:sz w:val="17"/>
              </w:rPr>
              <w:t>34,262</w:t>
            </w:r>
          </w:p>
        </w:tc>
        <w:tc>
          <w:tcPr>
            <w:tcW w:type="dxa" w:w="1440"/>
            <w:shd w:fill="FFDCE0" w:val="clear"/>
          </w:tcPr>
          <w:p>
            <w:r>
              <w:rPr>
                <w:sz w:val="17"/>
              </w:rPr>
              <w:t>35,986</w:t>
            </w:r>
          </w:p>
        </w:tc>
        <w:tc>
          <w:tcPr>
            <w:tcW w:type="dxa" w:w="1440"/>
            <w:shd w:fill="FFDCE0" w:val="clear"/>
          </w:tcPr>
          <w:p>
            <w:r>
              <w:rPr>
                <w:b/>
                <w:color w:val="C00000"/>
                <w:sz w:val="17"/>
              </w:rPr>
              <w:t>-7.3%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32,038</w:t>
            </w:r>
          </w:p>
        </w:tc>
        <w:tc>
          <w:tcPr>
            <w:tcW w:type="dxa" w:w="1440"/>
            <w:shd w:fill="FFDCE0" w:val="clear"/>
          </w:tcPr>
          <w:p>
            <w:r>
              <w:rPr>
                <w:b/>
                <w:sz w:val="17"/>
              </w:rPr>
              <w:t>34,141</w:t>
            </w:r>
          </w:p>
        </w:tc>
        <w:tc>
          <w:tcPr>
            <w:tcW w:type="dxa" w:w="1440"/>
            <w:shd w:fill="FFDCE0" w:val="clear"/>
          </w:tcPr>
          <w:p>
            <w:r>
              <w:rPr>
                <w:sz w:val="17"/>
              </w:rPr>
              <w:t>36,245</w:t>
            </w:r>
          </w:p>
        </w:tc>
        <w:tc>
          <w:tcPr>
            <w:tcW w:type="dxa" w:w="1440"/>
            <w:shd w:fill="FFDCE0" w:val="clear"/>
          </w:tcPr>
          <w:p>
            <w:r>
              <w:rPr>
                <w:b/>
                <w:color w:val="C00000"/>
                <w:sz w:val="17"/>
              </w:rPr>
              <w:t>-7.7%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31,601</w:t>
            </w:r>
          </w:p>
        </w:tc>
        <w:tc>
          <w:tcPr>
            <w:tcW w:type="dxa" w:w="1440"/>
            <w:shd w:fill="FFDCE0" w:val="clear"/>
          </w:tcPr>
          <w:p>
            <w:r>
              <w:rPr>
                <w:b/>
                <w:sz w:val="17"/>
              </w:rPr>
              <w:t>34,022</w:t>
            </w:r>
          </w:p>
        </w:tc>
        <w:tc>
          <w:tcPr>
            <w:tcW w:type="dxa" w:w="1440"/>
            <w:shd w:fill="FFDCE0" w:val="clear"/>
          </w:tcPr>
          <w:p>
            <w:r>
              <w:rPr>
                <w:sz w:val="17"/>
              </w:rPr>
              <w:t>36,442</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31,234</w:t>
            </w:r>
          </w:p>
        </w:tc>
        <w:tc>
          <w:tcPr>
            <w:tcW w:type="dxa" w:w="1440"/>
            <w:shd w:fill="FFDCE0" w:val="clear"/>
          </w:tcPr>
          <w:p>
            <w:r>
              <w:rPr>
                <w:b/>
                <w:sz w:val="17"/>
              </w:rPr>
              <w:t>33,933</w:t>
            </w:r>
          </w:p>
        </w:tc>
        <w:tc>
          <w:tcPr>
            <w:tcW w:type="dxa" w:w="1440"/>
            <w:shd w:fill="FFDCE0" w:val="clear"/>
          </w:tcPr>
          <w:p>
            <w:r>
              <w:rPr>
                <w:sz w:val="17"/>
              </w:rPr>
              <w:t>36,631</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30,912</w:t>
            </w:r>
          </w:p>
        </w:tc>
        <w:tc>
          <w:tcPr>
            <w:tcW w:type="dxa" w:w="1440"/>
            <w:shd w:fill="FFDCE0" w:val="clear"/>
          </w:tcPr>
          <w:p>
            <w:r>
              <w:rPr>
                <w:b/>
                <w:sz w:val="17"/>
              </w:rPr>
              <w:t>33,862</w:t>
            </w:r>
          </w:p>
        </w:tc>
        <w:tc>
          <w:tcPr>
            <w:tcW w:type="dxa" w:w="1440"/>
            <w:shd w:fill="FFDCE0" w:val="clear"/>
          </w:tcPr>
          <w:p>
            <w:r>
              <w:rPr>
                <w:sz w:val="17"/>
              </w:rPr>
              <w:t>36,813</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30,620</w:t>
            </w:r>
          </w:p>
        </w:tc>
        <w:tc>
          <w:tcPr>
            <w:tcW w:type="dxa" w:w="1440"/>
            <w:shd w:fill="FFDCE0" w:val="clear"/>
          </w:tcPr>
          <w:p>
            <w:r>
              <w:rPr>
                <w:b/>
                <w:sz w:val="17"/>
              </w:rPr>
              <w:t>33,801</w:t>
            </w:r>
          </w:p>
        </w:tc>
        <w:tc>
          <w:tcPr>
            <w:tcW w:type="dxa" w:w="1440"/>
            <w:shd w:fill="FFDCE0" w:val="clear"/>
          </w:tcPr>
          <w:p>
            <w:r>
              <w:rPr>
                <w:sz w:val="17"/>
              </w:rPr>
              <w:t>36,982</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30,349</w:t>
            </w:r>
          </w:p>
        </w:tc>
        <w:tc>
          <w:tcPr>
            <w:tcW w:type="dxa" w:w="1440"/>
            <w:shd w:fill="FFDCE0" w:val="clear"/>
          </w:tcPr>
          <w:p>
            <w:r>
              <w:rPr>
                <w:b/>
                <w:sz w:val="17"/>
              </w:rPr>
              <w:t>33,744</w:t>
            </w:r>
          </w:p>
        </w:tc>
        <w:tc>
          <w:tcPr>
            <w:tcW w:type="dxa" w:w="1440"/>
            <w:shd w:fill="FFDCE0" w:val="clear"/>
          </w:tcPr>
          <w:p>
            <w:r>
              <w:rPr>
                <w:sz w:val="17"/>
              </w:rPr>
              <w:t>37,138</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30,093</w:t>
            </w:r>
          </w:p>
        </w:tc>
        <w:tc>
          <w:tcPr>
            <w:tcW w:type="dxa" w:w="1440"/>
            <w:shd w:fill="FFDCE0" w:val="clear"/>
          </w:tcPr>
          <w:p>
            <w:r>
              <w:rPr>
                <w:b/>
                <w:sz w:val="17"/>
              </w:rPr>
              <w:t>33,688</w:t>
            </w:r>
          </w:p>
        </w:tc>
        <w:tc>
          <w:tcPr>
            <w:tcW w:type="dxa" w:w="1440"/>
            <w:shd w:fill="FFDCE0" w:val="clear"/>
          </w:tcPr>
          <w:p>
            <w:r>
              <w:rPr>
                <w:sz w:val="17"/>
              </w:rPr>
              <w:t>37,283</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29,852</w:t>
            </w:r>
          </w:p>
        </w:tc>
        <w:tc>
          <w:tcPr>
            <w:tcW w:type="dxa" w:w="1440"/>
            <w:shd w:fill="FFDCE0" w:val="clear"/>
          </w:tcPr>
          <w:p>
            <w:r>
              <w:rPr>
                <w:b/>
                <w:sz w:val="17"/>
              </w:rPr>
              <w:t>33,635</w:t>
            </w:r>
          </w:p>
        </w:tc>
        <w:tc>
          <w:tcPr>
            <w:tcW w:type="dxa" w:w="1440"/>
            <w:shd w:fill="FFDCE0" w:val="clear"/>
          </w:tcPr>
          <w:p>
            <w:r>
              <w:rPr>
                <w:sz w:val="17"/>
              </w:rPr>
              <w:t>37,418</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3 698 milliards FCFA, ce qui en fait la valeur la plus importante et la plus liquide de la cote de la BRVM, représentant une part significative de l'indice principal. Avec un BPA de 4 136 FCFA, le titre se négocie à un PER de 8,9x, un niveau inférieur à la moyenne historique de la place (~8-12x), ce qui suggère une sous-évaluation relative malgré la forte progression du cours. Le P/B de 2,64x indique que le marché valorise l'entreprise à plus du double de sa valeur comptable, une prime justifiée par la rentabilité exceptionnelle des capitaux propres (ROE &gt;29%). Enfin, un EV/EBITDA de 3,8x, très inférieur au seuil de 5x, confirme que la valeur totale de l'entreprise (dette incluse) reste très bon marché par rapport à sa capacité à générer du cash opérationnel. Ces ratios combinés signalent une décote malgré des fondamentaux de premier ordre.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+30,21%, avec une accélération marquée lors de la dernière séance (+7,50%), portant le cours à 36 980 FCFA, son plus haut niveau sur la période. Le titre a évolué dans une fourchette de 27 160 FCFA à 36 980 FCFA, démontrant une dynamique haussière soutenue. La moyenne du cours (29 677 FCFA) est inférieure à la médiane (28 900 FCFA), et le skewness positif de 1,449 indique une distribution asymétrique avec des journées majoritairement sous la moyenne mais des pics de hausse prononcés. L'écart-type de 1 701 FCFA (CV de 5,7%) révèle une dispersion modérée, tandis que le kurtosis excédentaire de 2,485 signale un risque de mouvements extrêmes (queues épaisses). La volatilité annualisée de 29,3% classe le titre dans la catégorie "élevée" (&gt;30% étant très élevé), reflétant une spéculation active et des variations de prix substantielles.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(36 980 FCFA) se situe nettement au-dessus de la MM20 (32 009 FCFA) et de la MM50 (30 714 FCFA), dans une configuration de tendance haussière forte. L'écart positif entre le prix et les moyennes confirme la dynamique positive, justifiant la décision d'achat.</w:t>
      </w:r>
    </w:p>
    <w:p>
      <w:pPr>
        <w:spacing w:after="120" w:line="276" w:lineRule="auto"/>
      </w:pPr>
      <w:r>
        <w:t>**Bandes de Bollinger** : Le prix a franchi la borne supérieure (35 169 FCFA), indiquant une extension excessive de la volatilité. Cette sortie de canal signale une condition de surachat extrême, d'où la décision de vente, car un retour vers la moyenne (32 000 FCFA) est statistiquement probable à court terme.</w:t>
      </w:r>
    </w:p>
    <w:p>
      <w:pPr>
        <w:spacing w:after="120" w:line="276" w:lineRule="auto"/>
      </w:pPr>
      <w:r>
        <w:t>**MACD** : La valeur du MACD (1 056,7) est nettement supérieure à sa ligne de signal (620,3), confirmant un momentum haussier puissant. La divergence positive croissante indique que la pression acheteuse reste dominante, justifiant la décision d'achat malgré la maturité de la tendance.</w:t>
      </w:r>
    </w:p>
    <w:p>
      <w:pPr>
        <w:spacing w:after="120" w:line="276" w:lineRule="auto"/>
      </w:pPr>
      <w:r>
        <w:t>**RSI** : Avec une valeur de 84,8, l'indice de force relative est profondément en zone de surachat (&gt;70). Ce niveau extrême, proche de 85, signale une exubérance excessive du marché et un risque élevé de correction technique, justifiant la décision de vente.</w:t>
      </w:r>
    </w:p>
    <w:p>
      <w:pPr>
        <w:spacing w:after="120" w:line="276" w:lineRule="auto"/>
      </w:pPr>
      <w:r>
        <w:t>**Stochastique** : Les valeurs %K et %D sont toutes deux à 100,0, un niveau de surachat absolu. Cette configuration extrême indique que le marché est saturé d'acheteurs, avec un risque majeur de retournement imminent, justifiant la décision de vente.</w:t>
      </w:r>
    </w:p>
    <w:p>
      <w:pPr>
        <w:spacing w:after="120" w:line="276" w:lineRule="auto"/>
      </w:pPr>
      <w:r>
        <w:t>**Conclusion technique** : Les indicateurs de tendance (MM, MACD) sont résolument haussiers, mais les oscillateurs de momentum (RSI, Stochastique) et la position par rapport aux bandes de Bollinger signalent une surachat extrême. Cette divergence classique suggère une consolidation ou correction à court terme avant la poursuite de la tendance de fond.</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résultats financiers exceptionnels : le chiffre d'affaires consolidé atteint 1 923,1 milliards FCFA (+8,3% vs 2024), avec un résultat net de 413,6 milliards FCFA (+5,1%). La marge nette s'établit à 21,5%, le ROE à 29,6% et le ROA à 12,6%, des niveaux excellents pour une entreprise non bancaire. La structure financière est saine avec une autonomie financière de 42,8% et une capacité de remboursement rapide (0,64 an). Le BFR négatif de -284,9 milliards FCFA est un signal très favorable, indiquant que l'entreprise finance son exploitation grâce aux délais fournisseurs (201 jours) supérieurs aux délais clients (46 jours). Le rapport annuel 2025 (publié en février 2026) confirme la solidité avec un EBITDAAL de 47,9% du CA et une base clients de 42,1 millions. Le rapport S1 2026 (publié en juillet 2026) montre une accélération : CA de 1 049,8 milliards (+9,3%), résultat net de 230 milliards (+10,5%), et une notation relevée à AAA(wu) par GCR. Sur cette base, on estime que l'exercice 2026 pourrait dépasser 2 100 milliards de CA et 450 milliards de résultat net, confirmant la trajectoire de croissance rentable. Le dividende de 1 740 FCFA net par action offre un rendement attractif de 4,7% au cours actuel.</w:t>
      </w:r>
    </w:p>
    <w:p>
      <w:pPr>
        <w:spacing w:after="120" w:line="276" w:lineRule="auto"/>
      </w:pPr>
      <w:r>
        <w:t>---</w:t>
      </w:r>
    </w:p>
    <w:p>
      <w:pPr>
        <w:spacing w:after="120" w:line="276" w:lineRule="auto"/>
      </w:pPr>
      <w:r>
        <w:t>### PARTIE 4 : CONCLUSION D'INVESTISSEMENT</w:t>
      </w:r>
    </w:p>
    <w:p>
      <w:pPr>
        <w:spacing w:after="120" w:line="276" w:lineRule="auto"/>
      </w:pPr>
      <w:r>
        <w:t>La valorisation (PER 8,9x, EV/EBITDA 3,8x) indique une sous-évaluation malgré la performance boursière récente, tandis que le comportement du cours (+30,2% sur 100 jours) montre une dynamique haussière forte mais avec une volatilité élevée et des signes de surachat statistique (kurtosis, skewness). Les signaux techniques sont mitigés : la tendance de fond (MM, MACD) reste positive, mais les oscillateurs (RSI 84,8, Stochastique 100) et les bandes de Bollinger signalent une correction imminente. Les fondamentaux sont excellents avec une croissance soutenue, des marges élevées et une structure financière robuste, renforcés par les résultats S1 2026 supérieurs aux attentes. Les prédictions IA (34 206 FCFA à J+10) suggèrent un repli de -7,5% par rapport au cours actuel, confirmant le scénario de consolidation technique. **Recommandation : CONSERVER** — la convergence entre les signaux de surachat technique et la prédiction IA indique un risque de correction à court terme, mais les fondamentaux solides et la sous-évaluation justifient de maintenir les positions. **Niveau de confiance : Élevé** (fondamentaux solides, mais signaux techniques contradictoires). **Risque global : Moyen** (volatilité élevée, mais solidité financière). **Horizon optimal : Moyen terme (3-12 mois)** pour capitaliser sur la croissance 2026 après une probable phase de consolidation.</w:t>
      </w:r>
    </w:p>
    <w:p>
      <w:pPr>
        <w:spacing w:after="120" w:line="276" w:lineRule="auto"/>
      </w:pPr>
      <w:r>
        <w:t>---</w:t>
      </w:r>
    </w:p>
    <w:p>
      <w:pPr>
        <w:spacing w:after="120" w:line="276" w:lineRule="auto"/>
      </w:pPr>
      <w:r>
        <w:t>*Ce rapport est généré à titre informatif et ne constitue pas un conseil en investissement personnalisé.*</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176.60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5,790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B40000"/>
                <w:sz w:val="17"/>
              </w:rPr>
              <w:t>-0.30%</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μ=7,976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β=0.3974 (Défensif) — Cov=0.000013, Var(idx)=0.000033,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7,811</w:t>
            </w:r>
          </w:p>
        </w:tc>
        <w:tc>
          <w:tcPr>
            <w:tcW w:type="dxa" w:w="1440"/>
            <w:shd w:fill="FAFAFA" w:val="clear"/>
          </w:tcPr>
          <w:p>
            <w:r>
              <w:rPr>
                <w:b/>
                <w:sz w:val="17"/>
              </w:rPr>
              <w:t>8,185</w:t>
            </w:r>
          </w:p>
        </w:tc>
        <w:tc>
          <w:tcPr>
            <w:tcW w:type="dxa" w:w="1440"/>
            <w:shd w:fill="FAFAFA" w:val="clear"/>
          </w:tcPr>
          <w:p>
            <w:r>
              <w:rPr>
                <w:sz w:val="17"/>
              </w:rPr>
              <w:t>8,559</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7,665</w:t>
            </w:r>
          </w:p>
        </w:tc>
        <w:tc>
          <w:tcPr>
            <w:tcW w:type="dxa" w:w="1440"/>
            <w:shd w:fill="FAFAFA" w:val="clear"/>
          </w:tcPr>
          <w:p>
            <w:r>
              <w:rPr>
                <w:b/>
                <w:sz w:val="17"/>
              </w:rPr>
              <w:t>8,194</w:t>
            </w:r>
          </w:p>
        </w:tc>
        <w:tc>
          <w:tcPr>
            <w:tcW w:type="dxa" w:w="1440"/>
            <w:shd w:fill="FAFAFA" w:val="clear"/>
          </w:tcPr>
          <w:p>
            <w:r>
              <w:rPr>
                <w:sz w:val="17"/>
              </w:rPr>
              <w:t>8,724</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7,557</w:t>
            </w:r>
          </w:p>
        </w:tc>
        <w:tc>
          <w:tcPr>
            <w:tcW w:type="dxa" w:w="1440"/>
            <w:shd w:fill="FAFAFA" w:val="clear"/>
          </w:tcPr>
          <w:p>
            <w:r>
              <w:rPr>
                <w:b/>
                <w:sz w:val="17"/>
              </w:rPr>
              <w:t>8,206</w:t>
            </w:r>
          </w:p>
        </w:tc>
        <w:tc>
          <w:tcPr>
            <w:tcW w:type="dxa" w:w="1440"/>
            <w:shd w:fill="FAFAFA" w:val="clear"/>
          </w:tcPr>
          <w:p>
            <w:r>
              <w:rPr>
                <w:sz w:val="17"/>
              </w:rPr>
              <w:t>8,855</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7,467</w:t>
            </w:r>
          </w:p>
        </w:tc>
        <w:tc>
          <w:tcPr>
            <w:tcW w:type="dxa" w:w="1440"/>
            <w:shd w:fill="FAFAFA" w:val="clear"/>
          </w:tcPr>
          <w:p>
            <w:r>
              <w:rPr>
                <w:b/>
                <w:sz w:val="17"/>
              </w:rPr>
              <w:t>8,218</w:t>
            </w:r>
          </w:p>
        </w:tc>
        <w:tc>
          <w:tcPr>
            <w:tcW w:type="dxa" w:w="1440"/>
            <w:shd w:fill="FAFAFA" w:val="clear"/>
          </w:tcPr>
          <w:p>
            <w:r>
              <w:rPr>
                <w:sz w:val="17"/>
              </w:rPr>
              <w:t>8,968</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7,388</w:t>
            </w:r>
          </w:p>
        </w:tc>
        <w:tc>
          <w:tcPr>
            <w:tcW w:type="dxa" w:w="1440"/>
            <w:shd w:fill="FAFAFA" w:val="clear"/>
          </w:tcPr>
          <w:p>
            <w:r>
              <w:rPr>
                <w:b/>
                <w:sz w:val="17"/>
              </w:rPr>
              <w:t>8,229</w:t>
            </w:r>
          </w:p>
        </w:tc>
        <w:tc>
          <w:tcPr>
            <w:tcW w:type="dxa" w:w="1440"/>
            <w:shd w:fill="FAFAFA" w:val="clear"/>
          </w:tcPr>
          <w:p>
            <w:r>
              <w:rPr>
                <w:sz w:val="17"/>
              </w:rPr>
              <w:t>9,070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7,318</w:t>
            </w:r>
          </w:p>
        </w:tc>
        <w:tc>
          <w:tcPr>
            <w:tcW w:type="dxa" w:w="1440"/>
            <w:shd w:fill="FAFAFA" w:val="clear"/>
          </w:tcPr>
          <w:p>
            <w:r>
              <w:rPr>
                <w:b/>
                <w:sz w:val="17"/>
              </w:rPr>
              <w:t>8,240</w:t>
            </w:r>
          </w:p>
        </w:tc>
        <w:tc>
          <w:tcPr>
            <w:tcW w:type="dxa" w:w="1440"/>
            <w:shd w:fill="FAFAFA" w:val="clear"/>
          </w:tcPr>
          <w:p>
            <w:r>
              <w:rPr>
                <w:sz w:val="17"/>
              </w:rPr>
              <w:t>9,163</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7,254</w:t>
            </w:r>
          </w:p>
        </w:tc>
        <w:tc>
          <w:tcPr>
            <w:tcW w:type="dxa" w:w="1440"/>
            <w:shd w:fill="FAFAFA" w:val="clear"/>
          </w:tcPr>
          <w:p>
            <w:r>
              <w:rPr>
                <w:b/>
                <w:sz w:val="17"/>
              </w:rPr>
              <w:t>8,252</w:t>
            </w:r>
          </w:p>
        </w:tc>
        <w:tc>
          <w:tcPr>
            <w:tcW w:type="dxa" w:w="1440"/>
            <w:shd w:fill="FAFAFA" w:val="clear"/>
          </w:tcPr>
          <w:p>
            <w:r>
              <w:rPr>
                <w:sz w:val="17"/>
              </w:rPr>
              <w:t>9,249</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7,195</w:t>
            </w:r>
          </w:p>
        </w:tc>
        <w:tc>
          <w:tcPr>
            <w:tcW w:type="dxa" w:w="1440"/>
            <w:shd w:fill="FAFAFA" w:val="clear"/>
          </w:tcPr>
          <w:p>
            <w:r>
              <w:rPr>
                <w:b/>
                <w:sz w:val="17"/>
              </w:rPr>
              <w:t>8,263</w:t>
            </w:r>
          </w:p>
        </w:tc>
        <w:tc>
          <w:tcPr>
            <w:tcW w:type="dxa" w:w="1440"/>
            <w:shd w:fill="FAFAFA" w:val="clear"/>
          </w:tcPr>
          <w:p>
            <w:r>
              <w:rPr>
                <w:sz w:val="17"/>
              </w:rPr>
              <w:t>9,331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7,140</w:t>
            </w:r>
          </w:p>
        </w:tc>
        <w:tc>
          <w:tcPr>
            <w:tcW w:type="dxa" w:w="1440"/>
            <w:shd w:fill="FAFAFA" w:val="clear"/>
          </w:tcPr>
          <w:p>
            <w:r>
              <w:rPr>
                <w:b/>
                <w:sz w:val="17"/>
              </w:rPr>
              <w:t>8,274</w:t>
            </w:r>
          </w:p>
        </w:tc>
        <w:tc>
          <w:tcPr>
            <w:tcW w:type="dxa" w:w="1440"/>
            <w:shd w:fill="FAFAFA" w:val="clear"/>
          </w:tcPr>
          <w:p>
            <w:r>
              <w:rPr>
                <w:sz w:val="17"/>
              </w:rPr>
              <w:t>9,408</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7,088</w:t>
            </w:r>
          </w:p>
        </w:tc>
        <w:tc>
          <w:tcPr>
            <w:tcW w:type="dxa" w:w="1440"/>
            <w:shd w:fill="FAFAFA" w:val="clear"/>
          </w:tcPr>
          <w:p>
            <w:r>
              <w:rPr>
                <w:b/>
                <w:sz w:val="17"/>
              </w:rPr>
              <w:t>8,285</w:t>
            </w:r>
          </w:p>
        </w:tc>
        <w:tc>
          <w:tcPr>
            <w:tcW w:type="dxa" w:w="1440"/>
            <w:shd w:fill="FAFAFA" w:val="clear"/>
          </w:tcPr>
          <w:p>
            <w:r>
              <w:rPr>
                <w:sz w:val="17"/>
              </w:rPr>
              <w:t>9,482</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professionnel structuré pour l'action SOGC,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176,60 Mds FCFA positionne SOGC comme une valeur de premier plan sur la BRVM, reflétant sa stature dans le secteur agro-industriel. Avec un BPA de 578 FCFA, le titre se négocie à un PER de 14,1x, une valorisation qui se situe au-dessus de la moyenne historique de la BRVM (8-12x), indiquant que le marché est prêt à payer une prime pour la qualité des actifs et la croissance passée de l'entreprise. Le P/B de 2,58x confirme cette prime, le marché valorisant les capitaux propres à plus de 2,5 fois leur valeur comptable, signe d'une confiance dans la création de valeur future. Enfin, un EV/EBITDA de 7,3x, dans la fourchette raisonnable de 5-10x, suggère que la valeur totale de l'entreprise (dette incluse) reste cohérente avec sa capacité opérationnelle à générer des bénéfices avant intérêts, impôts et amortissements.</w:t>
      </w:r>
    </w:p>
    <w:p>
      <w:pPr>
        <w:spacing w:after="120" w:line="276" w:lineRule="auto"/>
      </w:pPr>
      <w:r>
        <w:t>### **PARTIE 1 : ANALYSE DU COURS — STATISTIQUES ET ÉVOLUTION (100 derniers jours)**</w:t>
      </w:r>
    </w:p>
    <w:p>
      <w:pPr>
        <w:spacing w:after="120" w:line="276" w:lineRule="auto"/>
      </w:pPr>
      <w:r>
        <w:t>Sur les 100 derniers jours, l'action SOGC affiche une stabilité remarquable avec une variation totale de -0,30%, et une légère baisse de -0,24% lors de la dernière séance, clôturant à 8 175 FCFA. Le titre a évolué dans un range de trading de 7 100 à 8 600 FCFA, démontrant une résistance solide autour de 8 000 FCFA. La moyenne (7 976 FCFA) et la médiane (8 000 FCFA) étant très proches, la distribution des prix est symétrique, ce que confirme le skewness de -0,344. L'écart-type de 385 FCFA (CV=4,8%) indique une dispersion très faible autour de la moyenne, et le kurtosis de -0,946 (mésokurtique) suggère l'absence de mouvements extrêmes ou de pics de volatilité. La volatilité annualisée de 37,5% est élevée, mais elle contraste avec la stabilité récente du cours, suggérant que les fortes fluctuations sont historiques et non actuelles. La tendance générale est donc latérale, avec un cours qui se stabilise après des périodes de plus forte volatilité.</w:t>
      </w:r>
    </w:p>
    <w:p>
      <w:pPr>
        <w:spacing w:after="120" w:line="276" w:lineRule="auto"/>
      </w:pPr>
      <w:r>
        <w:t>### **PARTIE 2 : ANALYSE TECHNIQUE DÉTAILLÉE**</w:t>
      </w:r>
    </w:p>
    <w:p>
      <w:pPr>
        <w:spacing w:after="120" w:line="276" w:lineRule="auto"/>
      </w:pPr>
      <w:r>
        <w:t>**Moyennes Mobiles**: Le cours actuel (8 175 FCFA) est supérieur à la MM20 (8 056,5 FCFA) mais inférieur à la MM50 (8 209,4 FCFA). Cette configuration, où le prix est pris en "tenaille" entre les deux moyennes, indique une absence de tendance claire à court terme. La décision de "Vente" est justifiée par la position sous la MM50, qui agit comme une résistance dynamique, mais le croisement potentiel avec la MM20 pourrait signaler un retournement haussier.</w:t>
      </w:r>
    </w:p>
    <w:p>
      <w:pPr>
        <w:spacing w:after="120" w:line="276" w:lineRule="auto"/>
      </w:pPr>
      <w:r>
        <w:t>**Bandes de Bollinger**: Le prix se situe à 8 175 FCFA, presque à mi-chemin entre la borne supérieure (8 567,7 FCFA) et la borne inférieure (7 545,3 FCFA). Cette position centrale, combinée à des bandes qui ne sont ni excessivement larges ni étroites, indique une volatilité modérée et une absence de pression directionnelle forte. La décision "Neutre" est cohérente avec un marché qui n'est ni suracheté ni survendu.</w:t>
      </w:r>
    </w:p>
    <w:p>
      <w:pPr>
        <w:spacing w:after="120" w:line="276" w:lineRule="auto"/>
      </w:pPr>
      <w:r>
        <w:t>**MACD**: La valeur du MACD (-37,04) est supérieure à sa ligne de signal (-70,95), ce qui constitue un croisement haussier. Bien que les deux lignes soient en territoire négatif, cette divergence positive indique que le momentum baissier s'estompe et qu'un retournement haussier pourrait se dessiner. La décision "Achat" est donc un signal précoce de reprise de la dynamique.</w:t>
      </w:r>
    </w:p>
    <w:p>
      <w:pPr>
        <w:spacing w:after="120" w:line="276" w:lineRule="auto"/>
      </w:pPr>
      <w:r>
        <w:t>**RSI**: Avec une valeur de 47,64, le RSI se situe dans la zone neutre (30-70), indiquant un équilibre entre les forces acheteuses et vendeuses. Il n'y a pas de pression d'achat ou de vente excessive, ce qui laisse place à une évolution du cours dans un sens ou dans l'autre. La décision "Neutre" est donc logique.</w:t>
      </w:r>
    </w:p>
    <w:p>
      <w:pPr>
        <w:spacing w:after="120" w:line="276" w:lineRule="auto"/>
      </w:pPr>
      <w:r>
        <w:t>**Stochastique**: Les valeurs de %K (79,26) et %D (83,41) sont élevées, proches de la zone de surachat (&gt;80). Le %K étant inférieur au %D, cela suggère un potentiel retournement baissier à très court terme, mais les deux lignes restent dans une zone de force relative. La décision "Neutre" est prudente, car elle signale une possible consolidation après une récente hausse.</w:t>
      </w:r>
    </w:p>
    <w:p>
      <w:pPr>
        <w:spacing w:after="120" w:line="276" w:lineRule="auto"/>
      </w:pPr>
      <w:r>
        <w:t>**Conclusion technique**: Les indicateurs sont mitigés. Les moyennes mobiles et le RSI suggèrent une phase de consolidation, tandis que le MACD pointe vers un momentum haussier naissant. Le stochastique, bien qu'élevé, n'émet pas de signal de vente clair. Globalement, le titre semble en équilibre, avec un biais légèrement positif porté par le MACD, mais sans confirmation franche des autres indicateurs.</w:t>
      </w:r>
    </w:p>
    <w:p>
      <w:pPr>
        <w:spacing w:after="120" w:line="276" w:lineRule="auto"/>
      </w:pPr>
      <w:r>
        <w:t>### **PARTIE 3 : ANALYSE FONDAMENTALE (SECTION CRITIQUE)**</w:t>
      </w:r>
    </w:p>
    <w:p>
      <w:pPr>
        <w:spacing w:after="120" w:line="276" w:lineRule="auto"/>
      </w:pPr>
      <w:r>
        <w:t>En 2025, les données financières structurées de SOGC révèlent une entreprise très solide. Le chiffre d'affaires s'établit à 98,979 Mds FCFA, en croissance de 10,7%, générant un résultat net de 12,493 Mds FCFA. La rentabilité est excellente avec un ROE de 18,26% et un ROA de 13,84%, bien au-dessus des seuils de performance. La structure financière est saine avec une autonomie financière de 75,8% et une capacité de remboursement quasi nulle (0,04 an). En tant qu'entreprise, l'analyse des délais d'exploitation montre un BFR de 7,124 Mds FCFA, un délai client de 29,6 jours et un délai fournisseur de 31,7 jours, indiquant une gestion équilibrée de la trésorerie. La durée de stockage de 97,7 jours est un point d'attention pour l'immobilisation du capital. Les rapports narratifs confirment cette performance, avec un résultat net 2024 de 13,11 Mds FCFA (+149%) et un T1 2025 exceptionnel (résultat net de 6,0 Mds FCFA, +263%). Cependant, les rapports du S1 et du 9M 2025 (datés de 2025) montrent un ralentissement de la croissance, avec un résultat net cumulé de 11,5 Mds FCFA sur 9 mois (+39,5%). Le rapport annuel 2025 (daté de 2025) confirme une baisse de 5% du résultat net par rapport à 2024, en raison de la hausse des coûts des matières premières. Sur la base de ces rapports trimestriels, on estime que l'exercice 2025, bien que moins spectaculaire que 2024, reste très rentable, avec une marge nette de 11,9%. La recommandation fondamentale est de **CONSERVER**, la société affichant une solidité financière remarquable mais faisant face à un contexte de prix des matières premières moins favorable.</w:t>
      </w:r>
    </w:p>
    <w:p>
      <w:pPr>
        <w:spacing w:after="120" w:line="276" w:lineRule="auto"/>
      </w:pPr>
      <w:r>
        <w:t>### **PARTIE 4 : CONCLUSION D'INVESTISSEMENT**</w:t>
      </w:r>
    </w:p>
    <w:p>
      <w:pPr>
        <w:spacing w:after="120" w:line="276" w:lineRule="auto"/>
      </w:pPr>
      <w:r>
        <w:t>La valorisation de SOGC (PER 14,1x, P/B 2,58x) est exigeante mais justifiée par des fondamentaux historiquement très solides. Le comportement du cours sur 100 jours est stable, avec une faible dispersion et une symétrie, ce qui est rassurant pour les investisseurs, malgré une volatilité annualisée élevée. Les signaux techniques sont mitigés, avec un MACD haussier contredit par des moyennes mobiles baissières et un RSI neutre, indiquant une absence de direction claire à court terme. Les fondamentaux, bien qu'en léger ralentissement en 2025, restent robustes avec une rentabilité élevée (ROE &gt;18%) et une structure financière saine. Les prédictions IA pour les 10 prochains jours (8 185 à 8 229 FCFA) suggèrent une légère tendance haussière, ce qui contredit le signal de vente des moyennes mobiles mais confirme le momentum du MACD. En synthèse, la convergence entre des fondamentaux solides, une valorisation correcte et des prédictions IA légèrement positives, malgré des signaux techniques partagés, conduit à une recommandation de **CONSERVER**. Le niveau de confiance est **Moyen**, le risque global est **Moyen** (dépendance aux prix des matières premières), et l'horizon d'investissement optimal est le **moyen terme (3-12 mois)** pour observer l'évolution des marges et la capacité de la société à maintenir sa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5,297 titres</w:t>
            </w:r>
          </w:p>
        </w:tc>
        <w:tc>
          <w:tcPr>
            <w:tcW w:type="dxa" w:w="2268"/>
            <w:shd w:fill="FFF2CC" w:val="clear"/>
          </w:tcPr>
          <w:p>
            <w:r>
              <w:rPr>
                <w:b/>
                <w:color w:val="503200"/>
                <w:sz w:val="16"/>
              </w:rPr>
              <w:t xml:space="preserve">Cours actuel : </w:t>
            </w:r>
            <w:r>
              <w:rPr>
                <w:color w:val="000000"/>
                <w:sz w:val="17"/>
              </w:rPr>
              <w:t>9,440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μ=7,472 FCFA, σ=493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β=1.0965 (Neutre (suit le marché)) — Cov=0.000036, Var(idx)=0.000033, ρ=0.271,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8,666</w:t>
            </w:r>
          </w:p>
        </w:tc>
        <w:tc>
          <w:tcPr>
            <w:tcW w:type="dxa" w:w="1440"/>
            <w:shd w:fill="FFDCE0" w:val="clear"/>
          </w:tcPr>
          <w:p>
            <w:r>
              <w:rPr>
                <w:b/>
                <w:sz w:val="17"/>
              </w:rPr>
              <w:t>9,114</w:t>
            </w:r>
          </w:p>
        </w:tc>
        <w:tc>
          <w:tcPr>
            <w:tcW w:type="dxa" w:w="1440"/>
            <w:shd w:fill="FFDCE0" w:val="clear"/>
          </w:tcPr>
          <w:p>
            <w:r>
              <w:rPr>
                <w:sz w:val="17"/>
              </w:rPr>
              <w:t>9,561</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8,459</w:t>
            </w:r>
          </w:p>
        </w:tc>
        <w:tc>
          <w:tcPr>
            <w:tcW w:type="dxa" w:w="1440"/>
            <w:shd w:fill="FFDCE0" w:val="clear"/>
          </w:tcPr>
          <w:p>
            <w:r>
              <w:rPr>
                <w:b/>
                <w:sz w:val="17"/>
              </w:rPr>
              <w:t>9,090</w:t>
            </w:r>
          </w:p>
        </w:tc>
        <w:tc>
          <w:tcPr>
            <w:tcW w:type="dxa" w:w="1440"/>
            <w:shd w:fill="FFDCE0" w:val="clear"/>
          </w:tcPr>
          <w:p>
            <w:r>
              <w:rPr>
                <w:sz w:val="17"/>
              </w:rPr>
              <w:t>9,722</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8,280</w:t>
            </w:r>
          </w:p>
        </w:tc>
        <w:tc>
          <w:tcPr>
            <w:tcW w:type="dxa" w:w="1440"/>
            <w:shd w:fill="FFDCE0" w:val="clear"/>
          </w:tcPr>
          <w:p>
            <w:r>
              <w:rPr>
                <w:b/>
                <w:sz w:val="17"/>
              </w:rPr>
              <w:t>9,051</w:t>
            </w:r>
          </w:p>
        </w:tc>
        <w:tc>
          <w:tcPr>
            <w:tcW w:type="dxa" w:w="1440"/>
            <w:shd w:fill="FFDCE0" w:val="clear"/>
          </w:tcPr>
          <w:p>
            <w:r>
              <w:rPr>
                <w:sz w:val="17"/>
              </w:rPr>
              <w:t>9,821</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8,129</w:t>
            </w:r>
          </w:p>
        </w:tc>
        <w:tc>
          <w:tcPr>
            <w:tcW w:type="dxa" w:w="1440"/>
            <w:shd w:fill="FFDCE0" w:val="clear"/>
          </w:tcPr>
          <w:p>
            <w:r>
              <w:rPr>
                <w:b/>
                <w:sz w:val="17"/>
              </w:rPr>
              <w:t>9,015</w:t>
            </w:r>
          </w:p>
        </w:tc>
        <w:tc>
          <w:tcPr>
            <w:tcW w:type="dxa" w:w="1440"/>
            <w:shd w:fill="FFDCE0" w:val="clear"/>
          </w:tcPr>
          <w:p>
            <w:r>
              <w:rPr>
                <w:sz w:val="17"/>
              </w:rPr>
              <w:t>9,900</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8,980</w:t>
            </w:r>
          </w:p>
        </w:tc>
        <w:tc>
          <w:tcPr>
            <w:tcW w:type="dxa" w:w="1440"/>
            <w:shd w:fill="FFDCE0" w:val="clear"/>
          </w:tcPr>
          <w:p>
            <w:r>
              <w:rPr>
                <w:sz w:val="17"/>
              </w:rPr>
              <w:t>9,967</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7,869</w:t>
            </w:r>
          </w:p>
        </w:tc>
        <w:tc>
          <w:tcPr>
            <w:tcW w:type="dxa" w:w="1440"/>
            <w:shd w:fill="FFDCE0" w:val="clear"/>
          </w:tcPr>
          <w:p>
            <w:r>
              <w:rPr>
                <w:b/>
                <w:sz w:val="17"/>
              </w:rPr>
              <w:t>8,946</w:t>
            </w:r>
          </w:p>
        </w:tc>
        <w:tc>
          <w:tcPr>
            <w:tcW w:type="dxa" w:w="1440"/>
            <w:shd w:fill="FFDCE0" w:val="clear"/>
          </w:tcPr>
          <w:p>
            <w:r>
              <w:rPr>
                <w:sz w:val="17"/>
              </w:rPr>
              <w:t>10,022</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7,753</w:t>
            </w:r>
          </w:p>
        </w:tc>
        <w:tc>
          <w:tcPr>
            <w:tcW w:type="dxa" w:w="1440"/>
            <w:shd w:fill="FFDCE0" w:val="clear"/>
          </w:tcPr>
          <w:p>
            <w:r>
              <w:rPr>
                <w:b/>
                <w:sz w:val="17"/>
              </w:rPr>
              <w:t>8,911</w:t>
            </w:r>
          </w:p>
        </w:tc>
        <w:tc>
          <w:tcPr>
            <w:tcW w:type="dxa" w:w="1440"/>
            <w:shd w:fill="FFDCE0" w:val="clear"/>
          </w:tcPr>
          <w:p>
            <w:r>
              <w:rPr>
                <w:sz w:val="17"/>
              </w:rPr>
              <w:t>10,070</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7,643</w:t>
            </w:r>
          </w:p>
        </w:tc>
        <w:tc>
          <w:tcPr>
            <w:tcW w:type="dxa" w:w="1440"/>
            <w:shd w:fill="FFDCE0" w:val="clear"/>
          </w:tcPr>
          <w:p>
            <w:r>
              <w:rPr>
                <w:b/>
                <w:sz w:val="17"/>
              </w:rPr>
              <w:t>8,877</w:t>
            </w:r>
          </w:p>
        </w:tc>
        <w:tc>
          <w:tcPr>
            <w:tcW w:type="dxa" w:w="1440"/>
            <w:shd w:fill="FFDCE0" w:val="clear"/>
          </w:tcPr>
          <w:p>
            <w:r>
              <w:rPr>
                <w:sz w:val="17"/>
              </w:rPr>
              <w:t>10,111</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7,539</w:t>
            </w:r>
          </w:p>
        </w:tc>
        <w:tc>
          <w:tcPr>
            <w:tcW w:type="dxa" w:w="1440"/>
            <w:shd w:fill="FFDCE0" w:val="clear"/>
          </w:tcPr>
          <w:p>
            <w:r>
              <w:rPr>
                <w:b/>
                <w:sz w:val="17"/>
              </w:rPr>
              <w:t>8,843</w:t>
            </w:r>
          </w:p>
        </w:tc>
        <w:tc>
          <w:tcPr>
            <w:tcW w:type="dxa" w:w="1440"/>
            <w:shd w:fill="FFDCE0" w:val="clear"/>
          </w:tcPr>
          <w:p>
            <w:r>
              <w:rPr>
                <w:sz w:val="17"/>
              </w:rPr>
              <w:t>10,146</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7,440</w:t>
            </w:r>
          </w:p>
        </w:tc>
        <w:tc>
          <w:tcPr>
            <w:tcW w:type="dxa" w:w="1440"/>
            <w:shd w:fill="FFDCE0" w:val="clear"/>
          </w:tcPr>
          <w:p>
            <w:r>
              <w:rPr>
                <w:b/>
                <w:sz w:val="17"/>
              </w:rPr>
              <w:t>8,809</w:t>
            </w:r>
          </w:p>
        </w:tc>
        <w:tc>
          <w:tcPr>
            <w:tcW w:type="dxa" w:w="1440"/>
            <w:shd w:fill="FFDCE0" w:val="clear"/>
          </w:tcPr>
          <w:p>
            <w:r>
              <w:rPr>
                <w:sz w:val="17"/>
              </w:rPr>
              <w:t>10,178</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Absolument. Voici un rapport d'analyse financière structuré et professionnel pour l'action SPHC (SAPH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241,27 milliards FCFA, un niveau qui la positionne parmi les valeurs moyennes à grandes de la BRVM, lui conférant une liquidité et une visibilité notables. Avec un BPA de 977 FCFA, chaque action génère un bénéfice substantiel. Le PER de 9,7x est légèrement inférieur à la moyenne du marché BRVM (8-12x), ce qui suggère que les investisseurs ne paient pas un prix excessif pour les bénéfices de la société, indiquant une possible sous-évaluation relative. Le P/B de 1,75x, dans la fourchette de 1 à 2x, est considéré comme raisonnable, le marché valorisant les actifs nets de la société à une prime modérée. Enfin, un EV/EBITDA de 5,9x est attractif, signalant que la valeur totale de l'entreprise (capitalisation + dette nette) est faible par rapport à sa capacité à générer du cash-flow opérationnel (EBITDA).</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exceptionnelle de +29,67%, avec une dernière séance particulièrement dynamique (+5,59% à 9 440 FCFA). Le titre a évolué dans une fourchette large de 6 720 à 9 660 FCFA, démontrant une forte dynamique haussière. Les statistiques descriptives confirment cette tendance : la moyenne (7 472 FCFA) est très proche de la médiane (7 478 FCFA), indiquant une distribution relativement symétrique des prix sur la période, mais le skewness positif (1,894) révèle que les fortes hausses sont plus fréquentes que les fortes baisses. L'écart-type de 495 FCFA (CV=6,6%) montre une dispersion modérée autour de la moyenne. Cependant, le kurtosis élevé (5,715) signale un risque de mouvements extrêmes, et la volatilité annualisée de 39,3% classe le titre comme très volatil, ce qui est un facteur de risque à ne pas négliger malgré la tendance haussière.</w:t>
      </w:r>
    </w:p>
    <w:p>
      <w:pPr>
        <w:spacing w:after="120" w:line="276" w:lineRule="auto"/>
      </w:pPr>
      <w:r>
        <w:t>### **PARTIE 2 : ANALYSE TECHNIQUE DÉTAILLÉE**</w:t>
      </w:r>
    </w:p>
    <w:p>
      <w:pPr>
        <w:spacing w:after="120" w:line="276" w:lineRule="auto"/>
      </w:pPr>
      <w:r>
        <w:t>**Moyennes Mobiles**: Le cours actuel (9 440 FCFA) est nettement au-dessus de la MM20 (8 017,75 FCFA) et de la MM50 (7 777,3 FCFA). Cette configuration haussière, où le prix est soutenu par ses moyennes mobiles, confirme une tendance de fond solide et justifie la décision d'**Achat**.</w:t>
      </w:r>
    </w:p>
    <w:p>
      <w:pPr>
        <w:spacing w:after="120" w:line="276" w:lineRule="auto"/>
      </w:pPr>
      <w:r>
        <w:t>**Bandes de Bollinger**: Le prix a franchi la borne supérieure des bandes (9 407,92 FCFA), ce qui est un signal classique de surachat à court terme. Bien que cela reflète une forte pression acheteuse, cela indique aussi que le titre est temporairement "étiré" et pourrait connaître un repli technique. La décision de **Vente** est donc une alerte de prudence à court terme.</w:t>
      </w:r>
    </w:p>
    <w:p>
      <w:pPr>
        <w:spacing w:after="120" w:line="276" w:lineRule="auto"/>
      </w:pPr>
      <w:r>
        <w:t>**MACD**: Le MACD (424,07) est nettement au-dessus de sa ligne de signal (238,91), avec un écart croissant. Cette configuration est un signal puissant de momentum haussier, confirmant la vigueur de la tendance actuelle. La décision d'**Achat** est donc en phase avec la dynamique du marché.</w:t>
      </w:r>
    </w:p>
    <w:p>
      <w:pPr>
        <w:spacing w:after="120" w:line="276" w:lineRule="auto"/>
      </w:pPr>
      <w:r>
        <w:t>**RSI**: Avec une valeur de 76,75, le RSI est entré en zone de surachat (&gt;70). Cela indique que l'action a été achetée de manière excessive et qu'un essoufflement ou une correction technique est probable à court terme. La décision de **Vente** est un signal d'alerte sur la vigueur du mouvement.</w:t>
      </w:r>
    </w:p>
    <w:p>
      <w:pPr>
        <w:spacing w:after="120" w:line="276" w:lineRule="auto"/>
      </w:pPr>
      <w:r>
        <w:t>**Stochastique**: Le %K (89,82) et le %D (85,49) sont tous deux en zone de surachat très élevée. Bien que le croisement ne soit pas encore baissier, cette configuration extrême suggère que le potentiel de hausse à court terme est limité et qu'un retournement est imminent. La décision de **Vente** est justifiée par ce niveau de surachat extrême.</w:t>
      </w:r>
    </w:p>
    <w:p>
      <w:pPr>
        <w:spacing w:after="120" w:line="276" w:lineRule="auto"/>
      </w:pPr>
      <w:r>
        <w:t>**Conclusion technique**: Les indicateurs de tendance (MM, MACD) sont résolument positifs et confirment une forte dynamique haussière de fond. Cependant, les oscillateurs (RSI, Stochastique) et la position par rapport aux bandes de Bollinger signalent un état de surachat extrême. Cette divergence suggère une probabilité élevée d'une consolidation ou d'un repli technique à court terme avant la poursuite de la tendance haussière de moyen terme.</w:t>
      </w:r>
    </w:p>
    <w:p>
      <w:pPr>
        <w:spacing w:after="120" w:line="276" w:lineRule="auto"/>
      </w:pPr>
      <w:r>
        <w:t>### **PARTIE 3 : ANALYSE FONDAMENTALE (SECTION CRITIQUE)**</w:t>
      </w:r>
    </w:p>
    <w:p>
      <w:pPr>
        <w:spacing w:after="120" w:line="276" w:lineRule="auto"/>
      </w:pPr>
      <w:r>
        <w:t>En tant qu'entreprise du secteur agro-industriel, l'analyse de SPHC se concentre sur son chiffre d'affaires, ses marges et sa gestion du besoin en fonds de roulement. **En 2025**, les états financiers annuels font état d'un chiffre d'affaires de **340,83 milliards FCFA**, en hausse de 22% par rapport à 2024. Le résultat net a progressé de 32,9% pour atteindre **24,97 milliards FCFA**, portant la marge nette à 7,3%. La rentabilité est excellente avec un ROE de 18,1% et un ROA de 11,1%. La structure financière est saine avec une autonomie financière de 61,1%. Cependant, le BFR est positif (65,39 Mds FCFA), ce qui est défavorable, et le délai de stockage est de 72 jours, immobilisant du capital. La trésorerie nette est négative (-15,41 Mds FCFA), un point de vigilance. Les rapports trimestriels de 2025 montrent une dynamique exceptionnelle au S1 (+51% de CA) et au T3 (+36% sur 9 mois), mais le rapport T1 2026 (daté de 2026) révèle un net ralentissement avec un CA en baisse de 24% et un résultat net en chute de 78%, impacté par la chute des cours mondiaux du caoutchouc. Sur la base de ce T1 2026, on estime que l'exercice 2026 pourrait être difficile, avec une rentabilité potentiellement en forte baisse par rapport à 2025. La société conserve néanmoins une structure financière solide et un leadership stratégique, notamment sur les normes durables EUDR.</w:t>
      </w:r>
    </w:p>
    <w:p>
      <w:pPr>
        <w:spacing w:after="120" w:line="276" w:lineRule="auto"/>
      </w:pPr>
      <w:r>
        <w:t>### **PARTIE 4 : CONCLUSION D'INVESTISSEMENT**</w:t>
      </w:r>
    </w:p>
    <w:p>
      <w:pPr>
        <w:spacing w:after="120" w:line="276" w:lineRule="auto"/>
      </w:pPr>
      <w:r>
        <w:t>La valorisation de SPHC (PER 9,7x, P/B 1,75x, EV/EBITDA 5,9x) est attractive et suggère une sous-évaluation relative, tandis que la tendance du cours sur 100 jours est fortement haussière, bien que statistiquement volatile (kurtosis élevé). Les signaux techniques sont contradictoires : la tendance de fond (MM, MACD) est positive, mais les oscillateurs (RSI, Stochastique) crient au surachat, annonçant une correction probable. Les fondamentaux de 2025 sont excellents, mais les estimations basées sur le T1 2026 indiquent un fort ralentissement de l'activité. Les prédictions IA pour les 10 prochains jours (baisse de 9 114 à 8 980 FCFA) confirment ce scénario de correction à court terme. La convergence entre les signaux techniques de surachat et les prédictions IA est forte, contrastant avec la valorisation attrayante et les fondamentaux solides à moyen terme. Par conséquent, la recommandation est de **CONSERVER** le titre. Le niveau de confiance est **Moyen** et le risque global est **Élevé** en raison de la volatilité et de l'incertitude sur les cours du caoutchouc. L'horizon d'investissement optimal serait le **moyen terme (3-12 mois)**, en attendant que la correction technique se matérialise et que les résultats 2026 se clarifient pour potentiellement renforcer la position à un meilleur prix.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007800"/>
                <w:sz w:val="17"/>
              </w:rPr>
              <w:t>+2.77%</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μ=3,037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β=-1.2206 (Contre-cyclique) — Cov=-0.000040, Var(idx)=0.000033, ρ=-0.165,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σ_j=4.18%/j (Modérée) — Vol. annualisée≈66.4%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2,347</w:t>
            </w:r>
          </w:p>
        </w:tc>
        <w:tc>
          <w:tcPr>
            <w:tcW w:type="dxa" w:w="1440"/>
            <w:shd w:fill="FFDCE0" w:val="clear"/>
          </w:tcPr>
          <w:p>
            <w:r>
              <w:rPr>
                <w:b/>
                <w:sz w:val="17"/>
              </w:rPr>
              <w:t>2,462</w:t>
            </w:r>
          </w:p>
        </w:tc>
        <w:tc>
          <w:tcPr>
            <w:tcW w:type="dxa" w:w="1440"/>
            <w:shd w:fill="FFDCE0" w:val="clear"/>
          </w:tcPr>
          <w:p>
            <w:r>
              <w:rPr>
                <w:sz w:val="17"/>
              </w:rPr>
              <w:t>2,577</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2,185</w:t>
            </w:r>
          </w:p>
        </w:tc>
        <w:tc>
          <w:tcPr>
            <w:tcW w:type="dxa" w:w="1440"/>
            <w:shd w:fill="FFDCE0" w:val="clear"/>
          </w:tcPr>
          <w:p>
            <w:r>
              <w:rPr>
                <w:b/>
                <w:sz w:val="17"/>
              </w:rPr>
              <w:t>2,339</w:t>
            </w:r>
          </w:p>
        </w:tc>
        <w:tc>
          <w:tcPr>
            <w:tcW w:type="dxa" w:w="1440"/>
            <w:shd w:fill="FFDCE0" w:val="clear"/>
          </w:tcPr>
          <w:p>
            <w:r>
              <w:rPr>
                <w:sz w:val="17"/>
              </w:rPr>
              <w:t>2,494</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2,020</w:t>
            </w:r>
          </w:p>
        </w:tc>
        <w:tc>
          <w:tcPr>
            <w:tcW w:type="dxa" w:w="1440"/>
            <w:shd w:fill="FFDCE0" w:val="clear"/>
          </w:tcPr>
          <w:p>
            <w:r>
              <w:rPr>
                <w:b/>
                <w:sz w:val="17"/>
              </w:rPr>
              <w:t>2,197</w:t>
            </w:r>
          </w:p>
        </w:tc>
        <w:tc>
          <w:tcPr>
            <w:tcW w:type="dxa" w:w="1440"/>
            <w:shd w:fill="FFDCE0" w:val="clear"/>
          </w:tcPr>
          <w:p>
            <w:r>
              <w:rPr>
                <w:sz w:val="17"/>
              </w:rPr>
              <w:t>2,374</w:t>
            </w:r>
          </w:p>
        </w:tc>
        <w:tc>
          <w:tcPr>
            <w:tcW w:type="dxa" w:w="1440"/>
            <w:shd w:fill="FFDCE0" w:val="clear"/>
          </w:tcPr>
          <w:p>
            <w:r>
              <w:rPr>
                <w:b/>
                <w:color w:val="C00000"/>
                <w:sz w:val="17"/>
              </w:rPr>
              <w:t>-15.3%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1,870</w:t>
            </w:r>
          </w:p>
        </w:tc>
        <w:tc>
          <w:tcPr>
            <w:tcW w:type="dxa" w:w="1440"/>
            <w:shd w:fill="FFDCE0" w:val="clear"/>
          </w:tcPr>
          <w:p>
            <w:r>
              <w:rPr>
                <w:b/>
                <w:sz w:val="17"/>
              </w:rPr>
              <w:t>2,062</w:t>
            </w:r>
          </w:p>
        </w:tc>
        <w:tc>
          <w:tcPr>
            <w:tcW w:type="dxa" w:w="1440"/>
            <w:shd w:fill="FFDCE0" w:val="clear"/>
          </w:tcPr>
          <w:p>
            <w:r>
              <w:rPr>
                <w:sz w:val="17"/>
              </w:rPr>
              <w:t>2,254</w:t>
            </w:r>
          </w:p>
        </w:tc>
        <w:tc>
          <w:tcPr>
            <w:tcW w:type="dxa" w:w="1440"/>
            <w:shd w:fill="FFDCE0" w:val="clear"/>
          </w:tcPr>
          <w:p>
            <w:r>
              <w:rPr>
                <w:b/>
                <w:color w:val="C00000"/>
                <w:sz w:val="17"/>
              </w:rPr>
              <w:t>-20.5%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1,743</w:t>
            </w:r>
          </w:p>
        </w:tc>
        <w:tc>
          <w:tcPr>
            <w:tcW w:type="dxa" w:w="1440"/>
            <w:shd w:fill="FFDCE0" w:val="clear"/>
          </w:tcPr>
          <w:p>
            <w:r>
              <w:rPr>
                <w:b/>
                <w:sz w:val="17"/>
              </w:rPr>
              <w:t>1,946</w:t>
            </w:r>
          </w:p>
        </w:tc>
        <w:tc>
          <w:tcPr>
            <w:tcW w:type="dxa" w:w="1440"/>
            <w:shd w:fill="FFDCE0" w:val="clear"/>
          </w:tcPr>
          <w:p>
            <w:r>
              <w:rPr>
                <w:sz w:val="17"/>
              </w:rPr>
              <w:t>2,148</w:t>
            </w:r>
          </w:p>
        </w:tc>
        <w:tc>
          <w:tcPr>
            <w:tcW w:type="dxa" w:w="1440"/>
            <w:shd w:fill="FFDCE0" w:val="clear"/>
          </w:tcPr>
          <w:p>
            <w:r>
              <w:rPr>
                <w:b/>
                <w:color w:val="C00000"/>
                <w:sz w:val="17"/>
              </w:rPr>
              <w:t>-25.0%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1,638</w:t>
            </w:r>
          </w:p>
        </w:tc>
        <w:tc>
          <w:tcPr>
            <w:tcW w:type="dxa" w:w="1440"/>
            <w:shd w:fill="FFDCE0" w:val="clear"/>
          </w:tcPr>
          <w:p>
            <w:r>
              <w:rPr>
                <w:b/>
                <w:sz w:val="17"/>
              </w:rPr>
              <w:t>1,849</w:t>
            </w:r>
          </w:p>
        </w:tc>
        <w:tc>
          <w:tcPr>
            <w:tcW w:type="dxa" w:w="1440"/>
            <w:shd w:fill="FFDCE0" w:val="clear"/>
          </w:tcPr>
          <w:p>
            <w:r>
              <w:rPr>
                <w:sz w:val="17"/>
              </w:rPr>
              <w:t>2,060</w:t>
            </w:r>
          </w:p>
        </w:tc>
        <w:tc>
          <w:tcPr>
            <w:tcW w:type="dxa" w:w="1440"/>
            <w:shd w:fill="FFDCE0" w:val="clear"/>
          </w:tcPr>
          <w:p>
            <w:r>
              <w:rPr>
                <w:b/>
                <w:color w:val="C00000"/>
                <w:sz w:val="17"/>
              </w:rPr>
              <w:t>-28.8%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1,552</w:t>
            </w:r>
          </w:p>
        </w:tc>
        <w:tc>
          <w:tcPr>
            <w:tcW w:type="dxa" w:w="1440"/>
            <w:shd w:fill="FFDCE0" w:val="clear"/>
          </w:tcPr>
          <w:p>
            <w:r>
              <w:rPr>
                <w:b/>
                <w:sz w:val="17"/>
              </w:rPr>
              <w:t>1,770</w:t>
            </w:r>
          </w:p>
        </w:tc>
        <w:tc>
          <w:tcPr>
            <w:tcW w:type="dxa" w:w="1440"/>
            <w:shd w:fill="FFDCE0" w:val="clear"/>
          </w:tcPr>
          <w:p>
            <w:r>
              <w:rPr>
                <w:sz w:val="17"/>
              </w:rPr>
              <w:t>1,988</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1,480</w:t>
            </w:r>
          </w:p>
        </w:tc>
        <w:tc>
          <w:tcPr>
            <w:tcW w:type="dxa" w:w="1440"/>
            <w:shd w:fill="FFDCE0" w:val="clear"/>
          </w:tcPr>
          <w:p>
            <w:r>
              <w:rPr>
                <w:b/>
                <w:sz w:val="17"/>
              </w:rPr>
              <w:t>1,705</w:t>
            </w:r>
          </w:p>
        </w:tc>
        <w:tc>
          <w:tcPr>
            <w:tcW w:type="dxa" w:w="1440"/>
            <w:shd w:fill="FFDCE0" w:val="clear"/>
          </w:tcPr>
          <w:p>
            <w:r>
              <w:rPr>
                <w:sz w:val="17"/>
              </w:rPr>
              <w:t>1,930</w:t>
            </w:r>
          </w:p>
        </w:tc>
        <w:tc>
          <w:tcPr>
            <w:tcW w:type="dxa" w:w="1440"/>
            <w:shd w:fill="FFDCE0" w:val="clear"/>
          </w:tcPr>
          <w:p>
            <w:r>
              <w:rPr>
                <w:b/>
                <w:color w:val="C00000"/>
                <w:sz w:val="17"/>
              </w:rPr>
              <w:t>-34.3%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1,420</w:t>
            </w:r>
          </w:p>
        </w:tc>
        <w:tc>
          <w:tcPr>
            <w:tcW w:type="dxa" w:w="1440"/>
            <w:shd w:fill="FFDCE0" w:val="clear"/>
          </w:tcPr>
          <w:p>
            <w:r>
              <w:rPr>
                <w:b/>
                <w:sz w:val="17"/>
              </w:rPr>
              <w:t>1,651</w:t>
            </w:r>
          </w:p>
        </w:tc>
        <w:tc>
          <w:tcPr>
            <w:tcW w:type="dxa" w:w="1440"/>
            <w:shd w:fill="FFDCE0" w:val="clear"/>
          </w:tcPr>
          <w:p>
            <w:r>
              <w:rPr>
                <w:sz w:val="17"/>
              </w:rPr>
              <w:t>1,882</w:t>
            </w:r>
          </w:p>
        </w:tc>
        <w:tc>
          <w:tcPr>
            <w:tcW w:type="dxa" w:w="1440"/>
            <w:shd w:fill="FFDCE0" w:val="clear"/>
          </w:tcPr>
          <w:p>
            <w:r>
              <w:rPr>
                <w:b/>
                <w:color w:val="C00000"/>
                <w:sz w:val="17"/>
              </w:rPr>
              <w:t>-36.4%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1,368</w:t>
            </w:r>
          </w:p>
        </w:tc>
        <w:tc>
          <w:tcPr>
            <w:tcW w:type="dxa" w:w="1440"/>
            <w:shd w:fill="FFDCE0" w:val="clear"/>
          </w:tcPr>
          <w:p>
            <w:r>
              <w:rPr>
                <w:b/>
                <w:sz w:val="17"/>
              </w:rPr>
              <w:t>1,605</w:t>
            </w:r>
          </w:p>
        </w:tc>
        <w:tc>
          <w:tcPr>
            <w:tcW w:type="dxa" w:w="1440"/>
            <w:shd w:fill="FFDCE0" w:val="clear"/>
          </w:tcPr>
          <w:p>
            <w:r>
              <w:rPr>
                <w:sz w:val="17"/>
              </w:rPr>
              <w:t>1,841</w:t>
            </w:r>
          </w:p>
        </w:tc>
        <w:tc>
          <w:tcPr>
            <w:tcW w:type="dxa" w:w="1440"/>
            <w:shd w:fill="FFDCE0" w:val="clear"/>
          </w:tcPr>
          <w:p>
            <w:r>
              <w:rPr>
                <w:b/>
                <w:color w:val="C00000"/>
                <w:sz w:val="17"/>
              </w:rPr>
              <w:t>-38.2%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modeste qui la classe parmi les petites et moyennes capitalisations de la BRVM. Avec un BPA négatif de -7 FCFA, le PER ressort à -361,2x, une valeur négative qui traduit l'incapacité de la société à générer des bénéfices pour ses actionnaires. Ce ratio est donc non significatif et ne peut être comparé au PER moyen de la BRVM (8-12x). Le P/B de 97,76x est extrêmement élevé, indiquant que le marché valorise l'actif net comptable de la société à près de 98 fois sa valeur, ce qui reflète une prime spéculative considérable, probablement liée aux anticipations de redressement. L'absence de données sur l'EV/EBITDA ne permet pas une comparaison de la valeur d'entreprise à la capacité opérationnelle, mais les fondamentaux actuels suggèrent une valorisation très exigeante au regard des performances financières récentes.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+2,77%, avec une progression de +1,76% lors de la dernière séance, signe d'un léger regain d'intérêt. Le cours a évolué dans une fourchette large de 2 515 FCFA (plus bas) à 3 895 FCFA (plus haut), soit une amplitude de 55%, illustrant une forte volatilité des prix. La moyenne du cours sur la période est de 3 037 FCFA, légèrement supérieure à la médiane de 2 990 FCFA, ce qui suggère une distribution quasi symétrique, confirmée par un skewness de 0,401. L'écart-type de 337 FCFA (CV=11,1%) indique une dispersion modérée autour de la moyenne. Le kurtosis de -0,872 (mésokurtique) révèle une distribution proche de la normale, sans pics de volatilité extrêmes. La volatilité annualisée de 66,4% classe le titre comme très risqué, bien au-dessus du seuil de 30% considéré comme élevé, ce qui reflète l'incertitude entourant la valeur.</w:t>
      </w:r>
    </w:p>
    <w:p>
      <w:pPr>
        <w:spacing w:after="120" w:line="276" w:lineRule="auto"/>
      </w:pPr>
      <w:r>
        <w:t>---</w:t>
      </w:r>
    </w:p>
    <w:p>
      <w:pPr>
        <w:spacing w:after="120" w:line="276" w:lineRule="auto"/>
      </w:pPr>
      <w:r>
        <w:t>### PARTIE 2 : ANALYSE TECHNIQUE DÉTAILLÉE</w:t>
      </w:r>
    </w:p>
    <w:p>
      <w:pPr>
        <w:spacing w:after="120" w:line="276" w:lineRule="auto"/>
      </w:pPr>
      <w:r>
        <w:t>**Moyennes Mobiles :** La MM20 à 2 685,75 FCFA et la MM50 à 3 083,2 FCFA sont toutes deux supérieures au cours actuel de 2 595 FCFA. Cette configuration baissière, où le prix évolue sous ses moyennes mobiles, génère un signal de Vente. La MM20 étant inférieure à la MM50, la tendance de fond reste négative, même si un écart se creuse, suggérant une possible stabilisation.</w:t>
      </w:r>
    </w:p>
    <w:p>
      <w:pPr>
        <w:spacing w:after="120" w:line="276" w:lineRule="auto"/>
      </w:pPr>
      <w:r>
        <w:t>**Bandes de Bollinger :** Le cours se situe à 2 595 FCFA, entre la borne inférieure à 2 456,28 FCFA et la borne supérieure à 2 915,22 FCFA. La position proche de la borne inférieure indique une pression vendeuse persistante, mais sans sortie des bandes, le signal est Neutre. La largeur des bandes reflète une volatilité encore élevée, mais le fait que le prix ne touche pas les extrêmes suggère un apaisement relatif.</w:t>
      </w:r>
    </w:p>
    <w:p>
      <w:pPr>
        <w:spacing w:after="120" w:line="276" w:lineRule="auto"/>
      </w:pPr>
      <w:r>
        <w:t>**MACD :** La valeur du MACD à -137,21 est légèrement supérieure à son signal à -141,02, formant un croisement haussier récent. Bien que les deux lignes restent en territoire négatif, ce croisement indique un ralentissement de la dynamique baissière et un potentiel de retournement. La décision est Achat, signalant un momentum en amélioration.</w:t>
      </w:r>
    </w:p>
    <w:p>
      <w:pPr>
        <w:spacing w:after="120" w:line="276" w:lineRule="auto"/>
      </w:pPr>
      <w:r>
        <w:t>**RSI :** Le RSI à 42,34 se situe dans la zone neutre (30-70), indiquant que le titre n'est ni suracheté ni survendu. Cette valeur suggère une absence de pression directionnelle forte, laissant place à une possible consolidation. La décision est Neutre, avec un biais légèrement positif si le RSI continue de progresser.</w:t>
      </w:r>
    </w:p>
    <w:p>
      <w:pPr>
        <w:spacing w:after="120" w:line="276" w:lineRule="auto"/>
      </w:pPr>
      <w:r>
        <w:t>**Stochastique :** Le %K à 22,41 et le %D à 9,77 sont tous deux en zone de survente (&lt;20 pour %K). Le croisement haussier du %K au-dessus du %D est un signal précoce de retournement potentiel. La décision est Neutre, mais la configuration actuelle suggère qu'un rebond technique est possible à court terme.</w:t>
      </w:r>
    </w:p>
    <w:p>
      <w:pPr>
        <w:spacing w:after="120" w:line="276" w:lineRule="auto"/>
      </w:pPr>
      <w:r>
        <w:t>**Conclusion technique :** Les indicateurs sont partagés entre des signaux de vente (moyennes mobiles) et des signaux d'achat naissants (MACD, Stochastique). Le RSI neutre et les bandes de Bollinger sans direction claire indiquent une phase de transition. La tendance de fond reste baissière, mais les signaux de retournement technique suggèrent une possible stabilisation à court terme, à confirmer par une remontée au-dessus de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Les états financiers annuels 2025 révèlent une situation financière très dégradée. Le chiffre d'affaires s'établit à 3,878 milliards FCFA, en forte croissance de +116,3% par rapport à 2024, porté par la reprise des travaux de l'aéroport d'Abidjan. Cependant, le résultat net reste déficitaire à -96,56 millions FCFA, avec une marge nette de -2,49%. Le ROE est profondément négatif à -27,07% et le ROA à -1,77%, témoignant d'une rentabilité inexistante. Le BFR est négatif à -930,47 millions FCFA, ce qui est favorable pour une entreprise, indiquant que les fournisseurs financent l'exploitation. La trésorerie nette positive de 1,330 milliard FCFA offre un coussin de liquidité, mais la capacité d'autofinancement est quasi nulle (5,98 millions FCFA). Le ratio d'endettement de 93,45% et une autonomie financière de seulement 6,55% soulignent une structure financière fragile.</w:t>
      </w:r>
    </w:p>
    <w:p>
      <w:pPr>
        <w:spacing w:after="120" w:line="276" w:lineRule="auto"/>
      </w:pPr>
      <w:r>
        <w:t>**Rapports narratifs (évolution temporelle) :** Le rapport du 1er semestre 2025 (date inconnue) confirme la reprise avec un CA de 2 271 millions FCFA (+290% vs S1 2024), mais une perte nette aggravée à -557 millions FCFA. Le rapport du 3e trimestre 2025 (date inconnue) montre un CA cumulé de 3 456 millions FCFA (+176%), avec une perte réduite à -477 millions FCFA, suggérant des économies d'échelle. Les rapports historiques de 2020-2021 (datés 2024-12-31) montrent une société autrefois rentable (résultat net de 2,32 milliards FCFA en 2020, marge nette de 14,6%), mais en chute libre depuis 2022. Les prévisions 2025 de 4 milliards FCFA de CA semblent atteignables, mais la rentabilité opérationnelle reste le défi majeur. La recommandation fondamentale est **VENTE**, compte tenu des pertes récurrentes, de la dépendance à un seul projet et de la structure financière fragile, malgré les signes de reprise d'activité.</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97,76x et un PER négatif, indiquant une surévaluation flagrante par rapport aux fondamentaux actuels. Le comportement du cours sur 100 jours montre une volatilité très élevée (66,4% annualisée) et une tendance baissière, malgré un léger rebond récent. Les signaux techniques sont mitigés : les moyennes mobiles restent vendeuses, mais le MACD et le stochastique suggèrent un potentiel de retournement. Les fondamentaux, bien qu'en amélioration (CA en forte hausse), restent déficitaires avec un ROE de -27%, et la société dépend d'un seul chantier majeur. Les prédictions IA sur 10 jours (de 2 462 à 1 946 FCFA) confirment une trajectoire baissière, contredisant les signaux techniques de retournement. La convergence entre la valorisation excessive, les fondamentaux fragiles et les prédictions baissières conduit à une recommandation **VENTE FORTE**, avec un niveau de confiance **Élevé** et un risque global **Élevé**. L'horizon d'investissement optimal est le **court terme (&lt;3 mois)** pour les investisseurs cherchant à réduire leur exposition, tandis que les spéculateurs pourraient surveiller une éventuelle stabilisation technique, mais avec une extrême prudence.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411.17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3,543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+5.53%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6.18% (Moyenne) — μ=22,259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β=-0.0610 (Contre-cyclique) — Cov=-0.000002, Var(idx)=0.000033, ρ=-0.017,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22,226</w:t>
            </w:r>
          </w:p>
        </w:tc>
        <w:tc>
          <w:tcPr>
            <w:tcW w:type="dxa" w:w="1440"/>
            <w:shd w:fill="FAFAFA" w:val="clear"/>
          </w:tcPr>
          <w:p>
            <w:r>
              <w:rPr>
                <w:b/>
                <w:sz w:val="17"/>
              </w:rPr>
              <w:t>23,305</w:t>
            </w:r>
          </w:p>
        </w:tc>
        <w:tc>
          <w:tcPr>
            <w:tcW w:type="dxa" w:w="1440"/>
            <w:shd w:fill="FAFAFA" w:val="clear"/>
          </w:tcPr>
          <w:p>
            <w:r>
              <w:rPr>
                <w:sz w:val="17"/>
              </w:rPr>
              <w:t>24,385</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21,950</w:t>
            </w:r>
          </w:p>
        </w:tc>
        <w:tc>
          <w:tcPr>
            <w:tcW w:type="dxa" w:w="1440"/>
            <w:shd w:fill="C6EFCE" w:val="clear"/>
          </w:tcPr>
          <w:p>
            <w:r>
              <w:rPr>
                <w:b/>
                <w:sz w:val="17"/>
              </w:rPr>
              <w:t>23,488</w:t>
            </w:r>
          </w:p>
        </w:tc>
        <w:tc>
          <w:tcPr>
            <w:tcW w:type="dxa" w:w="1440"/>
            <w:shd w:fill="C6EFCE" w:val="clear"/>
          </w:tcPr>
          <w:p>
            <w:r>
              <w:rPr>
                <w:sz w:val="17"/>
              </w:rPr>
              <w:t>25,027</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21,789</w:t>
            </w:r>
          </w:p>
        </w:tc>
        <w:tc>
          <w:tcPr>
            <w:tcW w:type="dxa" w:w="1440"/>
            <w:shd w:fill="C6EFCE" w:val="clear"/>
          </w:tcPr>
          <w:p>
            <w:r>
              <w:rPr>
                <w:b/>
                <w:sz w:val="17"/>
              </w:rPr>
              <w:t>23,690</w:t>
            </w:r>
          </w:p>
        </w:tc>
        <w:tc>
          <w:tcPr>
            <w:tcW w:type="dxa" w:w="1440"/>
            <w:shd w:fill="C6EFCE" w:val="clear"/>
          </w:tcPr>
          <w:p>
            <w:r>
              <w:rPr>
                <w:sz w:val="17"/>
              </w:rPr>
              <w:t>25,591</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21,696</w:t>
            </w:r>
          </w:p>
        </w:tc>
        <w:tc>
          <w:tcPr>
            <w:tcW w:type="dxa" w:w="1440"/>
            <w:shd w:fill="C6EFCE" w:val="clear"/>
          </w:tcPr>
          <w:p>
            <w:r>
              <w:rPr>
                <w:b/>
                <w:sz w:val="17"/>
              </w:rPr>
              <w:t>23,911</w:t>
            </w:r>
          </w:p>
        </w:tc>
        <w:tc>
          <w:tcPr>
            <w:tcW w:type="dxa" w:w="1440"/>
            <w:shd w:fill="C6EFCE" w:val="clear"/>
          </w:tcPr>
          <w:p>
            <w:r>
              <w:rPr>
                <w:sz w:val="17"/>
              </w:rPr>
              <w:t>26,126</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21,644</w:t>
            </w:r>
          </w:p>
        </w:tc>
        <w:tc>
          <w:tcPr>
            <w:tcW w:type="dxa" w:w="1440"/>
            <w:shd w:fill="C6EFCE" w:val="clear"/>
          </w:tcPr>
          <w:p>
            <w:r>
              <w:rPr>
                <w:b/>
                <w:sz w:val="17"/>
              </w:rPr>
              <w:t>24,145</w:t>
            </w:r>
          </w:p>
        </w:tc>
        <w:tc>
          <w:tcPr>
            <w:tcW w:type="dxa" w:w="1440"/>
            <w:shd w:fill="C6EFCE" w:val="clear"/>
          </w:tcPr>
          <w:p>
            <w:r>
              <w:rPr>
                <w:sz w:val="17"/>
              </w:rPr>
              <w:t>26,646</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21,614</w:t>
            </w:r>
          </w:p>
        </w:tc>
        <w:tc>
          <w:tcPr>
            <w:tcW w:type="dxa" w:w="1440"/>
            <w:shd w:fill="C6EFCE" w:val="clear"/>
          </w:tcPr>
          <w:p>
            <w:r>
              <w:rPr>
                <w:b/>
                <w:sz w:val="17"/>
              </w:rPr>
              <w:t>24,381</w:t>
            </w:r>
          </w:p>
        </w:tc>
        <w:tc>
          <w:tcPr>
            <w:tcW w:type="dxa" w:w="1440"/>
            <w:shd w:fill="C6EFCE" w:val="clear"/>
          </w:tcPr>
          <w:p>
            <w:r>
              <w:rPr>
                <w:sz w:val="17"/>
              </w:rPr>
              <w:t>27,147</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21,605</w:t>
            </w:r>
          </w:p>
        </w:tc>
        <w:tc>
          <w:tcPr>
            <w:tcW w:type="dxa" w:w="1440"/>
            <w:shd w:fill="C6EFCE" w:val="clear"/>
          </w:tcPr>
          <w:p>
            <w:r>
              <w:rPr>
                <w:b/>
                <w:sz w:val="17"/>
              </w:rPr>
              <w:t>24,623</w:t>
            </w:r>
          </w:p>
        </w:tc>
        <w:tc>
          <w:tcPr>
            <w:tcW w:type="dxa" w:w="1440"/>
            <w:shd w:fill="C6EFCE" w:val="clear"/>
          </w:tcPr>
          <w:p>
            <w:r>
              <w:rPr>
                <w:sz w:val="17"/>
              </w:rPr>
              <w:t>27,641</w:t>
            </w:r>
          </w:p>
        </w:tc>
        <w:tc>
          <w:tcPr>
            <w:tcW w:type="dxa" w:w="1440"/>
            <w:shd w:fill="C6EFCE" w:val="clear"/>
          </w:tcPr>
          <w:p>
            <w:r>
              <w:rPr>
                <w:b/>
                <w:color w:val="008000"/>
                <w:sz w:val="17"/>
              </w:rPr>
              <w:t>+7.5%</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21,608</w:t>
            </w:r>
          </w:p>
        </w:tc>
        <w:tc>
          <w:tcPr>
            <w:tcW w:type="dxa" w:w="1440"/>
            <w:shd w:fill="C6EFCE" w:val="clear"/>
          </w:tcPr>
          <w:p>
            <w:r>
              <w:rPr>
                <w:b/>
                <w:sz w:val="17"/>
              </w:rPr>
              <w:t>24,866</w:t>
            </w:r>
          </w:p>
        </w:tc>
        <w:tc>
          <w:tcPr>
            <w:tcW w:type="dxa" w:w="1440"/>
            <w:shd w:fill="C6EFCE" w:val="clear"/>
          </w:tcPr>
          <w:p>
            <w:r>
              <w:rPr>
                <w:sz w:val="17"/>
              </w:rPr>
              <w:t>28,123</w:t>
            </w:r>
          </w:p>
        </w:tc>
        <w:tc>
          <w:tcPr>
            <w:tcW w:type="dxa" w:w="1440"/>
            <w:shd w:fill="C6EFCE" w:val="clear"/>
          </w:tcPr>
          <w:p>
            <w:r>
              <w:rPr>
                <w:b/>
                <w:color w:val="008000"/>
                <w:sz w:val="17"/>
              </w:rPr>
              <w:t>+8.6%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21,624</w:t>
            </w:r>
          </w:p>
        </w:tc>
        <w:tc>
          <w:tcPr>
            <w:tcW w:type="dxa" w:w="1440"/>
            <w:shd w:fill="C6EFCE" w:val="clear"/>
          </w:tcPr>
          <w:p>
            <w:r>
              <w:rPr>
                <w:b/>
                <w:sz w:val="17"/>
              </w:rPr>
              <w:t>25,114</w:t>
            </w:r>
          </w:p>
        </w:tc>
        <w:tc>
          <w:tcPr>
            <w:tcW w:type="dxa" w:w="1440"/>
            <w:shd w:fill="C6EFCE" w:val="clear"/>
          </w:tcPr>
          <w:p>
            <w:r>
              <w:rPr>
                <w:sz w:val="17"/>
              </w:rPr>
              <w:t>28,604</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21,652</w:t>
            </w:r>
          </w:p>
        </w:tc>
        <w:tc>
          <w:tcPr>
            <w:tcW w:type="dxa" w:w="1440"/>
            <w:shd w:fill="C6EFCE" w:val="clear"/>
          </w:tcPr>
          <w:p>
            <w:r>
              <w:rPr>
                <w:b/>
                <w:sz w:val="17"/>
              </w:rPr>
              <w:t>25,368</w:t>
            </w:r>
          </w:p>
        </w:tc>
        <w:tc>
          <w:tcPr>
            <w:tcW w:type="dxa" w:w="1440"/>
            <w:shd w:fill="C6EFCE" w:val="clear"/>
          </w:tcPr>
          <w:p>
            <w:r>
              <w:rPr>
                <w:sz w:val="17"/>
              </w:rPr>
              <w:t>29,084</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411,17 milliards FCFA, ce qui positionne la société parmi les valeurs à grande capitalisation de la BRVM, lui conférant une liquidité potentielle et une visibilité accrues. Avec un BPA de 2 014 FCFA, chaque action génère un bénéfice substantiel pour son détenteur. Le PER de 11,4x se situe dans la fourchette moyenne du marché BRVM (8-12x), indiquant une valorisation raisonnable par rapport aux bénéfices générés. En revanche, le P/B de 9,07x est nettement supérieur au seuil de 4x, signalant que le marché valorise fortement les actifs de l'entreprise, ce qui traduit une prime significative par rapport à la valeur comptable. Enfin, l'EV/EBITDA de 8,2x, dans la zone de 5-10x, confirme une valorisation opérationnelle cohérente avec la capacité bénéficiaire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variation totale de +5,53%, avec une légère baisse de -0,43% lors de la dernière séance, reflétant une consolidation après une période de progression. Le cours a évolué dans une fourchette de 19 705 FCFA (plus bas) à 25 000 FCFA (plus haut), montrant une amplitude de trading significative d'environ 27%. La moyenne du cours sur la période est de 22 259 FCFA, légèrement supérieure à la médiane de 21 948 FCFA, indiquant une distribution quasi symétrique des prix, confirmée par un skewness de 0,341. L'écart-type de 1 382 FCFA, avec un coefficient de variation de 6,2%, révèle une dispersion modérée des cours autour de la moyenne. Le kurtosis de -0,965, proche d'une distribution normale, suggère un risque de pics limité. La volatilité annualisée de 32,9% classe le titre dans la catégorie des valeurs à volatilité élevée (&gt;30%), ce qui implique des fluctuations de prix importantes à prévoir.</w:t>
      </w:r>
    </w:p>
    <w:p>
      <w:pPr>
        <w:spacing w:after="120" w:line="276" w:lineRule="auto" w:before="240"/>
      </w:pPr>
      <w:r>
        <w:rPr>
          <w:b/>
          <w:color w:val="003366"/>
          <w:sz w:val="24"/>
        </w:rPr>
        <w:t>**PARTIE 2 : ANALYSE TECHNIQUE DÉTAILLÉE**</w:t>
      </w:r>
    </w:p>
    <w:p>
      <w:pPr>
        <w:spacing w:after="120" w:line="276" w:lineRule="auto"/>
      </w:pPr>
      <w:r>
        <w:t>**Moyennes Mobiles**: Les moyennes mobiles sur 20 et 50 jours (respectivement 23 466,25 FCFA et 23 418,1 FCFA) sont toutes deux supérieures au cours actuel de 22 900 FCFA, indiquant une pression vendeuse à court terme. Cependant, le signal global de décision est un "Achat", car la MM20 est légèrement au-dessus de la MM50, suggérant un potentiel de retournement haussier si le cours parvient à franchir ces niveaux de résistance.</w:t>
      </w:r>
    </w:p>
    <w:p>
      <w:pPr>
        <w:spacing w:after="120" w:line="276" w:lineRule="auto"/>
      </w:pPr>
      <w:r>
        <w:t>**Bandes de Bollinger**: Le cours actuel se situe entre la borne supérieure (24 977,314 FCFA) et la borne inférieure (21 955,186 FCFA), plus proche de la borne inférieure, ce qui indique une phase de consolidation. La décision "Neutre" reflète l'absence de signal directionnel fort, avec une volatilité qui se resserre, pouvant précéder un mouvement significatif.</w:t>
      </w:r>
    </w:p>
    <w:p>
      <w:pPr>
        <w:spacing w:after="120" w:line="276" w:lineRule="auto"/>
      </w:pPr>
      <w:r>
        <w:t>**MACD**: La valeur du MACD est négative à -118,79, tandis que le signal est légèrement positif à 2,194. Cette configuration baissière, où le MACD est sous le signal, indique un momentum négatif. La décision "Vente" suggère que la dynamique de prix est actuellement défavorable, bien que l'écart soit modeste.</w:t>
      </w:r>
    </w:p>
    <w:p>
      <w:pPr>
        <w:spacing w:after="120" w:line="276" w:lineRule="auto"/>
      </w:pPr>
      <w:r>
        <w:t>**RSI**: Avec une valeur de 47,914, le RSI se situe en zone neutre (30-70), indiquant un équilibre entre les forces acheteuses et vendeuses. La décision "Neutre" reflète l'absence de conditions de surachat ou de survente, laissant place à une évolution directionnelle future.</w:t>
      </w:r>
    </w:p>
    <w:p>
      <w:pPr>
        <w:spacing w:after="120" w:line="276" w:lineRule="auto"/>
      </w:pPr>
      <w:r>
        <w:t>**Stochastique**: Le %K à 20,0 et le %D à 23,81 sont proches de la zone de survente (&lt;20), avec %K sous %D, signalant une dynamique baissière à court terme. La décision "Neutre" suggère toutefois que le titre n'est pas encore en situation extrême, mais un croisement haussier pourrait se produire.</w:t>
      </w:r>
    </w:p>
    <w:p>
      <w:pPr>
        <w:spacing w:after="120" w:line="276" w:lineRule="auto"/>
      </w:pPr>
      <w:r>
        <w:t>**Conclusion technique**: Les indicateurs techniques sont globalement mitigés, avec un MACD vendeur et des moyennes mobiles au-dessus du cours, contrastant avec un RSI neutre et un stochastique proche de la survente. Cette divergence suggère une phase de consolidation avec un biais légèrement négatif à court terme, mais un potentiel de rebond si les niveaux de support actuels tiennent.</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révèlent un chiffre d'affaires de 268,537 milliards FCFA, en croissance de 25,3%, avec un résultat net de 36,158 milliards FCFA. La marge nette s'établit à 13,46%, tandis que le ROE est exceptionnel à 79,75% et le ROA à 48,09%, démontrant une utilisation très efficace des capitaux propres et des actifs. La structure financière est saine avec une autonomie financière de 60,3% et une dépendance financière quasi nulle (0,003%), confirmant une absence d'endettement bancaire. Le BFR de 5,639 milliards FCFA est positif, mais le délai clients de 42,57 jours reste modéré, et la trésorerie nette de 30,763 milliards FCFA offre une liquidité confortable. Selon le rapport annuel 2025 (daté du 31 décembre 2025), le dividende proposé est de 1 940 FCFA par action, soit un taux de distribution de 84,9%, reflétant une politique généreuse. Les rapports trimestriels 2025 montrent une dégradation progressive de la rentabilité : le T1 2025 affichait une marge nette de 15,3%, le S1 2025 de 13,8%, mais le T4 2025 a chuté à 7,0% en raison de la hausse des droits d'accise (de 49% à 70%) et de charges exceptionnelles. Pour 2026, le rapport T1 2026 (daté de 2026) indique un CA de 68,8 milliards FCFA (+12%) et un résultat net de 9,3 milliards FCFA (-1%), suggérant une stabilisation. On estime que l'exercice 2026 pourrait voir un CA autour de 275-280 milliards FCFA, mais avec une marge nette sous pression, potentiellement autour de 12-13%. La recommandation fondamentale est de conserver, compte tenu de la solidité financière, mais des risques fiscaux et de marges persistants.</w:t>
      </w:r>
    </w:p>
    <w:p>
      <w:pPr>
        <w:spacing w:after="120" w:line="276" w:lineRule="auto" w:before="240"/>
      </w:pPr>
      <w:r>
        <w:rPr>
          <w:b/>
          <w:color w:val="003366"/>
          <w:sz w:val="24"/>
        </w:rPr>
        <w:t>**PARTIE 4 : CONCLUSION D'INVESTISSEMENT**</w:t>
      </w:r>
    </w:p>
    <w:p>
      <w:pPr>
        <w:spacing w:after="120" w:line="276" w:lineRule="auto"/>
      </w:pPr>
      <w:r>
        <w:t>En synthèse, la valorisation de STBC est modérée avec un PER de 11,4x, mais le P/B de 9,07x indique une prime élevée par rapport aux actifs, ce qui pourrait limiter le potentiel de hausse. Le comportement du cours sur 100 jours montre une tendance positive (+5,53%) avec une volatilité élevée (32,9%), et des statistiques (kurtosis, skewness) suggérant une distribution normale des rendements, sans risque extrême. Les signaux techniques sont mitigés : les moyennes mobiles et le MACD sont baissiers, tandis que le RSI et le stochastique sont neutres, indiquant une consolidation. Les fondamentaux restent solides avec un ROE de 79,75% et une trésorerie abondante, mais la baisse de la marge nette et la pression fiscale sont des préoccupations. Les prédictions IA pour les 10 prochains jours (23 305 à 24 145 FCFA) suggèrent une trajectoire haussière, contredisant les signaux techniques à court terme. Sur la base de cette synthèse, la recommandation est **CONSERVER** avec un niveau de confiance **Moyen**, car la convergence entre une valorisation raisonnable, des fondamentaux solides mais des signaux techniques mitigés et des prédictions IA haussières est imparfaite. Le risque global est **Moyen**, et l'horizon d'investissement optimal est le **moyen terme (3-12 mois)**, en attendant une clarification de la trajectoire des marges et de l'environnement fiscal.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7,707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μ=2,880 FCFA, σ=137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β=0.0252 (Défensif) — Cov=0.000001, Var(idx)=0.000033, ρ=0.006,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3,190</w:t>
            </w:r>
          </w:p>
        </w:tc>
        <w:tc>
          <w:tcPr>
            <w:tcW w:type="dxa" w:w="1440"/>
            <w:shd w:fill="FAFAFA" w:val="clear"/>
          </w:tcPr>
          <w:p>
            <w:r>
              <w:rPr>
                <w:b/>
                <w:sz w:val="17"/>
              </w:rPr>
              <w:t>3,385</w:t>
            </w:r>
          </w:p>
        </w:tc>
        <w:tc>
          <w:tcPr>
            <w:tcW w:type="dxa" w:w="1440"/>
            <w:shd w:fill="FAFAFA" w:val="clear"/>
          </w:tcPr>
          <w:p>
            <w:r>
              <w:rPr>
                <w:sz w:val="17"/>
              </w:rPr>
              <w:t>3,580</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3,097</w:t>
            </w:r>
          </w:p>
        </w:tc>
        <w:tc>
          <w:tcPr>
            <w:tcW w:type="dxa" w:w="1440"/>
            <w:shd w:fill="FAFAFA" w:val="clear"/>
          </w:tcPr>
          <w:p>
            <w:r>
              <w:rPr>
                <w:b/>
                <w:sz w:val="17"/>
              </w:rPr>
              <w:t>3,372</w:t>
            </w:r>
          </w:p>
        </w:tc>
        <w:tc>
          <w:tcPr>
            <w:tcW w:type="dxa" w:w="1440"/>
            <w:shd w:fill="FAFAFA" w:val="clear"/>
          </w:tcPr>
          <w:p>
            <w:r>
              <w:rPr>
                <w:sz w:val="17"/>
              </w:rPr>
              <w:t>3,646</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3,017</w:t>
            </w:r>
          </w:p>
        </w:tc>
        <w:tc>
          <w:tcPr>
            <w:tcW w:type="dxa" w:w="1440"/>
            <w:shd w:fill="FAFAFA" w:val="clear"/>
          </w:tcPr>
          <w:p>
            <w:r>
              <w:rPr>
                <w:b/>
                <w:sz w:val="17"/>
              </w:rPr>
              <w:t>3,352</w:t>
            </w:r>
          </w:p>
        </w:tc>
        <w:tc>
          <w:tcPr>
            <w:tcW w:type="dxa" w:w="1440"/>
            <w:shd w:fill="FAFAFA" w:val="clear"/>
          </w:tcPr>
          <w:p>
            <w:r>
              <w:rPr>
                <w:sz w:val="17"/>
              </w:rPr>
              <w:t>3,686</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2,950</w:t>
            </w:r>
          </w:p>
        </w:tc>
        <w:tc>
          <w:tcPr>
            <w:tcW w:type="dxa" w:w="1440"/>
            <w:shd w:fill="FAFAFA" w:val="clear"/>
          </w:tcPr>
          <w:p>
            <w:r>
              <w:rPr>
                <w:b/>
                <w:sz w:val="17"/>
              </w:rPr>
              <w:t>3,335</w:t>
            </w:r>
          </w:p>
        </w:tc>
        <w:tc>
          <w:tcPr>
            <w:tcW w:type="dxa" w:w="1440"/>
            <w:shd w:fill="FAFAFA" w:val="clear"/>
          </w:tcPr>
          <w:p>
            <w:r>
              <w:rPr>
                <w:sz w:val="17"/>
              </w:rPr>
              <w:t>3,719</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2,892</w:t>
            </w:r>
          </w:p>
        </w:tc>
        <w:tc>
          <w:tcPr>
            <w:tcW w:type="dxa" w:w="1440"/>
            <w:shd w:fill="FFDCE0" w:val="clear"/>
          </w:tcPr>
          <w:p>
            <w:r>
              <w:rPr>
                <w:b/>
                <w:sz w:val="17"/>
              </w:rPr>
              <w:t>3,320</w:t>
            </w:r>
          </w:p>
        </w:tc>
        <w:tc>
          <w:tcPr>
            <w:tcW w:type="dxa" w:w="1440"/>
            <w:shd w:fill="FFDCE0" w:val="clear"/>
          </w:tcPr>
          <w:p>
            <w:r>
              <w:rPr>
                <w:sz w:val="17"/>
              </w:rPr>
              <w:t>3,748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2,840</w:t>
            </w:r>
          </w:p>
        </w:tc>
        <w:tc>
          <w:tcPr>
            <w:tcW w:type="dxa" w:w="1440"/>
            <w:shd w:fill="FFDCE0" w:val="clear"/>
          </w:tcPr>
          <w:p>
            <w:r>
              <w:rPr>
                <w:b/>
                <w:sz w:val="17"/>
              </w:rPr>
              <w:t>3,307</w:t>
            </w:r>
          </w:p>
        </w:tc>
        <w:tc>
          <w:tcPr>
            <w:tcW w:type="dxa" w:w="1440"/>
            <w:shd w:fill="FFDCE0" w:val="clear"/>
          </w:tcPr>
          <w:p>
            <w:r>
              <w:rPr>
                <w:sz w:val="17"/>
              </w:rPr>
              <w:t>3,773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2,792</w:t>
            </w:r>
          </w:p>
        </w:tc>
        <w:tc>
          <w:tcPr>
            <w:tcW w:type="dxa" w:w="1440"/>
            <w:shd w:fill="FFDCE0" w:val="clear"/>
          </w:tcPr>
          <w:p>
            <w:r>
              <w:rPr>
                <w:b/>
                <w:sz w:val="17"/>
              </w:rPr>
              <w:t>3,294</w:t>
            </w:r>
          </w:p>
        </w:tc>
        <w:tc>
          <w:tcPr>
            <w:tcW w:type="dxa" w:w="1440"/>
            <w:shd w:fill="FFDCE0" w:val="clear"/>
          </w:tcPr>
          <w:p>
            <w:r>
              <w:rPr>
                <w:sz w:val="17"/>
              </w:rPr>
              <w:t>3,796</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2,747</w:t>
            </w:r>
          </w:p>
        </w:tc>
        <w:tc>
          <w:tcPr>
            <w:tcW w:type="dxa" w:w="1440"/>
            <w:shd w:fill="FFDCE0" w:val="clear"/>
          </w:tcPr>
          <w:p>
            <w:r>
              <w:rPr>
                <w:b/>
                <w:sz w:val="17"/>
              </w:rPr>
              <w:t>3,281</w:t>
            </w:r>
          </w:p>
        </w:tc>
        <w:tc>
          <w:tcPr>
            <w:tcW w:type="dxa" w:w="1440"/>
            <w:shd w:fill="FFDCE0" w:val="clear"/>
          </w:tcPr>
          <w:p>
            <w:r>
              <w:rPr>
                <w:sz w:val="17"/>
              </w:rPr>
              <w:t>3,816</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2,704</w:t>
            </w:r>
          </w:p>
        </w:tc>
        <w:tc>
          <w:tcPr>
            <w:tcW w:type="dxa" w:w="1440"/>
            <w:shd w:fill="FFDCE0" w:val="clear"/>
          </w:tcPr>
          <w:p>
            <w:r>
              <w:rPr>
                <w:b/>
                <w:sz w:val="17"/>
              </w:rPr>
              <w:t>3,269</w:t>
            </w:r>
          </w:p>
        </w:tc>
        <w:tc>
          <w:tcPr>
            <w:tcW w:type="dxa" w:w="1440"/>
            <w:shd w:fill="FFDCE0" w:val="clear"/>
          </w:tcPr>
          <w:p>
            <w:r>
              <w:rPr>
                <w:sz w:val="17"/>
              </w:rPr>
              <w:t>3,834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2,664</w:t>
            </w:r>
          </w:p>
        </w:tc>
        <w:tc>
          <w:tcPr>
            <w:tcW w:type="dxa" w:w="1440"/>
            <w:shd w:fill="FFDCE0" w:val="clear"/>
          </w:tcPr>
          <w:p>
            <w:r>
              <w:rPr>
                <w:b/>
                <w:sz w:val="17"/>
              </w:rPr>
              <w:t>3,258</w:t>
            </w:r>
          </w:p>
        </w:tc>
        <w:tc>
          <w:tcPr>
            <w:tcW w:type="dxa" w:w="1440"/>
            <w:shd w:fill="FFDCE0" w:val="clear"/>
          </w:tcPr>
          <w:p>
            <w:r>
              <w:rPr>
                <w:sz w:val="17"/>
              </w:rPr>
              <w:t>3,851</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214,07 milliards FCFA, ce qui positionne le titre parmi les valeurs moyennes à grandes capitalisations de la BRVM, reflétant son statut de leader dans la distribution de produits pétroliers en Côte d'Ivoire. Avec un BPA de 144 FCFA, le titre se négocie à un PER de 23,6x, un niveau nettement supérieur à la moyenne historique du marché régional (8-12x). Cette prime significative suggère que les investisseurs anticipent une croissance future soutenue ou intègrent une prime de rareté pour ce titre de qualité. Le P/B de 5,91x confirme cette valorisation exigeante, le marché valorisant l'actif net comptable près de six fois au-dessus de sa valeur, ce qui reflète une forte confiance dans la création de valeur future. Enfin, l'EV/EBITDA de 12,0x, bien que dans la fourchette haute (10-15x), reste cohérent avec la capacité opérationnelle de l'entreprise à générer des flux, mais laisse peu de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+14,29%, avec une accélération notable lors de la dernière séance (+3,19%), portant le cours à 3 400 FCFA, son plus haut niveau sur la période. Le titre a évolué dans une fourchette de 750 FCFA, entre un plancher de 2 650 FCFA et ce sommet, démontrant une tendance haussière soutenue. La moyenne du cours sur la période (2 880 FCFA) est très proche de la médiane (2 878 FCFA), indiquant une distribution relativement symétrique malgré un skewness positif de 1,163, qui révèle que les journées sous la moyenne ont été plus fréquentes mais de faible ampleur, compensées par des hausses plus fortes. L'écart-type de 137 FCFA (CV=4,8%) témoigne d'une dispersion modérée autour de la moyenne, mais le kurtosis élevé (2,464) signale un risque de mouvements extrêmes. La volatilité annualisée de 40% classe le titre dans la catégorie des valeurs à forte volatilité (&gt;30%), ce qui implique un risque non négligeable pour les investisseurs, mais aussi un potentiel de rendement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se positionne nettement au-dessus de la MM20 (3 046,25 FCFA) et de la MM50 (2 950,5 FCFA), avec un écart de plus de 11% par rapport à la MM20. Cette configuration haussière, où le prix évolue au-dessus des deux moyennes, confirme la dynamique positive du titre. La décision d'achat est justifiée par cette structure de tendance favorable, les moyennes agissant comme des supports dynamiques.</w:t>
      </w:r>
    </w:p>
    <w:p>
      <w:pPr>
        <w:spacing w:after="120" w:line="276" w:lineRule="auto"/>
      </w:pPr>
      <w:r>
        <w:t>**Bandes de Bollinger :** Le prix a franchi la borne supérieure (3 376,35 FCFA), atteignant 3 400 FCFA, ce qui indique une extension excessive du mouvement haussier. Cette sortie de bande signale une condition de surachat temporaire, d'où la décision de vente. La largeur des bandes (écart de 660 FCFA) reflète une volatilité accrue, mais le dépassement de la borne supérieure suggère un risque de correction à court terme.</w:t>
      </w:r>
    </w:p>
    <w:p>
      <w:pPr>
        <w:spacing w:after="120" w:line="276" w:lineRule="auto"/>
      </w:pPr>
      <w:r>
        <w:t>**MACD :** La valeur du MACD (102,368) est nettement supérieure à sa ligne de signal (60,539), avec un écart positif de 41,8 points. Cette divergence haussière confirme la vigueur du momentum. La décision d'achat est cohérente avec cette configuration qui indique une accélération de la tendance haussière, sans signe d'essoufflement à ce stade.</w:t>
      </w:r>
    </w:p>
    <w:p>
      <w:pPr>
        <w:spacing w:after="120" w:line="276" w:lineRule="auto"/>
      </w:pPr>
      <w:r>
        <w:t>**RSI :** À 68,085, le RSI se situe en zone neutre, proche du seuil de surachat (70). Cette valeur indique que la pression acheteuse reste dominante, mais le titre approche d'une zone où une consolidation serait possible. La décision neutre reflète cette position intermédiaire, le titre n'étant ni survendu ni encore en surachat extrême.</w:t>
      </w:r>
    </w:p>
    <w:p>
      <w:pPr>
        <w:spacing w:after="120" w:line="276" w:lineRule="auto"/>
      </w:pPr>
      <w:r>
        <w:t>**Stochastique :** Le %K à 100 et le %D à 95,26 indiquent une condition de surachat extrême. Le titre est à son plus haut niveau sur la période, ce qui rend un repli technique probable. La décision de vente se justifie par cette configuration extrême, le croisement baissier potentiel du %K sous le %D devant être surveillé comme signal de retournement.</w:t>
      </w:r>
    </w:p>
    <w:p>
      <w:pPr>
        <w:spacing w:after="120" w:line="276" w:lineRule="auto"/>
      </w:pPr>
      <w:r>
        <w:t>**Conclusion technique :** La convergence des indicateurs montre une forte dynamique haussière (MM, MACD) mais avec des signaux de surachat prononcés (Bollinger, Stochastique, RSI proche de 70). Cette divergence entre la tendance de fond et les conditions à court terme suggère qu'un repli technique est probable avant la poursuite éventuelle de la tendance haussière. Les investisseurs devraient surveiller le niveau de 3 300 FCFA comme support immédiat.</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Côte d'Ivoire a réalisé un chiffre d'affaires de 588,709 milliards FCFA, en repli de 5,2% par rapport à 2024, mais avec une amélioration notable de sa rentabilité opérationnelle : l'EBE progresse de 12% à 22,347 milliards FCFA et le résultat d'exploitation bondit de 18% à 12,329 milliards FCFA. Le résultat net s'établit à 9,087 milliards FCFA, en baisse de 3%, principalement en raison de la chute du résultat financier (-90%). La rentabilité des capitaux propres (ROE) reste excellente à 25,1%, tandis que le ROA atteint 4,8%. Le BFR négatif de -9,662 milliards FCFA constitue un avantage structurel, l'entreprise finançant son exploitation grâce aux délais fournisseurs (49,7 jours). Cependant, la trésorerie nette est fortement négative (-21,926 milliards FCFA), et le ratio d'endettement de 90,2% appelle à la vigilance. Le rapport annuel 2025 (daté du 31/12/2025) confirme ces chiffres et souligne un dividende brut de 10 milliards FCFA, soit un taux de distribution supérieur à 100%. Les rapports trimestriels 2025 montrent une dégradation progressive (T1 : -30,6% du résultat net, S1 : -25,5%, 9 mois : -30,2%), principalement due à un effet de base défavorable. Toutefois, le rapport T1 2026 (daté de 2026) indique une reprise encourageante avec un CA en hausse de 4,3% à 154,392 milliards FCFA et un résultat net en progression de 5,5%, laissant présager une stabilisation pour l'exercice 2026. La recommandation fondamentale reste "Conserver", la société démontrant une solidité opérationnelle malgré des défis financiers persistants.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TTLC. La valorisation actuelle (PER 23,6x, P/B 5,91x, EV/EBITDA 12x) apparaît exigeante, intégrant des anticipations de croissance qui devront se matérialiser pour justifier ces niveaux. Le comportement du cours montre une tendance haussière soutenue (+14,29% sur 100 jours) mais avec une volatilité élevée (40%) et des signaux de surachat technique (Bollinger, Stochastique) qui suggèrent un risque de correction à court terme. Les fondamentaux, bien qu'en amélioration opérationnelle (EBE +12%), présentent des fragilités financières (trésorerie nette négative, endettement élevé) et une baisse du résultat net en 2025. Les prédictions IA pour les 10 prochains jours (3 385 à 3 320 FCFA) confirment cette anticipation de repli technique, avec une trajectoire baissière progressive. La convergence entre les signaux techniques de surachat et les prédictions IA renforce la probabilité d'une consolidation. Compte tenu de ces éléments, notre recommandation est **CONSERVER** avec un niveau de confiance **Moyen** et un risque global **Élevé**. L'horizon d'investissement optimal serait le **moyen terme (3-12 mois)**, permettant d'absorber la correction technique attendue et de bénéficier de la reprise économique anticipée pour 2026, tout en surveillant la capacité de la société à réduire son endettement et à maintenir sa politique de distribution généreuse.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2,754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+20.00%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10.52% (Moyenne) — μ=3,487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β=0.6840 (Défensif) — Cov=0.000022, Var(idx)=0.000033,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3,506</w:t>
            </w:r>
          </w:p>
        </w:tc>
        <w:tc>
          <w:tcPr>
            <w:tcW w:type="dxa" w:w="1440"/>
            <w:shd w:fill="FFDCE0" w:val="clear"/>
          </w:tcPr>
          <w:p>
            <w:r>
              <w:rPr>
                <w:b/>
                <w:sz w:val="17"/>
              </w:rPr>
              <w:t>3,710</w:t>
            </w:r>
          </w:p>
        </w:tc>
        <w:tc>
          <w:tcPr>
            <w:tcW w:type="dxa" w:w="1440"/>
            <w:shd w:fill="FFDCE0" w:val="clear"/>
          </w:tcPr>
          <w:p>
            <w:r>
              <w:rPr>
                <w:sz w:val="17"/>
              </w:rPr>
              <w:t>3,913</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3,349</w:t>
            </w:r>
          </w:p>
        </w:tc>
        <w:tc>
          <w:tcPr>
            <w:tcW w:type="dxa" w:w="1440"/>
            <w:shd w:fill="FFDCE0" w:val="clear"/>
          </w:tcPr>
          <w:p>
            <w:r>
              <w:rPr>
                <w:b/>
                <w:sz w:val="17"/>
              </w:rPr>
              <w:t>3,630</w:t>
            </w:r>
          </w:p>
        </w:tc>
        <w:tc>
          <w:tcPr>
            <w:tcW w:type="dxa" w:w="1440"/>
            <w:shd w:fill="FFDCE0" w:val="clear"/>
          </w:tcPr>
          <w:p>
            <w:r>
              <w:rPr>
                <w:sz w:val="17"/>
              </w:rPr>
              <w:t>3,912</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3,227</w:t>
            </w:r>
          </w:p>
        </w:tc>
        <w:tc>
          <w:tcPr>
            <w:tcW w:type="dxa" w:w="1440"/>
            <w:shd w:fill="FFDCE0" w:val="clear"/>
          </w:tcPr>
          <w:p>
            <w:r>
              <w:rPr>
                <w:b/>
                <w:sz w:val="17"/>
              </w:rPr>
              <w:t>3,566</w:t>
            </w:r>
          </w:p>
        </w:tc>
        <w:tc>
          <w:tcPr>
            <w:tcW w:type="dxa" w:w="1440"/>
            <w:shd w:fill="FFDCE0" w:val="clear"/>
          </w:tcPr>
          <w:p>
            <w:r>
              <w:rPr>
                <w:sz w:val="17"/>
              </w:rPr>
              <w:t>3,905</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3,129</w:t>
            </w:r>
          </w:p>
        </w:tc>
        <w:tc>
          <w:tcPr>
            <w:tcW w:type="dxa" w:w="1440"/>
            <w:shd w:fill="FFDCE0" w:val="clear"/>
          </w:tcPr>
          <w:p>
            <w:r>
              <w:rPr>
                <w:b/>
                <w:sz w:val="17"/>
              </w:rPr>
              <w:t>3,514</w:t>
            </w:r>
          </w:p>
        </w:tc>
        <w:tc>
          <w:tcPr>
            <w:tcW w:type="dxa" w:w="1440"/>
            <w:shd w:fill="FFDCE0" w:val="clear"/>
          </w:tcPr>
          <w:p>
            <w:r>
              <w:rPr>
                <w:sz w:val="17"/>
              </w:rPr>
              <w:t>3,900</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3,043</w:t>
            </w:r>
          </w:p>
        </w:tc>
        <w:tc>
          <w:tcPr>
            <w:tcW w:type="dxa" w:w="1440"/>
            <w:shd w:fill="FFDCE0" w:val="clear"/>
          </w:tcPr>
          <w:p>
            <w:r>
              <w:rPr>
                <w:b/>
                <w:sz w:val="17"/>
              </w:rPr>
              <w:t>3,469</w:t>
            </w:r>
          </w:p>
        </w:tc>
        <w:tc>
          <w:tcPr>
            <w:tcW w:type="dxa" w:w="1440"/>
            <w:shd w:fill="FFDCE0" w:val="clear"/>
          </w:tcPr>
          <w:p>
            <w:r>
              <w:rPr>
                <w:sz w:val="17"/>
              </w:rPr>
              <w:t>3,895</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2,967</w:t>
            </w:r>
          </w:p>
        </w:tc>
        <w:tc>
          <w:tcPr>
            <w:tcW w:type="dxa" w:w="1440"/>
            <w:shd w:fill="FFDCE0" w:val="clear"/>
          </w:tcPr>
          <w:p>
            <w:r>
              <w:rPr>
                <w:b/>
                <w:sz w:val="17"/>
              </w:rPr>
              <w:t>3,427</w:t>
            </w:r>
          </w:p>
        </w:tc>
        <w:tc>
          <w:tcPr>
            <w:tcW w:type="dxa" w:w="1440"/>
            <w:shd w:fill="FFDCE0" w:val="clear"/>
          </w:tcPr>
          <w:p>
            <w:r>
              <w:rPr>
                <w:sz w:val="17"/>
              </w:rPr>
              <w:t>3,888</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2,897</w:t>
            </w:r>
          </w:p>
        </w:tc>
        <w:tc>
          <w:tcPr>
            <w:tcW w:type="dxa" w:w="1440"/>
            <w:shd w:fill="FFDCE0" w:val="clear"/>
          </w:tcPr>
          <w:p>
            <w:r>
              <w:rPr>
                <w:b/>
                <w:sz w:val="17"/>
              </w:rPr>
              <w:t>3,388</w:t>
            </w:r>
          </w:p>
        </w:tc>
        <w:tc>
          <w:tcPr>
            <w:tcW w:type="dxa" w:w="1440"/>
            <w:shd w:fill="FFDCE0" w:val="clear"/>
          </w:tcPr>
          <w:p>
            <w:r>
              <w:rPr>
                <w:sz w:val="17"/>
              </w:rPr>
              <w:t>3,880</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2,832</w:t>
            </w:r>
          </w:p>
        </w:tc>
        <w:tc>
          <w:tcPr>
            <w:tcW w:type="dxa" w:w="1440"/>
            <w:shd w:fill="FFDCE0" w:val="clear"/>
          </w:tcPr>
          <w:p>
            <w:r>
              <w:rPr>
                <w:b/>
                <w:sz w:val="17"/>
              </w:rPr>
              <w:t>3,352</w:t>
            </w:r>
          </w:p>
        </w:tc>
        <w:tc>
          <w:tcPr>
            <w:tcW w:type="dxa" w:w="1440"/>
            <w:shd w:fill="FFDCE0" w:val="clear"/>
          </w:tcPr>
          <w:p>
            <w:r>
              <w:rPr>
                <w:sz w:val="17"/>
              </w:rPr>
              <w:t>3,872</w:t>
            </w:r>
          </w:p>
        </w:tc>
        <w:tc>
          <w:tcPr>
            <w:tcW w:type="dxa" w:w="1440"/>
            <w:shd w:fill="FFDCE0" w:val="clear"/>
          </w:tcPr>
          <w:p>
            <w:r>
              <w:rPr>
                <w:b/>
                <w:color w:val="C00000"/>
                <w:sz w:val="17"/>
              </w:rPr>
              <w:t>-14.1%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2,772</w:t>
            </w:r>
          </w:p>
        </w:tc>
        <w:tc>
          <w:tcPr>
            <w:tcW w:type="dxa" w:w="1440"/>
            <w:shd w:fill="FFDCE0" w:val="clear"/>
          </w:tcPr>
          <w:p>
            <w:r>
              <w:rPr>
                <w:b/>
                <w:sz w:val="17"/>
              </w:rPr>
              <w:t>3,318</w:t>
            </w:r>
          </w:p>
        </w:tc>
        <w:tc>
          <w:tcPr>
            <w:tcW w:type="dxa" w:w="1440"/>
            <w:shd w:fill="FFDCE0" w:val="clear"/>
          </w:tcPr>
          <w:p>
            <w:r>
              <w:rPr>
                <w:sz w:val="17"/>
              </w:rPr>
              <w:t>3,864</w:t>
            </w:r>
          </w:p>
        </w:tc>
        <w:tc>
          <w:tcPr>
            <w:tcW w:type="dxa" w:w="1440"/>
            <w:shd w:fill="FFDCE0" w:val="clear"/>
          </w:tcPr>
          <w:p>
            <w:r>
              <w:rPr>
                <w:b/>
                <w:color w:val="C00000"/>
                <w:sz w:val="17"/>
              </w:rPr>
              <w:t>-14.9%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2,715</w:t>
            </w:r>
          </w:p>
        </w:tc>
        <w:tc>
          <w:tcPr>
            <w:tcW w:type="dxa" w:w="1440"/>
            <w:shd w:fill="FFDCE0" w:val="clear"/>
          </w:tcPr>
          <w:p>
            <w:r>
              <w:rPr>
                <w:b/>
                <w:sz w:val="17"/>
              </w:rPr>
              <w:t>3,286</w:t>
            </w:r>
          </w:p>
        </w:tc>
        <w:tc>
          <w:tcPr>
            <w:tcW w:type="dxa" w:w="1440"/>
            <w:shd w:fill="FFDCE0" w:val="clear"/>
          </w:tcPr>
          <w:p>
            <w:r>
              <w:rPr>
                <w:sz w:val="17"/>
              </w:rPr>
              <w:t>3,856</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 22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127,05 milliards FCFA, un niveau significatif qui en fait l'une des valeurs moyennes les plus capitalisées de la BRVM. Avec un BPA de 208 FCFA, le titre se négocie à un PER de 18,7x, nettement supérieur à la moyenne historique de la place (~8-12x), indiquant que les investisseurs paient une prime substantielle pour la qualité perçue du titre. Le P/B de 4,50x confirme cette valorisation exigeante, le marché valorisant le titre à plus de quatre fois sa valeur comptable. En revanche, l'EV/EBITDA de 8,0x reste dans une zone raisonnable (5-10x), ce qui tempère le jugement en intégrant la dette nette négative de la société. Cette combinaison suggère une valorisation riche sur les bénéfices et les fonds propres, mais plus mesurée sur la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+20,00%, passant d'un plus bas de 2 845 FCFA à un plus haut de 4 500 FCFA, avant de clôturer à 3 900 FCFA. La dernière séance montre un repli de -1,64%, signe d'une prise de bénéfices après un rallye soutenu. La moyenne du cours sur la période (3 487 FCFA) est légèrement supérieure à la médiane (3 450 FCFA), et le mode (3 250 FCFA) est nettement inférieur, indiquant une distribution asymétrique positive (skewness de 0,666) où le titre a passé plus de temps sous sa moyenne, avec des épisodes de hausse marqués. L'écart-type de 369 FCFA (CV de 10,6%) révèle une dispersion modérée, tandis que le kurtosis proche de zéro (0,019) suggère une distribution mésokurtique sans risque de pics extrêmes. La volatilité annualisée de 48,0% est élevée, positionnant TTLS comme un titre à fort potentiel de mouvement, typique des valeurs moyennes de la BRVM en phase d'accélération.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(3 900 FCFA) se situe au-dessus de la MM20 (3 668 FCFA) mais en dessous de la MM50 (3 767 FCFA). Cette configuration, où le prix a dépassé la moyenne court terme mais reste sous la moyenne long terme, génère un signal de vente. La MM50 agissant comme une résistance dynamique, le titre devra confirmer son franchissement pour inverser la tendance.</w:t>
      </w:r>
    </w:p>
    <w:p>
      <w:pPr>
        <w:spacing w:after="120" w:line="276" w:lineRule="auto"/>
      </w:pPr>
      <w:r>
        <w:t>**Bandes de Bollinger** : Le prix évolue à la borne supérieure (3 900 FCFA), en contact direct avec la bande haute (3 900,1 FCFA). Cette position indique une pression acheteuse forte mais également une zone de surachat potentiel à court terme. La décision neutre reflète l'équilibre entre un momentum haussier et un risque de correction technique.</w:t>
      </w:r>
    </w:p>
    <w:p>
      <w:pPr>
        <w:spacing w:after="120" w:line="276" w:lineRule="auto"/>
      </w:pPr>
      <w:r>
        <w:t>**MACD** : La valeur du MACD (10,7) est positive et nettement au-dessus de sa ligne de signal (-27,1), formant un croisement haussier récent. Cette divergence positive indique un momentum haussier en construction, justifiant la décision d'achat. La dynamique semble s'accélérer, ce qui pourrait soutenir le cours dans les prochaines séances.</w:t>
      </w:r>
    </w:p>
    <w:p>
      <w:pPr>
        <w:spacing w:after="120" w:line="276" w:lineRule="auto"/>
      </w:pPr>
      <w:r>
        <w:t>**RSI** : À 60,4, le RSI se situe en zone neutre, sans signal de surachat (&lt;70) ni de survente (&lt;30). Cette valeur indique une pression acheteuse modérée, laissant une marge de progression avant d'atteindre des niveaux extrêmes. La décision neutre est cohérente avec une tendance haussière non encore surchauffée.</w:t>
      </w:r>
    </w:p>
    <w:p>
      <w:pPr>
        <w:spacing w:after="120" w:line="276" w:lineRule="auto"/>
      </w:pPr>
      <w:r>
        <w:t>**Stochastique** : Le %K (86,0) et le %D (84,2) sont tous deux en zone de surachat (&gt;80), avec un écart très faible indiquant une possible convergence baissière. Cette configuration suggère un essoufflement du mouvement haussier à court terme, justifiant la décision de vente. Un croisement baissier pourrait déclencher une correction technique.</w:t>
      </w:r>
    </w:p>
    <w:p>
      <w:pPr>
        <w:spacing w:after="120" w:line="276" w:lineRule="auto"/>
      </w:pPr>
      <w:r>
        <w:t>**Conclusion technique** : Les indicateurs sont partagés entre un momentum haussier (MACD, RSI) et des signaux de surachat à court terme (Stochastique, position sur les bandes). La MM50 reste un obstacle majeur. La prudence est de mise : le titre pourrait consolider avant de poursuivre sa hausse, ou corriger si la résistance des 3 900 FCFA se confirme.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entreprise solide mais en transition. Le chiffre d'affaires s'établit à 455,209 milliards FCFA, en baisse de 6,1% par rapport à 2024 (484,945 milliards), principalement due à l'arrêt stratégique de la commercialisation du fuel lourd. Le résultat net atteint 6,779 milliards FCFA, en repli de 5,1% vs 2024 (7,140 milliards), avec une marge nette de 1,49% et une marge opérationnelle de 1,91%. La rentabilité des fonds propres (ROE) est excellente à 24,01%, bien au-dessus du seuil de 15%, tandis que le ROA s'établit à 3,95%. La structure financière montre un BFR négatif de -36,9 milliards FCFA, une situation favorable pour une entreprise de distribution, avec un délai fournisseurs (97,8 jours) nettement supérieur au délai clients (47,4 jours). L'endettement reste maîtrisé avec une capacité de remboursement de 0,94 an et une couverture des intérêts de 486%. Les rapports trimestriels 2025 confirment la tendance : le T3 2025 affiche un CA cumulé de 344,9 milliards (-7%) et un résultat net de 5,024 milliards (-14%). Le rapport T1 2026, analysé le 4 mai 2026, montre une baisse du CA de 10% à 99,9 milliards due à la révision des prix à la pompe par l'État, mais une progression de 28% du résultat d'exploitation à 2,6 milliards et un résultat net en hausse de 5% à 1,585 milliard. On estime que l'exercice 2026 devrait confirmer cette résilience opérationnelle, avec une amélioration des marges compensant la pression réglementaire sur les prix. La trésorerie s'est nettement améliorée, passant de 8,4 milliards à 20,6 milliards, et la société maintient une politique de distribution généreuse (dividende de 236 FCFA/action au titre de 2024). Les perspectives restent portées par la diversification (GPL, lubrifiants, export) et les projets Sangomar et GTA.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des signaux contrastés. La valorisation (PER 18,7x, P/B 4,5x) est exigeante, mais l'EV/EBITDA de 8x et la position de trésorerie nette positive tempèrent ce constat. Le comportement du cours sur 100 jours (+20%) avec une volatilité élevée (48%) et une asymétrie positive indique un titre dynamique mais risqué. Les signaux techniques sont mitigés : le MACD et le RSI soutiennent la tendance haussière, tandis que le Stochastique et la position sur les bandes signalent un surachat à court terme. Les fondamentaux sont solides avec un ROE de 24%, un BFR négatif favorable et une résilience opérationnelle démontrée au T1 2026 (+28% de résultat d'exploitation). Les prédictions IA (3 710 à 3 469 FCFA sur 10 jours) anticipent une correction de 5 à 11%, contredisant le momentum haussier actuel et suggérant une consolidation nécessaire. **Recommandation finale : CONSERVER**. La convergence entre la valorisation riche, les signaux techniques de surachat et les prédictions IA baissières justifie la prudence, malgré des fondamentaux solides. **Niveau de confiance : Moyen**. **Risque global : Élevé** (volatilité 48%, dépendance réglementaire). **Horizon optimal : Moyen terme (3-12 mois)**, en attendant une clarification sur la politique de dividende et la confirmation de la croissance des segments à valeur ajoutée. Un point d'entrée plus attractif pourrait se présenter après la correction anticipée.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-2.70%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26.8/100 → Moyen</w:t>
      </w:r>
    </w:p>
    <w:p>
      <w:pPr>
        <w:spacing w:before="40" w:after="80"/>
      </w:pPr>
      <w:r>
        <w:rPr>
          <w:rFonts w:ascii="Courier New" w:hAnsi="Courier New"/>
          <w:color w:val="825A00"/>
          <w:sz w:val="18"/>
        </w:rPr>
        <w:t>█████░░░░░░░░░░░░░░░  26.8/100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μ=56,643 FCFA, σ=3,594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β=1.0140 (Neutre (suit le marché)) — Cov=0.000033, Var(idx)=0.000033, ρ=0.144,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2026-08-24</w:t>
            </w:r>
          </w:p>
        </w:tc>
        <w:tc>
          <w:tcPr>
            <w:tcW w:type="dxa" w:w="1440"/>
            <w:shd w:fill="C6EFCE" w:val="clear"/>
          </w:tcPr>
          <w:p>
            <w:r>
              <w:rPr>
                <w:sz w:val="17"/>
              </w:rPr>
              <w:t>50,914</w:t>
            </w:r>
          </w:p>
        </w:tc>
        <w:tc>
          <w:tcPr>
            <w:tcW w:type="dxa" w:w="1440"/>
            <w:shd w:fill="C6EFCE" w:val="clear"/>
          </w:tcPr>
          <w:p>
            <w:r>
              <w:rPr>
                <w:b/>
                <w:sz w:val="17"/>
              </w:rPr>
              <w:t>53,998</w:t>
            </w:r>
          </w:p>
        </w:tc>
        <w:tc>
          <w:tcPr>
            <w:tcW w:type="dxa" w:w="1440"/>
            <w:shd w:fill="C6EFCE" w:val="clear"/>
          </w:tcPr>
          <w:p>
            <w:r>
              <w:rPr>
                <w:sz w:val="17"/>
              </w:rPr>
              <w:t>57,082</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49,827</w:t>
            </w:r>
          </w:p>
        </w:tc>
        <w:tc>
          <w:tcPr>
            <w:tcW w:type="dxa" w:w="1440"/>
            <w:shd w:fill="C6EFCE" w:val="clear"/>
          </w:tcPr>
          <w:p>
            <w:r>
              <w:rPr>
                <w:b/>
                <w:sz w:val="17"/>
              </w:rPr>
              <w:t>54,205</w:t>
            </w:r>
          </w:p>
        </w:tc>
        <w:tc>
          <w:tcPr>
            <w:tcW w:type="dxa" w:w="1440"/>
            <w:shd w:fill="C6EFCE" w:val="clear"/>
          </w:tcPr>
          <w:p>
            <w:r>
              <w:rPr>
                <w:sz w:val="17"/>
              </w:rPr>
              <w:t>58,584</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49,276</w:t>
            </w:r>
          </w:p>
        </w:tc>
        <w:tc>
          <w:tcPr>
            <w:tcW w:type="dxa" w:w="1440"/>
            <w:shd w:fill="C6EFCE" w:val="clear"/>
          </w:tcPr>
          <w:p>
            <w:r>
              <w:rPr>
                <w:b/>
                <w:sz w:val="17"/>
              </w:rPr>
              <w:t>54,686</w:t>
            </w:r>
          </w:p>
        </w:tc>
        <w:tc>
          <w:tcPr>
            <w:tcW w:type="dxa" w:w="1440"/>
            <w:shd w:fill="C6EFCE" w:val="clear"/>
          </w:tcPr>
          <w:p>
            <w:r>
              <w:rPr>
                <w:sz w:val="17"/>
              </w:rPr>
              <w:t>60,097</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48,938</w:t>
            </w:r>
          </w:p>
        </w:tc>
        <w:tc>
          <w:tcPr>
            <w:tcW w:type="dxa" w:w="1440"/>
            <w:shd w:fill="C6EFCE" w:val="clear"/>
          </w:tcPr>
          <w:p>
            <w:r>
              <w:rPr>
                <w:b/>
                <w:sz w:val="17"/>
              </w:rPr>
              <w:t>55,250</w:t>
            </w:r>
          </w:p>
        </w:tc>
        <w:tc>
          <w:tcPr>
            <w:tcW w:type="dxa" w:w="1440"/>
            <w:shd w:fill="C6EFCE" w:val="clear"/>
          </w:tcPr>
          <w:p>
            <w:r>
              <w:rPr>
                <w:sz w:val="17"/>
              </w:rPr>
              <w:t>61,561</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48,715</w:t>
            </w:r>
          </w:p>
        </w:tc>
        <w:tc>
          <w:tcPr>
            <w:tcW w:type="dxa" w:w="1440"/>
            <w:shd w:fill="C6EFCE" w:val="clear"/>
          </w:tcPr>
          <w:p>
            <w:r>
              <w:rPr>
                <w:b/>
                <w:sz w:val="17"/>
              </w:rPr>
              <w:t>55,848</w:t>
            </w:r>
          </w:p>
        </w:tc>
        <w:tc>
          <w:tcPr>
            <w:tcW w:type="dxa" w:w="1440"/>
            <w:shd w:fill="C6EFCE" w:val="clear"/>
          </w:tcPr>
          <w:p>
            <w:r>
              <w:rPr>
                <w:sz w:val="17"/>
              </w:rPr>
              <w:t>62,982</w:t>
            </w:r>
          </w:p>
        </w:tc>
        <w:tc>
          <w:tcPr>
            <w:tcW w:type="dxa" w:w="1440"/>
            <w:shd w:fill="C6EFCE" w:val="clear"/>
          </w:tcPr>
          <w:p>
            <w:r>
              <w:rPr>
                <w:b/>
                <w:color w:val="008000"/>
                <w:sz w:val="17"/>
              </w:rPr>
              <w:t>+7.0%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48,566</w:t>
            </w:r>
          </w:p>
        </w:tc>
        <w:tc>
          <w:tcPr>
            <w:tcW w:type="dxa" w:w="1440"/>
            <w:shd w:fill="C6EFCE" w:val="clear"/>
          </w:tcPr>
          <w:p>
            <w:r>
              <w:rPr>
                <w:b/>
                <w:sz w:val="17"/>
              </w:rPr>
              <w:t>56,466</w:t>
            </w:r>
          </w:p>
        </w:tc>
        <w:tc>
          <w:tcPr>
            <w:tcW w:type="dxa" w:w="1440"/>
            <w:shd w:fill="C6EFCE" w:val="clear"/>
          </w:tcPr>
          <w:p>
            <w:r>
              <w:rPr>
                <w:sz w:val="17"/>
              </w:rPr>
              <w:t>64,367</w:t>
            </w:r>
          </w:p>
        </w:tc>
        <w:tc>
          <w:tcPr>
            <w:tcW w:type="dxa" w:w="1440"/>
            <w:shd w:fill="C6EFCE" w:val="clear"/>
          </w:tcPr>
          <w:p>
            <w:r>
              <w:rPr>
                <w:b/>
                <w:color w:val="008000"/>
                <w:sz w:val="17"/>
              </w:rPr>
              <w:t>+8.2%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48,467</w:t>
            </w:r>
          </w:p>
        </w:tc>
        <w:tc>
          <w:tcPr>
            <w:tcW w:type="dxa" w:w="1440"/>
            <w:shd w:fill="C6EFCE" w:val="clear"/>
          </w:tcPr>
          <w:p>
            <w:r>
              <w:rPr>
                <w:b/>
                <w:sz w:val="17"/>
              </w:rPr>
              <w:t>57,096</w:t>
            </w:r>
          </w:p>
        </w:tc>
        <w:tc>
          <w:tcPr>
            <w:tcW w:type="dxa" w:w="1440"/>
            <w:shd w:fill="C6EFCE" w:val="clear"/>
          </w:tcPr>
          <w:p>
            <w:r>
              <w:rPr>
                <w:sz w:val="17"/>
              </w:rPr>
              <w:t>65,725</w:t>
            </w:r>
          </w:p>
        </w:tc>
        <w:tc>
          <w:tcPr>
            <w:tcW w:type="dxa" w:w="1440"/>
            <w:shd w:fill="C6EFCE" w:val="clear"/>
          </w:tcPr>
          <w:p>
            <w:r>
              <w:rPr>
                <w:b/>
                <w:color w:val="008000"/>
                <w:sz w:val="17"/>
              </w:rPr>
              <w:t>+9.4%</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48,406</w:t>
            </w:r>
          </w:p>
        </w:tc>
        <w:tc>
          <w:tcPr>
            <w:tcW w:type="dxa" w:w="1440"/>
            <w:shd w:fill="C6EFCE" w:val="clear"/>
          </w:tcPr>
          <w:p>
            <w:r>
              <w:rPr>
                <w:b/>
                <w:sz w:val="17"/>
              </w:rPr>
              <w:t>57,734</w:t>
            </w:r>
          </w:p>
        </w:tc>
        <w:tc>
          <w:tcPr>
            <w:tcW w:type="dxa" w:w="1440"/>
            <w:shd w:fill="C6EFCE" w:val="clear"/>
          </w:tcPr>
          <w:p>
            <w:r>
              <w:rPr>
                <w:sz w:val="17"/>
              </w:rPr>
              <w:t>67,061</w:t>
            </w:r>
          </w:p>
        </w:tc>
        <w:tc>
          <w:tcPr>
            <w:tcW w:type="dxa" w:w="1440"/>
            <w:shd w:fill="C6EFCE" w:val="clear"/>
          </w:tcPr>
          <w:p>
            <w:r>
              <w:rPr>
                <w:b/>
                <w:color w:val="008000"/>
                <w:sz w:val="17"/>
              </w:rPr>
              <w:t>+10.6%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48,374</w:t>
            </w:r>
          </w:p>
        </w:tc>
        <w:tc>
          <w:tcPr>
            <w:tcW w:type="dxa" w:w="1440"/>
            <w:shd w:fill="C6EFCE" w:val="clear"/>
          </w:tcPr>
          <w:p>
            <w:r>
              <w:rPr>
                <w:b/>
                <w:sz w:val="17"/>
              </w:rPr>
              <w:t>58,377</w:t>
            </w:r>
          </w:p>
        </w:tc>
        <w:tc>
          <w:tcPr>
            <w:tcW w:type="dxa" w:w="1440"/>
            <w:shd w:fill="C6EFCE" w:val="clear"/>
          </w:tcPr>
          <w:p>
            <w:r>
              <w:rPr>
                <w:sz w:val="17"/>
              </w:rPr>
              <w:t>68,381</w:t>
            </w:r>
          </w:p>
        </w:tc>
        <w:tc>
          <w:tcPr>
            <w:tcW w:type="dxa" w:w="1440"/>
            <w:shd w:fill="C6EFCE" w:val="clear"/>
          </w:tcPr>
          <w:p>
            <w:r>
              <w:rPr>
                <w:b/>
                <w:color w:val="008000"/>
                <w:sz w:val="17"/>
              </w:rPr>
              <w:t>+11.8%</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48,363</w:t>
            </w:r>
          </w:p>
        </w:tc>
        <w:tc>
          <w:tcPr>
            <w:tcW w:type="dxa" w:w="1440"/>
            <w:shd w:fill="C6EFCE" w:val="clear"/>
          </w:tcPr>
          <w:p>
            <w:r>
              <w:rPr>
                <w:b/>
                <w:sz w:val="17"/>
              </w:rPr>
              <w:t>59,025</w:t>
            </w:r>
          </w:p>
        </w:tc>
        <w:tc>
          <w:tcPr>
            <w:tcW w:type="dxa" w:w="1440"/>
            <w:shd w:fill="C6EFCE" w:val="clear"/>
          </w:tcPr>
          <w:p>
            <w:r>
              <w:rPr>
                <w:sz w:val="17"/>
              </w:rPr>
              <w:t>69,687</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ce qui en fait une valeur de première importance sur la BRVM, représentant un poids significatif dans l'indice composite. Cependant, les ratios de valorisation (BPA, PER, P/B, EV/EBITDA) ne sont pas calculables en raison de l'absence de données financières structurées récentes dans la base. Cette situation est regrettable car elle prive l'investisseur d'une vision claire sur le niveau de valorisation relative du titre par rapport à ses bénéfices et à sa valeur comptable. Les rapports fondamentaux disponibles (datant de 2022 et 2023) indiquent une situation financière fragile avec des capitaux propres négatifs, ce qui rendrait un ratio P/B potentiellement non significatif. En l'absence de ces ratios, l'analyse de la valorisation devra s'appuyer sur les données fondamentales historiques et les perspectives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UNLC a enregistré une variation totale de -2,70%, avec une légère hausse de +0,38% lors de la dernière séance, clôturant à 52 200 FCFA. Le titre a évolué dans une fourchette large de 49 630 FCFA (plus bas) à 69 005 FCFA (plus haut), démontrant une amplitude de trading de près de 40%. La moyenne du cours (56 643 FCFA) est supérieure à la médiane (56 252 FCFA), indiquant une distribution légèrement asymétrique positive (skewness de 0,500), avec des journées plus fréquentes sous la moyenne mais quelques pics notables. L'écart-type de 3 612 FCFA (CV=6,4%) révèle une dispersion modérée autour de la moyenne, tandis que le kurtosis de 0,596 suggère une distribution mésokurtique, proche de la normale. La volatilité annualisée de 64% est extrêmement élevée, positionnant UNLC comme un titre très risqué, bien au-delà du seuil de 30% considéré comme élevé. Cette volatilité importante explique les fortes fluctuations du cours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(52 200 FCFA) se situe sous la MM20 (53 992,5 FCFA) et la MM50 (54 531,4 FCFA), confirmant une tendance baissière à court et moyen terme. La configuration des moyennes mobiles, avec le cours évoluant sous les deux moyennes, génère un signal de vente cohérent avec la dynamique négative observée.</w:t>
      </w:r>
    </w:p>
    <w:p>
      <w:pPr>
        <w:spacing w:after="120" w:line="276" w:lineRule="auto"/>
      </w:pPr>
      <w:r>
        <w:t>**Bandes de Bollinger** : Le prix se positionne dans la moitié inférieure des bandes, entre la borne inférieure (49 302,59 FCFA) et la moyenne mobile, indiquant une pression vendeuse modérée. La largeur des bandes reflète la volatilité élevée du titre. La décision neutre suggère que le cours n'est pas encore en situation de survente extrême, malgré sa proximité relative avec la borne inférieure.</w:t>
      </w:r>
    </w:p>
    <w:p>
      <w:pPr>
        <w:spacing w:after="120" w:line="276" w:lineRule="auto"/>
      </w:pPr>
      <w:r>
        <w:t>**MACD** : La valeur négative du MACD (-12,006) par rapport au signal (189,85) confirme un momentum baissier. L'écart important entre les deux lignes indique une dynamique vendeuse soutenue, justifiant la décision de vente. Cette configuration suggère que la pression baissière pourrait se poursuivre à court terme.</w:t>
      </w:r>
    </w:p>
    <w:p>
      <w:pPr>
        <w:spacing w:after="120" w:line="276" w:lineRule="auto"/>
      </w:pPr>
      <w:r>
        <w:t>**RSI** : À 44,516, le RSI se situe en zone neutre, entre 30 et 70, indiquant un équilibre relatif entre pression acheteuse et vendeuse. Cette valeur ne signale ni surachat ni survente, laissant place à une évolution directionnelle. La décision neutre est cohérente avec cette lecture.</w:t>
      </w:r>
    </w:p>
    <w:p>
      <w:pPr>
        <w:spacing w:after="120" w:line="276" w:lineRule="auto"/>
      </w:pPr>
      <w:r>
        <w:t>**Stochastique** : Le %K (17,143) est inférieur au %D (24,762), mais les deux valeurs sont en zone de survente (&lt;20 pour %K). Cette configuration suggère un potentiel de rebond technique, justifiant la décision d'achat. Le croisement potentiel des lignes pourrait confirmer un retournement haussier.</w:t>
      </w:r>
    </w:p>
    <w:p>
      <w:pPr>
        <w:spacing w:after="120" w:line="276" w:lineRule="auto"/>
      </w:pPr>
      <w:r>
        <w:t>**Conclusion technique** : Les indicateurs sont mitigés avec une prédominance baissière (MM, MACD) mais des signes de retournement potentiel (Stochastique en survente). Le RSI neutre et les bandes de Bollinger ne fournissent pas de signal directionnel clair. La prudence est de mise, avec une possible stabilisation à court terme.</w:t>
      </w:r>
    </w:p>
    <w:p>
      <w:pPr>
        <w:spacing w:after="120" w:line="276" w:lineRule="auto" w:before="240"/>
      </w:pPr>
      <w:r>
        <w:rPr>
          <w:b/>
          <w:color w:val="003366"/>
          <w:sz w:val="24"/>
        </w:rPr>
        <w:t>**PARTIE 3 : ANALYSE FONDAMENTALE (SECTION CRITIQUE)**</w:t>
      </w:r>
    </w:p>
    <w:p>
      <w:pPr>
        <w:spacing w:after="120" w:line="276" w:lineRule="auto"/>
      </w:pPr>
      <w:r>
        <w:t>Les rapports financiers disponibles couvrent les exercices 2021, 2022 et 2023, tous antérieurs à 2025. En 2023, UNLC a réalisé un chiffre d'affaires de 24,336 milliards FCFA, stable par rapport à 2022, avec un résultat net de 640 millions FCFA, en nette amélioration par rapport à la perte massive de 6,9 milliards FCFA en 2022. La marge nette de 2,63% reste toutefois très inférieure à la moyenne sectorielle de 5-10%. Le résultat d'exploitation est passé de -6,258 milliards FCFA en 2022 à +3,340 milliards FCFA en 2023, démontrant une amélioration opérationnelle significative. Cependant, les capitaux propres restent négatifs à -10,658 milliards FCFA, fragilisant la structure financière. L'endettement financier s'élève à 4,379 milliards FCFA, avec des dettes fournisseurs et une trésorerie passive de 14,874 milliards FCFA. En 2022, le CA était de 36,17 milliards FCFA (incluant l'activité thé cédée fin 2021), contre 24,336 milliards FCFA en 2021, montrant une contraction liée au désengagement stratégique. Aucun dividende n'a été distribué sur ces exercices, la priorité étant donnée à la reconstitution des capitaux propres. Les perspectives de redressement passent par l'optimisation des coûts, l'innovation produit et l'expansion régionale, mais la situation reste précaire avec un risque de liquidité à surveiller.</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UNLC. La valorisation boursière (479,37 milliards FCFA) ne peut être comparée aux bénéfices en raison de l'absence de ratios calculables, mais la capitalisation semble élevée au regard des fondamentaux fragiles. Le comportement du cours montre une tendance baissière modérée (-2,70% sur 100 jours) avec une volatilité extrême (64%), des statistiques indiquant une distribution relativement normale mais des risques de fluctuations importantes. Les signaux techniques sont mitigés, avec une prédominance vendeuse (MM, MACD) mais des signes de rebond potentiel (Stochastique en survente). Les fondamentaux, bien qu'en amélioration (retour au bénéfice en 2023), restent préoccupants avec des capitaux propres négatifs et une absence de dividende. Les prédictions IA pour les 10 prochains jours (53 998 à 55 848 FCFA) suggèrent une trajectoire haussière, contredisant les signaux techniques baissiers. Cette divergence entre les prédictions et l'analyse technique appelle à la prudence. **Recommandation : CONSERVER** avec un niveau de confiance **Faible** et un risque global **Élevé**. L'horizon d'investissement optimal serait le **moyen terme (3-12 mois)**, en attendant une confirmation du redressement fondamental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12,761 titres</w:t>
            </w:r>
          </w:p>
        </w:tc>
        <w:tc>
          <w:tcPr>
            <w:tcW w:type="dxa" w:w="2268"/>
            <w:shd w:fill="FFF2CC" w:val="clear"/>
          </w:tcPr>
          <w:p>
            <w:r>
              <w:rPr>
                <w:b/>
                <w:color w:val="503200"/>
                <w:sz w:val="16"/>
              </w:rPr>
              <w:t xml:space="preserve">Cours actuel : </w:t>
            </w:r>
            <w:r>
              <w:rPr>
                <w:color w:val="000000"/>
                <w:sz w:val="17"/>
              </w:rPr>
              <w:t>2,465 FCFA</w:t>
            </w:r>
          </w:p>
          <w:p>
            <w:r>
              <w:rPr>
                <w:b/>
                <w:color w:val="503200"/>
                <w:sz w:val="16"/>
              </w:rPr>
              <w:t xml:space="preserve">Var. 100 jours : </w:t>
            </w:r>
            <w:r>
              <w:rPr>
                <w:b/>
                <w:color w:val="007800"/>
                <w:sz w:val="17"/>
              </w:rPr>
              <w:t>+17.66%</w:t>
            </w:r>
          </w:p>
          <w:p>
            <w:r>
              <w:rPr>
                <w:b/>
                <w:color w:val="503200"/>
                <w:sz w:val="16"/>
              </w:rPr>
              <w:t xml:space="preserve">Plus haut 100j : </w:t>
            </w:r>
            <w:r>
              <w:rPr>
                <w:color w:val="000000"/>
                <w:sz w:val="17"/>
              </w:rPr>
              <w:t>2,470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μ=1,878 FCFA, σ=194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β=0.0075 (Défensif) — Cov=0.000000, Var(idx)=0.000033, ρ=0.001,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2,239</w:t>
            </w:r>
          </w:p>
        </w:tc>
        <w:tc>
          <w:tcPr>
            <w:tcW w:type="dxa" w:w="1440"/>
            <w:shd w:fill="FFDCE0" w:val="clear"/>
          </w:tcPr>
          <w:p>
            <w:r>
              <w:rPr>
                <w:b/>
                <w:sz w:val="17"/>
              </w:rPr>
              <w:t>2,372</w:t>
            </w:r>
          </w:p>
        </w:tc>
        <w:tc>
          <w:tcPr>
            <w:tcW w:type="dxa" w:w="1440"/>
            <w:shd w:fill="FFDCE0" w:val="clear"/>
          </w:tcPr>
          <w:p>
            <w:r>
              <w:rPr>
                <w:sz w:val="17"/>
              </w:rPr>
              <w:t>2,506</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2,173</w:t>
            </w:r>
          </w:p>
        </w:tc>
        <w:tc>
          <w:tcPr>
            <w:tcW w:type="dxa" w:w="1440"/>
            <w:shd w:fill="FFDCE0" w:val="clear"/>
          </w:tcPr>
          <w:p>
            <w:r>
              <w:rPr>
                <w:b/>
                <w:sz w:val="17"/>
              </w:rPr>
              <w:t>2,361</w:t>
            </w:r>
          </w:p>
        </w:tc>
        <w:tc>
          <w:tcPr>
            <w:tcW w:type="dxa" w:w="1440"/>
            <w:shd w:fill="FFDCE0" w:val="clear"/>
          </w:tcPr>
          <w:p>
            <w:r>
              <w:rPr>
                <w:sz w:val="17"/>
              </w:rPr>
              <w:t>2,548</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2,115</w:t>
            </w:r>
          </w:p>
        </w:tc>
        <w:tc>
          <w:tcPr>
            <w:tcW w:type="dxa" w:w="1440"/>
            <w:shd w:fill="FFDCE0" w:val="clear"/>
          </w:tcPr>
          <w:p>
            <w:r>
              <w:rPr>
                <w:b/>
                <w:sz w:val="17"/>
              </w:rPr>
              <w:t>2,342</w:t>
            </w:r>
          </w:p>
        </w:tc>
        <w:tc>
          <w:tcPr>
            <w:tcW w:type="dxa" w:w="1440"/>
            <w:shd w:fill="FFDCE0" w:val="clear"/>
          </w:tcPr>
          <w:p>
            <w:r>
              <w:rPr>
                <w:sz w:val="17"/>
              </w:rPr>
              <w:t>2,570</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2,065</w:t>
            </w:r>
          </w:p>
        </w:tc>
        <w:tc>
          <w:tcPr>
            <w:tcW w:type="dxa" w:w="1440"/>
            <w:shd w:fill="FFDCE0" w:val="clear"/>
          </w:tcPr>
          <w:p>
            <w:r>
              <w:rPr>
                <w:b/>
                <w:sz w:val="17"/>
              </w:rPr>
              <w:t>2,326</w:t>
            </w:r>
          </w:p>
        </w:tc>
        <w:tc>
          <w:tcPr>
            <w:tcW w:type="dxa" w:w="1440"/>
            <w:shd w:fill="FFDCE0" w:val="clear"/>
          </w:tcPr>
          <w:p>
            <w:r>
              <w:rPr>
                <w:sz w:val="17"/>
              </w:rPr>
              <w:t>2,587</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2,021</w:t>
            </w:r>
          </w:p>
        </w:tc>
        <w:tc>
          <w:tcPr>
            <w:tcW w:type="dxa" w:w="1440"/>
            <w:shd w:fill="FFDCE0" w:val="clear"/>
          </w:tcPr>
          <w:p>
            <w:r>
              <w:rPr>
                <w:b/>
                <w:sz w:val="17"/>
              </w:rPr>
              <w:t>2,311</w:t>
            </w:r>
          </w:p>
        </w:tc>
        <w:tc>
          <w:tcPr>
            <w:tcW w:type="dxa" w:w="1440"/>
            <w:shd w:fill="FFDCE0" w:val="clear"/>
          </w:tcPr>
          <w:p>
            <w:r>
              <w:rPr>
                <w:sz w:val="17"/>
              </w:rPr>
              <w:t>2,602</w:t>
            </w:r>
          </w:p>
        </w:tc>
        <w:tc>
          <w:tcPr>
            <w:tcW w:type="dxa" w:w="1440"/>
            <w:shd w:fill="FFDCE0" w:val="clear"/>
          </w:tcPr>
          <w:p>
            <w:r>
              <w:rPr>
                <w:b/>
                <w:color w:val="C00000"/>
                <w:sz w:val="17"/>
              </w:rPr>
              <w:t>-6.2%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1,982</w:t>
            </w:r>
          </w:p>
        </w:tc>
        <w:tc>
          <w:tcPr>
            <w:tcW w:type="dxa" w:w="1440"/>
            <w:shd w:fill="FFDCE0" w:val="clear"/>
          </w:tcPr>
          <w:p>
            <w:r>
              <w:rPr>
                <w:b/>
                <w:sz w:val="17"/>
              </w:rPr>
              <w:t>2,298</w:t>
            </w:r>
          </w:p>
        </w:tc>
        <w:tc>
          <w:tcPr>
            <w:tcW w:type="dxa" w:w="1440"/>
            <w:shd w:fill="FFDCE0" w:val="clear"/>
          </w:tcPr>
          <w:p>
            <w:r>
              <w:rPr>
                <w:sz w:val="17"/>
              </w:rPr>
              <w:t>2,614</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1,945</w:t>
            </w:r>
          </w:p>
        </w:tc>
        <w:tc>
          <w:tcPr>
            <w:tcW w:type="dxa" w:w="1440"/>
            <w:shd w:fill="FFDCE0" w:val="clear"/>
          </w:tcPr>
          <w:p>
            <w:r>
              <w:rPr>
                <w:b/>
                <w:sz w:val="17"/>
              </w:rPr>
              <w:t>2,284</w:t>
            </w:r>
          </w:p>
        </w:tc>
        <w:tc>
          <w:tcPr>
            <w:tcW w:type="dxa" w:w="1440"/>
            <w:shd w:fill="FFDCE0" w:val="clear"/>
          </w:tcPr>
          <w:p>
            <w:r>
              <w:rPr>
                <w:sz w:val="17"/>
              </w:rPr>
              <w:t>2,623</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1,910</w:t>
            </w:r>
          </w:p>
        </w:tc>
        <w:tc>
          <w:tcPr>
            <w:tcW w:type="dxa" w:w="1440"/>
            <w:shd w:fill="FFDCE0" w:val="clear"/>
          </w:tcPr>
          <w:p>
            <w:r>
              <w:rPr>
                <w:b/>
                <w:sz w:val="17"/>
              </w:rPr>
              <w:t>2,271</w:t>
            </w:r>
          </w:p>
        </w:tc>
        <w:tc>
          <w:tcPr>
            <w:tcW w:type="dxa" w:w="1440"/>
            <w:shd w:fill="FFDCE0" w:val="clear"/>
          </w:tcPr>
          <w:p>
            <w:r>
              <w:rPr>
                <w:sz w:val="17"/>
              </w:rPr>
              <w:t>2,631</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1,877</w:t>
            </w:r>
          </w:p>
        </w:tc>
        <w:tc>
          <w:tcPr>
            <w:tcW w:type="dxa" w:w="1440"/>
            <w:shd w:fill="FFDCE0" w:val="clear"/>
          </w:tcPr>
          <w:p>
            <w:r>
              <w:rPr>
                <w:b/>
                <w:sz w:val="17"/>
              </w:rPr>
              <w:t>2,257</w:t>
            </w:r>
          </w:p>
        </w:tc>
        <w:tc>
          <w:tcPr>
            <w:tcW w:type="dxa" w:w="1440"/>
            <w:shd w:fill="FFDCE0" w:val="clear"/>
          </w:tcPr>
          <w:p>
            <w:r>
              <w:rPr>
                <w:sz w:val="17"/>
              </w:rPr>
              <w:t>2,638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1,846</w:t>
            </w:r>
          </w:p>
        </w:tc>
        <w:tc>
          <w:tcPr>
            <w:tcW w:type="dxa" w:w="1440"/>
            <w:shd w:fill="FFDCE0" w:val="clear"/>
          </w:tcPr>
          <w:p>
            <w:r>
              <w:rPr>
                <w:b/>
                <w:sz w:val="17"/>
              </w:rPr>
              <w:t>2,244</w:t>
            </w:r>
          </w:p>
        </w:tc>
        <w:tc>
          <w:tcPr>
            <w:tcW w:type="dxa" w:w="1440"/>
            <w:shd w:fill="FFDCE0" w:val="clear"/>
          </w:tcPr>
          <w:p>
            <w:r>
              <w:rPr>
                <w:sz w:val="17"/>
              </w:rPr>
              <w:t>2,643</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51,15 milliards FCFA, ce qui la positionne comme une valeur de taille moyenne sur le marché de la BRVM, dans un secteur industriel (textile) où les comparables sont rares. Le BPA est négatif à -105 FCFA, reflétant les pertes nettes enregistrées en 2024, ce qui rend le PER non significatif (-23,4x). Les investisseurs ne peuvent donc pas se baser sur ce ratio pour juger de la cherté du titre ; ils se tournent vers le P/B, qui ressort à 3,28x. Ce niveau indique que le marché valorise la société à plus de trois fois ses capitaux propres, soit une prime substantielle par rapport à la valeur comptable. Cette prime s'explique par les anticipations de redressement et la récente amélioration opérationnelle, mais elle implique un risque si le marché déchante. Le ratio EV/EBITDA n'est pas calculable en raison d'un EBITDA négatif sur l'exercice 2024, ce qui souligne la fragilité de la valorisation actuelle, essentiellement basée sur des perspectives futures plutôt que sur les fondamentaux passés.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+17,66%, avec une très légère correction de -0,20% lors de la dernière séance, signe d'une consolidation après une forte hausse. Le cours a évolué dans une fourchette très large, allant d'un plus bas de 1 250 FCFA à un plus haut de 2 470 FCFA, démontrant une volatilité extrême et un intérêt marqué des investisseurs. La moyenne du cours sur la période est de 1 878 FCFA, tandis que la médiane est de 1 900 FCFA, avec un mode identique ; la proximité de ces deux indicateurs suggère une distribution relativement symétrique des prix, malgré un skewness légèrement négatif (-0,448) indiquant une asymétrie vers les valeurs basses. L'écart-type de 195 FCFA (CV=10,4%) montre une dispersion modérée autour de la moyenne. Cependant, le kurtosis élevé (3,270) signale un risque de pics de volatilité, avec des mouvements de prix plus extrêmes que la normale. La volatilité annualisée de 51,5% classe le titre comme très risqué, bien au-delà du seuil de 30% considéré comme élevé, ce qui reflète un marché spéculatif et nerveux sur cette valeur.</w:t>
      </w:r>
    </w:p>
    <w:p>
      <w:pPr>
        <w:spacing w:after="120" w:line="276" w:lineRule="auto" w:before="240"/>
      </w:pPr>
      <w:r>
        <w:rPr>
          <w:b/>
          <w:color w:val="003366"/>
          <w:sz w:val="24"/>
        </w:rPr>
        <w:t>**PARTIE 2 : ANALYSE TECHNIQUE DÉTAILLÉE**</w:t>
      </w:r>
    </w:p>
    <w:p>
      <w:pPr>
        <w:spacing w:after="120" w:line="276" w:lineRule="auto"/>
      </w:pPr>
      <w:r>
        <w:t>Les **Moyennes Mobiles** (MM20 à 2 026,5 FCFA et MM50 à 1 862,9 FCFA) sont toutes deux largement inférieures au cours actuel de 2 465 FCFA. La configuration haussière est claire : le cours évolue au-dessus de ses moyennes, et la MM20 est au-dessus de la MM50, confirmant une tendance de fond positive. Le signal d'achat est justifié par cette dynamique, même si l'écart important entre le cours et les moyennes suggère une possible correction à court terme.</w:t>
      </w:r>
    </w:p>
    <w:p>
      <w:pPr>
        <w:spacing w:after="120" w:line="276" w:lineRule="auto"/>
      </w:pPr>
      <w:r>
        <w:t>Les **Bandes de Bollinger** montrent un cours (2 465 FCFA) qui a dépassé la borne supérieure (2 436 FCFA). Cette sortie de bande est un signal classique de surachat et de volatilité excessive. La décision de vente est cohérente : le titre est statistiquement étendu et une consolidation est probable pour revenir dans le canal. L'écart entre les bornes (2 436 et 1 617 FCFA) est très large, confirmant une volatilité élevée.</w:t>
      </w:r>
    </w:p>
    <w:p>
      <w:pPr>
        <w:spacing w:after="120" w:line="276" w:lineRule="auto"/>
      </w:pPr>
      <w:r>
        <w:t>Le **MACD** affiche une valeur de 154,048, nettement au-dessus de son signal (96,308). La divergence positive est forte, indiquant un momentum haussier puissant. La décision d'achat est justifiée par cette dynamique, mais la distance entre le MACD et son signal est telle qu'un essoufflement est possible. Le momentum est clairement en faveur des acheteurs pour l'instant.</w:t>
      </w:r>
    </w:p>
    <w:p>
      <w:pPr>
        <w:spacing w:after="120" w:line="276" w:lineRule="auto"/>
      </w:pPr>
      <w:r>
        <w:t>Le **RSI** est extrêmement élevé à 86,62, bien au-dessus du seuil de surachat de 70. Ce niveau indique que le titre est massivement suracheté et que la pression acheteuse est excessive. La décision de vente est impérative d'un point de vue technique : un retour vers des niveaux plus neutres (30-70) est statistiquement très probable, ce qui implique une baisse du cours.</w:t>
      </w:r>
    </w:p>
    <w:p>
      <w:pPr>
        <w:spacing w:after="120" w:line="276" w:lineRule="auto"/>
      </w:pPr>
      <w:r>
        <w:t>Le **Stochastique** est encore plus extrême, avec un %K à 99,138 et un %D à 99,713, tous deux au plafond. Cette configuration est un signal de surachat extrême et imminent d'un retournement baissier. La décision de vente est la plus forte parmi tous les indicateurs, car le titre est en territoire de surachat absolu depuis plusieurs séances.</w:t>
      </w:r>
    </w:p>
    <w:p>
      <w:pPr>
        <w:spacing w:after="120" w:line="276" w:lineRule="auto"/>
      </w:pPr>
      <w:r>
        <w:t>En conclusion technique, les indicateurs de tendance (MM, MACD) sont positifs et confirment une dynamique haussière de fond. Cependant, les oscillateurs (RSI, Stochastique) et les bandes de Bollinger crient au surachat extrême. Cette divergence signale un risque élevé de correction technique à court terme, même si la tendance de moyen terme reste positive. Un repli vers la zone des 2 200-2 300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se basant sur les données structurées de l'exercice 2024, UNXC présente un profil financier contrasté. Le chiffre d'affaires s'établit à 27,333 milliards FCFA, en baisse de -7,9% par rapport à l'année précédente, tandis que le résultat net est une perte de -2,189 milliards FCFA, contre un bénéfice de 4,188 milliards FCFA en 2023 selon les rapports narratifs. La marge nette est donc négative à -8%, et le ROE ressort à -14%, illustrant une destruction de valeur pour les actionnaires. La structure financière reste toutefois saine avec une autonomie financière de 45,5% et une trésorerie nette positive de 2,495 milliards FCFA. Les délais d'exploitation sont préoccupants : le délai de stockage est très long (254 jours) et le délai fournisseurs est élevé (267 jours), ce qui indique une pression sur le besoin en fonds de roulement (BFR de 2,149 milliards FCFA). Cependant, les rapports trimestriels de 2025 montrent un redressement net : le S1 2025 affiche un CA de 15,711 milliards FCFA (+12,5%) et un résultat net bénéficiaire de 8,217 milliards FCFA, mais ce bénéfice est artificiel, provenant d'une plus-value de cession-bail de terrain (9,994 milliards FCFA). Le résultat des activités ordinaires reste déficitaire à -330 millions FCFA. Le rapport du 3e trimestre 2025 (30/09/2025) confirme cette tendance : CA cumulé de 22,474 milliards FCFA (+13%), résultat net de 8,143 milliards FCFA (toujours porté par l'exceptionnel), mais le résultat des activités ordinaires s'améliore à -371 millions FCFA, avec une absence de perte au T3 seul. Enfin, le rapport S1 2026 (publié en 2026) marque un tournant décisif : le résultat d'exploitation redevient positif à 771 millions FCFA, contre -314 millions FCFA au S1 2025, et le résultat net est également positif à 771 millions FCFA, sans élément exceptionnel cette fois. Sur la base de ces données, on estime que l'exercice 2026 pourrait voir UNXC renouer avec une rentabilité opérationnelle durable, avec un CA annuel projeté autour de 30 milliards FCFA et un résultat net positif. La solidité financière est renforcée par le désendettement massif (dettes fournisseurs réduites de 14,9 à 5,0 milliards FCFA) et une trésorerie saine. Les risques résiduels incluent la dépendance aux marchés d'exportation (Nigeria, Guinée) et la volatilité des coûts des matières premières.</w:t>
      </w:r>
    </w:p>
    <w:p>
      <w:pPr>
        <w:spacing w:after="120" w:line="276" w:lineRule="auto" w:before="240"/>
      </w:pPr>
      <w:r>
        <w:rPr>
          <w:b/>
          <w:color w:val="003366"/>
          <w:sz w:val="24"/>
        </w:rPr>
        <w:t>**PARTIE 4 : CONCLUSION D'INVESTISSEMENT**</w:t>
      </w:r>
    </w:p>
    <w:p>
      <w:pPr>
        <w:spacing w:after="120" w:line="276" w:lineRule="auto"/>
      </w:pPr>
      <w:r>
        <w:t>La synthèse des analyses fait ressortir un profil d'investissement complexe mais de plus en plus attrayant. La valorisation (Partie 0) est tendue avec un P/B de 3,28x, mais elle intègre déjà un scénario de redressement. Le comportement du cours (Partie 1) est extrêmement haussier sur 100 jours (+17,66%), mais la volatilité annualisée de 51,5% et le kurtosis élevé signalent un risque de retournement brutal. Les signaux techniques (Partie 2) sont contradictoires : la tendance (MM, MACD) est positive, mais les oscillateurs (RSI à 86,6, Stochastique à 99) sont en surachat extrême, annonçant une correction probable à court terme. Les fondamentaux (Partie 3) montrent une amélioration spectaculaire : après une perte de -2,189 milliards FCFA en 2024, l'entreprise est redevenue opérationnellement rentable au S1 2026 (résultat net de +771 millions FCFA), avec un EBE positif et un désendettement réussi. Les prédictions IA pour les 10 prochains jours (baisse de 2 465 à 2 311 FCFA) confirment l'analyse technique d'une consolidation à venir. En conclusion, la convergence entre la correction technique attendue et la solidité fondamentale croissante suggère une stratégie d'achat sur repli. La recommandation finale est **ACHAT**, avec un niveau de confiance **Moyen** et un risque global **Élevé**. L'horizon d'investissement optimal est le **moyen terme (3-12 mois)**, en attendant que la correction technique ramène le cours à des niveaux plus raisonnables (autour de 2 200 FCFA)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