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12/09/2026 à 08:42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80/100)</w:t>
      </w:r>
    </w:p>
    <w:p>
      <w:pPr>
        <w:spacing w:before="20" w:after="20"/>
        <w:ind w:left="360" w:right="360"/>
        <w:shd w:val="clear" w:color="auto" w:fill="EBF5FB"/>
      </w:pPr>
      <w:r>
        <w:rPr>
          <w:b/>
          <w:sz w:val="19"/>
        </w:rPr>
        <w:t xml:space="preserve">Secteur surperformant :  </w:t>
      </w:r>
      <w:r>
        <w:rPr>
          <w:color w:val="008000"/>
          <w:sz w:val="19"/>
        </w:rPr>
        <w:t>SERVICES PUBLICS  (+108.4%)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555.48 points </w:t>
      </w:r>
      <w:r>
        <w:rPr>
          <w:color w:val="008000"/>
        </w:rPr>
        <w:t>(+0.49%)</w:t>
      </w:r>
      <w:r>
        <w:t xml:space="preserve"> sur la séance. </w:t>
      </w:r>
      <w:r>
        <w:t>La capitalisation globale du marché atteint 21 420,094 milliards FCFA.</w:t>
      </w:r>
    </w:p>
    <w:p/>
    <w:p>
      <w:pPr>
        <w:pStyle w:val="Heading3"/>
      </w:pPr>
      <w:r>
        <w:t>📊 Évolution de l'indice BRVM Composite (100 derniers jours)</w:t>
      </w:r>
    </w:p>
    <w:p>
      <w:r>
        <w:rPr>
          <w:b/>
        </w:rPr>
        <w:t xml:space="preserve">BRVM Composite — </w:t>
      </w:r>
      <w:r>
        <w:t xml:space="preserve">Sur les 100 derniers jours de cotation (2026-04-17 au 2026-09-11), l'indice BRVM Composite a évolué de </w:t>
      </w:r>
      <w:r>
        <w:rPr>
          <w:b/>
          <w:color w:val="008000"/>
        </w:rPr>
        <w:t>+39.21%</w:t>
      </w:r>
      <w:r>
        <w:t>, passant de 399.03 pts à 555.48 pts. Le plus haut atteint est 555.48 pts et le plus bas 399.03 pts. Sur l'ensemble de la période, la moyenne de l'indice s'établit à 461.75 pts, la médiane à 458.59 pts et le mode à 399.03 pts</w:t>
      </w:r>
      <w:r>
        <w:t xml:space="preserve"> (asymétrie positive — plus de jours sous la moyenne). </w:t>
      </w:r>
      <w:r>
        <w:t xml:space="preserve">L'écart-type de 45.73 pts (CV=9.9%) traduit une modérée dispersion des cotations. Le kurtosis de -0.84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+39.23%</w:t>
      </w:r>
      <w:r>
        <w:t xml:space="preserve"> sur la période, passant de 15 384,908 Mds FCFA à 21 420,094 Mds FCFA. Le pic de capitalisation observé est de 21 420,094 Mds FCFA et le plancher de 15 384,908 Mds FCFA. La moyenne de la capitalisation sur la période s'établit à 17 796,489 Mds FCFA, la médiane à 17 666,409 Mds FCFA et le mode à 15 384,908 Mds FCFA</w:t>
      </w:r>
      <w:r>
        <w:t xml:space="preserve"> (asymétrie positive). </w:t>
      </w:r>
      <w:r>
        <w:t>L'écart-type de 1 764,333 Mds FCFA (CV=9.9%) reflète une modérée variabilité de la valorisation du marché. Le kurtosis de -0.83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4095 FCFA | </w:t>
      </w:r>
      <w:r>
        <w:rPr>
          <w:b/>
          <w:color w:val="008000"/>
        </w:rPr>
        <w:t>ACHAT</w:t>
      </w:r>
      <w:r>
        <w:t xml:space="preserve"> | Confiance: Moyen | Risque: Moyen</w:t>
      </w:r>
    </w:p>
    <w:p>
      <w:pPr>
        <w:pStyle w:val="ListNumber"/>
      </w:pPr>
      <w:r>
        <w:rPr>
          <w:b/>
        </w:rPr>
        <w:t>BICB - BIIC BN - Banque internationale pour le commerce du benin</w:t>
      </w:r>
      <w:r>
        <w:t xml:space="preserve"> | Prix: 10450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33010 FCFA | </w:t>
      </w:r>
      <w:r>
        <w:rPr>
          <w:b/>
          <w:color w:val="008000"/>
        </w:rPr>
        <w:t>ACHAT</w:t>
      </w:r>
      <w:r>
        <w:t xml:space="preserve"> | Confiance: Moyen | Risque: Moyen</w:t>
      </w:r>
    </w:p>
    <w:p>
      <w:pPr>
        <w:pStyle w:val="ListNumber"/>
      </w:pPr>
      <w:r>
        <w:rPr>
          <w:b/>
        </w:rPr>
        <w:t>BNBC - BNBC - BERNABE CI</w:t>
      </w:r>
      <w:r>
        <w:t xml:space="preserve"> | Prix: 2135 FCFA | </w:t>
      </w:r>
      <w:r>
        <w:rPr>
          <w:b/>
          <w:color w:val="008000"/>
        </w:rPr>
        <w:t>ACHAT</w:t>
      </w:r>
      <w:r>
        <w:t xml:space="preserve"> | Confiance: Moyen | Risque: Faible</w:t>
      </w:r>
    </w:p>
    <w:p>
      <w:pPr>
        <w:pStyle w:val="ListNumber"/>
      </w:pPr>
      <w:r>
        <w:rPr>
          <w:b/>
        </w:rPr>
        <w:t>BOAB - BANK OF AFRICA BENIN</w:t>
      </w:r>
      <w:r>
        <w:t xml:space="preserve"> | Prix: 10100 FCFA | </w:t>
      </w:r>
      <w:r>
        <w:rPr>
          <w:b/>
          <w:color w:val="008000"/>
        </w:rPr>
        <w:t>ACHAT</w:t>
      </w:r>
      <w:r>
        <w:t xml:space="preserve"> | Confiance: Moyen | Risque: Moyen</w:t>
      </w:r>
    </w:p>
    <w:p>
      <w:pPr>
        <w:pStyle w:val="ListNumber"/>
      </w:pPr>
      <w:r>
        <w:rPr>
          <w:b/>
        </w:rPr>
        <w:t>BOABF - BANK OF AFRICA BURKINA FASO</w:t>
      </w:r>
      <w:r>
        <w:t xml:space="preserve"> | Prix: 8990 FCFA | </w:t>
      </w:r>
      <w:r>
        <w:rPr>
          <w:b/>
          <w:color w:val="008000"/>
        </w:rPr>
        <w:t>ACHAT</w:t>
      </w:r>
      <w:r>
        <w:t xml:space="preserve"> | Confiance: Faible | Risque: Moyen</w:t>
      </w:r>
    </w:p>
    <w:p>
      <w:pPr>
        <w:pStyle w:val="ListNumber"/>
      </w:pPr>
      <w:r>
        <w:rPr>
          <w:b/>
        </w:rPr>
        <w:t>BOAC - BANK OF AFRICA COTE D'IVOIRE</w:t>
      </w:r>
      <w:r>
        <w:t xml:space="preserve"> | Prix: 12400 FCFA | </w:t>
      </w:r>
      <w:r>
        <w:rPr>
          <w:b/>
          <w:color w:val="008000"/>
        </w:rPr>
        <w:t>ACHAT</w:t>
      </w:r>
      <w:r>
        <w:t xml:space="preserve"> | Confiance: Élevée | Risque: Moyen</w:t>
      </w:r>
    </w:p>
    <w:p>
      <w:pPr>
        <w:pStyle w:val="ListNumber"/>
      </w:pPr>
      <w:r>
        <w:rPr>
          <w:b/>
        </w:rPr>
        <w:t>BOAM - BANK OF AFRICA MALI</w:t>
      </w:r>
      <w:r>
        <w:t xml:space="preserve"> | Prix: 7150 FCFA | </w:t>
      </w:r>
      <w:r>
        <w:rPr>
          <w:b/>
          <w:color w:val="008000"/>
        </w:rPr>
        <w:t>ACHAT</w:t>
      </w:r>
      <w:r>
        <w:t xml:space="preserve"> | Confiance: Moyen | Risque: Faible</w:t>
      </w:r>
    </w:p>
    <w:p>
      <w:pPr>
        <w:pStyle w:val="ListNumber"/>
      </w:pPr>
      <w:r>
        <w:rPr>
          <w:b/>
        </w:rPr>
        <w:t>BOAN - BANK OF AFRICA NIGER</w:t>
      </w:r>
      <w:r>
        <w:t xml:space="preserve"> | Prix: 5595 FCFA | </w:t>
      </w:r>
      <w:r>
        <w:rPr>
          <w:b/>
          <w:color w:val="008000"/>
        </w:rPr>
        <w:t>ACHAT</w:t>
      </w:r>
      <w:r>
        <w:t xml:space="preserve"> | Confiance: Faible | Risque: Moyen</w:t>
      </w:r>
    </w:p>
    <w:p>
      <w:pPr>
        <w:pStyle w:val="ListNumber"/>
      </w:pPr>
      <w:r>
        <w:rPr>
          <w:b/>
        </w:rPr>
        <w:t>BOAS - BANK OF AFRICA SENEGAL</w:t>
      </w:r>
      <w:r>
        <w:t xml:space="preserve"> | Prix: 8200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108.35%</w:t>
      </w:r>
      <w:r>
        <w:t xml:space="preserve">  |  </w:t>
      </w:r>
      <w:r>
        <w:rPr>
          <w:b/>
        </w:rPr>
        <w:t xml:space="preserve">vs BRVM Composite: </w:t>
      </w:r>
      <w:r>
        <w:rPr>
          <w:b/>
          <w:color w:val="008000"/>
        </w:rPr>
        <w:t>+69.15%  🟢 Surperformance</w:t>
      </w:r>
      <w:r>
        <w:br/>
      </w:r>
      <w:r>
        <w:rPr>
          <w:b/>
        </w:rPr>
        <w:t xml:space="preserve">Sentiment général: </w:t>
      </w:r>
      <w:r>
        <w:t xml:space="preserve">ACHAT  |  </w:t>
      </w:r>
      <w:r>
        <w:rPr>
          <w:b/>
        </w:rPr>
        <w:t xml:space="preserve">Risque moyen: </w:t>
      </w:r>
      <w:r>
        <w:t xml:space="preserve">Moyen  |  </w:t>
      </w:r>
      <w:r>
        <w:rPr>
          <w:b/>
        </w:rPr>
        <w:t xml:space="preserve">Prix moyen: </w:t>
      </w:r>
      <w:r>
        <w:t>10250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51.20%</w:t>
      </w:r>
      <w:r>
        <w:t xml:space="preserve">  |  </w:t>
      </w:r>
      <w:r>
        <w:rPr>
          <w:b/>
        </w:rPr>
        <w:t xml:space="preserve">vs BRVM Composite: </w:t>
      </w:r>
      <w:r>
        <w:rPr>
          <w:b/>
          <w:color w:val="008000"/>
        </w:rPr>
        <w:t>+11.99%  🟢 Surperformance</w:t>
      </w:r>
      <w:r>
        <w:br/>
      </w:r>
      <w:r>
        <w:rPr>
          <w:b/>
        </w:rPr>
        <w:t xml:space="preserve">Sentiment général: </w:t>
      </w:r>
      <w:r>
        <w:t xml:space="preserve">ACHAT  |  </w:t>
      </w:r>
      <w:r>
        <w:rPr>
          <w:b/>
        </w:rPr>
        <w:t xml:space="preserve">Risque moyen: </w:t>
      </w:r>
      <w:r>
        <w:t xml:space="preserve">Moyen  |  </w:t>
      </w:r>
      <w:r>
        <w:rPr>
          <w:b/>
        </w:rPr>
        <w:t xml:space="preserve">Prix moyen: </w:t>
      </w:r>
      <w:r>
        <w:t>14272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32.38%</w:t>
      </w:r>
      <w:r>
        <w:t xml:space="preserve">  |  </w:t>
      </w:r>
      <w:r>
        <w:rPr>
          <w:b/>
        </w:rPr>
        <w:t xml:space="preserve">vs BRVM Composite: </w:t>
      </w:r>
      <w:r>
        <w:rPr>
          <w:b/>
          <w:color w:val="C00000"/>
        </w:rPr>
        <w:t>-6.83%  🔴 Sous-performance</w:t>
      </w:r>
      <w:r>
        <w:br/>
      </w:r>
      <w:r>
        <w:rPr>
          <w:b/>
        </w:rPr>
        <w:t xml:space="preserve">Sentiment général: </w:t>
      </w:r>
      <w:r>
        <w:t xml:space="preserve">ACHAT  |  </w:t>
      </w:r>
      <w:r>
        <w:rPr>
          <w:b/>
        </w:rPr>
        <w:t xml:space="preserve">Risque moyen: </w:t>
      </w:r>
      <w:r>
        <w:t xml:space="preserve">Moyen  |  </w:t>
      </w:r>
      <w:r>
        <w:rPr>
          <w:b/>
        </w:rPr>
        <w:t xml:space="preserve">Prix moyen: </w:t>
      </w:r>
      <w:r>
        <w:t>7005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32.02%</w:t>
      </w:r>
      <w:r>
        <w:t xml:space="preserve">  |  </w:t>
      </w:r>
      <w:r>
        <w:rPr>
          <w:b/>
        </w:rPr>
        <w:t xml:space="preserve">vs BRVM Composite: </w:t>
      </w:r>
      <w:r>
        <w:rPr>
          <w:b/>
          <w:color w:val="C00000"/>
        </w:rPr>
        <w:t>-7.19%  🔴 Sous-performance</w:t>
      </w:r>
      <w:r>
        <w:br/>
      </w:r>
      <w:r>
        <w:rPr>
          <w:b/>
        </w:rPr>
        <w:t xml:space="preserve">Sentiment général: </w:t>
      </w:r>
      <w:r>
        <w:t xml:space="preserve">ACHAT  |  </w:t>
      </w:r>
      <w:r>
        <w:rPr>
          <w:b/>
        </w:rPr>
        <w:t xml:space="preserve">Risque moyen: </w:t>
      </w:r>
      <w:r>
        <w:t xml:space="preserve">Moyen  |  </w:t>
      </w:r>
      <w:r>
        <w:rPr>
          <w:b/>
        </w:rPr>
        <w:t xml:space="preserve">Prix moyen: </w:t>
      </w:r>
      <w:r>
        <w:t>21532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28.02%</w:t>
      </w:r>
      <w:r>
        <w:t xml:space="preserve">  |  </w:t>
      </w:r>
      <w:r>
        <w:rPr>
          <w:b/>
        </w:rPr>
        <w:t xml:space="preserve">vs BRVM Composite: </w:t>
      </w:r>
      <w:r>
        <w:rPr>
          <w:b/>
          <w:color w:val="C00000"/>
        </w:rPr>
        <w:t>-11.19%  🔴 Sous-performance</w:t>
      </w:r>
      <w:r>
        <w:br/>
      </w:r>
      <w:r>
        <w:rPr>
          <w:b/>
        </w:rPr>
        <w:t xml:space="preserve">Sentiment général: </w:t>
      </w:r>
      <w:r>
        <w:t xml:space="preserve">ACHAT  |  </w:t>
      </w:r>
      <w:r>
        <w:rPr>
          <w:b/>
        </w:rPr>
        <w:t xml:space="preserve">Risque moyen: </w:t>
      </w:r>
      <w:r>
        <w:t xml:space="preserve">Faible  |  </w:t>
      </w:r>
      <w:r>
        <w:rPr>
          <w:b/>
        </w:rPr>
        <w:t xml:space="preserve">Prix moyen: </w:t>
      </w:r>
      <w:r>
        <w:t>3067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23.68%</w:t>
      </w:r>
      <w:r>
        <w:t xml:space="preserve">  |  </w:t>
      </w:r>
      <w:r>
        <w:rPr>
          <w:b/>
        </w:rPr>
        <w:t xml:space="preserve">vs BRVM Composite: </w:t>
      </w:r>
      <w:r>
        <w:rPr>
          <w:b/>
          <w:color w:val="C00000"/>
        </w:rPr>
        <w:t>-15.53%  🔴 Sous-performance</w:t>
      </w:r>
      <w:r>
        <w:br/>
      </w:r>
      <w:r>
        <w:rPr>
          <w:b/>
        </w:rPr>
        <w:t xml:space="preserve">Sentiment général: </w:t>
      </w:r>
      <w:r>
        <w:t xml:space="preserve">ACHAT  |  </w:t>
      </w:r>
      <w:r>
        <w:rPr>
          <w:b/>
        </w:rPr>
        <w:t xml:space="preserve">Risque moyen: </w:t>
      </w:r>
      <w:r>
        <w:t xml:space="preserve">Moyen  |  </w:t>
      </w:r>
      <w:r>
        <w:rPr>
          <w:b/>
        </w:rPr>
        <w:t xml:space="preserve">Prix moyen: </w:t>
      </w:r>
      <w:r>
        <w:t>18610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6.08%</w:t>
      </w:r>
      <w:r>
        <w:t xml:space="preserve">  |  </w:t>
      </w:r>
      <w:r>
        <w:rPr>
          <w:b/>
        </w:rPr>
        <w:t xml:space="preserve">vs BRVM Composite: </w:t>
      </w:r>
      <w:r>
        <w:rPr>
          <w:b/>
          <w:color w:val="C00000"/>
        </w:rPr>
        <w:t>-33.13%  🔴 Sous-performance</w:t>
      </w:r>
      <w:r>
        <w:br/>
      </w:r>
      <w:r>
        <w:rPr>
          <w:b/>
        </w:rPr>
        <w:t xml:space="preserve">Sentiment général: </w:t>
      </w:r>
      <w:r>
        <w:t xml:space="preserve">ACHAT  |  </w:t>
      </w:r>
      <w:r>
        <w:rPr>
          <w:b/>
        </w:rPr>
        <w:t xml:space="preserve">Risque moyen: </w:t>
      </w:r>
      <w:r>
        <w:t xml:space="preserve">Faible  |  </w:t>
      </w:r>
      <w:r>
        <w:rPr>
          <w:b/>
        </w:rPr>
        <w:t xml:space="preserve">Prix moyen: </w:t>
      </w:r>
      <w:r>
        <w:t>2531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BOAS, CABC, CIEC, ECOC, ETIT, NSBC, ORAC, PALC, SDSC, SEMC, SGBC, SHEC, SIBC, SNTS, SPHC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BICC, BNBC, BOAB, BOAM, CBIBF, CFAC, FTSC, LNBB, NEIC, NTLC, ONTBF, ORGT, SAFC, SDCC, SIVC, SMBC, STAC, TTLC,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BOABF, BOAN, PRSC, SCRC, SICC, SLBC, SOGC, STBC, TTLS</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1318985</w:t>
            </w:r>
          </w:p>
        </w:tc>
        <w:tc>
          <w:tcPr>
            <w:tcW w:type="dxa" w:w="1728"/>
          </w:tcPr>
          <w:p>
            <w:r>
              <w:t>88736863 FCFA</w:t>
            </w:r>
          </w:p>
        </w:tc>
        <w:tc>
          <w:tcPr>
            <w:tcW w:type="dxa" w:w="1728"/>
          </w:tcPr>
          <w:p>
            <w:r>
              <w:t>169.23%</w:t>
            </w:r>
          </w:p>
        </w:tc>
        <w:tc>
          <w:tcPr>
            <w:tcW w:type="dxa" w:w="1728"/>
          </w:tcPr>
          <w:p>
            <w:r>
              <w:t>ACHAT</w:t>
            </w:r>
          </w:p>
        </w:tc>
      </w:tr>
      <w:tr>
        <w:tc>
          <w:tcPr>
            <w:tcW w:type="dxa" w:w="1728"/>
          </w:tcPr>
          <w:p>
            <w:r>
              <w:t>BICB (BIIC BN - Banque internationale pour le commerce du benin)</w:t>
            </w:r>
          </w:p>
        </w:tc>
        <w:tc>
          <w:tcPr>
            <w:tcW w:type="dxa" w:w="1728"/>
          </w:tcPr>
          <w:p>
            <w:r>
              <w:t>21458</w:t>
            </w:r>
          </w:p>
        </w:tc>
        <w:tc>
          <w:tcPr>
            <w:tcW w:type="dxa" w:w="1728"/>
          </w:tcPr>
          <w:p>
            <w:r>
              <w:t>186763161 FCFA</w:t>
            </w:r>
          </w:p>
        </w:tc>
        <w:tc>
          <w:tcPr>
            <w:tcW w:type="dxa" w:w="1728"/>
          </w:tcPr>
          <w:p>
            <w:r>
              <w:t>104.50%</w:t>
            </w:r>
          </w:p>
        </w:tc>
        <w:tc>
          <w:tcPr>
            <w:tcW w:type="dxa" w:w="1728"/>
          </w:tcPr>
          <w:p>
            <w:r>
              <w:t>ACHAT</w:t>
            </w:r>
          </w:p>
        </w:tc>
      </w:tr>
      <w:tr>
        <w:tc>
          <w:tcPr>
            <w:tcW w:type="dxa" w:w="1728"/>
          </w:tcPr>
          <w:p>
            <w:r>
              <w:t>SDSC (SDSC - AFRICA GLOBAL LOGISTICS CI)</w:t>
            </w:r>
          </w:p>
        </w:tc>
        <w:tc>
          <w:tcPr>
            <w:tcW w:type="dxa" w:w="1728"/>
          </w:tcPr>
          <w:p>
            <w:r>
              <w:t>18147</w:t>
            </w:r>
          </w:p>
        </w:tc>
        <w:tc>
          <w:tcPr>
            <w:tcW w:type="dxa" w:w="1728"/>
          </w:tcPr>
          <w:p>
            <w:r>
              <w:t>50938491 FCFA</w:t>
            </w:r>
          </w:p>
        </w:tc>
        <w:tc>
          <w:tcPr>
            <w:tcW w:type="dxa" w:w="1728"/>
          </w:tcPr>
          <w:p>
            <w:r>
              <w:t>69.75%</w:t>
            </w:r>
          </w:p>
        </w:tc>
        <w:tc>
          <w:tcPr>
            <w:tcW w:type="dxa" w:w="1728"/>
          </w:tcPr>
          <w:p>
            <w:r>
              <w:t>ACHAT</w:t>
            </w:r>
          </w:p>
        </w:tc>
      </w:tr>
      <w:tr>
        <w:tc>
          <w:tcPr>
            <w:tcW w:type="dxa" w:w="1728"/>
          </w:tcPr>
          <w:p>
            <w:r>
              <w:t>SIBC (SIBC - SOCIETE IVOIRIENNE DE BANQUE)</w:t>
            </w:r>
          </w:p>
        </w:tc>
        <w:tc>
          <w:tcPr>
            <w:tcW w:type="dxa" w:w="1728"/>
          </w:tcPr>
          <w:p>
            <w:r>
              <w:t>15280</w:t>
            </w:r>
          </w:p>
        </w:tc>
        <w:tc>
          <w:tcPr>
            <w:tcW w:type="dxa" w:w="1728"/>
          </w:tcPr>
          <w:p>
            <w:r>
              <w:t>139586957 FCFA</w:t>
            </w:r>
          </w:p>
        </w:tc>
        <w:tc>
          <w:tcPr>
            <w:tcW w:type="dxa" w:w="1728"/>
          </w:tcPr>
          <w:p>
            <w:r>
              <w:t>32.48%</w:t>
            </w:r>
          </w:p>
        </w:tc>
        <w:tc>
          <w:tcPr>
            <w:tcW w:type="dxa" w:w="1728"/>
          </w:tcPr>
          <w:p>
            <w:r>
              <w:t>ACHAT</w:t>
            </w:r>
          </w:p>
        </w:tc>
      </w:tr>
      <w:tr>
        <w:tc>
          <w:tcPr>
            <w:tcW w:type="dxa" w:w="1728"/>
          </w:tcPr>
          <w:p>
            <w:r>
              <w:t>UNXC (UNXC - UNIWAX COTE D'IVOIRE)</w:t>
            </w:r>
          </w:p>
        </w:tc>
        <w:tc>
          <w:tcPr>
            <w:tcW w:type="dxa" w:w="1728"/>
          </w:tcPr>
          <w:p>
            <w:r>
              <w:t>15251</w:t>
            </w:r>
          </w:p>
        </w:tc>
        <w:tc>
          <w:tcPr>
            <w:tcW w:type="dxa" w:w="1728"/>
          </w:tcPr>
          <w:p>
            <w:r>
              <w:t>35773615 FCFA</w:t>
            </w:r>
          </w:p>
        </w:tc>
        <w:tc>
          <w:tcPr>
            <w:tcW w:type="dxa" w:w="1728"/>
          </w:tcPr>
          <w:p>
            <w:r>
              <w:t>28.00%</w:t>
            </w:r>
          </w:p>
        </w:tc>
        <w:tc>
          <w:tcPr>
            <w:tcW w:type="dxa" w:w="1728"/>
          </w:tcPr>
          <w:p>
            <w:r>
              <w:t>ACHAT</w:t>
            </w:r>
          </w:p>
        </w:tc>
      </w:tr>
      <w:tr>
        <w:tc>
          <w:tcPr>
            <w:tcW w:type="dxa" w:w="1728"/>
          </w:tcPr>
          <w:p>
            <w:r>
              <w:t>BOAS (BANK OF AFRICA SENEGAL)</w:t>
            </w:r>
          </w:p>
        </w:tc>
        <w:tc>
          <w:tcPr>
            <w:tcW w:type="dxa" w:w="1728"/>
          </w:tcPr>
          <w:p>
            <w:r>
              <w:t>14738</w:t>
            </w:r>
          </w:p>
        </w:tc>
        <w:tc>
          <w:tcPr>
            <w:tcW w:type="dxa" w:w="1728"/>
          </w:tcPr>
          <w:p>
            <w:r>
              <w:t>119089075 FCFA</w:t>
            </w:r>
          </w:p>
        </w:tc>
        <w:tc>
          <w:tcPr>
            <w:tcW w:type="dxa" w:w="1728"/>
          </w:tcPr>
          <w:p>
            <w:r>
              <w:t>20.68%</w:t>
            </w:r>
          </w:p>
        </w:tc>
        <w:tc>
          <w:tcPr>
            <w:tcW w:type="dxa" w:w="1728"/>
          </w:tcPr>
          <w:p>
            <w:r>
              <w:t>ACHAT</w:t>
            </w:r>
          </w:p>
        </w:tc>
      </w:tr>
      <w:tr>
        <w:tc>
          <w:tcPr>
            <w:tcW w:type="dxa" w:w="1728"/>
          </w:tcPr>
          <w:p>
            <w:r>
              <w:t>SNTS (SNTS - SONATEL SN)</w:t>
            </w:r>
          </w:p>
        </w:tc>
        <w:tc>
          <w:tcPr>
            <w:tcW w:type="dxa" w:w="1728"/>
          </w:tcPr>
          <w:p>
            <w:r>
              <w:t>12251</w:t>
            </w:r>
          </w:p>
        </w:tc>
        <w:tc>
          <w:tcPr>
            <w:tcW w:type="dxa" w:w="1728"/>
          </w:tcPr>
          <w:p>
            <w:r>
              <w:t>442873022 FCFA</w:t>
            </w:r>
          </w:p>
        </w:tc>
        <w:tc>
          <w:tcPr>
            <w:tcW w:type="dxa" w:w="1728"/>
          </w:tcPr>
          <w:p>
            <w:r>
              <w:t>37.83%</w:t>
            </w:r>
          </w:p>
        </w:tc>
        <w:tc>
          <w:tcPr>
            <w:tcW w:type="dxa" w:w="1728"/>
          </w:tcPr>
          <w:p>
            <w:r>
              <w:t>ACHAT</w:t>
            </w:r>
          </w:p>
        </w:tc>
      </w:tr>
      <w:tr>
        <w:tc>
          <w:tcPr>
            <w:tcW w:type="dxa" w:w="1728"/>
          </w:tcPr>
          <w:p>
            <w:r>
              <w:t>SOGC (SOGC - Société des caoutchoucs de Grand-Béréby)</w:t>
            </w:r>
          </w:p>
        </w:tc>
        <w:tc>
          <w:tcPr>
            <w:tcW w:type="dxa" w:w="1728"/>
          </w:tcPr>
          <w:p>
            <w:r>
              <w:t>11542</w:t>
            </w:r>
          </w:p>
        </w:tc>
        <w:tc>
          <w:tcPr>
            <w:tcW w:type="dxa" w:w="1728"/>
          </w:tcPr>
          <w:p>
            <w:r>
              <w:t>87984390 FCFA</w:t>
            </w:r>
          </w:p>
        </w:tc>
        <w:tc>
          <w:tcPr>
            <w:tcW w:type="dxa" w:w="1728"/>
          </w:tcPr>
          <w:p>
            <w:r>
              <w:t>2.92%</w:t>
            </w:r>
          </w:p>
        </w:tc>
        <w:tc>
          <w:tcPr>
            <w:tcW w:type="dxa" w:w="1728"/>
          </w:tcPr>
          <w:p>
            <w:r>
              <w:t>ACHAT</w:t>
            </w:r>
          </w:p>
        </w:tc>
      </w:tr>
      <w:tr>
        <w:tc>
          <w:tcPr>
            <w:tcW w:type="dxa" w:w="1728"/>
          </w:tcPr>
          <w:p>
            <w:r>
              <w:t>BOAC (BANK OF AFRICA COTE D'IVOIRE)</w:t>
            </w:r>
          </w:p>
        </w:tc>
        <w:tc>
          <w:tcPr>
            <w:tcW w:type="dxa" w:w="1728"/>
          </w:tcPr>
          <w:p>
            <w:r>
              <w:t>11425</w:t>
            </w:r>
          </w:p>
        </w:tc>
        <w:tc>
          <w:tcPr>
            <w:tcW w:type="dxa" w:w="1728"/>
          </w:tcPr>
          <w:p>
            <w:r>
              <w:t>144865024 FCFA</w:t>
            </w:r>
          </w:p>
        </w:tc>
        <w:tc>
          <w:tcPr>
            <w:tcW w:type="dxa" w:w="1728"/>
          </w:tcPr>
          <w:p>
            <w:r>
              <w:t>44.19%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4083</w:t>
            </w:r>
          </w:p>
        </w:tc>
        <w:tc>
          <w:tcPr>
            <w:tcW w:type="dxa" w:w="1728"/>
          </w:tcPr>
          <w:p>
            <w:r>
              <w:t>13084116 FCFA</w:t>
            </w:r>
          </w:p>
        </w:tc>
        <w:tc>
          <w:tcPr>
            <w:tcW w:type="dxa" w:w="1728"/>
          </w:tcPr>
          <w:p>
            <w:r>
              <w:t>-4.61%</w:t>
            </w:r>
          </w:p>
        </w:tc>
        <w:tc>
          <w:tcPr>
            <w:tcW w:type="dxa" w:w="1728"/>
          </w:tcPr>
          <w:p>
            <w:r>
              <w:t>ACHAT</w:t>
            </w:r>
          </w:p>
        </w:tc>
      </w:tr>
      <w:tr>
        <w:tc>
          <w:tcPr>
            <w:tcW w:type="dxa" w:w="1728"/>
          </w:tcPr>
          <w:p>
            <w:r>
              <w:t>NSBC (NSBC - NSIA BANQUE COTE D'IVOIRE)</w:t>
            </w:r>
          </w:p>
        </w:tc>
        <w:tc>
          <w:tcPr>
            <w:tcW w:type="dxa" w:w="1728"/>
          </w:tcPr>
          <w:p>
            <w:r>
              <w:t>4069</w:t>
            </w:r>
          </w:p>
        </w:tc>
        <w:tc>
          <w:tcPr>
            <w:tcW w:type="dxa" w:w="1728"/>
          </w:tcPr>
          <w:p>
            <w:r>
              <w:t>94563089 FCFA</w:t>
            </w:r>
          </w:p>
        </w:tc>
        <w:tc>
          <w:tcPr>
            <w:tcW w:type="dxa" w:w="1728"/>
          </w:tcPr>
          <w:p>
            <w:r>
              <w:t>73.67%</w:t>
            </w:r>
          </w:p>
        </w:tc>
        <w:tc>
          <w:tcPr>
            <w:tcW w:type="dxa" w:w="1728"/>
          </w:tcPr>
          <w:p>
            <w:r>
              <w:t>ACHAT</w:t>
            </w:r>
          </w:p>
        </w:tc>
      </w:tr>
      <w:tr>
        <w:tc>
          <w:tcPr>
            <w:tcW w:type="dxa" w:w="1728"/>
          </w:tcPr>
          <w:p>
            <w:r>
              <w:t>ORAC (ORAC - ORANGE COTE D'IVOIRE)</w:t>
            </w:r>
          </w:p>
        </w:tc>
        <w:tc>
          <w:tcPr>
            <w:tcW w:type="dxa" w:w="1728"/>
          </w:tcPr>
          <w:p>
            <w:r>
              <w:t>3845</w:t>
            </w:r>
          </w:p>
        </w:tc>
        <w:tc>
          <w:tcPr>
            <w:tcW w:type="dxa" w:w="1728"/>
          </w:tcPr>
          <w:p>
            <w:r>
              <w:t>80311622 FCFA</w:t>
            </w:r>
          </w:p>
        </w:tc>
        <w:tc>
          <w:tcPr>
            <w:tcW w:type="dxa" w:w="1728"/>
          </w:tcPr>
          <w:p>
            <w:r>
              <w:t>52.72%</w:t>
            </w:r>
          </w:p>
        </w:tc>
        <w:tc>
          <w:tcPr>
            <w:tcW w:type="dxa" w:w="1728"/>
          </w:tcPr>
          <w:p>
            <w:r>
              <w:t>ACHAT</w:t>
            </w:r>
          </w:p>
        </w:tc>
      </w:tr>
      <w:tr>
        <w:tc>
          <w:tcPr>
            <w:tcW w:type="dxa" w:w="1728"/>
          </w:tcPr>
          <w:p>
            <w:r>
              <w:t>CFAC (CFAC - CFAO MOTORS CI)</w:t>
            </w:r>
          </w:p>
        </w:tc>
        <w:tc>
          <w:tcPr>
            <w:tcW w:type="dxa" w:w="1728"/>
          </w:tcPr>
          <w:p>
            <w:r>
              <w:t>3643</w:t>
            </w:r>
          </w:p>
        </w:tc>
        <w:tc>
          <w:tcPr>
            <w:tcW w:type="dxa" w:w="1728"/>
          </w:tcPr>
          <w:p>
            <w:r>
              <w:t>6203475 FCFA</w:t>
            </w:r>
          </w:p>
        </w:tc>
        <w:tc>
          <w:tcPr>
            <w:tcW w:type="dxa" w:w="1728"/>
          </w:tcPr>
          <w:p>
            <w:r>
              <w:t>10.36%</w:t>
            </w:r>
          </w:p>
        </w:tc>
        <w:tc>
          <w:tcPr>
            <w:tcW w:type="dxa" w:w="1728"/>
          </w:tcPr>
          <w:p>
            <w:r>
              <w:t>ACHAT</w:t>
            </w:r>
          </w:p>
        </w:tc>
      </w:tr>
      <w:tr>
        <w:tc>
          <w:tcPr>
            <w:tcW w:type="dxa" w:w="1728"/>
          </w:tcPr>
          <w:p>
            <w:r>
              <w:t>STBC (STBC - SITAB COTE D'IVOIRE)</w:t>
            </w:r>
          </w:p>
        </w:tc>
        <w:tc>
          <w:tcPr>
            <w:tcW w:type="dxa" w:w="1728"/>
          </w:tcPr>
          <w:p>
            <w:r>
              <w:t>3293</w:t>
            </w:r>
          </w:p>
        </w:tc>
        <w:tc>
          <w:tcPr>
            <w:tcW w:type="dxa" w:w="1728"/>
          </w:tcPr>
          <w:p>
            <w:r>
              <w:t>73355382 FCFA</w:t>
            </w:r>
          </w:p>
        </w:tc>
        <w:tc>
          <w:tcPr>
            <w:tcW w:type="dxa" w:w="1728"/>
          </w:tcPr>
          <w:p>
            <w:r>
              <w:t>8.29%</w:t>
            </w:r>
          </w:p>
        </w:tc>
        <w:tc>
          <w:tcPr>
            <w:tcW w:type="dxa" w:w="1728"/>
          </w:tcPr>
          <w:p>
            <w:r>
              <w:t>ACHAT</w:t>
            </w:r>
          </w:p>
        </w:tc>
      </w:tr>
      <w:tr>
        <w:tc>
          <w:tcPr>
            <w:tcW w:type="dxa" w:w="1728"/>
          </w:tcPr>
          <w:p>
            <w:r>
              <w:t>PALC (PALC - PALM COTE D'IVOIRE)</w:t>
            </w:r>
          </w:p>
        </w:tc>
        <w:tc>
          <w:tcPr>
            <w:tcW w:type="dxa" w:w="1728"/>
          </w:tcPr>
          <w:p>
            <w:r>
              <w:t>3283</w:t>
            </w:r>
          </w:p>
        </w:tc>
        <w:tc>
          <w:tcPr>
            <w:tcW w:type="dxa" w:w="1728"/>
          </w:tcPr>
          <w:p>
            <w:r>
              <w:t>29528447 FCFA</w:t>
            </w:r>
          </w:p>
        </w:tc>
        <w:tc>
          <w:tcPr>
            <w:tcW w:type="dxa" w:w="1728"/>
          </w:tcPr>
          <w:p>
            <w:r>
              <w:t>2.47%</w:t>
            </w:r>
          </w:p>
        </w:tc>
        <w:tc>
          <w:tcPr>
            <w:tcW w:type="dxa" w:w="1728"/>
          </w:tcPr>
          <w:p>
            <w:r>
              <w:t>ACHAT</w:t>
            </w:r>
          </w:p>
        </w:tc>
      </w:tr>
      <w:tr>
        <w:tc>
          <w:tcPr>
            <w:tcW w:type="dxa" w:w="1728"/>
          </w:tcPr>
          <w:p>
            <w:r>
              <w:t>FTSC (FTSC - FILTISAC COTE D'IVOIRE)</w:t>
            </w:r>
          </w:p>
        </w:tc>
        <w:tc>
          <w:tcPr>
            <w:tcW w:type="dxa" w:w="1728"/>
          </w:tcPr>
          <w:p>
            <w:r>
              <w:t>3178</w:t>
            </w:r>
          </w:p>
        </w:tc>
        <w:tc>
          <w:tcPr>
            <w:tcW w:type="dxa" w:w="1728"/>
          </w:tcPr>
          <w:p>
            <w:r>
              <w:t>6800653 FCFA</w:t>
            </w:r>
          </w:p>
        </w:tc>
        <w:tc>
          <w:tcPr>
            <w:tcW w:type="dxa" w:w="1728"/>
          </w:tcPr>
          <w:p>
            <w:r>
              <w:t>-3.64%</w:t>
            </w:r>
          </w:p>
        </w:tc>
        <w:tc>
          <w:tcPr>
            <w:tcW w:type="dxa" w:w="1728"/>
          </w:tcPr>
          <w:p>
            <w:r>
              <w:t>ACHAT</w:t>
            </w:r>
          </w:p>
        </w:tc>
      </w:tr>
      <w:tr>
        <w:tc>
          <w:tcPr>
            <w:tcW w:type="dxa" w:w="1728"/>
          </w:tcPr>
          <w:p>
            <w:r>
              <w:t>NEIC (NEIC - NEI-CEDA CI)</w:t>
            </w:r>
          </w:p>
        </w:tc>
        <w:tc>
          <w:tcPr>
            <w:tcW w:type="dxa" w:w="1728"/>
          </w:tcPr>
          <w:p>
            <w:r>
              <w:t>2547</w:t>
            </w:r>
          </w:p>
        </w:tc>
        <w:tc>
          <w:tcPr>
            <w:tcW w:type="dxa" w:w="1728"/>
          </w:tcPr>
          <w:p>
            <w:r>
              <w:t>7000501 FCFA</w:t>
            </w:r>
          </w:p>
        </w:tc>
        <w:tc>
          <w:tcPr>
            <w:tcW w:type="dxa" w:w="1728"/>
          </w:tcPr>
          <w:p>
            <w:r>
              <w:t>100.73%</w:t>
            </w:r>
          </w:p>
        </w:tc>
        <w:tc>
          <w:tcPr>
            <w:tcW w:type="dxa" w:w="1728"/>
          </w:tcPr>
          <w:p>
            <w:r>
              <w:t>ACHAT</w:t>
            </w:r>
          </w:p>
        </w:tc>
      </w:tr>
      <w:tr>
        <w:tc>
          <w:tcPr>
            <w:tcW w:type="dxa" w:w="1728"/>
          </w:tcPr>
          <w:p>
            <w:r>
              <w:t>TTLS (TTLS - TOTAL ENERGIES MARKETING SENEGAL)</w:t>
            </w:r>
          </w:p>
        </w:tc>
        <w:tc>
          <w:tcPr>
            <w:tcW w:type="dxa" w:w="1728"/>
          </w:tcPr>
          <w:p>
            <w:r>
              <w:t>2392</w:t>
            </w:r>
          </w:p>
        </w:tc>
        <w:tc>
          <w:tcPr>
            <w:tcW w:type="dxa" w:w="1728"/>
          </w:tcPr>
          <w:p>
            <w:r>
              <w:t>9083134 FCFA</w:t>
            </w:r>
          </w:p>
        </w:tc>
        <w:tc>
          <w:tcPr>
            <w:tcW w:type="dxa" w:w="1728"/>
          </w:tcPr>
          <w:p>
            <w:r>
              <w:t>18.60%</w:t>
            </w:r>
          </w:p>
        </w:tc>
        <w:tc>
          <w:tcPr>
            <w:tcW w:type="dxa" w:w="1728"/>
          </w:tcPr>
          <w:p>
            <w:r>
              <w:t>ACHAT</w:t>
            </w:r>
          </w:p>
        </w:tc>
      </w:tr>
      <w:tr>
        <w:tc>
          <w:tcPr>
            <w:tcW w:type="dxa" w:w="1728"/>
          </w:tcPr>
          <w:p>
            <w:r>
              <w:t>SDCC (SDCC - Société de Distribution d'Eau de Côte d'Ivoire)</w:t>
            </w:r>
          </w:p>
        </w:tc>
        <w:tc>
          <w:tcPr>
            <w:tcW w:type="dxa" w:w="1728"/>
          </w:tcPr>
          <w:p>
            <w:r>
              <w:t>2337</w:t>
            </w:r>
          </w:p>
        </w:tc>
        <w:tc>
          <w:tcPr>
            <w:tcW w:type="dxa" w:w="1728"/>
          </w:tcPr>
          <w:p>
            <w:r>
              <w:t>30125614 FCFA</w:t>
            </w:r>
          </w:p>
        </w:tc>
        <w:tc>
          <w:tcPr>
            <w:tcW w:type="dxa" w:w="1728"/>
          </w:tcPr>
          <w:p>
            <w:r>
              <w:t>87.68%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BOABF - BANK OF AFRICA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3.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4.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5.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SCRC - SCRC - SUCRIVOIRE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TTLS - TTLS - TOTAL ENERGIES MARKETING SENEGAL</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BOAC - BANK OF AFRICA COTE D'IVOIRE</w:t>
      </w:r>
    </w:p>
    <w:p>
      <w:r>
        <w:rPr>
          <w:b/>
        </w:rPr>
        <w:t xml:space="preserve">Score de divergence: </w:t>
      </w:r>
      <w:r>
        <w:t>2/8</w:t>
        <w:br/>
      </w:r>
      <w:r>
        <w:rPr>
          <w:b/>
        </w:rPr>
        <w:t xml:space="preserve">Description: </w:t>
      </w:r>
      <w:r>
        <w:t>Signaux d'achat: MM,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22</w:t>
            </w:r>
          </w:p>
        </w:tc>
        <w:tc>
          <w:tcPr>
            <w:tcW w:type="dxa" w:w="2160"/>
          </w:tcPr>
          <w:p>
            <w:r>
              <w:t>0</w:t>
            </w:r>
          </w:p>
        </w:tc>
      </w:tr>
      <w:tr>
        <w:tc>
          <w:tcPr>
            <w:tcW w:type="dxa" w:w="2160"/>
          </w:tcPr>
          <w:p>
            <w:r>
              <w:t>Risque Moyen</w:t>
            </w:r>
          </w:p>
        </w:tc>
        <w:tc>
          <w:tcPr>
            <w:tcW w:type="dxa" w:w="2160"/>
          </w:tcPr>
          <w:p>
            <w:r>
              <w:t>0</w:t>
            </w:r>
          </w:p>
        </w:tc>
        <w:tc>
          <w:tcPr>
            <w:tcW w:type="dxa" w:w="2160"/>
          </w:tcPr>
          <w:p>
            <w:r>
              <w:t>25</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BCE a relevé ses taux directeurs face à la persistance de l'inflation dans la zone euro, avec un suspense total sur la suite de sa trajectoire monétaire. Cette décision s'inscrit dans un contexte de risques inflationnistes persistants au niveau mondial.</w:t>
      </w:r>
    </w:p>
    <w:p>
      <w:pPr>
        <w:pStyle w:val="Heading3"/>
      </w:pPr>
      <w:r>
        <w:rPr>
          <w:color w:val="500050"/>
        </w:rPr>
        <w:t>⚡ Impact estimé sur la BRVM</w:t>
      </w:r>
    </w:p>
    <w:p>
      <w:pPr>
        <w:spacing w:before="20" w:after="40"/>
        <w:ind w:left="280"/>
      </w:pPr>
      <w:r>
        <w:rPr>
          <w:i/>
          <w:sz w:val="18"/>
        </w:rPr>
        <w:t>Le resserrement monétaire européen renchérit le coût du capital pour les investisseurs internationaux, réduisant potentiellement les flux vers les marchés frontières comme la BRVM. Les secteurs bancaires (SGBC, BICB, BOAB) pourraient subir une pression sur leurs financements internationaux, tandis que les valeurs exportatrices (PALC, SOGC) restent sensibles à la demande européenne.</w:t>
      </w:r>
    </w:p>
    <w:p>
      <w:pPr>
        <w:pStyle w:val="Heading2"/>
      </w:pPr>
      <w:r>
        <w:rPr>
          <w:color w:val="006E32"/>
        </w:rPr>
        <w:t>🌍 Plan Africain</w:t>
      </w:r>
    </w:p>
    <w:p>
      <w:pPr>
        <w:spacing w:before="20" w:after="40"/>
        <w:ind w:left="0"/>
      </w:pPr>
      <w:r>
        <w:rPr>
          <w:sz w:val="18"/>
        </w:rPr>
        <w:t>Le Sénégal et le FMI ont conclu un accord sur un programme d'aide de 1,9 milliard d'euros, renforçant la stabilité macroéconomique de la sous-région. Goldman Sachs prévoit le retour de l'Afrique du Sud en notation "Investment grade" dès 2028, signal positif pour l'ensemble du continent.</w:t>
      </w:r>
    </w:p>
    <w:p>
      <w:pPr>
        <w:pStyle w:val="Heading3"/>
      </w:pPr>
      <w:r>
        <w:rPr>
          <w:color w:val="500050"/>
        </w:rPr>
        <w:t>⚡ Impact estimé sur la BRVM</w:t>
      </w:r>
    </w:p>
    <w:p>
      <w:pPr>
        <w:spacing w:before="20" w:after="40"/>
        <w:ind w:left="280"/>
      </w:pPr>
      <w:r>
        <w:rPr>
          <w:i/>
          <w:sz w:val="18"/>
        </w:rPr>
        <w:t>Ces développements améliorent la perception risque-pays de la zone UEMOA, bénéficiant indirectement aux banques cotées (SGBC, ETIT, ECOC) qui opèrent dans un environnement régional plus stable. La confiance retrouvée pourrait attirer des capitaux vers les valeurs de croissance comme ORAC et ONTBF.</w:t>
      </w:r>
    </w:p>
    <w:p>
      <w:pPr>
        <w:pStyle w:val="Heading2"/>
      </w:pPr>
      <w:r>
        <w:rPr>
          <w:color w:val="145A28"/>
        </w:rPr>
        <w:t>🌍 Plan Afrique de l'Ouest</w:t>
      </w:r>
    </w:p>
    <w:p>
      <w:pPr>
        <w:spacing w:before="20" w:after="40"/>
        <w:ind w:left="0"/>
      </w:pPr>
      <w:r>
        <w:rPr>
          <w:sz w:val="18"/>
        </w:rPr>
        <w:t>La CEDEAO affiche une croissance du PIB de 6,1% en 2025, témoignant d'une dynamique économique robuste dans la sous-région. Le Professeur Vincent Palokinam Pitché prend les rênes de l'OOAS, renforçant la gouvernance sanitaire régionale.</w:t>
      </w:r>
    </w:p>
    <w:p>
      <w:pPr>
        <w:pStyle w:val="Heading3"/>
      </w:pPr>
      <w:r>
        <w:rPr>
          <w:color w:val="500050"/>
        </w:rPr>
        <w:t>⚡ Impact estimé sur la BRVM</w:t>
      </w:r>
    </w:p>
    <w:p>
      <w:pPr>
        <w:spacing w:before="20" w:after="40"/>
        <w:ind w:left="280"/>
      </w:pPr>
      <w:r>
        <w:rPr>
          <w:i/>
          <w:sz w:val="18"/>
        </w:rPr>
        <w:t>La croissance soutenue de 6,1% dans la CEDEAO constitue un catalyseur positif pour les sociétés orientées consommation domestique (PALC, ABJC, NTLC). Les banques (BOAC, BOAS, SIBC) devraient bénéficier de l'expansion du crédit dans cet environnement porteur.</w:t>
      </w:r>
    </w:p>
    <w:p>
      <w:pPr>
        <w:pStyle w:val="Heading2"/>
      </w:pPr>
      <w:r>
        <w:rPr>
          <w:color w:val="8C4600"/>
        </w:rPr>
        <w:t>🏦 Plan UEMOA / Zone Franc</w:t>
      </w:r>
    </w:p>
    <w:p>
      <w:pPr>
        <w:spacing w:before="20" w:after="40"/>
        <w:ind w:left="0"/>
      </w:pPr>
      <w:r>
        <w:rPr>
          <w:sz w:val="18"/>
        </w:rPr>
        <w:t>La BCEAO maintient son taux directeur à 3% malgré la remontée des prix, privilégiant le soutien à la croissance. Le Sénégal traverse des tensions politiques autour du FMI, avec un discours présidentiel qualifié de "FMI-compatible" incluant la réduction des subventions énergétiques.</w:t>
      </w:r>
    </w:p>
    <w:p>
      <w:pPr>
        <w:pStyle w:val="Heading3"/>
      </w:pPr>
      <w:r>
        <w:rPr>
          <w:color w:val="500050"/>
        </w:rPr>
        <w:t>⚡ Impact estimé sur la BRVM</w:t>
      </w:r>
    </w:p>
    <w:p>
      <w:pPr>
        <w:spacing w:before="20" w:after="40"/>
        <w:ind w:left="280"/>
      </w:pPr>
      <w:r>
        <w:rPr>
          <w:i/>
          <w:sz w:val="18"/>
        </w:rPr>
        <w:t>Le maintien du taux à 3% préserve la liquidité bancaire et soutient les marges des établissements financiers (SGBC, BICB, BOAM). La stabilité monétaire du FCFA rassure les investisseurs, tandis que les tensions sénégalaises pourraient affecter les valeurs exposées à ce marché (ETIT, SONATEL).</w:t>
      </w:r>
    </w:p>
    <w:p>
      <w:pPr>
        <w:pStyle w:val="Heading2"/>
      </w:pPr>
      <w:r>
        <w:rPr>
          <w:color w:val="003366"/>
        </w:rPr>
        <w:t>📈 Plan BRVM</w:t>
      </w:r>
    </w:p>
    <w:p>
      <w:pPr>
        <w:spacing w:before="20" w:after="40"/>
        <w:ind w:left="0"/>
      </w:pPr>
      <w:r>
        <w:rPr>
          <w:sz w:val="18"/>
        </w:rPr>
        <w:t>Les résultats encourageants des sociétés cotées ivoiriennes sont mis en avant par La Tribune, signalant une dynamique positive des fondamentaux. L'indice BRVM Composite se situe à 555,48 points.</w:t>
      </w:r>
    </w:p>
    <w:p>
      <w:pPr>
        <w:pStyle w:val="Heading3"/>
      </w:pPr>
      <w:r>
        <w:rPr>
          <w:color w:val="500050"/>
        </w:rPr>
        <w:t>⚡ Impact estimé sur la BRVM</w:t>
      </w:r>
    </w:p>
    <w:p>
      <w:pPr>
        <w:spacing w:before="20" w:after="40"/>
        <w:ind w:left="280"/>
      </w:pPr>
      <w:r>
        <w:rPr>
          <w:i/>
          <w:sz w:val="18"/>
        </w:rPr>
        <w:t>Les résultats positifs des sociétés ivoiriennes soutiennent une recommandation d'achat sur SGBC, BICB et PALC. Les investisseurs devraient privilégier les valeurs bancaires (ETIT, ECOC) et agro-industrielles (SOGC, PALC) affichant des fondamentaux solides.</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La BCE relève ses taux dans un contexte d'incertitude politique et économique globale. Les tensions commerciales internationales persistent, affectant les chaînes d'approvisionnement mondiales.</w:t>
      </w:r>
    </w:p>
    <w:p>
      <w:pPr>
        <w:pStyle w:val="Heading3"/>
      </w:pPr>
      <w:r>
        <w:rPr>
          <w:color w:val="500050"/>
        </w:rPr>
        <w:t>⚡ Impact estimé sur la BRVM</w:t>
      </w:r>
    </w:p>
    <w:p>
      <w:pPr>
        <w:spacing w:before="20" w:after="40"/>
        <w:ind w:left="280"/>
      </w:pPr>
      <w:r>
        <w:rPr>
          <w:i/>
          <w:sz w:val="18"/>
        </w:rPr>
        <w:t>L'instabilité géopolitique mondiale détourne les capitaux vers des actifs refuges, réduisant l'appétit pour les marchés frontières. Les investisseurs BRVM pourraient adopter une posture attentiste, pénalisant les volumes d'échanges sur les valeurs cycliques (CABC, SDSC).</w:t>
      </w:r>
    </w:p>
    <w:p>
      <w:pPr>
        <w:pStyle w:val="Heading2"/>
      </w:pPr>
      <w:r>
        <w:rPr>
          <w:color w:val="006E32"/>
        </w:rPr>
        <w:t>🌍 Plan Africain</w:t>
      </w:r>
    </w:p>
    <w:p>
      <w:pPr>
        <w:spacing w:before="20" w:after="40"/>
        <w:ind w:left="0"/>
      </w:pPr>
      <w:r>
        <w:rPr>
          <w:sz w:val="18"/>
        </w:rPr>
        <w:t>Le FMI se retrouve au cœur d'un bras de fer politique au Sénégal, créant une incertitude sur la continuité des réformes économiques. La nomination du Professeur Pitché à l'OOAS renforce la coopération sanitaire régionale.</w:t>
      </w:r>
    </w:p>
    <w:p>
      <w:pPr>
        <w:pStyle w:val="Heading3"/>
      </w:pPr>
      <w:r>
        <w:rPr>
          <w:color w:val="500050"/>
        </w:rPr>
        <w:t>⚡ Impact estimé sur la BRVM</w:t>
      </w:r>
    </w:p>
    <w:p>
      <w:pPr>
        <w:spacing w:before="20" w:after="40"/>
        <w:ind w:left="280"/>
      </w:pPr>
      <w:r>
        <w:rPr>
          <w:i/>
          <w:sz w:val="18"/>
        </w:rPr>
        <w:t>Les tensions politiques sénégalaises pourraient temporairement affecter la confiance des investisseurs envers les valeurs exposées à ce pays (ETIT, SONATEL). Les flux de capitaux vers la BRVM pourraient ralentir en attendant une clarification politique.</w:t>
      </w:r>
    </w:p>
    <w:p>
      <w:pPr>
        <w:pStyle w:val="Heading2"/>
      </w:pPr>
      <w:r>
        <w:rPr>
          <w:color w:val="145A28"/>
        </w:rPr>
        <w:t>🌍 Plan Afrique de l'Ouest</w:t>
      </w:r>
    </w:p>
    <w:p>
      <w:pPr>
        <w:spacing w:before="20" w:after="40"/>
        <w:ind w:left="0"/>
      </w:pPr>
      <w:r>
        <w:rPr>
          <w:sz w:val="18"/>
        </w:rPr>
        <w:t>La CEDEAO affiche une croissance robuste de 6,1%, mais fait face à des défis sécuritaires persistants dans le Sahel. Les relations régionales restent complexes avec la présence de l'AES.</w:t>
      </w:r>
    </w:p>
    <w:p>
      <w:pPr>
        <w:pStyle w:val="Heading3"/>
      </w:pPr>
      <w:r>
        <w:rPr>
          <w:color w:val="500050"/>
        </w:rPr>
        <w:t>⚡ Impact estimé sur la BRVM</w:t>
      </w:r>
    </w:p>
    <w:p>
      <w:pPr>
        <w:spacing w:before="20" w:after="40"/>
        <w:ind w:left="280"/>
      </w:pPr>
      <w:r>
        <w:rPr>
          <w:i/>
          <w:sz w:val="18"/>
        </w:rPr>
        <w:t>La croissance économique soutenue compense partiellement les risques sécuritaires pour les sociétés opérant en Afrique de l'Ouest. Les banques régionales (BOAC, BOAS) devraient maintenir leur dynamique malgré un environnement politique complexe.</w:t>
      </w:r>
    </w:p>
    <w:p>
      <w:pPr>
        <w:pStyle w:val="Heading2"/>
      </w:pPr>
      <w:r>
        <w:rPr>
          <w:color w:val="8C4600"/>
        </w:rPr>
        <w:t>🏦 Plan UEMOA / Zone Franc</w:t>
      </w:r>
    </w:p>
    <w:p>
      <w:pPr>
        <w:spacing w:before="20" w:after="40"/>
        <w:ind w:left="0"/>
      </w:pPr>
      <w:r>
        <w:rPr>
          <w:sz w:val="18"/>
        </w:rPr>
        <w:t>Le Sénégal traverse une période de tensions politiques autour du programme FMI, avec des divergences entre gouvernement et assemblée. Les réformes économiques restent néanmoins orientées vers la consolidation budgétaire.</w:t>
      </w:r>
    </w:p>
    <w:p>
      <w:pPr>
        <w:pStyle w:val="Heading3"/>
      </w:pPr>
      <w:r>
        <w:rPr>
          <w:color w:val="500050"/>
        </w:rPr>
        <w:t>⚡ Impact estimé sur la BRVM</w:t>
      </w:r>
    </w:p>
    <w:p>
      <w:pPr>
        <w:spacing w:before="20" w:after="40"/>
        <w:ind w:left="280"/>
      </w:pPr>
      <w:r>
        <w:rPr>
          <w:i/>
          <w:sz w:val="18"/>
        </w:rPr>
        <w:t>Les risques réglementaires et politiques au Sénégal créent une incertitude pour les valeurs exposées (ETIT, SONATEL). Les investisseurs devraient surveiller l'évolution politique avant de renforcer leurs positions sur ces titres.</w:t>
      </w:r>
    </w:p>
    <w:p>
      <w:pPr>
        <w:pStyle w:val="Heading2"/>
      </w:pPr>
      <w:r>
        <w:rPr>
          <w:color w:val="003366"/>
        </w:rPr>
        <w:t>📈 Plan BRVM</w:t>
      </w:r>
    </w:p>
    <w:p>
      <w:pPr>
        <w:spacing w:before="20" w:after="40"/>
        <w:ind w:left="0"/>
      </w:pPr>
      <w:r>
        <w:rPr>
          <w:sz w:val="18"/>
        </w:rPr>
        <w:t>La réglementation CREPMF continue d'encadrer le marché, avec des exigences de gouvernance renforcées pour les sociétés cotées. Aucune nouvelle cotation majeure n'est signalée dans les actualités fournies.</w:t>
      </w:r>
    </w:p>
    <w:p>
      <w:pPr>
        <w:pStyle w:val="Heading3"/>
      </w:pPr>
      <w:r>
        <w:rPr>
          <w:color w:val="500050"/>
        </w:rPr>
        <w:t>⚡ Impact estimé sur la BRVM</w:t>
      </w:r>
    </w:p>
    <w:p>
      <w:pPr>
        <w:spacing w:before="20" w:after="40"/>
        <w:ind w:left="280"/>
      </w:pPr>
      <w:r>
        <w:rPr>
          <w:i/>
          <w:sz w:val="18"/>
        </w:rPr>
        <w:t>Le cadre réglementaire stable du CREPMF rassure les investisseurs institutionnels. Les sociétés affichant une bonne gouvernance (SGBC, BOAC) devraient bénéficier d'une prime de valorisation sur le marché.</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BCE relève ses taux, entraînant une volatilité accrue sur les marchés obligataires internationaux. Les flux de capitaux se réorientent vers les actifs européens, au détriment des marchés émergents.</w:t>
      </w:r>
    </w:p>
    <w:p>
      <w:pPr>
        <w:pStyle w:val="Heading3"/>
      </w:pPr>
      <w:r>
        <w:rPr>
          <w:color w:val="500050"/>
        </w:rPr>
        <w:t>⚡ Impact estimé sur la BRVM</w:t>
      </w:r>
    </w:p>
    <w:p>
      <w:pPr>
        <w:spacing w:before="20" w:after="40"/>
        <w:ind w:left="280"/>
      </w:pPr>
      <w:r>
        <w:rPr>
          <w:i/>
          <w:sz w:val="18"/>
        </w:rPr>
        <w:t>La hausse des taux européens réduit l'attractivité relative des marchés frontières comme la BRVM. Les investisseurs internationaux pourraient réduire leur exposition aux valeurs BRVM (SGBC, BICB) au profit d'actifs européens plus rémunérateurs.</w:t>
      </w:r>
    </w:p>
    <w:p>
      <w:pPr>
        <w:pStyle w:val="Heading2"/>
      </w:pPr>
      <w:r>
        <w:rPr>
          <w:color w:val="006E32"/>
        </w:rPr>
        <w:t>🌍 Plan Africain</w:t>
      </w:r>
    </w:p>
    <w:p>
      <w:pPr>
        <w:spacing w:before="20" w:after="40"/>
        <w:ind w:left="0"/>
      </w:pPr>
      <w:r>
        <w:rPr>
          <w:sz w:val="18"/>
        </w:rPr>
        <w:t>Les marchés obligataires africains bénéficient de l'amélioration des perspectives sud-africaines avec la prévision de retour en Investment grade. Les eurobonds africains attirent des capitaux croissants.</w:t>
      </w:r>
    </w:p>
    <w:p>
      <w:pPr>
        <w:pStyle w:val="Heading3"/>
      </w:pPr>
      <w:r>
        <w:rPr>
          <w:color w:val="500050"/>
        </w:rPr>
        <w:t>⚡ Impact estimé sur la BRVM</w:t>
      </w:r>
    </w:p>
    <w:p>
      <w:pPr>
        <w:spacing w:before="20" w:after="40"/>
        <w:ind w:left="280"/>
      </w:pPr>
      <w:r>
        <w:rPr>
          <w:i/>
          <w:sz w:val="18"/>
        </w:rPr>
        <w:t>La concurrence des marchés obligataires africains pour les capitaux pourrait détourner une partie des investissements de la BRVM. Les investisseurs pourraient privilégier les rendements obligataires aux actions BRVM (PALC, SOGC) dans ce contexte.</w:t>
      </w:r>
    </w:p>
    <w:p>
      <w:pPr>
        <w:pStyle w:val="Heading2"/>
      </w:pPr>
      <w:r>
        <w:rPr>
          <w:color w:val="145A28"/>
        </w:rPr>
        <w:t>🌍 Plan Afrique de l'Ouest</w:t>
      </w:r>
    </w:p>
    <w:p>
      <w:pPr>
        <w:spacing w:before="20" w:after="40"/>
        <w:ind w:left="0"/>
      </w:pPr>
      <w:r>
        <w:rPr>
          <w:sz w:val="18"/>
        </w:rPr>
        <w:t>Les bourses régionales concurrentes de la BRVM, notamment le NGX nigérian, attirent des flux de capitaux sous-régionaux. La BRVM doit maintenir son attractivité face à cette concurrence.</w:t>
      </w:r>
    </w:p>
    <w:p>
      <w:pPr>
        <w:pStyle w:val="Heading3"/>
      </w:pPr>
      <w:r>
        <w:rPr>
          <w:color w:val="500050"/>
        </w:rPr>
        <w:t>⚡ Impact estimé sur la BRVM</w:t>
      </w:r>
    </w:p>
    <w:p>
      <w:pPr>
        <w:spacing w:before="20" w:after="40"/>
        <w:ind w:left="280"/>
      </w:pPr>
      <w:r>
        <w:rPr>
          <w:i/>
          <w:sz w:val="18"/>
        </w:rPr>
        <w:t>La positionnement de la BRVM face aux autres places financières reste compétitif grâce à la stabilité du FCFA. Les valeurs bancaires (SGBC, ETIT) et télécoms (ORAC, ONTBF) constituent des arguments d'attractivité pour les investisseurs régionaux.</w:t>
      </w:r>
    </w:p>
    <w:p>
      <w:pPr>
        <w:pStyle w:val="Heading2"/>
      </w:pPr>
      <w:r>
        <w:rPr>
          <w:color w:val="8C4600"/>
        </w:rPr>
        <w:t>🏦 Plan UEMOA / Zone Franc</w:t>
      </w:r>
    </w:p>
    <w:p>
      <w:pPr>
        <w:spacing w:before="20" w:after="40"/>
        <w:ind w:left="0"/>
      </w:pPr>
      <w:r>
        <w:rPr>
          <w:sz w:val="18"/>
        </w:rPr>
        <w:t>Le marché des titres publics UEMOA offre des rendements attractifs, créant un arbitrage avec les actions BRVM. La liquidité bancaire reste abondante grâce au maintien du taux BCEAO à 3%.</w:t>
      </w:r>
    </w:p>
    <w:p>
      <w:pPr>
        <w:pStyle w:val="Heading3"/>
      </w:pPr>
      <w:r>
        <w:rPr>
          <w:color w:val="500050"/>
        </w:rPr>
        <w:t>⚡ Impact estimé sur la BRVM</w:t>
      </w:r>
    </w:p>
    <w:p>
      <w:pPr>
        <w:spacing w:before="20" w:after="40"/>
        <w:ind w:left="280"/>
      </w:pPr>
      <w:r>
        <w:rPr>
          <w:i/>
          <w:sz w:val="18"/>
        </w:rPr>
        <w:t>L'arbitrage entre titres publics et actions BRVM pourrait pénaliser les valeurs à faible rendement (CABC, SDSC). Les investisseurs devraient privilégier les actions offrant des dividendes attractifs (SGBC, BICB, PALC) pour compenser.</w:t>
      </w:r>
    </w:p>
    <w:p>
      <w:pPr>
        <w:pStyle w:val="Heading2"/>
      </w:pPr>
      <w:r>
        <w:rPr>
          <w:color w:val="003366"/>
        </w:rPr>
        <w:t>📈 Plan BRVM</w:t>
      </w:r>
    </w:p>
    <w:p>
      <w:pPr>
        <w:spacing w:before="20" w:after="40"/>
        <w:ind w:left="0"/>
      </w:pPr>
      <w:r>
        <w:rPr>
          <w:sz w:val="18"/>
        </w:rPr>
        <w:t>L'indice BRVM Composite se situe à 555,48 points, avec des résultats encourageants des sociétés ivoiriennes. Les volumes d'échanges restent modérés, reflétant une certaine prudence des investisseurs.</w:t>
      </w:r>
    </w:p>
    <w:p>
      <w:pPr>
        <w:pStyle w:val="Heading3"/>
      </w:pPr>
      <w:r>
        <w:rPr>
          <w:color w:val="500050"/>
        </w:rPr>
        <w:t>⚡ Impact estimé sur la BRVM</w:t>
      </w:r>
    </w:p>
    <w:p>
      <w:pPr>
        <w:spacing w:before="20" w:after="40"/>
        <w:ind w:left="280"/>
      </w:pPr>
      <w:r>
        <w:rPr>
          <w:i/>
          <w:sz w:val="18"/>
        </w:rPr>
        <w:t>Recommandation d'achat sur SGBC, BICB et PALC pour leur solidité fondamentale. Les valeurs ETIT et ECOC offrent des opportunités dans le secteur financier. Prudence sur les valeurs exposées au Sénégal (SONATEL) en raison des tensions politiques. Les titres ORAC et ONTBF restent des valeurs défensives à conserver.</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La BRVM bénéficie d'un environnement macroéconomique régional porteur (croissance CEDEAO de 6,1%, taux BCEAO stable à 3%, accord FMI-Sénégal), mais fait face à des vents contraires internationaux (hausse des taux BCE, concurrence des marchés obligataires). Les tensions politiques sénégalaises et l'incertitude monétaire mondiale incitent à la prudence. Recommandation : privilégier les valeurs bancaires solides (SGBC, BICB) et agro-industrielles (PALC, SOGC) offrant des dividendes attractifs, tout en surveillant l'évolution politique au Sénégal avant de renforcer les positions sur les valeurs exposées à ce marché.</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relève à nouveau ses taux d'intérêt, l'inflation persiste - Bou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2026-09-11</w:t>
            </w:r>
          </w:p>
        </w:tc>
        <w:tc>
          <w:tcPr>
            <w:tcW w:type="dxa" w:w="1728"/>
          </w:tcPr>
          <w:p>
            <w:r>
              <w:rPr>
                <w:sz w:val="14"/>
              </w:rPr>
              <w:t>L'indice MXV poursuit sa progression, le prix du pétrole dépasse les 1</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 xml:space="preserve">Monnaie unique : la CEDEAO maintient le cap sur le lancement de l’ECO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DOSSIER–CEDEAO REPORT - Centre international Julius Maada Bio, une inf</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 xml:space="preserve">ECO : la Cédéao accélère le processus vers 2027 - APAnews - Agence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2026-09-11</w:t>
            </w:r>
          </w:p>
        </w:tc>
        <w:tc>
          <w:tcPr>
            <w:tcW w:type="dxa" w:w="1728"/>
          </w:tcPr>
          <w:p>
            <w:r>
              <w:rPr>
                <w:sz w:val="14"/>
              </w:rPr>
              <w:t xml:space="preserve">UEMOA : la BCEAO maintient son taux directeur à 3% malgré la remontée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BCEAO taux direc</w:t>
            </w:r>
          </w:p>
        </w:tc>
      </w:tr>
      <w:tr>
        <w:tc>
          <w:tcPr>
            <w:tcW w:type="dxa" w:w="1728"/>
          </w:tcPr>
          <w:p>
            <w:r>
              <w:rPr>
                <w:sz w:val="14"/>
              </w:rPr>
              <w:t>2026-09-09</w:t>
            </w:r>
          </w:p>
        </w:tc>
        <w:tc>
          <w:tcPr>
            <w:tcW w:type="dxa" w:w="1728"/>
          </w:tcPr>
          <w:p>
            <w:r>
              <w:rPr>
                <w:sz w:val="14"/>
              </w:rPr>
              <w:t>Sénégal : les trois mesures à retenir d’un discours très « FMI-compati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2026-09-10</w:t>
            </w:r>
          </w:p>
        </w:tc>
        <w:tc>
          <w:tcPr>
            <w:tcW w:type="dxa" w:w="1728"/>
          </w:tcPr>
          <w:p>
            <w:r>
              <w:rPr>
                <w:sz w:val="14"/>
              </w:rPr>
              <w:t>Dette, FMI, déficit : qui est responsable de la crise au Sénégal ? - B</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2026-09-10</w:t>
            </w:r>
          </w:p>
        </w:tc>
        <w:tc>
          <w:tcPr>
            <w:tcW w:type="dxa" w:w="1728"/>
          </w:tcPr>
          <w:p>
            <w:r>
              <w:rPr>
                <w:sz w:val="14"/>
              </w:rPr>
              <w:t>Sénégal: le parti majoritaire exige un «dialogue loyal» avec le présid</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2026-09-09</w:t>
            </w:r>
          </w:p>
        </w:tc>
        <w:tc>
          <w:tcPr>
            <w:tcW w:type="dxa" w:w="1728"/>
          </w:tcPr>
          <w:p>
            <w:r>
              <w:rPr>
                <w:sz w:val="14"/>
              </w:rPr>
              <w:t xml:space="preserve">Côte d'Ivoire : conseil des Ministres du mercredi 09 septembre 2026 - </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relève à nouveau ses taux d'intérêt, l'inflation persiste - Bou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2026-09-11</w:t>
            </w:r>
          </w:p>
        </w:tc>
        <w:tc>
          <w:tcPr>
            <w:tcW w:type="dxa" w:w="1728"/>
          </w:tcPr>
          <w:p>
            <w:r>
              <w:rPr>
                <w:sz w:val="14"/>
              </w:rPr>
              <w:t xml:space="preserve">UEMOA : la BCEAO maintient son taux directeur à 3% malgré la remontée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BCEAO taux direc</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2026-09-11</w:t>
            </w:r>
          </w:p>
        </w:tc>
        <w:tc>
          <w:tcPr>
            <w:tcW w:type="dxa" w:w="1728"/>
          </w:tcPr>
          <w:p>
            <w:r>
              <w:rPr>
                <w:sz w:val="14"/>
              </w:rPr>
              <w:t xml:space="preserve">UEMOA : la BCEAO maintient son taux directeur à 3% malgré la remontée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BCEAO taux direc</w:t>
            </w:r>
          </w:p>
        </w:tc>
      </w:tr>
      <w:tr>
        <w:tc>
          <w:tcPr>
            <w:tcW w:type="dxa" w:w="1728"/>
          </w:tcPr>
          <w:p>
            <w:r>
              <w:rPr>
                <w:sz w:val="14"/>
              </w:rPr>
              <w:t>2026-09-11</w:t>
            </w:r>
          </w:p>
        </w:tc>
        <w:tc>
          <w:tcPr>
            <w:tcW w:type="dxa" w:w="1728"/>
          </w:tcPr>
          <w:p>
            <w:r>
              <w:rPr>
                <w:sz w:val="14"/>
              </w:rPr>
              <w:t xml:space="preserve">Marché des matières premières : l'indice MXV poursuit sa progression,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relève à nouveau ses taux d'intérêt, l'inflation persiste - Bou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relève à nouveau ses taux d'intérêt, l'inflation persiste - Bou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relève à nouveau ses taux d'intérêt, l'inflation persiste - Bou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relève à nouveau ses taux d'intérêt, l'inflation persiste - Bou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relève à nouveau ses taux d'intérêt, l'inflation persiste - Bou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économique  (6 alerte(s))</w:t>
      </w:r>
    </w:p>
    <w:p>
      <w:pPr>
        <w:spacing w:before="40" w:after="40"/>
        <w:ind w:left="360"/>
      </w:pPr>
      <w:r>
        <w:rPr>
          <w:color w:val="646464"/>
          <w:sz w:val="17"/>
        </w:rPr>
        <w:t xml:space="preserve">[11/09/2026] ⚪  </w:t>
      </w:r>
      <w:r>
        <w:rPr>
          <w:b/>
          <w:color w:val="505050"/>
          <w:sz w:val="18"/>
        </w:rPr>
        <w:t>Les entreprises algériennes en force - L'Expression</w:t>
      </w:r>
      <w:r>
        <w:rPr>
          <w:color w:val="787878"/>
          <w:sz w:val="15"/>
        </w:rPr>
        <w:t xml:space="preserve">  [économique]</w:t>
      </w:r>
      <w:r>
        <w:rPr>
          <w:color w:val="B47800"/>
          <w:sz w:val="16"/>
        </w:rPr>
        <w:t xml:space="preserve">  ★ 50/10</w:t>
      </w:r>
    </w:p>
    <w:p>
      <w:pPr>
        <w:spacing w:before="0" w:after="20"/>
        <w:ind w:left="600"/>
      </w:pPr>
      <w:r>
        <w:rPr>
          <w:color w:val="323232"/>
          <w:sz w:val="17"/>
        </w:rPr>
        <w:t>L'article intitulé « Les entreprises algériennes en force » publié par L'Expression met en avant la dynamique des entreprises algériennes. Cependant, le contenu fourni est extrêmement limité et ne détaille ni les secteurs concernés, ni les chiffres, ni les marchés visés. Il est donc difficile d'évaluer précisément la portée de cette information pou</w:t>
      </w:r>
    </w:p>
    <w:p>
      <w:pPr>
        <w:spacing w:before="0" w:after="40"/>
        <w:ind w:left="600"/>
      </w:pPr>
      <w:r>
        <w:rPr>
          <w:color w:val="00643C"/>
          <w:sz w:val="16"/>
        </w:rPr>
        <w:t>Points clés : Titre évoquant une montée en puissance des entreprises algériennes  •  Contenu quasi inexistant, sans données chiffrées ni secteurs précis  •  Aucune mention de la BRVM ou des marchés financiers ouest-africains</w:t>
      </w:r>
    </w:p>
    <w:p>
      <w:pPr>
        <w:spacing w:before="0" w:after="60"/>
        <w:ind w:left="600"/>
      </w:pPr>
      <w:r>
        <w:rPr>
          <w:color w:val="0064B4"/>
          <w:sz w:val="15"/>
        </w:rPr>
        <w:t>Source : https://news.google.com/rss/articles/CBMiiwFBVV95cUxQQm5ScklzZzloX1ZzZUdYOUhWeGF</w:t>
      </w:r>
    </w:p>
    <w:p>
      <w:pPr>
        <w:spacing w:before="40" w:after="40"/>
        <w:ind w:left="360"/>
      </w:pPr>
      <w:r>
        <w:rPr>
          <w:color w:val="646464"/>
          <w:sz w:val="17"/>
        </w:rPr>
        <w:t xml:space="preserve">[11/09/2026] 🟢  </w:t>
      </w:r>
      <w:r>
        <w:rPr>
          <w:b/>
          <w:color w:val="008000"/>
          <w:sz w:val="18"/>
        </w:rPr>
        <w:t>COUNTRY REPORT – CEDEAO REPORT : Croissance du PIB de 6,1% réalisée en 2025 - Africa24 TV</w:t>
      </w:r>
      <w:r>
        <w:rPr>
          <w:color w:val="787878"/>
          <w:sz w:val="15"/>
        </w:rPr>
        <w:t xml:space="preserve">  [économique]</w:t>
      </w:r>
      <w:r>
        <w:rPr>
          <w:color w:val="B47800"/>
          <w:sz w:val="16"/>
        </w:rPr>
        <w:t xml:space="preserve">  ★ 50/10</w:t>
      </w:r>
    </w:p>
    <w:p>
      <w:pPr>
        <w:spacing w:before="0" w:after="20"/>
        <w:ind w:left="600"/>
      </w:pPr>
      <w:r>
        <w:rPr>
          <w:color w:val="323232"/>
          <w:sz w:val="17"/>
        </w:rPr>
        <w:t>Selon le rapport de la CEDEAO relayé par Africa24 TV, la croissance du PIB de la zone a atteint 6,1% en 2025. Cette performance témoigne d'une dynamique économique soutenue dans l'espace communautaire. Elle pourrait favoriser l'amélioration des perspectives pour les entreprises cotées à la BRVM.</w:t>
      </w:r>
    </w:p>
    <w:p>
      <w:pPr>
        <w:spacing w:before="0" w:after="40"/>
        <w:ind w:left="600"/>
      </w:pPr>
      <w:r>
        <w:rPr>
          <w:color w:val="00643C"/>
          <w:sz w:val="16"/>
        </w:rPr>
        <w:t>Points clés : Croissance du PIB de la CEDEAO de 6,1% en 2025  •  Performance économique régionale soutenue  •  Impact potentiellement favorable sur les marchés financiers de la zone</w:t>
      </w:r>
    </w:p>
    <w:p>
      <w:pPr>
        <w:spacing w:before="0" w:after="60"/>
        <w:ind w:left="600"/>
      </w:pPr>
      <w:r>
        <w:rPr>
          <w:color w:val="0064B4"/>
          <w:sz w:val="15"/>
        </w:rPr>
        <w:t>Source : https://news.google.com/rss/articles/CBMimAFBVV95cUxOVXJWdXNCamlXbWJjb192dG5tZER</w:t>
      </w:r>
    </w:p>
    <w:p>
      <w:pPr>
        <w:spacing w:before="40" w:after="40"/>
        <w:ind w:left="360"/>
      </w:pPr>
      <w:r>
        <w:rPr>
          <w:color w:val="646464"/>
          <w:sz w:val="17"/>
        </w:rPr>
        <w:t xml:space="preserve">[11/09/2026] ⚪  </w:t>
      </w:r>
      <w:r>
        <w:rPr>
          <w:b/>
          <w:color w:val="505050"/>
          <w:sz w:val="18"/>
        </w:rPr>
        <w:t>OOAS : Le Prof. Vincent Palokinam Pitché prend les rênes de l’institution régionale - FratMat</w:t>
      </w:r>
      <w:r>
        <w:rPr>
          <w:color w:val="787878"/>
          <w:sz w:val="15"/>
        </w:rPr>
        <w:t xml:space="preserve">  [économique]</w:t>
      </w:r>
      <w:r>
        <w:rPr>
          <w:color w:val="B47800"/>
          <w:sz w:val="16"/>
        </w:rPr>
        <w:t xml:space="preserve">  ★ 50/10</w:t>
      </w:r>
    </w:p>
    <w:p>
      <w:pPr>
        <w:spacing w:before="0" w:after="20"/>
        <w:ind w:left="600"/>
      </w:pPr>
      <w:r>
        <w:rPr>
          <w:color w:val="323232"/>
          <w:sz w:val="17"/>
        </w:rPr>
        <w:t>Le Professeur Vincent Palokinam Pitché a été nommé à la tête de l'Organisation Ouest-Africaine de la Santé (OOAS), une institution régionale spécialisée de la CEDEAO. Cette nomination intervient dans un contexte de défis sanitaires persistants en Afrique de l'Ouest. L'OOAS joue un rôle clé dans la coordination des politiques de santé publique et la</w:t>
      </w:r>
    </w:p>
    <w:p>
      <w:pPr>
        <w:spacing w:before="0" w:after="40"/>
        <w:ind w:left="600"/>
      </w:pPr>
      <w:r>
        <w:rPr>
          <w:color w:val="00643C"/>
          <w:sz w:val="16"/>
        </w:rPr>
        <w:t>Points clés : Nomination du Prof. Vincent Palokinam Pitché à la direction de l'OOAS  •  L'OOAS est l'institution sanitaire spécialisée de la CEDEAO  •  Enjeux de coordination régionale en matière de santé publique</w:t>
      </w:r>
    </w:p>
    <w:p>
      <w:pPr>
        <w:spacing w:before="0" w:after="60"/>
        <w:ind w:left="600"/>
      </w:pPr>
      <w:r>
        <w:rPr>
          <w:color w:val="0064B4"/>
          <w:sz w:val="15"/>
        </w:rPr>
        <w:t>Source : https://news.google.com/rss/articles/CBMiyAFBVV95cUxPS2lxelo4bXBjWWpEY3c0Y29CbU5</w:t>
      </w:r>
    </w:p>
    <w:p>
      <w:pPr>
        <w:spacing w:before="40" w:after="40"/>
        <w:ind w:left="360"/>
      </w:pPr>
      <w:r>
        <w:rPr>
          <w:color w:val="646464"/>
          <w:sz w:val="17"/>
        </w:rPr>
        <w:t xml:space="preserve">[10/09/2026] ⚪  </w:t>
      </w:r>
      <w:r>
        <w:rPr>
          <w:b/>
          <w:color w:val="505050"/>
          <w:sz w:val="18"/>
        </w:rPr>
        <w:t>BCEAO: maintien du taux directeur à 3 % malgré un rebond de l’inflation dans l’UEMOA - Benin Web TV</w:t>
      </w:r>
      <w:r>
        <w:rPr>
          <w:color w:val="787878"/>
          <w:sz w:val="15"/>
        </w:rPr>
        <w:t xml:space="preserve">  [économique]</w:t>
      </w:r>
      <w:r>
        <w:rPr>
          <w:color w:val="B47800"/>
          <w:sz w:val="16"/>
        </w:rPr>
        <w:t xml:space="preserve">  ★ 50/10</w:t>
      </w:r>
    </w:p>
    <w:p>
      <w:pPr>
        <w:spacing w:before="0" w:after="20"/>
        <w:ind w:left="600"/>
      </w:pPr>
      <w:r>
        <w:rPr>
          <w:color w:val="323232"/>
          <w:sz w:val="17"/>
        </w:rPr>
        <w:t xml:space="preserve">La BCEAO a décidé de maintenir son taux directeur à 3 % lors de sa dernière réunion de politique monétaire, malgré un rebond récent de l'inflation dans l'Union économique et monétaire ouest-africaine (UEMOA). Cette décision vise à soutenir la reprise économique tout en surveillant l'évolution des prix. Le maintien du taux directeur à un niveau bas </w:t>
      </w:r>
    </w:p>
    <w:p>
      <w:pPr>
        <w:spacing w:before="0" w:after="40"/>
        <w:ind w:left="600"/>
      </w:pPr>
      <w:r>
        <w:rPr>
          <w:color w:val="00643C"/>
          <w:sz w:val="16"/>
        </w:rPr>
        <w:t>Points clés : Maintien du taux directeur de la BCEAO à 3 %  •  Rebond de l'inflation dans l'UEMOA  •  Politique monétaire accommodante pour soutenir la croissance</w:t>
      </w:r>
    </w:p>
    <w:p>
      <w:pPr>
        <w:spacing w:before="0" w:after="60"/>
        <w:ind w:left="600"/>
      </w:pPr>
      <w:r>
        <w:rPr>
          <w:color w:val="0064B4"/>
          <w:sz w:val="15"/>
        </w:rPr>
        <w:t>Source : https://news.google.com/rss/articles/CBMipAFBVV95cUxQcENIMVlBc0lidUJ3QWdmT3hLaHg</w:t>
      </w:r>
    </w:p>
    <w:p>
      <w:pPr>
        <w:spacing w:before="40" w:after="40"/>
        <w:ind w:left="360"/>
      </w:pPr>
      <w:r>
        <w:rPr>
          <w:color w:val="646464"/>
          <w:sz w:val="17"/>
        </w:rPr>
        <w:t xml:space="preserve">[10/09/2026] ⚪  </w:t>
      </w:r>
      <w:r>
        <w:rPr>
          <w:b/>
          <w:color w:val="505050"/>
          <w:sz w:val="18"/>
        </w:rPr>
        <w:t>Monnaie unique : la CEDEAO maintient le cap sur le lancement de l’ECO en 2027 - LACTUACHO.COM</w:t>
      </w:r>
      <w:r>
        <w:rPr>
          <w:color w:val="787878"/>
          <w:sz w:val="15"/>
        </w:rPr>
        <w:t xml:space="preserve">  [économique]</w:t>
      </w:r>
      <w:r>
        <w:rPr>
          <w:color w:val="B47800"/>
          <w:sz w:val="16"/>
        </w:rPr>
        <w:t xml:space="preserve">  ★ 50/10</w:t>
      </w:r>
    </w:p>
    <w:p>
      <w:pPr>
        <w:spacing w:before="0" w:after="20"/>
        <w:ind w:left="600"/>
      </w:pPr>
      <w:r>
        <w:rPr>
          <w:color w:val="323232"/>
          <w:sz w:val="17"/>
        </w:rPr>
        <w:t>La CEDEAO a réaffirmé son engagement à lancer la monnaie unique ECO en 2027, malgré les défis économiques et politiques persistants dans la région. Ce projet vise à renforcer l'intégration monétaire et à faciliter les échanges commerciaux entre les États membres. Toutefois, des questions subsistent sur la convergence des critères macroéconomiques e</w:t>
      </w:r>
    </w:p>
    <w:p>
      <w:pPr>
        <w:spacing w:before="0" w:after="40"/>
        <w:ind w:left="600"/>
      </w:pPr>
      <w:r>
        <w:rPr>
          <w:color w:val="00643C"/>
          <w:sz w:val="16"/>
        </w:rPr>
        <w:t>Points clés : La CEDEAO maintient le calendrier de lancement de l'ECO pour 2027.  •  Le projet vise à approfondir l'intégration monétaire et commerciale en Afrique de l'Ouest.  •  Des défis de convergence économique et d'adhésion de tous les pays membres demeurent.</w:t>
      </w:r>
    </w:p>
    <w:p>
      <w:pPr>
        <w:spacing w:before="0" w:after="60"/>
        <w:ind w:left="600"/>
      </w:pPr>
      <w:r>
        <w:rPr>
          <w:color w:val="0064B4"/>
          <w:sz w:val="15"/>
        </w:rPr>
        <w:t>Source : https://news.google.com/rss/articles/CBMiowFBVV95cUxQME1ucTRGSkJid3VYczV1UXdMUVN</w:t>
      </w:r>
    </w:p>
    <w:p>
      <w:pPr>
        <w:spacing w:before="120" w:after="40"/>
      </w:pPr>
      <w:r>
        <w:rPr>
          <w:b/>
          <w:color w:val="00467F"/>
          <w:sz w:val="20"/>
        </w:rPr>
        <w:t>🔑 politique_monetaire  (11 alerte(s))</w:t>
      </w:r>
    </w:p>
    <w:p>
      <w:pPr>
        <w:spacing w:before="40" w:after="40"/>
        <w:ind w:left="360"/>
      </w:pPr>
      <w:r>
        <w:rPr>
          <w:color w:val="646464"/>
          <w:sz w:val="17"/>
        </w:rPr>
        <w:t xml:space="preserve">[11/09/2026] ⚪  </w:t>
      </w:r>
      <w:r>
        <w:rPr>
          <w:b/>
          <w:color w:val="505050"/>
          <w:sz w:val="18"/>
        </w:rPr>
        <w:t>UEMOA : la BCEAO maintient son taux directeur à 3% malgré la remontée des prix - Togo First</w:t>
      </w:r>
      <w:r>
        <w:rPr>
          <w:color w:val="787878"/>
          <w:sz w:val="15"/>
        </w:rPr>
        <w:t xml:space="preserve">  [politique_monetaire]</w:t>
      </w:r>
      <w:r>
        <w:rPr>
          <w:color w:val="B47800"/>
          <w:sz w:val="16"/>
        </w:rPr>
        <w:t xml:space="preserve">  ★ 50/10</w:t>
      </w:r>
    </w:p>
    <w:p>
      <w:pPr>
        <w:spacing w:before="0" w:after="20"/>
        <w:ind w:left="600"/>
      </w:pPr>
      <w:r>
        <w:rPr>
          <w:color w:val="323232"/>
          <w:sz w:val="17"/>
        </w:rPr>
        <w:t>La BCEAO a décidé de maintenir son taux directeur à 3% lors de sa dernière réunion de politique monétaire, malgré une remontée des prix dans la zone UEMOA. Cette décision vise à soutenir la croissance économique tout en surveillant l'inflation. Le maintien du taux directeur à un niveau bas devrait continuer à favoriser l'accès au crédit et l'invest</w:t>
      </w:r>
    </w:p>
    <w:p>
      <w:pPr>
        <w:spacing w:before="0" w:after="40"/>
        <w:ind w:left="600"/>
      </w:pPr>
      <w:r>
        <w:rPr>
          <w:color w:val="00643C"/>
          <w:sz w:val="16"/>
        </w:rPr>
        <w:t>Points clés : Maintien du taux directeur à 3%  •  Remontée des prix dans l'UEMOA  •  Soutien à la croissance économique</w:t>
      </w:r>
    </w:p>
    <w:p>
      <w:pPr>
        <w:spacing w:before="0" w:after="60"/>
        <w:ind w:left="600"/>
      </w:pPr>
      <w:r>
        <w:rPr>
          <w:color w:val="0064B4"/>
          <w:sz w:val="15"/>
        </w:rPr>
        <w:t>Source : https://news.google.com/rss/articles/CBMi1AFBVV95cUxQWWNqZUhCVkJMRVUtZ1A1bkRXbUJ</w:t>
      </w:r>
    </w:p>
    <w:p>
      <w:pPr>
        <w:spacing w:before="40" w:after="40"/>
        <w:ind w:left="360"/>
      </w:pPr>
      <w:r>
        <w:rPr>
          <w:color w:val="646464"/>
          <w:sz w:val="17"/>
        </w:rPr>
        <w:t xml:space="preserve">[11/09/2026] 🟢  </w:t>
      </w:r>
      <w:r>
        <w:rPr>
          <w:b/>
          <w:color w:val="008000"/>
          <w:sz w:val="18"/>
        </w:rPr>
        <w:t>L'Europe vue en hausse au lendemain de la BCE, le pétrole sous pression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Les marchés européens sont attendus en hausse au lendemain de la réunion de la Banque centrale européenne (BCE), qui a probablement maintenu ou ajusté sa politique monétaire. Le pétrole reste sous pression, pénalisé par des facteurs tels que la demande incertaine ou une offre abondante. Cette dynamique pourrait influencer les marchés mondiaux, y co</w:t>
      </w:r>
    </w:p>
    <w:p>
      <w:pPr>
        <w:spacing w:before="0" w:after="40"/>
        <w:ind w:left="600"/>
      </w:pPr>
      <w:r>
        <w:rPr>
          <w:color w:val="00643C"/>
          <w:sz w:val="16"/>
        </w:rPr>
        <w:t>Points clés : L'Europe vue en hausse après la BCE  •  Le pétrole sous pression</w:t>
      </w:r>
    </w:p>
    <w:p>
      <w:pPr>
        <w:spacing w:before="0" w:after="60"/>
        <w:ind w:left="600"/>
      </w:pPr>
      <w:r>
        <w:rPr>
          <w:color w:val="0064B4"/>
          <w:sz w:val="15"/>
        </w:rPr>
        <w:t>Source : https://news.google.com/rss/articles/CBMi5wFBVV95cUxNSmVDTTdQMEhqcENWV0NCSWdxbUt</w:t>
      </w:r>
    </w:p>
    <w:p>
      <w:pPr>
        <w:spacing w:before="40" w:after="40"/>
        <w:ind w:left="360"/>
      </w:pPr>
      <w:r>
        <w:rPr>
          <w:color w:val="646464"/>
          <w:sz w:val="17"/>
        </w:rPr>
        <w:t xml:space="preserve">[11/09/2026] ⚪  </w:t>
      </w:r>
      <w:r>
        <w:rPr>
          <w:b/>
          <w:color w:val="505050"/>
          <w:sz w:val="18"/>
        </w:rPr>
        <w:t>La hausse des taux de la BCE peut-elle freiner le choc inflationniste lié à l'énergie ? - Yahoo Finance France</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Banque centrale européenne a relevé ses taux directeurs pour lutter contre l'inflation, mais son efficacité face au choc inflationniste lié à l'énergie est incertaine. Les prix de l'énergie étant déterminés par des facteurs mondiaux, une hausse des taux n'agit que lentement sur cette composante. De plus, un resserrement monétaire pourrait peser </w:t>
      </w:r>
    </w:p>
    <w:p>
      <w:pPr>
        <w:spacing w:before="0" w:after="40"/>
        <w:ind w:left="600"/>
      </w:pPr>
      <w:r>
        <w:rPr>
          <w:color w:val="00643C"/>
          <w:sz w:val="16"/>
        </w:rPr>
        <w:t>Points clés : La BCE a augmenté ses taux pour contrer l'inflation.  •  Le choc énergétique est largement exogène et peu sensible aux taux.  •  Risque de freiner la croissance sans maîtriser les prix de l'énergie.</w:t>
      </w:r>
    </w:p>
    <w:p>
      <w:pPr>
        <w:spacing w:before="0" w:after="60"/>
        <w:ind w:left="600"/>
      </w:pPr>
      <w:r>
        <w:rPr>
          <w:color w:val="0064B4"/>
          <w:sz w:val="15"/>
        </w:rPr>
        <w:t>Source : https://news.google.com/rss/articles/CBMiiwFBVV95cUxNeXA4VlNJUzdsSWJYMm40V2U0VDR</w:t>
      </w:r>
    </w:p>
    <w:p>
      <w:pPr>
        <w:spacing w:before="40" w:after="40"/>
        <w:ind w:left="360"/>
      </w:pPr>
      <w:r>
        <w:rPr>
          <w:color w:val="646464"/>
          <w:sz w:val="17"/>
        </w:rPr>
        <w:t xml:space="preserve">[11/09/2026] 🔴  </w:t>
      </w:r>
      <w:r>
        <w:rPr>
          <w:b/>
          <w:color w:val="C00000"/>
          <w:sz w:val="18"/>
        </w:rPr>
        <w:t>Barclays s'attend à ce que la BCE procède à une nouvelle hausse des taux en décembre, alors que les pressions - Boursora</w:t>
      </w:r>
      <w:r>
        <w:rPr>
          <w:color w:val="787878"/>
          <w:sz w:val="15"/>
        </w:rPr>
        <w:t xml:space="preserve">  [politique_monetaire]</w:t>
      </w:r>
      <w:r>
        <w:rPr>
          <w:color w:val="B47800"/>
          <w:sz w:val="16"/>
        </w:rPr>
        <w:t xml:space="preserve">  ★ 50/10</w:t>
      </w:r>
    </w:p>
    <w:p>
      <w:pPr>
        <w:spacing w:before="0" w:after="20"/>
        <w:ind w:left="600"/>
      </w:pPr>
      <w:r>
        <w:rPr>
          <w:color w:val="323232"/>
          <w:sz w:val="17"/>
        </w:rPr>
        <w:t>Barclays anticipe une nouvelle hausse des taux directeurs de la Banque centrale européenne (BCE) en décembre, en raison de pressions persistantes sur les prix. Cette prévision intervient alors que l'institution monétaire européenne a déjà relevé ses taux à plusieurs reprises pour lutter contre l'inflation. Une telle décision pourrait renforcer le d</w:t>
      </w:r>
    </w:p>
    <w:p>
      <w:pPr>
        <w:spacing w:before="0" w:after="40"/>
        <w:ind w:left="600"/>
      </w:pPr>
      <w:r>
        <w:rPr>
          <w:color w:val="00643C"/>
          <w:sz w:val="16"/>
        </w:rPr>
        <w:t>Points clés : Barclays prévoit une hausse des taux de la BCE en décembre  •  Les pressions inflationnistes restent élevées dans la zone euro  •  La BCE a déjà procédé à plusieurs hausses de taux en 2023  •  Impact potentiel sur les changes et les flux de capitaux vers les marchés émergents</w:t>
      </w:r>
    </w:p>
    <w:p>
      <w:pPr>
        <w:spacing w:before="0" w:after="60"/>
        <w:ind w:left="600"/>
      </w:pPr>
      <w:r>
        <w:rPr>
          <w:color w:val="0064B4"/>
          <w:sz w:val="15"/>
        </w:rPr>
        <w:t>Source : https://news.google.com/rss/articles/CBMivgJBVV95cUxPcVVNcXhGcERzUDVoSXAySmM3cmJ</w:t>
      </w:r>
    </w:p>
    <w:p>
      <w:pPr>
        <w:spacing w:before="40" w:after="40"/>
        <w:ind w:left="360"/>
      </w:pPr>
      <w:r>
        <w:rPr>
          <w:color w:val="646464"/>
          <w:sz w:val="17"/>
        </w:rPr>
        <w:t xml:space="preserve">[10/09/2026] 🔴  </w:t>
      </w:r>
      <w:r>
        <w:rPr>
          <w:b/>
          <w:color w:val="C00000"/>
          <w:sz w:val="18"/>
        </w:rPr>
        <w:t>Le Dow perd 400 pts, le brut US dépasse $100 et les paris d'une hausse Fed augmentent - TradingView</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Les marchés américains ont chuté avec le Dow Jones perdant 400 points, tandis que le pétrole brut américain a dépassé les 100 dollars le baril. Cette hausse du brut alimente les anticipations d'un resserrement monétaire plus agressif de la Fed, les investisseurs augmentant leurs paris sur une hausse des taux. La combinaison d'un pétrole cher et de </w:t>
      </w:r>
    </w:p>
    <w:p>
      <w:pPr>
        <w:spacing w:before="0" w:after="40"/>
        <w:ind w:left="600"/>
      </w:pPr>
      <w:r>
        <w:rPr>
          <w:color w:val="00643C"/>
          <w:sz w:val="16"/>
        </w:rPr>
        <w:t>Points clés : Le Dow Jones perd 400 points  •  Le brut US dépasse 100 dollars le baril  •  Les paris sur une hausse des taux de la Fed augmentent</w:t>
      </w:r>
    </w:p>
    <w:p>
      <w:pPr>
        <w:spacing w:before="0" w:after="60"/>
        <w:ind w:left="600"/>
      </w:pPr>
      <w:r>
        <w:rPr>
          <w:color w:val="0064B4"/>
          <w:sz w:val="15"/>
        </w:rPr>
        <w:t>Source : https://news.google.com/rss/articles/CBMiZ0FVX3lxTE1kRjdCVFdkc3ozY3FZbnJhYVRHZFN</w:t>
      </w:r>
    </w:p>
    <w:p>
      <w:pPr>
        <w:spacing w:before="120" w:after="40"/>
      </w:pPr>
      <w:r>
        <w:rPr>
          <w:b/>
          <w:color w:val="00467F"/>
          <w:sz w:val="20"/>
        </w:rPr>
        <w:t>🔑 matieres_premieres  (2 alerte(s))</w:t>
      </w:r>
    </w:p>
    <w:p>
      <w:pPr>
        <w:spacing w:before="40" w:after="40"/>
        <w:ind w:left="360"/>
      </w:pPr>
      <w:r>
        <w:rPr>
          <w:color w:val="646464"/>
          <w:sz w:val="17"/>
        </w:rPr>
        <w:t xml:space="preserve">[11/09/2026] 🔴  </w:t>
      </w:r>
      <w:r>
        <w:rPr>
          <w:b/>
          <w:color w:val="C00000"/>
          <w:sz w:val="18"/>
        </w:rPr>
        <w:t>L'indice MXV poursuit sa progression, le prix du pétrole dépasse les 100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contrats à terme sur les matières premières, continue de progresser alors que le prix du pétrole brut dépasse le seuil symbolique des 100 dollars le baril. Cette hausse reflète des tensions persistantes sur l'offre et une demande mondiale soutenue. Le franchissement de ce cap pourrait alimenter les pressions inflationnist</w:t>
      </w:r>
    </w:p>
    <w:p>
      <w:pPr>
        <w:spacing w:before="0" w:after="40"/>
        <w:ind w:left="600"/>
      </w:pPr>
      <w:r>
        <w:rPr>
          <w:color w:val="00643C"/>
          <w:sz w:val="16"/>
        </w:rPr>
        <w:t>Points clés : L'indice MXV poursuit sa tendance haussière  •  Le prix du pétrole dépasse les 100 dollars le baril  •  Risque accru de pressions inflationnistes mondiales</w:t>
      </w:r>
    </w:p>
    <w:p>
      <w:pPr>
        <w:spacing w:before="0" w:after="60"/>
        <w:ind w:left="600"/>
      </w:pPr>
      <w:r>
        <w:rPr>
          <w:color w:val="0064B4"/>
          <w:sz w:val="15"/>
        </w:rPr>
        <w:t>Source : https://news.google.com/rss/articles/CBMihAFBVV95cUxPOTdiR3dKMXdOc0lXbnptUVU1OTV</w:t>
      </w:r>
    </w:p>
    <w:p>
      <w:pPr>
        <w:spacing w:before="40" w:after="40"/>
        <w:ind w:left="360"/>
      </w:pPr>
      <w:r>
        <w:rPr>
          <w:color w:val="646464"/>
          <w:sz w:val="17"/>
        </w:rPr>
        <w:t xml:space="preserve">[11/09/2026] 🟢  </w:t>
      </w:r>
      <w:r>
        <w:rPr>
          <w:b/>
          <w:color w:val="008000"/>
          <w:sz w:val="18"/>
        </w:rPr>
        <w:t>Marché des matières premières : l'indice MXV poursuit sa progression, fluctuant au-dessus de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l'évolution des matières premières sur les marchés internationaux, poursuit sa progression et évolue au-dessus du seuil des 3 000 points. Cette dynamique haussière reflète une demande soutenue et des tensions sur l'offre de certaines matières premières. Le marché reste toutefois volatil, les investisseurs surveillant les fact</w:t>
      </w:r>
    </w:p>
    <w:p>
      <w:pPr>
        <w:spacing w:before="0" w:after="40"/>
        <w:ind w:left="600"/>
      </w:pPr>
      <w:r>
        <w:rPr>
          <w:color w:val="00643C"/>
          <w:sz w:val="16"/>
        </w:rPr>
        <w:t>Points clés : L'indice MXV dépasse les 3 000 points et poursuit sa hausse  •  La progression est portée par la demande et les tensions d'approvisionnement  •  Le marché reste volatil face aux incertitudes macroéconomiques  •  Impact potentiel sur les coûts d'importation des matières premières</w:t>
      </w:r>
    </w:p>
    <w:p>
      <w:pPr>
        <w:spacing w:before="0" w:after="60"/>
        <w:ind w:left="600"/>
      </w:pPr>
      <w:r>
        <w:rPr>
          <w:color w:val="0064B4"/>
          <w:sz w:val="15"/>
        </w:rPr>
        <w:t>Source : https://news.google.com/rss/articles/CBMinAFBVV95cUxNTWs5d0U4MEJ2RjIxNk5rUEVjTFV</w:t>
      </w:r>
    </w:p>
    <w:p>
      <w:pPr>
        <w:spacing w:before="120" w:after="40"/>
      </w:pPr>
      <w:r>
        <w:rPr>
          <w:b/>
          <w:color w:val="00467F"/>
          <w:sz w:val="20"/>
        </w:rPr>
        <w:t>🔑 politique  (1 alerte(s))</w:t>
      </w:r>
    </w:p>
    <w:p>
      <w:pPr>
        <w:spacing w:before="40" w:after="40"/>
        <w:ind w:left="360"/>
      </w:pPr>
      <w:r>
        <w:rPr>
          <w:color w:val="646464"/>
          <w:sz w:val="17"/>
        </w:rPr>
        <w:t xml:space="preserve">[10/09/2026] 🔴  </w:t>
      </w:r>
      <w:r>
        <w:rPr>
          <w:b/>
          <w:color w:val="C00000"/>
          <w:sz w:val="18"/>
        </w:rPr>
        <w:t>Dette, FMI, déficit : qui est responsable de la crise au Sénégal ? - BBC</w:t>
      </w:r>
      <w:r>
        <w:rPr>
          <w:color w:val="787878"/>
          <w:sz w:val="15"/>
        </w:rPr>
        <w:t xml:space="preserve">  [politique]</w:t>
      </w:r>
      <w:r>
        <w:rPr>
          <w:color w:val="B47800"/>
          <w:sz w:val="16"/>
        </w:rPr>
        <w:t xml:space="preserve">  ★ 50/10</w:t>
      </w:r>
    </w:p>
    <w:p>
      <w:pPr>
        <w:spacing w:before="0" w:after="20"/>
        <w:ind w:left="600"/>
      </w:pPr>
      <w:r>
        <w:rPr>
          <w:color w:val="323232"/>
          <w:sz w:val="17"/>
        </w:rPr>
        <w:t>L'article de la BBC examine les responsabilités dans la crise économique et budgétaire que traverse le Sénégal, en mettant en lumière le rôle de la dette publique, des programmes du FMI et du déficit budgétaire. Il souligne les débats politiques autour de la gestion des finances publiques et les conséquences sociales pour la population. La question</w:t>
      </w:r>
    </w:p>
    <w:p>
      <w:pPr>
        <w:spacing w:before="0" w:after="40"/>
        <w:ind w:left="600"/>
      </w:pPr>
      <w:r>
        <w:rPr>
          <w:color w:val="00643C"/>
          <w:sz w:val="16"/>
        </w:rPr>
        <w:t>Points clés : Le Sénégal fait face à une crise économique marquée par un endettement élevé et un déficit budgétaire important.  •  Le FMI et les politiques d'austérité sont pointés du doigt par certains, tandis que d'autres accusent la mauvaise gestion des autorités.  •  Les conséquences sociales et politiques de cette crise alimentent le débat public et les tensions.</w:t>
      </w:r>
    </w:p>
    <w:p>
      <w:pPr>
        <w:spacing w:before="0" w:after="60"/>
        <w:ind w:left="600"/>
      </w:pPr>
      <w:r>
        <w:rPr>
          <w:color w:val="0064B4"/>
          <w:sz w:val="15"/>
        </w:rPr>
        <w:t>Source : https://news.google.com/rss/articles/CBMiXkFVX3lxTE5md1RyUVdwTUtRRUFIQWlUZTVYVFl</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3,500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8,300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10,450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17,285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3,030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4,095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7,150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22,450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13,400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2,550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18,300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39,275</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34,300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7,100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24,400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2,400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3,290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37,905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33,010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2,120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3,205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1,560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2,135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10,100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2,575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8,990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5,595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2,750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5,400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22,200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4,385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8,495</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54,000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3,500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17,285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38,500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7,150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13,400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2,550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CABC</w:t>
            </w:r>
          </w:p>
        </w:tc>
        <w:tc>
          <w:tcPr>
            <w:tcW w:type="dxa" w:w="1728"/>
            <w:shd w:fill="E2EFDA" w:val="clear"/>
          </w:tcPr>
          <w:p>
            <w:r>
              <w:rPr>
                <w:sz w:val="17"/>
              </w:rPr>
              <w:t>CABC - SICABLE COTE D'IVOIRE</w:t>
            </w:r>
          </w:p>
        </w:tc>
        <w:tc>
          <w:tcPr>
            <w:tcW w:type="dxa" w:w="1728"/>
            <w:shd w:fill="E2EFDA" w:val="clear"/>
          </w:tcPr>
          <w:p>
            <w:r>
              <w:rPr>
                <w:sz w:val="17"/>
              </w:rPr>
              <w:t>3,500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8,300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10,450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17,285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3,030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CABC</w:t>
            </w:r>
          </w:p>
        </w:tc>
        <w:tc>
          <w:tcPr>
            <w:tcW w:type="dxa" w:w="1728"/>
            <w:shd w:fill="FCE4D6" w:val="clear"/>
          </w:tcPr>
          <w:p>
            <w:r>
              <w:rPr>
                <w:sz w:val="17"/>
              </w:rPr>
              <w:t>CABC - SICABLE COTE D'IVOIRE</w:t>
            </w:r>
          </w:p>
        </w:tc>
        <w:tc>
          <w:tcPr>
            <w:tcW w:type="dxa" w:w="1728"/>
            <w:shd w:fill="FCE4D6" w:val="clear"/>
          </w:tcPr>
          <w:p>
            <w:r>
              <w:rPr>
                <w:sz w:val="17"/>
              </w:rPr>
              <w:t>3,500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8,300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10,450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17,285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3,030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BOABF — BANK OF AFRICA BURKINA FASO</w:t>
      </w:r>
    </w:p>
    <w:p>
      <w:pPr>
        <w:pStyle w:val="ListBullet"/>
        <w:spacing w:before="20"/>
        <w:ind w:left="400"/>
      </w:pPr>
      <w:r>
        <w:rPr>
          <w:sz w:val="18"/>
        </w:rPr>
        <w:t>🔴 RSI surachat (81.3 &gt; 70) — risque de correction</w:t>
      </w:r>
    </w:p>
    <w:p>
      <w:pPr>
        <w:pStyle w:val="ListBullet"/>
        <w:spacing w:before="20"/>
        <w:ind w:left="400"/>
      </w:pPr>
      <w:r>
        <w:rPr>
          <w:sz w:val="18"/>
        </w:rPr>
        <w:t>⚠️ Cours à 1.1% du plus haut 100j (9,090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(89.0 &gt; 70) — risque de correction</w:t>
      </w:r>
    </w:p>
    <w:p>
      <w:pPr>
        <w:pStyle w:val="ListBullet"/>
        <w:spacing w:before="20"/>
        <w:ind w:left="400"/>
      </w:pPr>
      <w:r>
        <w:rPr>
          <w:sz w:val="18"/>
        </w:rPr>
        <w:t>⚠️ Cours à 0.0% du plus haut 100j (4,095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(75.2 &gt; 70) — risque de correction</w:t>
      </w:r>
    </w:p>
    <w:p>
      <w:pPr>
        <w:pStyle w:val="ListBullet"/>
        <w:spacing w:before="20"/>
        <w:ind w:left="400"/>
      </w:pPr>
      <w:r>
        <w:rPr>
          <w:sz w:val="18"/>
        </w:rPr>
        <w:t>⚠️ Cours à 2.9% du plus haut 100j (34,000 FCFA)</w:t>
      </w:r>
    </w:p>
    <w:p>
      <w:pPr>
        <w:spacing w:before="120"/>
      </w:pPr>
      <w:r>
        <w:rPr>
          <w:b/>
          <w:color w:val="0050A0"/>
          <w:sz w:val="20"/>
        </w:rPr>
        <w:t>BOAM — BANK OF AFRICA MALI</w:t>
      </w:r>
    </w:p>
    <w:p>
      <w:pPr>
        <w:pStyle w:val="ListBullet"/>
        <w:spacing w:before="20"/>
        <w:ind w:left="400"/>
      </w:pPr>
      <w:r>
        <w:rPr>
          <w:sz w:val="18"/>
        </w:rPr>
        <w:t>🔴 RSI surachat (74.1 &gt; 70) — risque de correction</w:t>
      </w:r>
    </w:p>
    <w:p>
      <w:pPr>
        <w:pStyle w:val="ListBullet"/>
        <w:spacing w:before="20"/>
        <w:ind w:left="400"/>
      </w:pPr>
      <w:r>
        <w:rPr>
          <w:sz w:val="18"/>
        </w:rPr>
        <w:t>⚠️ Cours à 0.6% du plus haut 100j (7,195 FCFA)</w:t>
      </w:r>
    </w:p>
    <w:p>
      <w:pPr>
        <w:spacing w:before="120"/>
      </w:pPr>
      <w:r>
        <w:rPr>
          <w:b/>
          <w:color w:val="0050A0"/>
          <w:sz w:val="20"/>
        </w:rPr>
        <w:t>BOAN — BANK OF AFRICA NIGER</w:t>
      </w:r>
    </w:p>
    <w:p>
      <w:pPr>
        <w:pStyle w:val="ListBullet"/>
        <w:spacing w:before="20"/>
        <w:ind w:left="400"/>
      </w:pPr>
      <w:r>
        <w:rPr>
          <w:sz w:val="18"/>
        </w:rPr>
        <w:t>⚠️ Cours à 0.9% du plus haut 100j (5,645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(79.9 &gt; 70) — risque de correction</w:t>
      </w:r>
    </w:p>
    <w:p>
      <w:pPr>
        <w:pStyle w:val="ListBullet"/>
        <w:spacing w:before="20"/>
        <w:ind w:left="400"/>
      </w:pPr>
      <w:r>
        <w:rPr>
          <w:sz w:val="18"/>
        </w:rPr>
        <w:t>⚠️ Cours à 0.0% du plus haut 100j (34,300 FCFA)</w:t>
      </w:r>
    </w:p>
    <w:p>
      <w:pPr>
        <w:spacing w:before="120"/>
      </w:pPr>
      <w:r>
        <w:rPr>
          <w:b/>
          <w:color w:val="0050A0"/>
          <w:sz w:val="20"/>
        </w:rPr>
        <w:t>SDCC — SDCC - Société de Distribution d'Eau de Côte d'Ivoire</w:t>
      </w:r>
    </w:p>
    <w:p>
      <w:pPr>
        <w:pStyle w:val="ListBullet"/>
        <w:spacing w:before="20"/>
        <w:ind w:left="400"/>
      </w:pPr>
      <w:r>
        <w:rPr>
          <w:sz w:val="18"/>
        </w:rPr>
        <w:t>🔴 RSI surachat (70.9 &gt; 70) — risque de correction</w:t>
      </w:r>
    </w:p>
    <w:p>
      <w:pPr>
        <w:pStyle w:val="ListBullet"/>
        <w:spacing w:before="20"/>
        <w:ind w:left="400"/>
      </w:pPr>
      <w:r>
        <w:rPr>
          <w:sz w:val="18"/>
        </w:rPr>
        <w:t>⚠️ Cours à 2.3% du plus haut 100j (13,710 FCFA)</w:t>
      </w:r>
    </w:p>
    <w:p>
      <w:pPr>
        <w:spacing w:before="120"/>
      </w:pPr>
      <w:r>
        <w:rPr>
          <w:b/>
          <w:color w:val="0050A0"/>
          <w:sz w:val="20"/>
        </w:rPr>
        <w:t>SMBC — SMBC - Société Multinationale de Bitumes COTE D'IVOIRE</w:t>
      </w:r>
    </w:p>
    <w:p>
      <w:pPr>
        <w:pStyle w:val="ListBullet"/>
        <w:spacing w:before="20"/>
        <w:ind w:left="400"/>
      </w:pPr>
      <w:r>
        <w:rPr>
          <w:sz w:val="18"/>
        </w:rPr>
        <w:t>🔴 RSI surachat (81.8 &gt; 70) — risque de correction</w:t>
      </w:r>
    </w:p>
    <w:p>
      <w:pPr>
        <w:pStyle w:val="ListBullet"/>
        <w:spacing w:before="20"/>
        <w:ind w:left="400"/>
      </w:pPr>
      <w:r>
        <w:rPr>
          <w:sz w:val="18"/>
        </w:rPr>
        <w:t>⚠️ Cours à 1.1% du plus haut 100j (18,500 FCFA)</w:t>
      </w:r>
    </w:p>
    <w:p>
      <w:pPr>
        <w:spacing w:before="120"/>
      </w:pPr>
      <w:r>
        <w:rPr>
          <w:b/>
          <w:color w:val="0050A0"/>
          <w:sz w:val="20"/>
        </w:rPr>
        <w:t>BICB — BIIC BN - Banque internationale pour le commerce du benin</w:t>
      </w:r>
    </w:p>
    <w:p>
      <w:pPr>
        <w:pStyle w:val="ListBullet"/>
        <w:spacing w:before="20"/>
        <w:ind w:left="400"/>
      </w:pPr>
      <w:r>
        <w:rPr>
          <w:sz w:val="18"/>
        </w:rPr>
        <w:t>🔴 RSI surachat (81.0 &gt; 70) — risque de correction</w:t>
      </w:r>
    </w:p>
    <w:p>
      <w:pPr>
        <w:spacing w:before="120"/>
      </w:pPr>
      <w:r>
        <w:rPr>
          <w:b/>
          <w:color w:val="0050A0"/>
          <w:sz w:val="20"/>
        </w:rPr>
        <w:t>BOAB — BANK OF AFRICA BENIN</w:t>
      </w:r>
    </w:p>
    <w:p>
      <w:pPr>
        <w:pStyle w:val="ListBullet"/>
        <w:spacing w:before="20"/>
        <w:ind w:left="400"/>
      </w:pPr>
      <w:r>
        <w:rPr>
          <w:sz w:val="18"/>
        </w:rPr>
        <w:t>⚠️ Cours à 2.4% du plus haut 100j (10,350 FCFA)</w:t>
      </w:r>
    </w:p>
    <w:p>
      <w:pPr>
        <w:spacing w:before="120"/>
      </w:pPr>
      <w:r>
        <w:rPr>
          <w:b/>
          <w:color w:val="0050A0"/>
          <w:sz w:val="20"/>
        </w:rPr>
        <w:t>BOAC — BANK OF AFRICA COTE D'IVOIRE</w:t>
      </w:r>
    </w:p>
    <w:p>
      <w:pPr>
        <w:pStyle w:val="ListBullet"/>
        <w:spacing w:before="20"/>
        <w:ind w:left="400"/>
      </w:pPr>
      <w:r>
        <w:rPr>
          <w:sz w:val="18"/>
        </w:rPr>
        <w:t>🟢 RSI survente (20.9 &lt; 30) — opportunité potentielle</w:t>
      </w:r>
    </w:p>
    <w:p>
      <w:pPr>
        <w:spacing w:before="120"/>
      </w:pPr>
      <w:r>
        <w:rPr>
          <w:b/>
          <w:color w:val="0050A0"/>
          <w:sz w:val="20"/>
        </w:rPr>
        <w:t>CABC — CABC - SICABLE COTE D'IVOIRE</w:t>
      </w:r>
    </w:p>
    <w:p>
      <w:pPr>
        <w:pStyle w:val="ListBullet"/>
        <w:spacing w:before="20"/>
        <w:ind w:left="400"/>
      </w:pPr>
      <w:r>
        <w:rPr>
          <w:sz w:val="18"/>
        </w:rPr>
        <w:t>🟢 RSI survente (25.9 &lt; 30) — opportunité potentielle</w:t>
      </w:r>
    </w:p>
    <w:p>
      <w:pPr>
        <w:spacing w:before="120"/>
      </w:pPr>
      <w:r>
        <w:rPr>
          <w:b/>
          <w:color w:val="0050A0"/>
          <w:sz w:val="20"/>
        </w:rPr>
        <w:t>ECOC — ECOC - ECOBANK COTE D'IVOIRE</w:t>
      </w:r>
    </w:p>
    <w:p>
      <w:pPr>
        <w:pStyle w:val="ListBullet"/>
        <w:spacing w:before="20"/>
        <w:ind w:left="400"/>
      </w:pPr>
      <w:r>
        <w:rPr>
          <w:sz w:val="18"/>
        </w:rPr>
        <w:t>⚠️ Cours à 2.5% du plus haut 100j (17,725 FCFA)</w:t>
      </w:r>
    </w:p>
    <w:p>
      <w:pPr>
        <w:spacing w:before="120"/>
      </w:pPr>
      <w:r>
        <w:rPr>
          <w:b/>
          <w:color w:val="0050A0"/>
          <w:sz w:val="20"/>
        </w:rPr>
        <w:t>NSBC — NSBC - NSIA BANQUE COTE D'IVOIRE</w:t>
      </w:r>
    </w:p>
    <w:p>
      <w:pPr>
        <w:pStyle w:val="ListBullet"/>
        <w:spacing w:before="20"/>
        <w:ind w:left="400"/>
      </w:pPr>
      <w:r>
        <w:rPr>
          <w:sz w:val="18"/>
        </w:rPr>
        <w:t>⚠️ Cours à 1.9% du plus haut 100j (24,885 FCFA)</w:t>
      </w:r>
    </w:p>
    <w:p>
      <w:pPr>
        <w:spacing w:before="120"/>
      </w:pPr>
      <w:r>
        <w:rPr>
          <w:b/>
          <w:color w:val="0050A0"/>
          <w:sz w:val="20"/>
        </w:rPr>
        <w:t>ORAC — ORAC - ORANGE COTE D'IVOIRE</w:t>
      </w:r>
    </w:p>
    <w:p>
      <w:pPr>
        <w:pStyle w:val="ListBullet"/>
        <w:spacing w:before="20"/>
        <w:ind w:left="400"/>
      </w:pPr>
      <w:r>
        <w:rPr>
          <w:sz w:val="18"/>
        </w:rPr>
        <w:t>⚠️ Cours à 0.0% du plus haut 100j (22,450 FCFA)</w:t>
      </w:r>
    </w:p>
    <w:p>
      <w:pPr>
        <w:spacing w:before="120"/>
      </w:pPr>
      <w:r>
        <w:rPr>
          <w:b/>
          <w:color w:val="0050A0"/>
          <w:sz w:val="20"/>
        </w:rPr>
        <w:t>PALC — PALC - PALM COTE D'IVOIRE</w:t>
      </w:r>
    </w:p>
    <w:p>
      <w:pPr>
        <w:pStyle w:val="ListBullet"/>
        <w:spacing w:before="20"/>
        <w:ind w:left="400"/>
      </w:pPr>
      <w:r>
        <w:rPr>
          <w:sz w:val="18"/>
        </w:rPr>
        <w:t>🟢 RSI survente (21.1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2.0% du plus haut 100j (39,300 FCFA)</w:t>
      </w:r>
    </w:p>
    <w:p>
      <w:pPr>
        <w:spacing w:before="120"/>
      </w:pPr>
      <w:r>
        <w:rPr>
          <w:b/>
          <w:color w:val="0050A0"/>
          <w:sz w:val="20"/>
        </w:rPr>
        <w:t>SHEC — SHEC - VIVO ENERGY COTE D'IVOIRE</w:t>
      </w:r>
    </w:p>
    <w:p>
      <w:pPr>
        <w:pStyle w:val="ListBullet"/>
        <w:spacing w:before="20"/>
        <w:ind w:left="400"/>
      </w:pPr>
      <w:r>
        <w:rPr>
          <w:sz w:val="18"/>
        </w:rPr>
        <w:t>⚠️ Cours à 0.0% du plus haut 100j (2,550 FCFA)</w:t>
      </w:r>
    </w:p>
    <w:p>
      <w:pPr>
        <w:spacing w:before="120"/>
      </w:pPr>
      <w:r>
        <w:rPr>
          <w:b/>
          <w:color w:val="0050A0"/>
          <w:sz w:val="20"/>
        </w:rPr>
        <w:t>SIBC — SIBC - SOCIETE IVOIRIENNE DE BANQUE</w:t>
      </w:r>
    </w:p>
    <w:p>
      <w:pPr>
        <w:pStyle w:val="ListBullet"/>
        <w:spacing w:before="20"/>
        <w:ind w:left="400"/>
      </w:pPr>
      <w:r>
        <w:rPr>
          <w:sz w:val="18"/>
        </w:rPr>
        <w:t>⚠️ Cours à 2.1% du plus haut 100j (9,500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0.0% du plus haut 100j (39,275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22 société(s) (47%)</w:t>
            </w:r>
          </w:p>
        </w:tc>
        <w:tc>
          <w:tcPr>
            <w:tcW w:type="dxa" w:w="1644"/>
            <w:shd w:fill="FFEB9C" w:val="clear"/>
          </w:tcPr>
          <w:p>
            <w:r>
              <w:rPr>
                <w:b/>
                <w:color w:val="825A00"/>
                <w:sz w:val="19"/>
              </w:rPr>
              <w:t>25 société(s) (53%)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#4 CBIBF (30.1/100 — Moyen) : </w:t>
      </w:r>
      <w:r>
        <w:rPr>
          <w:sz w:val="17"/>
        </w:rPr>
        <w:t>Volatilité=Élevée | Bêta=Neutre  | Liquidité=Bonne | Divergence signaux=taux divergence=40% (Très divergent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29.5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24.0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17.8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-3.79%  |  Médiane : -3.26%</w:t>
            </w:r>
          </w:p>
        </w:tc>
      </w:tr>
      <w:tr>
        <w:tc>
          <w:tcPr>
            <w:tcW w:type="dxa" w:w="2835"/>
            <w:shd w:fill="DEEAF1" w:val="clear"/>
          </w:tcPr>
          <w:p>
            <w:r>
              <w:rPr>
                <w:b/>
                <w:sz w:val="18"/>
              </w:rPr>
              <w:t>Répartition</w:t>
            </w:r>
          </w:p>
        </w:tc>
        <w:tc>
          <w:tcPr>
            <w:tcW w:type="dxa" w:w="7370"/>
          </w:tcPr>
          <w:p>
            <w:r>
              <w:rPr>
                <w:b/>
                <w:sz w:val="18"/>
              </w:rPr>
              <w:t>📈 8 sociétés en hausse (&gt;+1%)   📉 35 en baisse (&lt;-1%)   ➡️ 4 neutres</w:t>
            </w:r>
          </w:p>
        </w:tc>
      </w:tr>
      <w:tr>
        <w:tc>
          <w:tcPr>
            <w:tcW w:type="dxa" w:w="2835"/>
            <w:shd w:fill="DEEAF1" w:val="clear"/>
          </w:tcPr>
          <w:p>
            <w:r>
              <w:rPr>
                <w:b/>
                <w:sz w:val="18"/>
              </w:rPr>
              <w:t>Confiance globale</w:t>
            </w:r>
          </w:p>
        </w:tc>
        <w:tc>
          <w:tcPr>
            <w:tcW w:type="dxa" w:w="7370"/>
          </w:tcPr>
          <w:p>
            <w:r>
              <w:rPr>
                <w:b/>
                <w:sz w:val="18"/>
              </w:rPr>
              <w:t>Élevée : 0 sociétés (0%)   Moyenne : 16   Faible : 31 (66%)   → Confiance dominante : Faible</w:t>
            </w:r>
          </w:p>
        </w:tc>
      </w:tr>
    </w:tbl>
    <w:p/>
    <w:p>
      <w:r>
        <w:rPr>
          <w:i/>
          <w:color w:val="282828"/>
          <w:sz w:val="18"/>
        </w:rPr>
        <w:t>📝 Analyse : Les modèles anticipent une correction généralisée. 35 sociétés sur 47 sont orientées à la baisse avec une variation moyenne de -3.79%.</w:t>
      </w:r>
    </w:p>
    <w:p>
      <w:r>
        <w:rPr>
          <w:i/>
          <w:color w:val="282828"/>
          <w:sz w:val="18"/>
        </w:rPr>
        <w:t>🎯 Fiabilité : ⚠️ La confiance est globalement FAIBLE (66%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37,905 FCFA</w:t>
            </w:r>
          </w:p>
        </w:tc>
        <w:tc>
          <w:tcPr>
            <w:tcW w:type="dxa" w:w="1417"/>
            <w:shd w:fill="FFFFFF" w:val="clear"/>
          </w:tcPr>
          <w:p>
            <w:r>
              <w:rPr>
                <w:sz w:val="16"/>
              </w:rPr>
              <w:t>41,377 FCFA</w:t>
            </w:r>
          </w:p>
        </w:tc>
        <w:tc>
          <w:tcPr>
            <w:tcW w:type="dxa" w:w="1134"/>
            <w:shd w:fill="C6EFCE" w:val="clear"/>
          </w:tcPr>
          <w:p>
            <w:r>
              <w:rPr>
                <w:b/>
                <w:color w:val="007800"/>
                <w:sz w:val="16"/>
              </w:rPr>
              <w:t>+9.16%</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22,200 FCFA</w:t>
            </w:r>
          </w:p>
        </w:tc>
        <w:tc>
          <w:tcPr>
            <w:tcW w:type="dxa" w:w="1417"/>
            <w:shd w:fill="FFFFFF" w:val="clear"/>
          </w:tcPr>
          <w:p>
            <w:r>
              <w:rPr>
                <w:sz w:val="16"/>
              </w:rPr>
              <w:t>24,093 FCFA</w:t>
            </w:r>
          </w:p>
        </w:tc>
        <w:tc>
          <w:tcPr>
            <w:tcW w:type="dxa" w:w="1134"/>
            <w:shd w:fill="C6EFCE" w:val="clear"/>
          </w:tcPr>
          <w:p>
            <w:r>
              <w:rPr>
                <w:b/>
                <w:color w:val="007800"/>
                <w:sz w:val="16"/>
              </w:rPr>
              <w:t>+8.53%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3,290 FCFA</w:t>
            </w:r>
          </w:p>
        </w:tc>
        <w:tc>
          <w:tcPr>
            <w:tcW w:type="dxa" w:w="1417"/>
            <w:shd w:fill="FFFFFF" w:val="clear"/>
          </w:tcPr>
          <w:p>
            <w:r>
              <w:rPr>
                <w:sz w:val="16"/>
              </w:rPr>
              <w:t>3,446 FCFA</w:t>
            </w:r>
          </w:p>
        </w:tc>
        <w:tc>
          <w:tcPr>
            <w:tcW w:type="dxa" w:w="1134"/>
            <w:shd w:fill="C6EFCE" w:val="clear"/>
          </w:tcPr>
          <w:p>
            <w:r>
              <w:rPr>
                <w:b/>
                <w:color w:val="007800"/>
                <w:sz w:val="16"/>
              </w:rPr>
              <w:t>+4.74%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LNBB — LNBB - LOTERIE NATIONALE DU BENIN</w:t>
            </w:r>
          </w:p>
        </w:tc>
        <w:tc>
          <w:tcPr>
            <w:tcW w:type="dxa" w:w="1701"/>
            <w:shd w:fill="FFFFFF" w:val="clear"/>
          </w:tcPr>
          <w:p>
            <w:r>
              <w:rPr>
                <w:sz w:val="16"/>
              </w:rPr>
              <w:t>CONSOMMATION DISCRET</w:t>
            </w:r>
          </w:p>
        </w:tc>
        <w:tc>
          <w:tcPr>
            <w:tcW w:type="dxa" w:w="1417"/>
            <w:shd w:fill="FFFFFF" w:val="clear"/>
          </w:tcPr>
          <w:p>
            <w:r>
              <w:rPr>
                <w:sz w:val="16"/>
              </w:rPr>
              <w:t>4,000 FCFA</w:t>
            </w:r>
          </w:p>
        </w:tc>
        <w:tc>
          <w:tcPr>
            <w:tcW w:type="dxa" w:w="1417"/>
            <w:shd w:fill="FFFFFF" w:val="clear"/>
          </w:tcPr>
          <w:p>
            <w:r>
              <w:rPr>
                <w:sz w:val="16"/>
              </w:rPr>
              <w:t>4,174 FCFA</w:t>
            </w:r>
          </w:p>
        </w:tc>
        <w:tc>
          <w:tcPr>
            <w:tcW w:type="dxa" w:w="1134"/>
            <w:shd w:fill="C6EFCE" w:val="clear"/>
          </w:tcPr>
          <w:p>
            <w:r>
              <w:rPr>
                <w:b/>
                <w:color w:val="007800"/>
                <w:sz w:val="16"/>
              </w:rPr>
              <w:t>+4.36%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13,400 FCFA</w:t>
            </w:r>
          </w:p>
        </w:tc>
        <w:tc>
          <w:tcPr>
            <w:tcW w:type="dxa" w:w="1417"/>
            <w:shd w:fill="FFFFFF" w:val="clear"/>
          </w:tcPr>
          <w:p>
            <w:r>
              <w:rPr>
                <w:sz w:val="16"/>
              </w:rPr>
              <w:t>13,976 FCFA</w:t>
            </w:r>
          </w:p>
        </w:tc>
        <w:tc>
          <w:tcPr>
            <w:tcW w:type="dxa" w:w="1134"/>
            <w:shd w:fill="C6EFCE" w:val="clear"/>
          </w:tcPr>
          <w:p>
            <w:r>
              <w:rPr>
                <w:b/>
                <w:color w:val="007800"/>
                <w:sz w:val="16"/>
              </w:rPr>
              <w:t>+4.30%</w:t>
            </w:r>
          </w:p>
        </w:tc>
        <w:tc>
          <w:tcPr>
            <w:tcW w:type="dxa" w:w="1020"/>
            <w:shd w:fill="FFC7CE" w:val="clear"/>
          </w:tcPr>
          <w:p>
            <w:r>
              <w:rPr>
                <w:sz w:val="16"/>
              </w:rPr>
              <w:t>Faible</w:t>
            </w:r>
          </w:p>
        </w:tc>
      </w:tr>
    </w:tbl>
    <w:p/>
    <w:p>
      <w:pPr>
        <w:pStyle w:val="ListBullet"/>
      </w:pPr>
      <w:r>
        <w:rPr>
          <w:b/>
          <w:color w:val="006400"/>
          <w:sz w:val="18"/>
        </w:rPr>
        <w:t xml:space="preserve">#1 SLBC </w:t>
      </w:r>
      <w:r>
        <w:rPr>
          <w:sz w:val="17"/>
        </w:rPr>
        <w:t>(SLBC - SOLIBRA COTE D'IVOIRE) — hausse modérée (+9.2%) — signal raisonnable et crédible. Trajectoire : 📈 Hausse continue. Cours actuel : 37,905 FCFA → prédit J+10 : 41,377 FCFA. Confiance partielle — les premiers jours sont fiables, les jours lointains moins précis.</w:t>
      </w:r>
    </w:p>
    <w:p>
      <w:pPr>
        <w:pStyle w:val="ListBullet"/>
      </w:pPr>
      <w:r>
        <w:rPr>
          <w:b/>
          <w:color w:val="006400"/>
          <w:sz w:val="18"/>
        </w:rPr>
        <w:t xml:space="preserve">#2 STBC </w:t>
      </w:r>
      <w:r>
        <w:rPr>
          <w:sz w:val="17"/>
        </w:rPr>
        <w:t>(STBC - SITAB COTE D'IVOIRE) — hausse modérée (+8.5%) — signal raisonnable et crédible. Trajectoire : 📈 Hausse continue. Cours actuel : 22,200 FCFA → prédit J+10 : 24,093 FCFA. ⚠️ Confiance limitée — volatilité élevée ou données insuffisantes. Résultat indicatif uniquement.</w:t>
      </w:r>
    </w:p>
    <w:p>
      <w:pPr>
        <w:pStyle w:val="ListBullet"/>
      </w:pPr>
      <w:r>
        <w:rPr>
          <w:b/>
          <w:color w:val="006400"/>
          <w:sz w:val="18"/>
        </w:rPr>
        <w:t xml:space="preserve">#3 SCRC </w:t>
      </w:r>
      <w:r>
        <w:rPr>
          <w:sz w:val="17"/>
        </w:rPr>
        <w:t>(SCRC - SUCRIVOIRE) — légère hausse (+4.7%) — progression graduelle attendue. Trajectoire : 📈 Hausse continue. Cours actuel : 3,290 FCFA → prédit J+10 : 3,446 FCFA. ⚠️ Confiance limitée — volatilité élevée ou données insuffisantes. Résultat indicatif uniquement.</w:t>
      </w:r>
    </w:p>
    <w:p>
      <w:pPr>
        <w:pStyle w:val="ListBullet"/>
      </w:pPr>
      <w:r>
        <w:rPr>
          <w:b/>
          <w:color w:val="006400"/>
          <w:sz w:val="18"/>
        </w:rPr>
        <w:t xml:space="preserve">#4 LNBB </w:t>
      </w:r>
      <w:r>
        <w:rPr>
          <w:sz w:val="17"/>
        </w:rPr>
        <w:t>(LNBB - LOTERIE NATIONALE DU BENIN) — légère hausse (+4.4%) — progression graduelle attendue. Trajectoire : 📈 Hausse continue. Cours actuel : 4,000 FCFA → prédit J+10 : 4,174 FCFA. ⚠️ Confiance limitée — volatilité élevée ou données insuffisantes. Résultat indicatif uniquement.</w:t>
      </w:r>
    </w:p>
    <w:p>
      <w:pPr>
        <w:pStyle w:val="ListBullet"/>
      </w:pPr>
      <w:r>
        <w:rPr>
          <w:b/>
          <w:color w:val="006400"/>
          <w:sz w:val="18"/>
        </w:rPr>
        <w:t xml:space="preserve">#5 SDCC </w:t>
      </w:r>
      <w:r>
        <w:rPr>
          <w:sz w:val="17"/>
        </w:rPr>
        <w:t>(SDCC - Société de Distribution d'Eau de ) — légère hausse (+4.3%) — progression graduelle attendue. Trajectoire : 📈 Hausse continue. Cours actuel : 13,400 FCFA → prédit J+10 : 13,976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34,300 FCFA</w:t>
            </w:r>
          </w:p>
        </w:tc>
        <w:tc>
          <w:tcPr>
            <w:tcW w:type="dxa" w:w="1417"/>
            <w:shd w:fill="FFFFFF" w:val="clear"/>
          </w:tcPr>
          <w:p>
            <w:r>
              <w:rPr>
                <w:sz w:val="16"/>
              </w:rPr>
              <w:t>28,507 FCFA</w:t>
            </w:r>
          </w:p>
        </w:tc>
        <w:tc>
          <w:tcPr>
            <w:tcW w:type="dxa" w:w="1134"/>
            <w:shd w:fill="FFC7CE" w:val="clear"/>
          </w:tcPr>
          <w:p>
            <w:r>
              <w:rPr>
                <w:b/>
                <w:color w:val="B40000"/>
                <w:sz w:val="16"/>
              </w:rPr>
              <w:t>-16.89%</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7,100 FCFA</w:t>
            </w:r>
          </w:p>
        </w:tc>
        <w:tc>
          <w:tcPr>
            <w:tcW w:type="dxa" w:w="1417"/>
            <w:shd w:fill="FFFFFF" w:val="clear"/>
          </w:tcPr>
          <w:p>
            <w:r>
              <w:rPr>
                <w:sz w:val="16"/>
              </w:rPr>
              <w:t>5,987 FCFA</w:t>
            </w:r>
          </w:p>
        </w:tc>
        <w:tc>
          <w:tcPr>
            <w:tcW w:type="dxa" w:w="1134"/>
            <w:shd w:fill="FFC7CE" w:val="clear"/>
          </w:tcPr>
          <w:p>
            <w:r>
              <w:rPr>
                <w:b/>
                <w:color w:val="B40000"/>
                <w:sz w:val="16"/>
              </w:rPr>
              <w:t>-15.67%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8,495 FCFA</w:t>
            </w:r>
          </w:p>
        </w:tc>
        <w:tc>
          <w:tcPr>
            <w:tcW w:type="dxa" w:w="1417"/>
            <w:shd w:fill="FFFFFF" w:val="clear"/>
          </w:tcPr>
          <w:p>
            <w:r>
              <w:rPr>
                <w:sz w:val="16"/>
              </w:rPr>
              <w:t>7,294 FCFA</w:t>
            </w:r>
          </w:p>
        </w:tc>
        <w:tc>
          <w:tcPr>
            <w:tcW w:type="dxa" w:w="1134"/>
            <w:shd w:fill="FFC7CE" w:val="clear"/>
          </w:tcPr>
          <w:p>
            <w:r>
              <w:rPr>
                <w:b/>
                <w:color w:val="B40000"/>
                <w:sz w:val="16"/>
              </w:rPr>
              <w:t>-14.14%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2,550 FCFA</w:t>
            </w:r>
          </w:p>
        </w:tc>
        <w:tc>
          <w:tcPr>
            <w:tcW w:type="dxa" w:w="1417"/>
            <w:shd w:fill="FFFFFF" w:val="clear"/>
          </w:tcPr>
          <w:p>
            <w:r>
              <w:rPr>
                <w:sz w:val="16"/>
              </w:rPr>
              <w:t>2,203 FCFA</w:t>
            </w:r>
          </w:p>
        </w:tc>
        <w:tc>
          <w:tcPr>
            <w:tcW w:type="dxa" w:w="1134"/>
            <w:shd w:fill="FFC7CE" w:val="clear"/>
          </w:tcPr>
          <w:p>
            <w:r>
              <w:rPr>
                <w:b/>
                <w:color w:val="B40000"/>
                <w:sz w:val="16"/>
              </w:rPr>
              <w:t>-13.60%</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4,095 FCFA</w:t>
            </w:r>
          </w:p>
        </w:tc>
        <w:tc>
          <w:tcPr>
            <w:tcW w:type="dxa" w:w="1417"/>
            <w:shd w:fill="FFFFFF" w:val="clear"/>
          </w:tcPr>
          <w:p>
            <w:r>
              <w:rPr>
                <w:sz w:val="16"/>
              </w:rPr>
              <w:t>3,594 FCFA</w:t>
            </w:r>
          </w:p>
        </w:tc>
        <w:tc>
          <w:tcPr>
            <w:tcW w:type="dxa" w:w="1134"/>
            <w:shd w:fill="FFC7CE" w:val="clear"/>
          </w:tcPr>
          <w:p>
            <w:r>
              <w:rPr>
                <w:b/>
                <w:color w:val="B40000"/>
                <w:sz w:val="16"/>
              </w:rPr>
              <w:t>-12.24%</w:t>
            </w:r>
          </w:p>
        </w:tc>
        <w:tc>
          <w:tcPr>
            <w:tcW w:type="dxa" w:w="1020"/>
            <w:shd w:fill="FFC7CE" w:val="clear"/>
          </w:tcPr>
          <w:p>
            <w:r>
              <w:rPr>
                <w:sz w:val="16"/>
              </w:rPr>
              <w:t>Faible</w:t>
            </w:r>
          </w:p>
        </w:tc>
      </w:tr>
    </w:tbl>
    <w:p/>
    <w:p>
      <w:pPr>
        <w:pStyle w:val="ListBullet"/>
      </w:pPr>
      <w:r>
        <w:rPr>
          <w:b/>
          <w:color w:val="B40000"/>
          <w:sz w:val="18"/>
        </w:rPr>
        <w:t xml:space="preserve">#1 CBIBF </w:t>
      </w:r>
      <w:r>
        <w:rPr>
          <w:sz w:val="17"/>
        </w:rPr>
        <w:t>(CBIBF - CORIS BANK INTERNATIONAL BURKINA) — correction importante (-16.9%) — signal de dégradation significative. Trajectoire : 📉 Baisse continue. Cours actuel : 34,300 FCFA → prédit J+10 : 28,507 FCFA. Confiance partielle — surveiller l'évolution réelle des premiers jours.</w:t>
      </w:r>
    </w:p>
    <w:p>
      <w:pPr>
        <w:pStyle w:val="ListBullet"/>
      </w:pPr>
      <w:r>
        <w:rPr>
          <w:b/>
          <w:color w:val="B40000"/>
          <w:sz w:val="18"/>
        </w:rPr>
        <w:t xml:space="preserve">#2 CIEC </w:t>
      </w:r>
      <w:r>
        <w:rPr>
          <w:sz w:val="17"/>
        </w:rPr>
        <w:t>(CIEC - Compagnie Ivoirienne d'Electricit) — correction importante (-15.7%) — signal de dégradation significative. Trajectoire : 📉 Baisse continue. Cours actuel : 7,100 FCFA → prédit J+10 : 5,987 FCFA. ⚠️ Confiance limitée — volatilité élevée. Ne pas agir sur ce seul signal.</w:t>
      </w:r>
    </w:p>
    <w:p>
      <w:pPr>
        <w:pStyle w:val="ListBullet"/>
      </w:pPr>
      <w:r>
        <w:rPr>
          <w:b/>
          <w:color w:val="B40000"/>
          <w:sz w:val="18"/>
        </w:rPr>
        <w:t xml:space="preserve">#3 SICC </w:t>
      </w:r>
      <w:r>
        <w:rPr>
          <w:sz w:val="17"/>
        </w:rPr>
        <w:t>(SICC - SICOR COTE D'IVOIRE) — baisse modérée (-14.1%) — repli technique attendu. Trajectoire : 📉 Baisse continue. Cours actuel : 8,495 FCFA → prédit J+10 : 7,294 FCFA. ⚠️ Confiance limitée — volatilité élevée. Ne pas agir sur ce seul signal.</w:t>
      </w:r>
    </w:p>
    <w:p>
      <w:pPr>
        <w:pStyle w:val="ListBullet"/>
      </w:pPr>
      <w:r>
        <w:rPr>
          <w:b/>
          <w:color w:val="B40000"/>
          <w:sz w:val="18"/>
        </w:rPr>
        <w:t xml:space="preserve">#4 SHEC </w:t>
      </w:r>
      <w:r>
        <w:rPr>
          <w:sz w:val="17"/>
        </w:rPr>
        <w:t>(SHEC - VIVO ENERGY COTE D'IVOIRE) — baisse modérée (-13.6%) — repli technique attendu. Trajectoire : 📉 Baisse continue. Cours actuel : 2,550 FCFA → prédit J+10 : 2,203 FCFA. Confiance partielle — surveiller l'évolution réelle des premiers jours.</w:t>
      </w:r>
    </w:p>
    <w:p>
      <w:pPr>
        <w:pStyle w:val="ListBullet"/>
      </w:pPr>
      <w:r>
        <w:rPr>
          <w:b/>
          <w:color w:val="B40000"/>
          <w:sz w:val="18"/>
        </w:rPr>
        <w:t xml:space="preserve">#5 ABJC </w:t>
      </w:r>
      <w:r>
        <w:rPr>
          <w:sz w:val="17"/>
        </w:rPr>
        <w:t>(ABJC - SERVAIR ABIDJAN CI) — baisse modérée (-12.2%) — repli technique attendu. Trajectoire : 📉 Baisse continue. Cours actuel : 4,095 FCFA → prédit J+10 : 3,594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37,905</w:t>
            </w:r>
          </w:p>
        </w:tc>
        <w:tc>
          <w:tcPr>
            <w:tcW w:type="dxa" w:w="1417"/>
            <w:shd w:fill="FFFFFF" w:val="clear"/>
          </w:tcPr>
          <w:p>
            <w:r>
              <w:rPr>
                <w:sz w:val="16"/>
              </w:rPr>
              <w:t>41,377</w:t>
            </w:r>
          </w:p>
        </w:tc>
        <w:tc>
          <w:tcPr>
            <w:tcW w:type="dxa" w:w="1134"/>
            <w:shd w:fill="C6EFCE" w:val="clear"/>
          </w:tcPr>
          <w:p>
            <w:r>
              <w:rPr>
                <w:b/>
                <w:color w:val="007800"/>
                <w:sz w:val="16"/>
              </w:rPr>
              <w:t>+9.16%</w:t>
            </w:r>
          </w:p>
        </w:tc>
        <w:tc>
          <w:tcPr>
            <w:tcW w:type="dxa" w:w="1134"/>
            <w:shd w:fill="FFEB9C" w:val="clear"/>
          </w:tcPr>
          <w:p>
            <w:r>
              <w:rPr>
                <w:sz w:val="16"/>
              </w:rPr>
              <w:t>Moyenne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22,200</w:t>
            </w:r>
          </w:p>
        </w:tc>
        <w:tc>
          <w:tcPr>
            <w:tcW w:type="dxa" w:w="1417"/>
            <w:shd w:fill="FFFFFF" w:val="clear"/>
          </w:tcPr>
          <w:p>
            <w:r>
              <w:rPr>
                <w:sz w:val="16"/>
              </w:rPr>
              <w:t>24,093</w:t>
            </w:r>
          </w:p>
        </w:tc>
        <w:tc>
          <w:tcPr>
            <w:tcW w:type="dxa" w:w="1134"/>
            <w:shd w:fill="C6EFCE" w:val="clear"/>
          </w:tcPr>
          <w:p>
            <w:r>
              <w:rPr>
                <w:b/>
                <w:color w:val="007800"/>
                <w:sz w:val="16"/>
              </w:rPr>
              <w:t>+8.53%</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3,290</w:t>
            </w:r>
          </w:p>
        </w:tc>
        <w:tc>
          <w:tcPr>
            <w:tcW w:type="dxa" w:w="1417"/>
            <w:shd w:fill="FFFFFF" w:val="clear"/>
          </w:tcPr>
          <w:p>
            <w:r>
              <w:rPr>
                <w:sz w:val="16"/>
              </w:rPr>
              <w:t>3,446</w:t>
            </w:r>
          </w:p>
        </w:tc>
        <w:tc>
          <w:tcPr>
            <w:tcW w:type="dxa" w:w="1134"/>
            <w:shd w:fill="C6EFCE" w:val="clear"/>
          </w:tcPr>
          <w:p>
            <w:r>
              <w:rPr>
                <w:b/>
                <w:color w:val="007800"/>
                <w:sz w:val="16"/>
              </w:rPr>
              <w:t>+4.74%</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4,174</w:t>
            </w:r>
          </w:p>
        </w:tc>
        <w:tc>
          <w:tcPr>
            <w:tcW w:type="dxa" w:w="1134"/>
            <w:shd w:fill="C6EFCE" w:val="clear"/>
          </w:tcPr>
          <w:p>
            <w:r>
              <w:rPr>
                <w:b/>
                <w:color w:val="007800"/>
                <w:sz w:val="16"/>
              </w:rPr>
              <w:t>+4.36%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13,400</w:t>
            </w:r>
          </w:p>
        </w:tc>
        <w:tc>
          <w:tcPr>
            <w:tcW w:type="dxa" w:w="1417"/>
            <w:shd w:fill="FFFFFF" w:val="clear"/>
          </w:tcPr>
          <w:p>
            <w:r>
              <w:rPr>
                <w:sz w:val="16"/>
              </w:rPr>
              <w:t>13,976</w:t>
            </w:r>
          </w:p>
        </w:tc>
        <w:tc>
          <w:tcPr>
            <w:tcW w:type="dxa" w:w="1134"/>
            <w:shd w:fill="C6EFCE" w:val="clear"/>
          </w:tcPr>
          <w:p>
            <w:r>
              <w:rPr>
                <w:b/>
                <w:color w:val="007800"/>
                <w:sz w:val="16"/>
              </w:rPr>
              <w:t>+4.30%</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3,205</w:t>
            </w:r>
          </w:p>
        </w:tc>
        <w:tc>
          <w:tcPr>
            <w:tcW w:type="dxa" w:w="1417"/>
            <w:shd w:fill="FFFFFF" w:val="clear"/>
          </w:tcPr>
          <w:p>
            <w:r>
              <w:rPr>
                <w:sz w:val="16"/>
              </w:rPr>
              <w:t>3,282</w:t>
            </w:r>
          </w:p>
        </w:tc>
        <w:tc>
          <w:tcPr>
            <w:tcW w:type="dxa" w:w="1134"/>
            <w:shd w:fill="C6EFCE" w:val="clear"/>
          </w:tcPr>
          <w:p>
            <w:r>
              <w:rPr>
                <w:b/>
                <w:color w:val="007800"/>
                <w:sz w:val="16"/>
              </w:rPr>
              <w:t>+2.41%</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1,705</w:t>
            </w:r>
          </w:p>
        </w:tc>
        <w:tc>
          <w:tcPr>
            <w:tcW w:type="dxa" w:w="1417"/>
            <w:shd w:fill="FFFFFF" w:val="clear"/>
          </w:tcPr>
          <w:p>
            <w:r>
              <w:rPr>
                <w:sz w:val="16"/>
              </w:rPr>
              <w:t>1,731</w:t>
            </w:r>
          </w:p>
        </w:tc>
        <w:tc>
          <w:tcPr>
            <w:tcW w:type="dxa" w:w="1134"/>
            <w:shd w:fill="C6EFCE" w:val="clear"/>
          </w:tcPr>
          <w:p>
            <w:r>
              <w:rPr>
                <w:b/>
                <w:color w:val="007800"/>
                <w:sz w:val="16"/>
              </w:rPr>
              <w:t>+1.51%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7,150</w:t>
            </w:r>
          </w:p>
        </w:tc>
        <w:tc>
          <w:tcPr>
            <w:tcW w:type="dxa" w:w="1417"/>
            <w:shd w:fill="FFFFFF" w:val="clear"/>
          </w:tcPr>
          <w:p>
            <w:r>
              <w:rPr>
                <w:sz w:val="16"/>
              </w:rPr>
              <w:t>7,238</w:t>
            </w:r>
          </w:p>
        </w:tc>
        <w:tc>
          <w:tcPr>
            <w:tcW w:type="dxa" w:w="1134"/>
            <w:shd w:fill="C6EFCE" w:val="clear"/>
          </w:tcPr>
          <w:p>
            <w:r>
              <w:rPr>
                <w:b/>
                <w:color w:val="007800"/>
                <w:sz w:val="16"/>
              </w:rPr>
              <w:t>+1.23%</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17,285</w:t>
            </w:r>
          </w:p>
        </w:tc>
        <w:tc>
          <w:tcPr>
            <w:tcW w:type="dxa" w:w="1417"/>
            <w:shd w:fill="FFFFFF" w:val="clear"/>
          </w:tcPr>
          <w:p>
            <w:r>
              <w:rPr>
                <w:sz w:val="16"/>
              </w:rPr>
              <w:t>17,446</w:t>
            </w:r>
          </w:p>
        </w:tc>
        <w:tc>
          <w:tcPr>
            <w:tcW w:type="dxa" w:w="1134"/>
            <w:shd w:fill="FFEB9C" w:val="clear"/>
          </w:tcPr>
          <w:p>
            <w:r>
              <w:rPr>
                <w:b/>
                <w:color w:val="646400"/>
                <w:sz w:val="16"/>
              </w:rPr>
              <w:t>+0.93%</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3,030</w:t>
            </w:r>
          </w:p>
        </w:tc>
        <w:tc>
          <w:tcPr>
            <w:tcW w:type="dxa" w:w="1417"/>
            <w:shd w:fill="FFFFFF" w:val="clear"/>
          </w:tcPr>
          <w:p>
            <w:r>
              <w:rPr>
                <w:sz w:val="16"/>
              </w:rPr>
              <w:t>3,032</w:t>
            </w:r>
          </w:p>
        </w:tc>
        <w:tc>
          <w:tcPr>
            <w:tcW w:type="dxa" w:w="1134"/>
            <w:shd w:fill="FFEB9C" w:val="clear"/>
          </w:tcPr>
          <w:p>
            <w:r>
              <w:rPr>
                <w:b/>
                <w:color w:val="646400"/>
                <w:sz w:val="16"/>
              </w:rPr>
              <w:t>+0.08%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16,828</w:t>
            </w:r>
          </w:p>
        </w:tc>
        <w:tc>
          <w:tcPr>
            <w:tcW w:type="dxa" w:w="1134"/>
            <w:shd w:fill="FFEB9C" w:val="clear"/>
          </w:tcPr>
          <w:p>
            <w:r>
              <w:rPr>
                <w:b/>
                <w:color w:val="646400"/>
                <w:sz w:val="16"/>
              </w:rPr>
              <w:t>-0.43%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24,400</w:t>
            </w:r>
          </w:p>
        </w:tc>
        <w:tc>
          <w:tcPr>
            <w:tcW w:type="dxa" w:w="1417"/>
            <w:shd w:fill="FFFFFF" w:val="clear"/>
          </w:tcPr>
          <w:p>
            <w:r>
              <w:rPr>
                <w:sz w:val="16"/>
              </w:rPr>
              <w:t>24,195</w:t>
            </w:r>
          </w:p>
        </w:tc>
        <w:tc>
          <w:tcPr>
            <w:tcW w:type="dxa" w:w="1134"/>
            <w:shd w:fill="FFEB9C" w:val="clear"/>
          </w:tcPr>
          <w:p>
            <w:r>
              <w:rPr>
                <w:b/>
                <w:color w:val="646400"/>
                <w:sz w:val="16"/>
              </w:rPr>
              <w:t>-0.84%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3,890</w:t>
            </w:r>
          </w:p>
        </w:tc>
        <w:tc>
          <w:tcPr>
            <w:tcW w:type="dxa" w:w="1417"/>
            <w:shd w:fill="FFFFFF" w:val="clear"/>
          </w:tcPr>
          <w:p>
            <w:r>
              <w:rPr>
                <w:sz w:val="16"/>
              </w:rPr>
              <w:t>3,846</w:t>
            </w:r>
          </w:p>
        </w:tc>
        <w:tc>
          <w:tcPr>
            <w:tcW w:type="dxa" w:w="1134"/>
            <w:shd w:fill="FFC7CE" w:val="clear"/>
          </w:tcPr>
          <w:p>
            <w:r>
              <w:rPr>
                <w:b/>
                <w:color w:val="B40000"/>
                <w:sz w:val="16"/>
              </w:rPr>
              <w:t>-1.14%</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8,300</w:t>
            </w:r>
          </w:p>
        </w:tc>
        <w:tc>
          <w:tcPr>
            <w:tcW w:type="dxa" w:w="1417"/>
            <w:shd w:fill="FFFFFF" w:val="clear"/>
          </w:tcPr>
          <w:p>
            <w:r>
              <w:rPr>
                <w:sz w:val="16"/>
              </w:rPr>
              <w:t>8,198</w:t>
            </w:r>
          </w:p>
        </w:tc>
        <w:tc>
          <w:tcPr>
            <w:tcW w:type="dxa" w:w="1134"/>
            <w:shd w:fill="FFC7CE" w:val="clear"/>
          </w:tcPr>
          <w:p>
            <w:r>
              <w:rPr>
                <w:b/>
                <w:color w:val="B40000"/>
                <w:sz w:val="16"/>
              </w:rPr>
              <w:t>-1.23%</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54,000</w:t>
            </w:r>
          </w:p>
        </w:tc>
        <w:tc>
          <w:tcPr>
            <w:tcW w:type="dxa" w:w="1417"/>
            <w:shd w:fill="FFFFFF" w:val="clear"/>
          </w:tcPr>
          <w:p>
            <w:r>
              <w:rPr>
                <w:sz w:val="16"/>
              </w:rPr>
              <w:t>53,245</w:t>
            </w:r>
          </w:p>
        </w:tc>
        <w:tc>
          <w:tcPr>
            <w:tcW w:type="dxa" w:w="1134"/>
            <w:shd w:fill="FFC7CE" w:val="clear"/>
          </w:tcPr>
          <w:p>
            <w:r>
              <w:rPr>
                <w:b/>
                <w:color w:val="B40000"/>
                <w:sz w:val="16"/>
              </w:rPr>
              <w:t>-1.40%</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22,450</w:t>
            </w:r>
          </w:p>
        </w:tc>
        <w:tc>
          <w:tcPr>
            <w:tcW w:type="dxa" w:w="1417"/>
            <w:shd w:fill="FFFFFF" w:val="clear"/>
          </w:tcPr>
          <w:p>
            <w:r>
              <w:rPr>
                <w:sz w:val="16"/>
              </w:rPr>
              <w:t>22,042</w:t>
            </w:r>
          </w:p>
        </w:tc>
        <w:tc>
          <w:tcPr>
            <w:tcW w:type="dxa" w:w="1134"/>
            <w:shd w:fill="FFC7CE" w:val="clear"/>
          </w:tcPr>
          <w:p>
            <w:r>
              <w:rPr>
                <w:b/>
                <w:color w:val="B40000"/>
                <w:sz w:val="16"/>
              </w:rPr>
              <w:t>-1.82%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5,595</w:t>
            </w:r>
          </w:p>
        </w:tc>
        <w:tc>
          <w:tcPr>
            <w:tcW w:type="dxa" w:w="1417"/>
            <w:shd w:fill="FFFFFF" w:val="clear"/>
          </w:tcPr>
          <w:p>
            <w:r>
              <w:rPr>
                <w:sz w:val="16"/>
              </w:rPr>
              <w:t>5,487</w:t>
            </w:r>
          </w:p>
        </w:tc>
        <w:tc>
          <w:tcPr>
            <w:tcW w:type="dxa" w:w="1134"/>
            <w:shd w:fill="FFC7CE" w:val="clear"/>
          </w:tcPr>
          <w:p>
            <w:r>
              <w:rPr>
                <w:b/>
                <w:color w:val="B40000"/>
                <w:sz w:val="16"/>
              </w:rPr>
              <w:t>-1.92%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7,939</w:t>
            </w:r>
          </w:p>
        </w:tc>
        <w:tc>
          <w:tcPr>
            <w:tcW w:type="dxa" w:w="1134"/>
            <w:shd w:fill="FFC7CE" w:val="clear"/>
          </w:tcPr>
          <w:p>
            <w:r>
              <w:rPr>
                <w:b/>
                <w:color w:val="B40000"/>
                <w:sz w:val="16"/>
              </w:rPr>
              <w:t>-1.99%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18,300</w:t>
            </w:r>
          </w:p>
        </w:tc>
        <w:tc>
          <w:tcPr>
            <w:tcW w:type="dxa" w:w="1417"/>
            <w:shd w:fill="FFFFFF" w:val="clear"/>
          </w:tcPr>
          <w:p>
            <w:r>
              <w:rPr>
                <w:sz w:val="16"/>
              </w:rPr>
              <w:t>17,905</w:t>
            </w:r>
          </w:p>
        </w:tc>
        <w:tc>
          <w:tcPr>
            <w:tcW w:type="dxa" w:w="1134"/>
            <w:shd w:fill="FFC7CE" w:val="clear"/>
          </w:tcPr>
          <w:p>
            <w:r>
              <w:rPr>
                <w:b/>
                <w:color w:val="B40000"/>
                <w:sz w:val="16"/>
              </w:rPr>
              <w:t>-2.16%</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2,805</w:t>
            </w:r>
          </w:p>
        </w:tc>
        <w:tc>
          <w:tcPr>
            <w:tcW w:type="dxa" w:w="1134"/>
            <w:shd w:fill="FFC7CE" w:val="clear"/>
          </w:tcPr>
          <w:p>
            <w:r>
              <w:rPr>
                <w:b/>
                <w:color w:val="B40000"/>
                <w:sz w:val="16"/>
              </w:rPr>
              <w:t>-2.25%</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39,275</w:t>
            </w:r>
          </w:p>
        </w:tc>
        <w:tc>
          <w:tcPr>
            <w:tcW w:type="dxa" w:w="1417"/>
            <w:shd w:fill="FFFFFF" w:val="clear"/>
          </w:tcPr>
          <w:p>
            <w:r>
              <w:rPr>
                <w:sz w:val="16"/>
              </w:rPr>
              <w:t>38,379</w:t>
            </w:r>
          </w:p>
        </w:tc>
        <w:tc>
          <w:tcPr>
            <w:tcW w:type="dxa" w:w="1134"/>
            <w:shd w:fill="FFC7CE" w:val="clear"/>
          </w:tcPr>
          <w:p>
            <w:r>
              <w:rPr>
                <w:b/>
                <w:color w:val="B40000"/>
                <w:sz w:val="16"/>
              </w:rPr>
              <w:t>-2.28%</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4,385</w:t>
            </w:r>
          </w:p>
        </w:tc>
        <w:tc>
          <w:tcPr>
            <w:tcW w:type="dxa" w:w="1417"/>
            <w:shd w:fill="FFFFFF" w:val="clear"/>
          </w:tcPr>
          <w:p>
            <w:r>
              <w:rPr>
                <w:sz w:val="16"/>
              </w:rPr>
              <w:t>4,259</w:t>
            </w:r>
          </w:p>
        </w:tc>
        <w:tc>
          <w:tcPr>
            <w:tcW w:type="dxa" w:w="1134"/>
            <w:shd w:fill="FFC7CE" w:val="clear"/>
          </w:tcPr>
          <w:p>
            <w:r>
              <w:rPr>
                <w:b/>
                <w:color w:val="B40000"/>
                <w:sz w:val="16"/>
              </w:rPr>
              <w:t>-2.87%</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8,990</w:t>
            </w:r>
          </w:p>
        </w:tc>
        <w:tc>
          <w:tcPr>
            <w:tcW w:type="dxa" w:w="1417"/>
            <w:shd w:fill="FFFFFF" w:val="clear"/>
          </w:tcPr>
          <w:p>
            <w:r>
              <w:rPr>
                <w:sz w:val="16"/>
              </w:rPr>
              <w:t>8,701</w:t>
            </w:r>
          </w:p>
        </w:tc>
        <w:tc>
          <w:tcPr>
            <w:tcW w:type="dxa" w:w="1134"/>
            <w:shd w:fill="FFC7CE" w:val="clear"/>
          </w:tcPr>
          <w:p>
            <w:r>
              <w:rPr>
                <w:b/>
                <w:color w:val="B40000"/>
                <w:sz w:val="16"/>
              </w:rPr>
              <w:t>-3.21%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38,500</w:t>
            </w:r>
          </w:p>
        </w:tc>
        <w:tc>
          <w:tcPr>
            <w:tcW w:type="dxa" w:w="1417"/>
            <w:shd w:fill="FFFFFF" w:val="clear"/>
          </w:tcPr>
          <w:p>
            <w:r>
              <w:rPr>
                <w:sz w:val="16"/>
              </w:rPr>
              <w:t>37,243</w:t>
            </w:r>
          </w:p>
        </w:tc>
        <w:tc>
          <w:tcPr>
            <w:tcW w:type="dxa" w:w="1134"/>
            <w:shd w:fill="FFC7CE" w:val="clear"/>
          </w:tcPr>
          <w:p>
            <w:r>
              <w:rPr>
                <w:b/>
                <w:color w:val="B40000"/>
                <w:sz w:val="16"/>
              </w:rPr>
              <w:t>-3.26%</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8,300</w:t>
            </w:r>
          </w:p>
        </w:tc>
        <w:tc>
          <w:tcPr>
            <w:tcW w:type="dxa" w:w="1417"/>
            <w:shd w:fill="FFFFFF" w:val="clear"/>
          </w:tcPr>
          <w:p>
            <w:r>
              <w:rPr>
                <w:sz w:val="16"/>
              </w:rPr>
              <w:t>8,010</w:t>
            </w:r>
          </w:p>
        </w:tc>
        <w:tc>
          <w:tcPr>
            <w:tcW w:type="dxa" w:w="1134"/>
            <w:shd w:fill="FFC7CE" w:val="clear"/>
          </w:tcPr>
          <w:p>
            <w:r>
              <w:rPr>
                <w:b/>
                <w:color w:val="B40000"/>
                <w:sz w:val="16"/>
              </w:rPr>
              <w:t>-3.50%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33,010</w:t>
            </w:r>
          </w:p>
        </w:tc>
        <w:tc>
          <w:tcPr>
            <w:tcW w:type="dxa" w:w="1417"/>
            <w:shd w:fill="FFFFFF" w:val="clear"/>
          </w:tcPr>
          <w:p>
            <w:r>
              <w:rPr>
                <w:sz w:val="16"/>
              </w:rPr>
              <w:t>31,803</w:t>
            </w:r>
          </w:p>
        </w:tc>
        <w:tc>
          <w:tcPr>
            <w:tcW w:type="dxa" w:w="1134"/>
            <w:shd w:fill="FFC7CE" w:val="clear"/>
          </w:tcPr>
          <w:p>
            <w:r>
              <w:rPr>
                <w:b/>
                <w:color w:val="B40000"/>
                <w:sz w:val="16"/>
              </w:rPr>
              <w:t>-3.66%</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67</w:t>
            </w:r>
          </w:p>
        </w:tc>
        <w:tc>
          <w:tcPr>
            <w:tcW w:type="dxa" w:w="1134"/>
            <w:shd w:fill="FFC7CE" w:val="clear"/>
          </w:tcPr>
          <w:p>
            <w:r>
              <w:rPr>
                <w:b/>
                <w:color w:val="B40000"/>
                <w:sz w:val="16"/>
              </w:rPr>
              <w:t>-3.71%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8,200</w:t>
            </w:r>
          </w:p>
        </w:tc>
        <w:tc>
          <w:tcPr>
            <w:tcW w:type="dxa" w:w="1417"/>
            <w:shd w:fill="FFFFFF" w:val="clear"/>
          </w:tcPr>
          <w:p>
            <w:r>
              <w:rPr>
                <w:sz w:val="16"/>
              </w:rPr>
              <w:t>7,883</w:t>
            </w:r>
          </w:p>
        </w:tc>
        <w:tc>
          <w:tcPr>
            <w:tcW w:type="dxa" w:w="1134"/>
            <w:shd w:fill="FFC7CE" w:val="clear"/>
          </w:tcPr>
          <w:p>
            <w:r>
              <w:rPr>
                <w:b/>
                <w:color w:val="B40000"/>
                <w:sz w:val="16"/>
              </w:rPr>
              <w:t>-3.87%</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5,400</w:t>
            </w:r>
          </w:p>
        </w:tc>
        <w:tc>
          <w:tcPr>
            <w:tcW w:type="dxa" w:w="1417"/>
            <w:shd w:fill="FFFFFF" w:val="clear"/>
          </w:tcPr>
          <w:p>
            <w:r>
              <w:rPr>
                <w:sz w:val="16"/>
              </w:rPr>
              <w:t>5,184</w:t>
            </w:r>
          </w:p>
        </w:tc>
        <w:tc>
          <w:tcPr>
            <w:tcW w:type="dxa" w:w="1134"/>
            <w:shd w:fill="FFC7CE" w:val="clear"/>
          </w:tcPr>
          <w:p>
            <w:r>
              <w:rPr>
                <w:b/>
                <w:color w:val="B40000"/>
                <w:sz w:val="16"/>
              </w:rPr>
              <w:t>-4.00%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10,100</w:t>
            </w:r>
          </w:p>
        </w:tc>
        <w:tc>
          <w:tcPr>
            <w:tcW w:type="dxa" w:w="1417"/>
            <w:shd w:fill="FFFFFF" w:val="clear"/>
          </w:tcPr>
          <w:p>
            <w:r>
              <w:rPr>
                <w:sz w:val="16"/>
              </w:rPr>
              <w:t>9,672</w:t>
            </w:r>
          </w:p>
        </w:tc>
        <w:tc>
          <w:tcPr>
            <w:tcW w:type="dxa" w:w="1134"/>
            <w:shd w:fill="FFC7CE" w:val="clear"/>
          </w:tcPr>
          <w:p>
            <w:r>
              <w:rPr>
                <w:b/>
                <w:color w:val="B40000"/>
                <w:sz w:val="16"/>
              </w:rPr>
              <w:t>-4.24%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2,400</w:t>
            </w:r>
          </w:p>
        </w:tc>
        <w:tc>
          <w:tcPr>
            <w:tcW w:type="dxa" w:w="1417"/>
            <w:shd w:fill="FFFFFF" w:val="clear"/>
          </w:tcPr>
          <w:p>
            <w:r>
              <w:rPr>
                <w:sz w:val="16"/>
              </w:rPr>
              <w:t>2,286</w:t>
            </w:r>
          </w:p>
        </w:tc>
        <w:tc>
          <w:tcPr>
            <w:tcW w:type="dxa" w:w="1134"/>
            <w:shd w:fill="FFC7CE" w:val="clear"/>
          </w:tcPr>
          <w:p>
            <w:r>
              <w:rPr>
                <w:b/>
                <w:color w:val="B40000"/>
                <w:sz w:val="16"/>
              </w:rPr>
              <w:t>-4.76%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1,560</w:t>
            </w:r>
          </w:p>
        </w:tc>
        <w:tc>
          <w:tcPr>
            <w:tcW w:type="dxa" w:w="1417"/>
            <w:shd w:fill="FFFFFF" w:val="clear"/>
          </w:tcPr>
          <w:p>
            <w:r>
              <w:rPr>
                <w:sz w:val="16"/>
              </w:rPr>
              <w:t>1,469</w:t>
            </w:r>
          </w:p>
        </w:tc>
        <w:tc>
          <w:tcPr>
            <w:tcW w:type="dxa" w:w="1134"/>
            <w:shd w:fill="FFC7CE" w:val="clear"/>
          </w:tcPr>
          <w:p>
            <w:r>
              <w:rPr>
                <w:b/>
                <w:color w:val="B40000"/>
                <w:sz w:val="16"/>
              </w:rPr>
              <w:t>-5.83%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3,289</w:t>
            </w:r>
          </w:p>
        </w:tc>
        <w:tc>
          <w:tcPr>
            <w:tcW w:type="dxa" w:w="1134"/>
            <w:shd w:fill="FFC7CE" w:val="clear"/>
          </w:tcPr>
          <w:p>
            <w:r>
              <w:rPr>
                <w:b/>
                <w:color w:val="B40000"/>
                <w:sz w:val="16"/>
              </w:rPr>
              <w:t>-6.02%</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2,135</w:t>
            </w:r>
          </w:p>
        </w:tc>
        <w:tc>
          <w:tcPr>
            <w:tcW w:type="dxa" w:w="1417"/>
            <w:shd w:fill="FFFFFF" w:val="clear"/>
          </w:tcPr>
          <w:p>
            <w:r>
              <w:rPr>
                <w:sz w:val="16"/>
              </w:rPr>
              <w:t>1,999</w:t>
            </w:r>
          </w:p>
        </w:tc>
        <w:tc>
          <w:tcPr>
            <w:tcW w:type="dxa" w:w="1134"/>
            <w:shd w:fill="FFC7CE" w:val="clear"/>
          </w:tcPr>
          <w:p>
            <w:r>
              <w:rPr>
                <w:b/>
                <w:color w:val="B40000"/>
                <w:sz w:val="16"/>
              </w:rPr>
              <w:t>-6.35%</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2,120</w:t>
            </w:r>
          </w:p>
        </w:tc>
        <w:tc>
          <w:tcPr>
            <w:tcW w:type="dxa" w:w="1417"/>
            <w:shd w:fill="FFFFFF" w:val="clear"/>
          </w:tcPr>
          <w:p>
            <w:r>
              <w:rPr>
                <w:sz w:val="16"/>
              </w:rPr>
              <w:t>1,963</w:t>
            </w:r>
          </w:p>
        </w:tc>
        <w:tc>
          <w:tcPr>
            <w:tcW w:type="dxa" w:w="1134"/>
            <w:shd w:fill="FFC7CE" w:val="clear"/>
          </w:tcPr>
          <w:p>
            <w:r>
              <w:rPr>
                <w:b/>
                <w:color w:val="B40000"/>
                <w:sz w:val="16"/>
              </w:rPr>
              <w:t>-7.40%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8,606</w:t>
            </w:r>
          </w:p>
        </w:tc>
        <w:tc>
          <w:tcPr>
            <w:tcW w:type="dxa" w:w="1134"/>
            <w:shd w:fill="FFC7CE" w:val="clear"/>
          </w:tcPr>
          <w:p>
            <w:r>
              <w:rPr>
                <w:b/>
                <w:color w:val="B40000"/>
                <w:sz w:val="16"/>
              </w:rPr>
              <w:t>-7.47%</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12,400</w:t>
            </w:r>
          </w:p>
        </w:tc>
        <w:tc>
          <w:tcPr>
            <w:tcW w:type="dxa" w:w="1417"/>
            <w:shd w:fill="FFFFFF" w:val="clear"/>
          </w:tcPr>
          <w:p>
            <w:r>
              <w:rPr>
                <w:sz w:val="16"/>
              </w:rPr>
              <w:t>11,461</w:t>
            </w:r>
          </w:p>
        </w:tc>
        <w:tc>
          <w:tcPr>
            <w:tcW w:type="dxa" w:w="1134"/>
            <w:shd w:fill="FFC7CE" w:val="clear"/>
          </w:tcPr>
          <w:p>
            <w:r>
              <w:rPr>
                <w:b/>
                <w:color w:val="B40000"/>
                <w:sz w:val="16"/>
              </w:rPr>
              <w:t>-7.57%</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2,400</w:t>
            </w:r>
          </w:p>
        </w:tc>
        <w:tc>
          <w:tcPr>
            <w:tcW w:type="dxa" w:w="1417"/>
            <w:shd w:fill="FFFFFF" w:val="clear"/>
          </w:tcPr>
          <w:p>
            <w:r>
              <w:rPr>
                <w:sz w:val="16"/>
              </w:rPr>
              <w:t>2,188</w:t>
            </w:r>
          </w:p>
        </w:tc>
        <w:tc>
          <w:tcPr>
            <w:tcW w:type="dxa" w:w="1134"/>
            <w:shd w:fill="FFC7CE" w:val="clear"/>
          </w:tcPr>
          <w:p>
            <w:r>
              <w:rPr>
                <w:b/>
                <w:color w:val="B40000"/>
                <w:sz w:val="16"/>
              </w:rPr>
              <w:t>-8.85%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2,575</w:t>
            </w:r>
          </w:p>
        </w:tc>
        <w:tc>
          <w:tcPr>
            <w:tcW w:type="dxa" w:w="1417"/>
            <w:shd w:fill="FFFFFF" w:val="clear"/>
          </w:tcPr>
          <w:p>
            <w:r>
              <w:rPr>
                <w:sz w:val="16"/>
              </w:rPr>
              <w:t>2,346</w:t>
            </w:r>
          </w:p>
        </w:tc>
        <w:tc>
          <w:tcPr>
            <w:tcW w:type="dxa" w:w="1134"/>
            <w:shd w:fill="FFC7CE" w:val="clear"/>
          </w:tcPr>
          <w:p>
            <w:r>
              <w:rPr>
                <w:b/>
                <w:color w:val="B40000"/>
                <w:sz w:val="16"/>
              </w:rPr>
              <w:t>-8.90%</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3,280</w:t>
            </w:r>
          </w:p>
        </w:tc>
        <w:tc>
          <w:tcPr>
            <w:tcW w:type="dxa" w:w="1417"/>
            <w:shd w:fill="FFFFFF" w:val="clear"/>
          </w:tcPr>
          <w:p>
            <w:r>
              <w:rPr>
                <w:sz w:val="16"/>
              </w:rPr>
              <w:t>2,978</w:t>
            </w:r>
          </w:p>
        </w:tc>
        <w:tc>
          <w:tcPr>
            <w:tcW w:type="dxa" w:w="1134"/>
            <w:shd w:fill="FFC7CE" w:val="clear"/>
          </w:tcPr>
          <w:p>
            <w:r>
              <w:rPr>
                <w:b/>
                <w:color w:val="B40000"/>
                <w:sz w:val="16"/>
              </w:rPr>
              <w:t>-9.19%</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2,750</w:t>
            </w:r>
          </w:p>
        </w:tc>
        <w:tc>
          <w:tcPr>
            <w:tcW w:type="dxa" w:w="1417"/>
            <w:shd w:fill="FFFFFF" w:val="clear"/>
          </w:tcPr>
          <w:p>
            <w:r>
              <w:rPr>
                <w:sz w:val="16"/>
              </w:rPr>
              <w:t>2,468</w:t>
            </w:r>
          </w:p>
        </w:tc>
        <w:tc>
          <w:tcPr>
            <w:tcW w:type="dxa" w:w="1134"/>
            <w:shd w:fill="FFC7CE" w:val="clear"/>
          </w:tcPr>
          <w:p>
            <w:r>
              <w:rPr>
                <w:b/>
                <w:color w:val="B40000"/>
                <w:sz w:val="16"/>
              </w:rPr>
              <w:t>-10.26%</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10,450</w:t>
            </w:r>
          </w:p>
        </w:tc>
        <w:tc>
          <w:tcPr>
            <w:tcW w:type="dxa" w:w="1417"/>
            <w:shd w:fill="FFFFFF" w:val="clear"/>
          </w:tcPr>
          <w:p>
            <w:r>
              <w:rPr>
                <w:sz w:val="16"/>
              </w:rPr>
              <w:t>9,349</w:t>
            </w:r>
          </w:p>
        </w:tc>
        <w:tc>
          <w:tcPr>
            <w:tcW w:type="dxa" w:w="1134"/>
            <w:shd w:fill="FFC7CE" w:val="clear"/>
          </w:tcPr>
          <w:p>
            <w:r>
              <w:rPr>
                <w:b/>
                <w:color w:val="B40000"/>
                <w:sz w:val="16"/>
              </w:rPr>
              <w:t>-10.54%</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4,095</w:t>
            </w:r>
          </w:p>
        </w:tc>
        <w:tc>
          <w:tcPr>
            <w:tcW w:type="dxa" w:w="1417"/>
            <w:shd w:fill="FFFFFF" w:val="clear"/>
          </w:tcPr>
          <w:p>
            <w:r>
              <w:rPr>
                <w:sz w:val="16"/>
              </w:rPr>
              <w:t>3,594</w:t>
            </w:r>
          </w:p>
        </w:tc>
        <w:tc>
          <w:tcPr>
            <w:tcW w:type="dxa" w:w="1134"/>
            <w:shd w:fill="FFC7CE" w:val="clear"/>
          </w:tcPr>
          <w:p>
            <w:r>
              <w:rPr>
                <w:b/>
                <w:color w:val="B40000"/>
                <w:sz w:val="16"/>
              </w:rPr>
              <w:t>-12.24%</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2,550</w:t>
            </w:r>
          </w:p>
        </w:tc>
        <w:tc>
          <w:tcPr>
            <w:tcW w:type="dxa" w:w="1417"/>
            <w:shd w:fill="FFFFFF" w:val="clear"/>
          </w:tcPr>
          <w:p>
            <w:r>
              <w:rPr>
                <w:sz w:val="16"/>
              </w:rPr>
              <w:t>2,203</w:t>
            </w:r>
          </w:p>
        </w:tc>
        <w:tc>
          <w:tcPr>
            <w:tcW w:type="dxa" w:w="1134"/>
            <w:shd w:fill="FFC7CE" w:val="clear"/>
          </w:tcPr>
          <w:p>
            <w:r>
              <w:rPr>
                <w:b/>
                <w:color w:val="B40000"/>
                <w:sz w:val="16"/>
              </w:rPr>
              <w:t>-13.60%</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8,495</w:t>
            </w:r>
          </w:p>
        </w:tc>
        <w:tc>
          <w:tcPr>
            <w:tcW w:type="dxa" w:w="1417"/>
            <w:shd w:fill="FFFFFF" w:val="clear"/>
          </w:tcPr>
          <w:p>
            <w:r>
              <w:rPr>
                <w:sz w:val="16"/>
              </w:rPr>
              <w:t>7,294</w:t>
            </w:r>
          </w:p>
        </w:tc>
        <w:tc>
          <w:tcPr>
            <w:tcW w:type="dxa" w:w="1134"/>
            <w:shd w:fill="FFC7CE" w:val="clear"/>
          </w:tcPr>
          <w:p>
            <w:r>
              <w:rPr>
                <w:b/>
                <w:color w:val="B40000"/>
                <w:sz w:val="16"/>
              </w:rPr>
              <w:t>-14.14%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7,100</w:t>
            </w:r>
          </w:p>
        </w:tc>
        <w:tc>
          <w:tcPr>
            <w:tcW w:type="dxa" w:w="1417"/>
            <w:shd w:fill="FFFFFF" w:val="clear"/>
          </w:tcPr>
          <w:p>
            <w:r>
              <w:rPr>
                <w:sz w:val="16"/>
              </w:rPr>
              <w:t>5,987</w:t>
            </w:r>
          </w:p>
        </w:tc>
        <w:tc>
          <w:tcPr>
            <w:tcW w:type="dxa" w:w="1134"/>
            <w:shd w:fill="FFC7CE" w:val="clear"/>
          </w:tcPr>
          <w:p>
            <w:r>
              <w:rPr>
                <w:b/>
                <w:color w:val="B40000"/>
                <w:sz w:val="16"/>
              </w:rPr>
              <w:t>-15.67%</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34,300</w:t>
            </w:r>
          </w:p>
        </w:tc>
        <w:tc>
          <w:tcPr>
            <w:tcW w:type="dxa" w:w="1417"/>
            <w:shd w:fill="FFFFFF" w:val="clear"/>
          </w:tcPr>
          <w:p>
            <w:r>
              <w:rPr>
                <w:sz w:val="16"/>
              </w:rPr>
              <w:t>28,507</w:t>
            </w:r>
          </w:p>
        </w:tc>
        <w:tc>
          <w:tcPr>
            <w:tcW w:type="dxa" w:w="1134"/>
            <w:shd w:fill="FFC7CE" w:val="clear"/>
          </w:tcPr>
          <w:p>
            <w:r>
              <w:rPr>
                <w:b/>
                <w:color w:val="B40000"/>
                <w:sz w:val="16"/>
              </w:rPr>
              <w:t>-16.89%</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3,550 titres</w:t>
            </w:r>
          </w:p>
        </w:tc>
        <w:tc>
          <w:tcPr>
            <w:tcW w:type="dxa" w:w="2268"/>
            <w:shd w:fill="FFF2CC" w:val="clear"/>
          </w:tcPr>
          <w:p>
            <w:r>
              <w:rPr>
                <w:b/>
                <w:color w:val="503200"/>
                <w:sz w:val="16"/>
              </w:rPr>
              <w:t xml:space="preserve">Cours actuel : </w:t>
            </w:r>
            <w:r>
              <w:rPr>
                <w:color w:val="000000"/>
                <w:sz w:val="17"/>
              </w:rPr>
              <w:t>4,095 FCFA</w:t>
            </w:r>
          </w:p>
          <w:p>
            <w:r>
              <w:rPr>
                <w:b/>
                <w:color w:val="503200"/>
                <w:sz w:val="16"/>
              </w:rPr>
              <w:t xml:space="preserve">Var. 100 jours : </w:t>
            </w:r>
            <w:r>
              <w:rPr>
                <w:b/>
                <w:color w:val="007800"/>
                <w:sz w:val="17"/>
              </w:rPr>
              <w:t>+23.90%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9.59% (Moyenne) — μ=3,255 FCFA, σ=312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β=0.3807 (Défensif) — Cov=0.000013, Var(idx)=0.000035, ρ=0.073,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2026-09-14</w:t>
            </w:r>
          </w:p>
        </w:tc>
        <w:tc>
          <w:tcPr>
            <w:tcW w:type="dxa" w:w="1440"/>
            <w:shd w:fill="FFDCE0" w:val="clear"/>
          </w:tcPr>
          <w:p>
            <w:r>
              <w:rPr>
                <w:sz w:val="17"/>
              </w:rPr>
              <w:t>3,820</w:t>
            </w:r>
          </w:p>
        </w:tc>
        <w:tc>
          <w:tcPr>
            <w:tcW w:type="dxa" w:w="1440"/>
            <w:shd w:fill="FFDCE0" w:val="clear"/>
          </w:tcPr>
          <w:p>
            <w:r>
              <w:rPr>
                <w:b/>
                <w:sz w:val="17"/>
              </w:rPr>
              <w:t>3,996</w:t>
            </w:r>
          </w:p>
        </w:tc>
        <w:tc>
          <w:tcPr>
            <w:tcW w:type="dxa" w:w="1440"/>
            <w:shd w:fill="FFDCE0" w:val="clear"/>
          </w:tcPr>
          <w:p>
            <w:r>
              <w:rPr>
                <w:sz w:val="17"/>
              </w:rPr>
              <w:t>4,172</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3,695</w:t>
            </w:r>
          </w:p>
        </w:tc>
        <w:tc>
          <w:tcPr>
            <w:tcW w:type="dxa" w:w="1440"/>
            <w:shd w:fill="FFDCE0" w:val="clear"/>
          </w:tcPr>
          <w:p>
            <w:r>
              <w:rPr>
                <w:b/>
                <w:sz w:val="17"/>
              </w:rPr>
              <w:t>3,941</w:t>
            </w:r>
          </w:p>
        </w:tc>
        <w:tc>
          <w:tcPr>
            <w:tcW w:type="dxa" w:w="1440"/>
            <w:shd w:fill="FFDCE0" w:val="clear"/>
          </w:tcPr>
          <w:p>
            <w:r>
              <w:rPr>
                <w:sz w:val="17"/>
              </w:rPr>
              <w:t>4,187</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3,579</w:t>
            </w:r>
          </w:p>
        </w:tc>
        <w:tc>
          <w:tcPr>
            <w:tcW w:type="dxa" w:w="1440"/>
            <w:shd w:fill="FFDCE0" w:val="clear"/>
          </w:tcPr>
          <w:p>
            <w:r>
              <w:rPr>
                <w:b/>
                <w:sz w:val="17"/>
              </w:rPr>
              <w:t>3,875</w:t>
            </w:r>
          </w:p>
        </w:tc>
        <w:tc>
          <w:tcPr>
            <w:tcW w:type="dxa" w:w="1440"/>
            <w:shd w:fill="FFDCE0" w:val="clear"/>
          </w:tcPr>
          <w:p>
            <w:r>
              <w:rPr>
                <w:sz w:val="17"/>
              </w:rPr>
              <w:t>4,171</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3,484</w:t>
            </w:r>
          </w:p>
        </w:tc>
        <w:tc>
          <w:tcPr>
            <w:tcW w:type="dxa" w:w="1440"/>
            <w:shd w:fill="FFDCE0" w:val="clear"/>
          </w:tcPr>
          <w:p>
            <w:r>
              <w:rPr>
                <w:b/>
                <w:sz w:val="17"/>
              </w:rPr>
              <w:t>3,821</w:t>
            </w:r>
          </w:p>
        </w:tc>
        <w:tc>
          <w:tcPr>
            <w:tcW w:type="dxa" w:w="1440"/>
            <w:shd w:fill="FFDCE0" w:val="clear"/>
          </w:tcPr>
          <w:p>
            <w:r>
              <w:rPr>
                <w:sz w:val="17"/>
              </w:rPr>
              <w:t>4,158</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3,403</w:t>
            </w:r>
          </w:p>
        </w:tc>
        <w:tc>
          <w:tcPr>
            <w:tcW w:type="dxa" w:w="1440"/>
            <w:shd w:fill="FFDCE0" w:val="clear"/>
          </w:tcPr>
          <w:p>
            <w:r>
              <w:rPr>
                <w:b/>
                <w:sz w:val="17"/>
              </w:rPr>
              <w:t>3,775</w:t>
            </w:r>
          </w:p>
        </w:tc>
        <w:tc>
          <w:tcPr>
            <w:tcW w:type="dxa" w:w="1440"/>
            <w:shd w:fill="FFDCE0" w:val="clear"/>
          </w:tcPr>
          <w:p>
            <w:r>
              <w:rPr>
                <w:sz w:val="17"/>
              </w:rPr>
              <w:t>4,147</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3,330</w:t>
            </w:r>
          </w:p>
        </w:tc>
        <w:tc>
          <w:tcPr>
            <w:tcW w:type="dxa" w:w="1440"/>
            <w:shd w:fill="FFDCE0" w:val="clear"/>
          </w:tcPr>
          <w:p>
            <w:r>
              <w:rPr>
                <w:b/>
                <w:sz w:val="17"/>
              </w:rPr>
              <w:t>3,734</w:t>
            </w:r>
          </w:p>
        </w:tc>
        <w:tc>
          <w:tcPr>
            <w:tcW w:type="dxa" w:w="1440"/>
            <w:shd w:fill="FFDCE0" w:val="clear"/>
          </w:tcPr>
          <w:p>
            <w:r>
              <w:rPr>
                <w:sz w:val="17"/>
              </w:rPr>
              <w:t>4,137</w:t>
            </w:r>
          </w:p>
        </w:tc>
        <w:tc>
          <w:tcPr>
            <w:tcW w:type="dxa" w:w="1440"/>
            <w:shd w:fill="FFDCE0" w:val="clear"/>
          </w:tcPr>
          <w:p>
            <w:r>
              <w:rPr>
                <w:b/>
                <w:color w:val="C00000"/>
                <w:sz w:val="17"/>
              </w:rPr>
              <w:t>-8.8%</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3,264</w:t>
            </w:r>
          </w:p>
        </w:tc>
        <w:tc>
          <w:tcPr>
            <w:tcW w:type="dxa" w:w="1440"/>
            <w:shd w:fill="FFDCE0" w:val="clear"/>
          </w:tcPr>
          <w:p>
            <w:r>
              <w:rPr>
                <w:b/>
                <w:sz w:val="17"/>
              </w:rPr>
              <w:t>3,695</w:t>
            </w:r>
          </w:p>
        </w:tc>
        <w:tc>
          <w:tcPr>
            <w:tcW w:type="dxa" w:w="1440"/>
            <w:shd w:fill="FFDCE0" w:val="clear"/>
          </w:tcPr>
          <w:p>
            <w:r>
              <w:rPr>
                <w:sz w:val="17"/>
              </w:rPr>
              <w:t>4,126</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3,203</w:t>
            </w:r>
          </w:p>
        </w:tc>
        <w:tc>
          <w:tcPr>
            <w:tcW w:type="dxa" w:w="1440"/>
            <w:shd w:fill="FFDCE0" w:val="clear"/>
          </w:tcPr>
          <w:p>
            <w:r>
              <w:rPr>
                <w:b/>
                <w:sz w:val="17"/>
              </w:rPr>
              <w:t>3,659</w:t>
            </w:r>
          </w:p>
        </w:tc>
        <w:tc>
          <w:tcPr>
            <w:tcW w:type="dxa" w:w="1440"/>
            <w:shd w:fill="FFDCE0" w:val="clear"/>
          </w:tcPr>
          <w:p>
            <w:r>
              <w:rPr>
                <w:sz w:val="17"/>
              </w:rPr>
              <w:t>4,116</w:t>
            </w:r>
          </w:p>
        </w:tc>
        <w:tc>
          <w:tcPr>
            <w:tcW w:type="dxa" w:w="1440"/>
            <w:shd w:fill="FFDCE0" w:val="clear"/>
          </w:tcPr>
          <w:p>
            <w:r>
              <w:rPr>
                <w:b/>
                <w:color w:val="C00000"/>
                <w:sz w:val="17"/>
              </w:rPr>
              <w:t>-10.6%</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3,146</w:t>
            </w:r>
          </w:p>
        </w:tc>
        <w:tc>
          <w:tcPr>
            <w:tcW w:type="dxa" w:w="1440"/>
            <w:shd w:fill="FFDCE0" w:val="clear"/>
          </w:tcPr>
          <w:p>
            <w:r>
              <w:rPr>
                <w:b/>
                <w:sz w:val="17"/>
              </w:rPr>
              <w:t>3,626</w:t>
            </w:r>
          </w:p>
        </w:tc>
        <w:tc>
          <w:tcPr>
            <w:tcW w:type="dxa" w:w="1440"/>
            <w:shd w:fill="FFDCE0" w:val="clear"/>
          </w:tcPr>
          <w:p>
            <w:r>
              <w:rPr>
                <w:sz w:val="17"/>
              </w:rPr>
              <w:t>4,105</w:t>
            </w:r>
          </w:p>
        </w:tc>
        <w:tc>
          <w:tcPr>
            <w:tcW w:type="dxa" w:w="1440"/>
            <w:shd w:fill="FFDCE0" w:val="clear"/>
          </w:tcPr>
          <w:p>
            <w:r>
              <w:rPr>
                <w:b/>
                <w:color w:val="C00000"/>
                <w:sz w:val="17"/>
              </w:rPr>
              <w:t>-11.5%</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3,093</w:t>
            </w:r>
          </w:p>
        </w:tc>
        <w:tc>
          <w:tcPr>
            <w:tcW w:type="dxa" w:w="1440"/>
            <w:shd w:fill="FFDCE0" w:val="clear"/>
          </w:tcPr>
          <w:p>
            <w:r>
              <w:rPr>
                <w:b/>
                <w:sz w:val="17"/>
              </w:rPr>
              <w:t>3,594</w:t>
            </w:r>
          </w:p>
        </w:tc>
        <w:tc>
          <w:tcPr>
            <w:tcW w:type="dxa" w:w="1440"/>
            <w:shd w:fill="FFDCE0" w:val="clear"/>
          </w:tcPr>
          <w:p>
            <w:r>
              <w:rPr>
                <w:sz w:val="17"/>
              </w:rPr>
              <w:t>4,095</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44,68 milliards FCFA, ABJC se situe dans la fourchette des valeurs moyennes de la cote BRVM, ce qui traduit une liquidité limitée mais une certaine notoriété auprès des investisseurs institutionnels. Le BPA de 124 FCFA/action indique que chaque titre génère un bénéfice unitaire modeste, ce qui, rapporté au cours actuel de 4 095 FCFA, aboutit à un PER de 33,1x — très nettement supérieur à la moyenne du marché BRVM (8-12x), signalant soit une anticipation de forte croissance, soit une surévaluation manifeste. Le P/B de 8,66x confirme cette prime exigeante : le marché valorise l'entreprise à près de 9 fois sa valeur comptable, ce qui est difficilement justifiable pour une société de services aéroportuaires à croissance modérée. Enfin, l'EV/EBITDA de 17,1x (au-dessus du seuil de 15x) renforce le diagnostic d'une valorisation tendue, où la valeur d'entreprise dépasse largement la capacité opérationnelle actuelle. L'ensemble de ces ratios dessine un profil de titre « cher » dont la justification repose davantage sur des perspectives que sur les fondamentaux présents.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performance remarquable de +23,90%, avec une dernière séance en hausse de +2,25%, portant le cours à 4 095 FCFA — soit exactement son plus haut de période, contre un plus bas de 2 800 FCFA, matérialisant un range de trading de près de 46%. La tendance générale est donc clairement haussière, soutenue par un volume moyen quotidien de 3 550 titres, relativement modeste mais suffisant pour valider le mouvement. Les statistiques descriptives révèlent une moyenne de 3 255 FCFA supérieure à la médiane de 3 182 FCFA, avec un mode à 3 150 FCFA : cet écart confirme une distribution asymétrique positivement (skewness de 0,915), indiquant que le cours a passé davantage de séances sous sa moyenne, mais que les poussées haussières ont été amples — cohérent avec un titre en fin de tendance haussière. L'écart-type de 314 FCFA (CV de 9,6%) traduit une dispersion modérée autour de la moyenne, tandis que le kurtosis de 0,161 (mésokurtique) suggère une distribution proche de la normale, sans risque excessif de pics extrêmes. La volatilité annualisée de 48,8% classe toutefois le titre dans la catégorie « élevée » (&gt;30%), ce qui implique un risque de fluctuation important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(3 698,5 FCFA) et la MM50 (3 330,3 FCFA) sont toutes deux nettement inférieures au cours actuel (4 095 FCFA), avec une MM20 au-dessus de la MM50 — configuration typique d'un croisement haussier (golden cross). La décision « Achat » est donc techniquement justifiée, le titre évoluant en territoire haussier confirmé.</w:t>
      </w:r>
    </w:p>
    <w:p>
      <w:pPr>
        <w:spacing w:after="120" w:line="276" w:lineRule="auto"/>
      </w:pPr>
      <w:r>
        <w:t>**Bandes de Bollinger** : Le cours (4 095 FCFA) se situe entre la borne supérieure (4 261,36 FCFA) et la borne inférieure (3 135,64 FCFA), mais très proche de la borne haute, ce qui traduit une volatilité contenue et une pression acheteuse soutenue. La décision « Neutre » reflète l'absence de signal extrême, le titre n'étant ni en sur-extension ni en repli.</w:t>
      </w:r>
    </w:p>
    <w:p>
      <w:pPr>
        <w:spacing w:after="120" w:line="276" w:lineRule="auto"/>
      </w:pPr>
      <w:r>
        <w:t>**MACD** : La valeur du MACD (221,826) dépasse son signal (196,494), avec un histogramme positif — configuration haussière confirmée. Le momentum reste favorable, justifiant la décision « Achat », bien que l'écart entre les deux lignes se réduise, suggérant un essoufflement possible.</w:t>
      </w:r>
    </w:p>
    <w:p>
      <w:pPr>
        <w:spacing w:after="120" w:line="276" w:lineRule="auto"/>
      </w:pPr>
      <w:r>
        <w:t>**RSI** : À 89,005, le RSI est très largement au-dessus du seuil de surachat (70), signalant une décision « Vente » — le titre est en zone de surchauffe extrême, avec un risque de correction à court terme élevé.</w:t>
      </w:r>
    </w:p>
    <w:p>
      <w:pPr>
        <w:spacing w:after="120" w:line="276" w:lineRule="auto"/>
      </w:pPr>
      <w:r>
        <w:t>**Stochastique** : Le %K et le %D sont tous deux à 100,0, en zone de surachat maximal, avec une décision « Vente ». L'absence de croisement baissier pour l'instant n'empêche pas le signal de retournement imminent.</w:t>
      </w:r>
    </w:p>
    <w:p>
      <w:pPr>
        <w:spacing w:after="120" w:line="276" w:lineRule="auto"/>
      </w:pPr>
      <w:r>
        <w:t>**Conclusion technique** : Les indicateurs de tendance (MM, MACD) restent haussiers, mais les oscillateurs (RSI à 89, Stochastique à 100) clignotent en rouge vif, créant une divergence classique entre tendance et momentum. Cette configuration suggère que la tendance haussière est mature et qu'un repli technique est probable à court terme, ce que confirment d'ailleurs les prédictions IA.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structurés d'ABJC affichent un chiffre d'affaires de 13,298 milliards FCFA, en croissance de 6,67% par rapport à 2024, avec un résultat net de 1,351 milliard FCFA, soit une marge nette de 10,16%. La rentabilité des fonds propres (ROE) s'élève à 26,18% — un niveau excellent (&gt;15%) — et le ROA à 14,64%, confirmant une bonne efficacité dans l'utilisation des actifs. La structure financière est très saine : autonomie financière de 55,92%, endettement financier quasi nul (dette financière totale de 65,89 M FCFA seulement), liquidité générale de 218,37% et trésorerie nette de 4,035 milliards FCFA. En tant qu'entreprise de services, les délais d'exploitation méritent attention : le délai clients de 70,10 jours est élevé (risque de trésorerie), mais compensé par un délai fournisseurs de 92,11 jours (favorable) et une durée de stockage de 29,40 jours. Le BFR ressort à 257,45 M FCFA, ce qui reste maîtrisé. Les rapports trimestriels récents nuancent toutefois ce tableau : le T1 2026 (publié le 30/04/2026) montre une croissance du CA limitée à +1,9% (3,237 Mds FCFA) mais une chute du résultat net de -35,6% (222,6 M FCFA contre 345,9 M FCFA au T1 2025), sous l'effet d'ajustements de redevances aéroportuaires et de tensions géopolitiques. Le rapport T3 2025 (30/09/2025) faisait déjà état d'un litige avec la BCEAO bloquant les importations, et le rapport annuel 2024 (31/12/2024) signalait une trésorerie en baisse de 55% après des dividendes massifs de 3 302 M FCFA. On estime donc que l'exercice 2026 devrait être marqué par une pression persistante sur les marges, avec un résultat net annuel potentiellement inférieur à 1 milliard FCFA si la tendance du T1 se confirme. La solidité bilancielle reste le principal atout, mais la dégradation de la rentabilité opérationnelle constitue un risque majeur.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clairement surévaluée : PER de 33,1x contre une moyenne BRVM de 8-12x, P/B de 8,66x et EV/EBITDA de 17,1x — le marché intègre déjà une croissance que les fondamentaux récents ne confirment pas. Le comportement du cours (Partie 1) est haussier (+23,90%) mais la volatilité élevée (48,8%) et le skewness positif (0,915) indiquent une tendance mature, proche de son sommet. Les signaux techniques (Partie 2) sont divergents : MM et MACD haussiers, mais RSI (89) et Stochastique (100) en surachat extrême, annonçant une correction. Les fondamentaux (Partie 3) révèlent une société solide (ROE 26,18%, trésorerie 4,035 Mds FCFA) mais dont la rentabilité se dégrade fortement (résultat net T1 2026 en baisse de -35,6%), avec un litige BCEAO non résolu et une pression sur les marges. Les prédictions IA (J+1 à J+10) anticipent une baisse continue de 3 996 FCFA à 3 775 FCFA, confirmant la correction technique attendue. **Recommandation finale : VENTE** — la convergence entre valorisation excessive, signaux techniques de surachat et dégradation fondamentale l'emporte sur la solidité bilancielle. Le niveau de confiance est **Moyen** (les indicateurs sont clairs mais le contexte de marché BRVM peut prolonger la tendance), et le risque global est **Élevé** (volatilité 48,8%, litige réglementaire, dépendance au trafic aérien). L'horizon optimal est **court terme (&lt;3 mois)** pour profiter de la correction, ou **moyen terme (3-12 mois)** pour se repositionner après un repli vers les 3 500-3 700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603.59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12,725 titres</w:t>
            </w:r>
          </w:p>
        </w:tc>
        <w:tc>
          <w:tcPr>
            <w:tcW w:type="dxa" w:w="2268"/>
            <w:shd w:fill="FFF2CC" w:val="clear"/>
          </w:tcPr>
          <w:p>
            <w:r>
              <w:rPr>
                <w:b/>
                <w:color w:val="503200"/>
                <w:sz w:val="16"/>
              </w:rPr>
              <w:t xml:space="preserve">Cours actuel : </w:t>
            </w:r>
            <w:r>
              <w:rPr>
                <w:color w:val="000000"/>
                <w:sz w:val="17"/>
              </w:rPr>
              <w:t>10,450 FCFA</w:t>
            </w:r>
          </w:p>
          <w:p>
            <w:r>
              <w:rPr>
                <w:b/>
                <w:color w:val="503200"/>
                <w:sz w:val="16"/>
              </w:rPr>
              <w:t xml:space="preserve">Var. 100 jours : </w:t>
            </w:r>
            <w:r>
              <w:rPr>
                <w:b/>
                <w:color w:val="007800"/>
                <w:sz w:val="17"/>
              </w:rPr>
              <w:t>+104.50%</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23.67% (Élevée) — μ=6,665 FCFA, σ=1,578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β=0.5233 (Défensif) — Cov=0.000018, Var(idx)=0.000035, ρ=0.142,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9,334</w:t>
            </w:r>
          </w:p>
        </w:tc>
        <w:tc>
          <w:tcPr>
            <w:tcW w:type="dxa" w:w="1440"/>
            <w:shd w:fill="FFDCE0" w:val="clear"/>
          </w:tcPr>
          <w:p>
            <w:r>
              <w:rPr>
                <w:b/>
                <w:sz w:val="17"/>
              </w:rPr>
              <w:t>9,717</w:t>
            </w:r>
          </w:p>
        </w:tc>
        <w:tc>
          <w:tcPr>
            <w:tcW w:type="dxa" w:w="1440"/>
            <w:shd w:fill="FFDCE0" w:val="clear"/>
          </w:tcPr>
          <w:p>
            <w:r>
              <w:rPr>
                <w:sz w:val="17"/>
              </w:rPr>
              <w:t>10,100</w:t>
            </w:r>
          </w:p>
        </w:tc>
        <w:tc>
          <w:tcPr>
            <w:tcW w:type="dxa" w:w="1440"/>
            <w:shd w:fill="FFDCE0" w:val="clear"/>
          </w:tcPr>
          <w:p>
            <w:r>
              <w:rPr>
                <w:b/>
                <w:color w:val="C00000"/>
                <w:sz w:val="17"/>
              </w:rPr>
              <w:t>-7.0%</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9,130</w:t>
            </w:r>
          </w:p>
        </w:tc>
        <w:tc>
          <w:tcPr>
            <w:tcW w:type="dxa" w:w="1440"/>
            <w:shd w:fill="FFDCE0" w:val="clear"/>
          </w:tcPr>
          <w:p>
            <w:r>
              <w:rPr>
                <w:b/>
                <w:sz w:val="17"/>
              </w:rPr>
              <w:t>9,669</w:t>
            </w:r>
          </w:p>
        </w:tc>
        <w:tc>
          <w:tcPr>
            <w:tcW w:type="dxa" w:w="1440"/>
            <w:shd w:fill="FFDCE0" w:val="clear"/>
          </w:tcPr>
          <w:p>
            <w:r>
              <w:rPr>
                <w:sz w:val="17"/>
              </w:rPr>
              <w:t>10,209</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8,953</w:t>
            </w:r>
          </w:p>
        </w:tc>
        <w:tc>
          <w:tcPr>
            <w:tcW w:type="dxa" w:w="1440"/>
            <w:shd w:fill="FFDCE0" w:val="clear"/>
          </w:tcPr>
          <w:p>
            <w:r>
              <w:rPr>
                <w:b/>
                <w:sz w:val="17"/>
              </w:rPr>
              <w:t>9,609</w:t>
            </w:r>
          </w:p>
        </w:tc>
        <w:tc>
          <w:tcPr>
            <w:tcW w:type="dxa" w:w="1440"/>
            <w:shd w:fill="FFDCE0" w:val="clear"/>
          </w:tcPr>
          <w:p>
            <w:r>
              <w:rPr>
                <w:sz w:val="17"/>
              </w:rPr>
              <w:t>10,266</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8,799</w:t>
            </w:r>
          </w:p>
        </w:tc>
        <w:tc>
          <w:tcPr>
            <w:tcW w:type="dxa" w:w="1440"/>
            <w:shd w:fill="FFDCE0" w:val="clear"/>
          </w:tcPr>
          <w:p>
            <w:r>
              <w:rPr>
                <w:b/>
                <w:sz w:val="17"/>
              </w:rPr>
              <w:t>9,553</w:t>
            </w:r>
          </w:p>
        </w:tc>
        <w:tc>
          <w:tcPr>
            <w:tcW w:type="dxa" w:w="1440"/>
            <w:shd w:fill="FFDCE0" w:val="clear"/>
          </w:tcPr>
          <w:p>
            <w:r>
              <w:rPr>
                <w:sz w:val="17"/>
              </w:rPr>
              <w:t>10,307</w:t>
            </w:r>
          </w:p>
        </w:tc>
        <w:tc>
          <w:tcPr>
            <w:tcW w:type="dxa" w:w="1440"/>
            <w:shd w:fill="FFDCE0" w:val="clear"/>
          </w:tcPr>
          <w:p>
            <w:r>
              <w:rPr>
                <w:b/>
                <w:color w:val="C00000"/>
                <w:sz w:val="17"/>
              </w:rPr>
              <w:t>-8.6%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8,666</w:t>
            </w:r>
          </w:p>
        </w:tc>
        <w:tc>
          <w:tcPr>
            <w:tcW w:type="dxa" w:w="1440"/>
            <w:shd w:fill="FFDCE0" w:val="clear"/>
          </w:tcPr>
          <w:p>
            <w:r>
              <w:rPr>
                <w:b/>
                <w:sz w:val="17"/>
              </w:rPr>
              <w:t>9,504</w:t>
            </w:r>
          </w:p>
        </w:tc>
        <w:tc>
          <w:tcPr>
            <w:tcW w:type="dxa" w:w="1440"/>
            <w:shd w:fill="FFDCE0" w:val="clear"/>
          </w:tcPr>
          <w:p>
            <w:r>
              <w:rPr>
                <w:sz w:val="17"/>
              </w:rPr>
              <w:t>10,343</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8,548</w:t>
            </w:r>
          </w:p>
        </w:tc>
        <w:tc>
          <w:tcPr>
            <w:tcW w:type="dxa" w:w="1440"/>
            <w:shd w:fill="FFDCE0" w:val="clear"/>
          </w:tcPr>
          <w:p>
            <w:r>
              <w:rPr>
                <w:b/>
                <w:sz w:val="17"/>
              </w:rPr>
              <w:t>9,462</w:t>
            </w:r>
          </w:p>
        </w:tc>
        <w:tc>
          <w:tcPr>
            <w:tcW w:type="dxa" w:w="1440"/>
            <w:shd w:fill="FFDCE0" w:val="clear"/>
          </w:tcPr>
          <w:p>
            <w:r>
              <w:rPr>
                <w:sz w:val="17"/>
              </w:rPr>
              <w:t>10,377</w:t>
            </w:r>
          </w:p>
        </w:tc>
        <w:tc>
          <w:tcPr>
            <w:tcW w:type="dxa" w:w="1440"/>
            <w:shd w:fill="FFDCE0" w:val="clear"/>
          </w:tcPr>
          <w:p>
            <w:r>
              <w:rPr>
                <w:b/>
                <w:color w:val="C00000"/>
                <w:sz w:val="17"/>
              </w:rPr>
              <w:t>-9.5%</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8,442</w:t>
            </w:r>
          </w:p>
        </w:tc>
        <w:tc>
          <w:tcPr>
            <w:tcW w:type="dxa" w:w="1440"/>
            <w:shd w:fill="FFDCE0" w:val="clear"/>
          </w:tcPr>
          <w:p>
            <w:r>
              <w:rPr>
                <w:b/>
                <w:sz w:val="17"/>
              </w:rPr>
              <w:t>9,426</w:t>
            </w:r>
          </w:p>
        </w:tc>
        <w:tc>
          <w:tcPr>
            <w:tcW w:type="dxa" w:w="1440"/>
            <w:shd w:fill="FFDCE0" w:val="clear"/>
          </w:tcPr>
          <w:p>
            <w:r>
              <w:rPr>
                <w:sz w:val="17"/>
              </w:rPr>
              <w:t>10,410</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8,348</w:t>
            </w:r>
          </w:p>
        </w:tc>
        <w:tc>
          <w:tcPr>
            <w:tcW w:type="dxa" w:w="1440"/>
            <w:shd w:fill="FFDCE0" w:val="clear"/>
          </w:tcPr>
          <w:p>
            <w:r>
              <w:rPr>
                <w:b/>
                <w:sz w:val="17"/>
              </w:rPr>
              <w:t>9,396</w:t>
            </w:r>
          </w:p>
        </w:tc>
        <w:tc>
          <w:tcPr>
            <w:tcW w:type="dxa" w:w="1440"/>
            <w:shd w:fill="FFDCE0" w:val="clear"/>
          </w:tcPr>
          <w:p>
            <w:r>
              <w:rPr>
                <w:sz w:val="17"/>
              </w:rPr>
              <w:t>10,445</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8,261</w:t>
            </w:r>
          </w:p>
        </w:tc>
        <w:tc>
          <w:tcPr>
            <w:tcW w:type="dxa" w:w="1440"/>
            <w:shd w:fill="FFDCE0" w:val="clear"/>
          </w:tcPr>
          <w:p>
            <w:r>
              <w:rPr>
                <w:b/>
                <w:sz w:val="17"/>
              </w:rPr>
              <w:t>9,371</w:t>
            </w:r>
          </w:p>
        </w:tc>
        <w:tc>
          <w:tcPr>
            <w:tcW w:type="dxa" w:w="1440"/>
            <w:shd w:fill="FFDCE0" w:val="clear"/>
          </w:tcPr>
          <w:p>
            <w:r>
              <w:rPr>
                <w:sz w:val="17"/>
              </w:rPr>
              <w:t>10,480</w:t>
            </w:r>
          </w:p>
        </w:tc>
        <w:tc>
          <w:tcPr>
            <w:tcW w:type="dxa" w:w="1440"/>
            <w:shd w:fill="FFDCE0" w:val="clear"/>
          </w:tcPr>
          <w:p>
            <w:r>
              <w:rPr>
                <w:b/>
                <w:color w:val="C00000"/>
                <w:sz w:val="17"/>
              </w:rPr>
              <w:t>-10.3%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8,183</w:t>
            </w:r>
          </w:p>
        </w:tc>
        <w:tc>
          <w:tcPr>
            <w:tcW w:type="dxa" w:w="1440"/>
            <w:shd w:fill="FFDCE0" w:val="clear"/>
          </w:tcPr>
          <w:p>
            <w:r>
              <w:rPr>
                <w:b/>
                <w:sz w:val="17"/>
              </w:rPr>
              <w:t>9,349</w:t>
            </w:r>
          </w:p>
        </w:tc>
        <w:tc>
          <w:tcPr>
            <w:tcW w:type="dxa" w:w="1440"/>
            <w:shd w:fill="FFDCE0" w:val="clear"/>
          </w:tcPr>
          <w:p>
            <w:r>
              <w:rPr>
                <w:sz w:val="17"/>
              </w:rPr>
              <w:t>10,516</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603,59 milliards FCFA, la BICB s'impose comme l'une des valeurs bancaires les plus importantes de la cote BRVM, ce qui traduit la confiance du marché envers le premier établissement bancaire du Bénin. Le BPA de 627 FCFA/action signifie que chaque titre génère près de 627 FCFA de bénéfice net, un niveau élevé qui soutient la solidité fondamentale du dossier. Le PER de 16,7x se situe nettement au-dessus de la moyenne BRVM (8-12x), signalant que les investisseurs paient une prime de croissance significative pour ce titre, justifiée par la dynamique commerciale exceptionnelle mais qui réduit la marge de sécurité. Le P/B de 4,47x confirme cette valorisation exigeante : le marché valorise la banque à plus de quatre fois sa valeur comptable, reflétant la qualité de ses fonds propres (ROE de 26,8%) mais exposant l'investisseur à un risque de correction si la rentabilité venait à fléchir. Enfin, l'EV/EBITDA de 27,0x, très supérieur au seuil de 15x, indique que la valeur d'entreprise intègre déjà une forte anticipation de croissance opérationnelle, ce qui rend le titre vulnérable à toute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la BICB a littéralement doublé, affichant une variation totale de +104,50%, avec une dernière séance encore haussière de +2,45% à 10 450 FCFA. Le range de trading est particulièrement large, oscillant entre un plus bas de 5 100 FCFA et un plus haut de 10 790 FCFA, soit un écart de plus de 111%, ce qui témoigne d'un mouvement directionnel puissant mais aussi d'une forte amplitude. La tendance générale est clairement haussière, portée par la publication de résultats annuels 2025 solides et par l'annonce d'un T1 2026 exceptionnel (résultat net +48%). Les statistiques descriptives révèlent une distribution asymétrique : la moyenne (6 665 FCFA) est nettement supérieure à la médiane (5 928 FCFA), et le mode se situe à 5 200 FCFA, confirmant que le cours a passé plus de temps dans les niveaux bas avant de s'envoler récemment — le skewness positif de 0,960 indique d'ailleurs « plus de journées sous la moyenne ». L'écart-type de 1 586 FCFA avec un coefficient de variation de 23,8% traduit une dispersion modérée à élevée du cours, tandis que le kurtosis de -0,151 (mésokurtique) suggère une distribution proche de la normale, sans risque extrême de pics erratiques. La volatilité annualisée de 34,5% classe ce titre dans la catégorie des valeurs à volatilité élevée (&gt;30%), ce qui est cohérent avec son statut de valeur de croissance en pleine revalorisation.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(9 233 FCFA) et la MM50 (7 918,5 FCFA) sont toutes deux nettement inférieures au cours actuel (10 450 FCFA), et la MM20 surplombe la MM50, configurant un croisement haussier classique. Cette configuration en « golden cross » avec un cours évoluant au-dessus des deux moyennes justifie pleinement la décision technique d'**Achat**, signalant une dynamique positive de court et moyen terme.</w:t>
      </w:r>
    </w:p>
    <w:p>
      <w:pPr>
        <w:spacing w:after="120" w:line="276" w:lineRule="auto"/>
      </w:pPr>
      <w:r>
        <w:t>**Bandes de Bollinger** : Le cours (10 450 FCFA) se situe dans la partie haute de la bande, entre la borne inférieure (7 395,88 FCFA) et la borne supérieure (11 070,12 FCFA), sans toutefois la franchir. Cette position proche de la borne haute traduit une pression acheteuse soutenue mais non encore extrême, ce qui explique la décision **Neutre** : le titre n'est ni en surachat technique violent, ni en zone de repli.</w:t>
      </w:r>
    </w:p>
    <w:p>
      <w:pPr>
        <w:spacing w:after="120" w:line="276" w:lineRule="auto"/>
      </w:pPr>
      <w:r>
        <w:t>**MACD** : La valeur du MACD (753,69) est supérieure à son signal (683,16), avec un histogramme positif, confirmant un momentum haussier en cours. La divergence positive entre les deux lignes valide la décision d'**Achat**, bien que l'écart relativement modéré suggère que la dynamique pourrait ralentir à court terme.</w:t>
      </w:r>
    </w:p>
    <w:p>
      <w:pPr>
        <w:spacing w:after="120" w:line="276" w:lineRule="auto"/>
      </w:pPr>
      <w:r>
        <w:t>**RSI** : À 80,99, le RSI se situe largement au-dessus du seuil de surachat de 70, déclenchant une décision de **Vente**. Ce niveau élevé indique que le titre a été acheté de manière excessive à court terme et qu'un repli technique ou une consolidation est probable avant toute nouvelle progression.</w:t>
      </w:r>
    </w:p>
    <w:p>
      <w:pPr>
        <w:spacing w:after="120" w:line="276" w:lineRule="auto"/>
      </w:pPr>
      <w:r>
        <w:t>**Stochastique** : Le %K (85,19) et le %D (78,72) évoluent tous deux en zone de surachat (&gt;80 pour le %K), avec un %K supérieur au %D, ce qui confirme la décision de **Vente**. Le croisement potentiel à venir entre ces deux lignes pourrait signaler un retournement baissier de court terme.</w:t>
      </w:r>
    </w:p>
    <w:p>
      <w:pPr>
        <w:spacing w:after="120" w:line="276" w:lineRule="auto"/>
      </w:pPr>
      <w:r>
        <w:t>**Conclusion technique** : Les indicateurs de tendance (MM, MACD) restent haussiers et soutiennent une poursuite du mouvement, mais les oscillateurs (RSI, Stochastique) sont en zone de surachat et plaident pour une consolidation. Cette divergence classique entre tendance et momentum suggère un **essoufflement à court terme** : le titre pourrait connaître un repli vers la MM20 (9 233 FCFA) avant de reprendre sa trajectoire haussière. La prudence est de mise pour les acheteurs tardifs.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BICB a publié des états financiers IFRS audités (rapport du 12 juin 2026) affichant un Produit Net Bancaire (PNB) de 52,805 milliards FCFA, en croissance de 16,5% sur un an, et un résultat net de 36,237 milliards FCFA, en hausse de 24,7%. Le ROE s'établit à 26,82% — un niveau excellent (&gt;15%) — et le ROA à 1,96%, confirmant la rentabilité élevée des fonds propres malgré la forte croissance du bilan. En tant que banque, les indicateurs sectoriels sont particulièrement favorables : le coefficient d'exploitation de 31,12% est très inférieur au seuil de 60%, témoignant d'une efficacité opérationnelle remarquable ; le coût du risque rapporté aux charges financières est de 9,61%, un niveau modéré qui traduit un portefeuille de crédits globalement sain ; et le ratio crédits nets/dépôts de 97,5% indique une transformation bancaire intense, avec des dépôts clientèle de 1 181,0 milliards FCFA (+29,4%) finançant des créances clientèle de 1 151,5 milliards FCFA (+37,3%). Les rapports trimestriels confirment cette dynamique : le T3 2025 (rapport du 30 septembre 2025) affichait un PNB cumulé de 35,9 milliards FCFA (+26%) mais un résultat net en recul de 9% à 13,1 milliards FCFA, en raison d'un « renforcement prudent du coût du risque ». Toutefois, le rapport du T1 2026 (publié en 2026) marque une inflexion majeure : le PNB bondit de 35% à 14,6 milliards FCFA et le résultat net progresse de 48% à 8,0 milliards FCFA, avec des dépôts clientèle à 1 248,3 milliards FCFA (+6%) et des crédits nets à 1 187,9 milliards FCFA (+3%). Sur la base de ce T1 2026, on peut estimer que l'exercice 2026 devrait afficher un résultat net annualisé proche de 32-35 milliards FCFA, voire davantage si la dynamique se poursuit, ce qui ramènerait le PER vers 17-19x — toujours exigeant mais soutenu par la croissance. Les risques identifiés par les commissaires aux comptes (rapport 2025) incluent le risque de crédit lié à l'expansion rapide des encours (1 461 milliards FCFA d'encours exposés), la tension sur la liquidité (ratio de liquidité à 11,03%) et les faiblesses du système d'information pour le déclassement automatique des créances. En synthèse, la BICB présente des fondamentaux solides et une rentabilité exceptionnelle, mais la qualité de la croissance (coût du risque, liquidité) reste le principal point de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BICB (Partie 0) apparaît exigeante : PER de 16,7x, P/B de 4,47x et EV/EBITDA de 27,0x traduisent une prime de croissance significative, voire une surévaluation relative par rapport aux standards de la BRVM, ce qui limite la marge de sécurité. Le comportement du cours (Partie 1) est exceptionnellement haussier (+104,50% sur 100 jours) mais accompagné d'une volatilité élevée (34,5%) et d'une asymétrie positive (skewness de 0,960) indiquant que le rallye s'est construit récemment, avec un risque de correction. Les signaux techniques (Partie 2) sont mitigés : les tendances (MM, MACD) restent haussières, mais les oscillateurs (RSI à 81, Stochastique à 85) sont en surachat et plaident pour une consolidation à court terme. Les fondamentaux (Partie 3) sont solides — PNB 2025 de 52,8 milliards FCFA, résultat net de 36,2 milliards FCFA, ROE de 26,8% — et le T1 2026 (résultat net +48%) confirme une accélération de la dynamique, bien que les risques de crédit et de liquidité nécessitent une surveillance. Les prédictions IA (J+1 à J+10) anticipent une trajectoire baissière vers 9 504 FCFA d'ici le 18 septembre 2026, ce qui contredit la tendance haussière actuelle et confirme la probabilité d'une consolidation technique. Sur la base de cette synthèse, la convergence entre la valorisation exigeante, le surachat technique et la prédiction baissière à court terme suggère une **prise de bénéfices partielle** pour les investisseurs déjà positionnés, tandis que les nouveaux entrants devraient attendre un repli vers la MM20 (9 233 FCFA) avant d'envisager une entrée. La recommandation finale est **CONSERVER** avec un biais de prudence à court terme : les fondamentaux justifient une position de long terme, mais le timing actuel n'est pas optimal pour un achat agressif. Le niveau de confiance est **Moyen** (les fondamentaux sont solides mais la technique est en surachat), et le niveau de risque global est **Élevé** (volatilité de 34,5%, valorisation tendue, prédiction baissière). L'horizon d'investissement optimal est le **moyen terme (3-12 mois)**, en attendant une normalisation technique et la confirmation de la pérennité de la croissance du T1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550.17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657 titres</w:t>
            </w:r>
          </w:p>
        </w:tc>
        <w:tc>
          <w:tcPr>
            <w:tcW w:type="dxa" w:w="2268"/>
            <w:shd w:fill="FFF2CC" w:val="clear"/>
          </w:tcPr>
          <w:p>
            <w:r>
              <w:rPr>
                <w:b/>
                <w:color w:val="503200"/>
                <w:sz w:val="16"/>
              </w:rPr>
              <w:t xml:space="preserve">Cours actuel : </w:t>
            </w:r>
            <w:r>
              <w:rPr>
                <w:color w:val="000000"/>
                <w:sz w:val="17"/>
              </w:rPr>
              <w:t>33,010 FCFA</w:t>
            </w:r>
          </w:p>
          <w:p>
            <w:r>
              <w:rPr>
                <w:b/>
                <w:color w:val="503200"/>
                <w:sz w:val="16"/>
              </w:rPr>
              <w:t xml:space="preserve">Var. 100 jours : </w:t>
            </w:r>
            <w:r>
              <w:rPr>
                <w:b/>
                <w:color w:val="007800"/>
                <w:sz w:val="17"/>
              </w:rPr>
              <w:t>+39.25%</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23,705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7.48% (Moyenne) — μ=28,217 FCFA, σ=2,110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β=0.5418 (Défensif) — Cov=0.000019, Var(idx)=0.000035, ρ=0.180,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657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31,672</w:t>
            </w:r>
          </w:p>
        </w:tc>
        <w:tc>
          <w:tcPr>
            <w:tcW w:type="dxa" w:w="1440"/>
            <w:shd w:fill="FAFAFA" w:val="clear"/>
          </w:tcPr>
          <w:p>
            <w:r>
              <w:rPr>
                <w:b/>
                <w:sz w:val="17"/>
              </w:rPr>
              <w:t>32,675</w:t>
            </w:r>
          </w:p>
        </w:tc>
        <w:tc>
          <w:tcPr>
            <w:tcW w:type="dxa" w:w="1440"/>
            <w:shd w:fill="FAFAFA" w:val="clear"/>
          </w:tcPr>
          <w:p>
            <w:r>
              <w:rPr>
                <w:sz w:val="17"/>
              </w:rPr>
              <w:t>33,678</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31,150</w:t>
            </w:r>
          </w:p>
        </w:tc>
        <w:tc>
          <w:tcPr>
            <w:tcW w:type="dxa" w:w="1440"/>
            <w:shd w:fill="FAFAFA" w:val="clear"/>
          </w:tcPr>
          <w:p>
            <w:r>
              <w:rPr>
                <w:b/>
                <w:sz w:val="17"/>
              </w:rPr>
              <w:t>32,564</w:t>
            </w:r>
          </w:p>
        </w:tc>
        <w:tc>
          <w:tcPr>
            <w:tcW w:type="dxa" w:w="1440"/>
            <w:shd w:fill="FAFAFA" w:val="clear"/>
          </w:tcPr>
          <w:p>
            <w:r>
              <w:rPr>
                <w:sz w:val="17"/>
              </w:rPr>
              <w:t>33,978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30,732</w:t>
            </w:r>
          </w:p>
        </w:tc>
        <w:tc>
          <w:tcPr>
            <w:tcW w:type="dxa" w:w="1440"/>
            <w:shd w:fill="FAFAFA" w:val="clear"/>
          </w:tcPr>
          <w:p>
            <w:r>
              <w:rPr>
                <w:b/>
                <w:sz w:val="17"/>
              </w:rPr>
              <w:t>32,457</w:t>
            </w:r>
          </w:p>
        </w:tc>
        <w:tc>
          <w:tcPr>
            <w:tcW w:type="dxa" w:w="1440"/>
            <w:shd w:fill="FAFAFA" w:val="clear"/>
          </w:tcPr>
          <w:p>
            <w:r>
              <w:rPr>
                <w:sz w:val="17"/>
              </w:rPr>
              <w:t>34,183</w:t>
            </w:r>
          </w:p>
        </w:tc>
        <w:tc>
          <w:tcPr>
            <w:tcW w:type="dxa" w:w="1440"/>
            <w:shd w:fill="FAFAFA" w:val="clear"/>
          </w:tcPr>
          <w:p>
            <w:r>
              <w:rPr>
                <w:b/>
                <w:color w:val="C00000"/>
                <w:sz w:val="17"/>
              </w:rPr>
              <w:t>-1.7%</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30,367</w:t>
            </w:r>
          </w:p>
        </w:tc>
        <w:tc>
          <w:tcPr>
            <w:tcW w:type="dxa" w:w="1440"/>
            <w:shd w:fill="FAFAFA" w:val="clear"/>
          </w:tcPr>
          <w:p>
            <w:r>
              <w:rPr>
                <w:b/>
                <w:sz w:val="17"/>
              </w:rPr>
              <w:t>32,353</w:t>
            </w:r>
          </w:p>
        </w:tc>
        <w:tc>
          <w:tcPr>
            <w:tcW w:type="dxa" w:w="1440"/>
            <w:shd w:fill="FAFAFA" w:val="clear"/>
          </w:tcPr>
          <w:p>
            <w:r>
              <w:rPr>
                <w:sz w:val="17"/>
              </w:rPr>
              <w:t>34,339</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30,040</w:t>
            </w:r>
          </w:p>
        </w:tc>
        <w:tc>
          <w:tcPr>
            <w:tcW w:type="dxa" w:w="1440"/>
            <w:shd w:fill="FFDCE0" w:val="clear"/>
          </w:tcPr>
          <w:p>
            <w:r>
              <w:rPr>
                <w:b/>
                <w:sz w:val="17"/>
              </w:rPr>
              <w:t>32,253</w:t>
            </w:r>
          </w:p>
        </w:tc>
        <w:tc>
          <w:tcPr>
            <w:tcW w:type="dxa" w:w="1440"/>
            <w:shd w:fill="FFDCE0" w:val="clear"/>
          </w:tcPr>
          <w:p>
            <w:r>
              <w:rPr>
                <w:sz w:val="17"/>
              </w:rPr>
              <w:t>34,467</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29,739</w:t>
            </w:r>
          </w:p>
        </w:tc>
        <w:tc>
          <w:tcPr>
            <w:tcW w:type="dxa" w:w="1440"/>
            <w:shd w:fill="FFDCE0" w:val="clear"/>
          </w:tcPr>
          <w:p>
            <w:r>
              <w:rPr>
                <w:b/>
                <w:sz w:val="17"/>
              </w:rPr>
              <w:t>32,157</w:t>
            </w:r>
          </w:p>
        </w:tc>
        <w:tc>
          <w:tcPr>
            <w:tcW w:type="dxa" w:w="1440"/>
            <w:shd w:fill="FFDCE0" w:val="clear"/>
          </w:tcPr>
          <w:p>
            <w:r>
              <w:rPr>
                <w:sz w:val="17"/>
              </w:rPr>
              <w:t>34,575</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29,460</w:t>
            </w:r>
          </w:p>
        </w:tc>
        <w:tc>
          <w:tcPr>
            <w:tcW w:type="dxa" w:w="1440"/>
            <w:shd w:fill="FFDCE0" w:val="clear"/>
          </w:tcPr>
          <w:p>
            <w:r>
              <w:rPr>
                <w:b/>
                <w:sz w:val="17"/>
              </w:rPr>
              <w:t>32,064</w:t>
            </w:r>
          </w:p>
        </w:tc>
        <w:tc>
          <w:tcPr>
            <w:tcW w:type="dxa" w:w="1440"/>
            <w:shd w:fill="FFDCE0" w:val="clear"/>
          </w:tcPr>
          <w:p>
            <w:r>
              <w:rPr>
                <w:sz w:val="17"/>
              </w:rPr>
              <w:t>34,668</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29,198</w:t>
            </w:r>
          </w:p>
        </w:tc>
        <w:tc>
          <w:tcPr>
            <w:tcW w:type="dxa" w:w="1440"/>
            <w:shd w:fill="FFDCE0" w:val="clear"/>
          </w:tcPr>
          <w:p>
            <w:r>
              <w:rPr>
                <w:b/>
                <w:sz w:val="17"/>
              </w:rPr>
              <w:t>31,974</w:t>
            </w:r>
          </w:p>
        </w:tc>
        <w:tc>
          <w:tcPr>
            <w:tcW w:type="dxa" w:w="1440"/>
            <w:shd w:fill="FFDCE0" w:val="clear"/>
          </w:tcPr>
          <w:p>
            <w:r>
              <w:rPr>
                <w:sz w:val="17"/>
              </w:rPr>
              <w:t>34,750</w:t>
            </w:r>
          </w:p>
        </w:tc>
        <w:tc>
          <w:tcPr>
            <w:tcW w:type="dxa" w:w="1440"/>
            <w:shd w:fill="FFDCE0" w:val="clear"/>
          </w:tcPr>
          <w:p>
            <w:r>
              <w:rPr>
                <w:b/>
                <w:color w:val="C00000"/>
                <w:sz w:val="17"/>
              </w:rPr>
              <w:t>-3.1%</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28,951</w:t>
            </w:r>
          </w:p>
        </w:tc>
        <w:tc>
          <w:tcPr>
            <w:tcW w:type="dxa" w:w="1440"/>
            <w:shd w:fill="FFDCE0" w:val="clear"/>
          </w:tcPr>
          <w:p>
            <w:r>
              <w:rPr>
                <w:b/>
                <w:sz w:val="17"/>
              </w:rPr>
              <w:t>31,887</w:t>
            </w:r>
          </w:p>
        </w:tc>
        <w:tc>
          <w:tcPr>
            <w:tcW w:type="dxa" w:w="1440"/>
            <w:shd w:fill="FFDCE0" w:val="clear"/>
          </w:tcPr>
          <w:p>
            <w:r>
              <w:rPr>
                <w:sz w:val="17"/>
              </w:rPr>
              <w:t>34,823</w:t>
            </w:r>
          </w:p>
        </w:tc>
        <w:tc>
          <w:tcPr>
            <w:tcW w:type="dxa" w:w="1440"/>
            <w:shd w:fill="FFDCE0" w:val="clear"/>
          </w:tcPr>
          <w:p>
            <w:r>
              <w:rPr>
                <w:b/>
                <w:color w:val="C00000"/>
                <w:sz w:val="17"/>
              </w:rPr>
              <w:t>-3.4%</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28,716</w:t>
            </w:r>
          </w:p>
        </w:tc>
        <w:tc>
          <w:tcPr>
            <w:tcW w:type="dxa" w:w="1440"/>
            <w:shd w:fill="FFDCE0" w:val="clear"/>
          </w:tcPr>
          <w:p>
            <w:r>
              <w:rPr>
                <w:b/>
                <w:sz w:val="17"/>
              </w:rPr>
              <w:t>31,803</w:t>
            </w:r>
          </w:p>
        </w:tc>
        <w:tc>
          <w:tcPr>
            <w:tcW w:type="dxa" w:w="1440"/>
            <w:shd w:fill="FFDCE0" w:val="clear"/>
          </w:tcPr>
          <w:p>
            <w:r>
              <w:rPr>
                <w:sz w:val="17"/>
              </w:rPr>
              <w:t>34,890</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550,17 milliards FCFA, BICC figure parmi les valeurs les plus importantes de la cote BRVM, ce qui en fait un pilier de l'indice composite et un titre de référence pour les investisseurs institutionnels de la zone UEMOA. Le BPA de 2 191 FCFA par action signifie que chaque titre génère près de 2 200 FCFA de bénéfice net, un niveau de rentabilité unitaire élevé qui traduit la solidité du modèle bancaire. Le PER de 15,1x se situe au-dessus de la moyenne du marché BRVM (généralement 8-12x), indiquant que les investisseurs acceptent de payer une prime pour la qualité de la croissance, mais cette valorisation reste modérée au regard des standards internationaux du secteur bancaire. Le P/B de 4,56x constitue en revanche un signal exigeant : le marché valorise la banque à plus de quatre fois sa valeur comptable, ce qui intègre déjà une large part des performances futures et laisse peu de marge d'erreur. Enfin, l'EV/EBITDA de 11,0x, dans la fourchette haute (10-15x), confirme que la valeur d'entreprise rapportée à la capacité opérationnelle est tendue, suggérant une valorisation globalement exigeante mais justifiée par la trajectoire bénéficiaire.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spectaculaire de +39,25%, avec une dernière séance en hausse de +1,26%, portant le cours actuel à 33 010 FCFA pour une capitalisation de 550,17 milliards FCFA. Le range de trading s'établit entre un plus bas de 23 705 FCFA et un plus haut de 34 000 FCFA, soit une amplitude de plus de 10 000 FCFA qui témoigne d'une tendance nettement haussière, le cours actuel évoluant dans le haut de cette fourchette. Les statistiques descriptives révèlent une moyenne de 28 217 FCFA légèrement inférieure à la médiane de 28 498 FCFA, avec un mode à 29 000 FCFA : cet écart minime entre moyenne et médiane, confirmé par un skewness de 0,184 (distribution quasi symétrique), indique une progression ordonnée sans emballement spéculatif déséquilibré. L'écart-type de 2 121 FCFA pour un coefficient de variation de 7,5% traduit une dispersion modérée du cours autour de sa moyenne, ce qui est rassurant pour la stabilité de la tendance. Le kurtosis de 1,043 (leptokurtique) signale toutefois des queues épaisses, donc un risque de pics de volatilité brutaux qu'il convient de surveiller. Avec une volatilité annualisée de 28,9%, le titre se situe dans la catégorie modérée (15-30%), cohérent avec un profil bancaire de qualité mais non exempt de sensibilité aux annonces macroéconomiques et aux publications de résultats.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(30 709 FCFA) et la MM50 (29 414 FCFA) se situent toutes deux sous le cours actuel (33 010 FCFA), avec la MM20 au-dessus de la MM50, configuration typique d'une tendance haussière bien établie. Cet alignement haussier justifie pleinement la décision technique d'**Achat**, le cours évoluant au-dessus de ses supports dynamiques.</w:t>
      </w:r>
    </w:p>
    <w:p>
      <w:pPr>
        <w:spacing w:after="120" w:line="276" w:lineRule="auto"/>
      </w:pPr>
      <w:r>
        <w:t>**Bandes de Bollinger** : Le cours (33 010 FCFA) évolue dans la partie haute du canal, entre la borne inférieure (26 696 FCFA) et la borne supérieure (34 721 FCFA), sans franchir cette dernière. Cette position proche de la borne haute, sans cassure, explique la décision **Neutre** : le titre est fort mais n'est pas encore en situation d'extension excessive.</w:t>
      </w:r>
    </w:p>
    <w:p>
      <w:pPr>
        <w:spacing w:after="120" w:line="276" w:lineRule="auto"/>
      </w:pPr>
      <w:r>
        <w:t>**MACD** : La valeur du MACD (1 208,713) dépasse nettement son signal (912,935), avec un histogramme positif et croissant qui confirme un momentum haussier soutenu. Cette divergence positive entre les deux lignes justifie la décision d'**Achat**, le mouvement de fond restant porteur.</w:t>
      </w:r>
    </w:p>
    <w:p>
      <w:pPr>
        <w:spacing w:after="120" w:line="276" w:lineRule="auto"/>
      </w:pPr>
      <w:r>
        <w:t>**RSI** : À 75,21, le RSI se situe en zone de surachat (&gt;70), signalant que le titre a été acheté de manière agressive à court terme et qu'une consolidation ou un repli technique est probable. Cette lecture justifie la décision de **Vente** à court terme, à interpréter comme une prise de profit plutôt qu'un retournement de tendance.</w:t>
      </w:r>
    </w:p>
    <w:p>
      <w:pPr>
        <w:spacing w:after="120" w:line="276" w:lineRule="auto"/>
      </w:pPr>
      <w:r>
        <w:t>**Stochastique** : Le %K (81,667) et le %D (85,247) évoluent tous deux en zone haute, avec le %K sous le %D, ce qui suggère un essoufflement du momentum et un possible croisement baissier à venir. Cette configuration confirme la décision de **Vente** à court terme, cohérente avec le RSI.</w:t>
      </w:r>
    </w:p>
    <w:p>
      <w:pPr>
        <w:spacing w:after="120" w:line="276" w:lineRule="auto"/>
      </w:pPr>
      <w:r>
        <w:t>**Conclusion technique** : Les indicateurs de tendance (MM20/MM50, MACD) restent clairement haussiers et plaident pour une poursuite du mouvement de fond, tandis que les oscillateurs (RSI à 75,21 et Stochastique en zone haute) signalent un surachat à court terme. Cette divergence classique entre tendance et momentum suggère un titre en phase de consolidation probable après une forte hausse de +39,25%, avec un support dynamique à surveiller autour de la MM20 (30 709 FCFA). La configuration globale reste favorable à moyen terme, mais une prise de profit partielle ou un point d'entrée sur repli paraît plus prudent qu'un achat au plus haut.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dressent le portrait d'une banque exceptionnellement rentable : le Produit Net Bancaire s'établit à 79,563 milliards FCFA, le résultat net à 36,520 milliards FCFA, soit une marge nette remarquable de 45,90%, un ROE de 30,29% (largement supérieur au seuil d'excellence de 15%) et un ROA de 3,24%. Le coefficient d'exploitation de 50,83% place BICICI sous la barre des 60% synonyme d'efficacité, confirmant une maîtrise rigoureuse des charges (34,248 milliards FCFA de charges générales pour 79,563 milliards de PNB). Le bilan est solide avec 1 126,270 milliards FCFA de total actif, dominé par 952,872 milliards FCFA de dépôts clientèle face à 524,439 milliards FCFA de créances clientèle, soit un ratio de transformation de 55% qui traduit une forte surliquidité — la banque collecte beaucoup plus qu'elle ne prête, ce qui constitue à la fois une force (résilience) et un manque à gagner en marge d'intermédiation. Le coût du risque rapporté aux charges financières (-12,15%) reste contenu, signe d'un portefeuille de crédit de bonne qualité, tandis que la couverture des intérêts (329,33%) et la capacité de remboursement (0,40 an) témoignent d'une structure financière très saine. Les rapports narratifs confirment cette dynamique : le rapport du 3e trimestre 2025 (30/09/2025) affiche un PNB cumulé de 58 119 MFCFA (+16,4%) et un résultat net de 27 402 MFCFA (+50,8%), avec une marge nette passée de 36,4% à 47,1% en un an ; le rapport du 1er trimestre 2026 (31/03/2026) confirme l'accélération avec un PNB de 21 214 MFCFA (+17,0%) et un résultat net de 10 387 MFCFA (+29,7%), malgré une baisse des crédits nets de 4,5% due à des remboursements anticipés, compensée par une hausse des dépôts de +14,5% à 996 392 MFCFA. Sur la base de ce T1 2026, on peut estimer que l'exercice 2026 devrait dépasser les 85 milliards FCFA de PNB et approcher les 42-44 milliards FCFA de résultat net, soit une nouvelle année de croissance à deux chiffres. La principale réserve concerne la contraction des encours de crédit (-4,5% au T1 2026, -3,6% au T3 2025), qui, si elle se prolongeait, finirait par peser sur la marge d'intermédiation, mais elle est pour l'instant compensée par la hausse des commissions et la baisse du coût du risque. Au total, la solidité fondamentale est incontestable, la rentabilité est parmi les meilleures de la BRVM, et les perspectives 2026 restent favorables, avec un risque principal lié à la transformation crédit/dépôts et à la dépendance aux titres souverains (408,170 milliards FCFA d'effets publics, soit 36% du bilan).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de l'analyse révèle un profil d'investissement de haute qualité mais dont la valorisation intègre déjà une large part des mérites. La valorisation (Partie 0) est exigeante : un PER de 15,1x au-dessus de la moyenne BRVM, un P/B de 4,56x et un EV/EBITDA de 11,0x traduisent une prime de qualité significative, sans être déraisonnables au regard du ROE de 30,29%. Le comportement du cours (Partie 1) est nettement haussier (+39,25% sur 100 jours) avec une volatilité modérée (28,9%) et une distribution symétrique (skewness 0,184), mais le kurtosis de 1,043 avertit d'un risque de pics brutaux après une telle progression. Les signaux techniques (Partie 2) sont divergents : les indicateurs de tendance (MM, MACD) restent acheteurs, tandis que les oscillateurs (RSI 75,21, Stochastique 81,7/85,2) sont en zone de surachat et plaident pour une consolidation à court terme. Les fondamentaux (Partie 3) sont excellents : ROE de 30,29%, marge nette de 45,90%, coefficient d'exploitation de 50,83%, et les rapports T3 2025 et T1 2026 confirment une croissance à deux chiffres du PNB et du résultat net, avec une estimation 2026 autour de 42-44 milliards FCFA de bénéfice net. Les prédictions IA (J+1 à J+10) anticipent une légère dérive baissière de 32 675 à 32 253 FCFA, ce qui corrobore la lecture technique d'un essoufflement à court terme et suggère une consolidation plutôt qu'un retournement. Sur cette base, la recommandation finale est **CONSERVER** avec un biais positif : les fondamentaux et la tendance de fond justifient de rester investi, mais le surachat technique et la valorisation tendue déconseillent un achat au plus haut — les investisseurs déjà positionnés peuvent conserver en visant un objectif de 34 000-35 000 FCFA, tandis que les nouveaux entrants devraient attendre un repli vers la MM20 (30 709 FCFA) ou la borne médiane des Bollinger pour se positionner. Le niveau de confiance est **Moyen à Élevé**, soutenu par la qualité exceptionnelle des fondamentaux mais tempéré par la valorisation exigeante et le risque de consolidation. Le niveau de risque global est **Moyen**, avec un horizon d'investissement recommandé de **moyen terme (3-12 mois)** pour capturer la poursuite de la croissance bénéficiaire tout en laissant le temps à la valorisation de se normaliser.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2,863 titres</w:t>
            </w:r>
          </w:p>
        </w:tc>
        <w:tc>
          <w:tcPr>
            <w:tcW w:type="dxa" w:w="2268"/>
            <w:shd w:fill="FFF2CC" w:val="clear"/>
          </w:tcPr>
          <w:p>
            <w:r>
              <w:rPr>
                <w:b/>
                <w:color w:val="503200"/>
                <w:sz w:val="16"/>
              </w:rPr>
              <w:t xml:space="preserve">Cours actuel : </w:t>
            </w:r>
            <w:r>
              <w:rPr>
                <w:color w:val="000000"/>
                <w:sz w:val="17"/>
              </w:rPr>
              <w:t>2,135 FCFA</w:t>
            </w:r>
          </w:p>
          <w:p>
            <w:r>
              <w:rPr>
                <w:b/>
                <w:color w:val="503200"/>
                <w:sz w:val="16"/>
              </w:rPr>
              <w:t xml:space="preserve">Var. 100 jours : </w:t>
            </w:r>
            <w:r>
              <w:rPr>
                <w:b/>
                <w:color w:val="007800"/>
                <w:sz w:val="17"/>
              </w:rPr>
              <w:t>+41.86%</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13.21% (Moyenne) — μ=1,838 FCFA, σ=243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β=0.0245 (Défensif) — Cov=0.000001, Var(idx)=0.000035, ρ=0.004,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2,023</w:t>
            </w:r>
          </w:p>
        </w:tc>
        <w:tc>
          <w:tcPr>
            <w:tcW w:type="dxa" w:w="1440"/>
            <w:shd w:fill="FAFAFA" w:val="clear"/>
          </w:tcPr>
          <w:p>
            <w:r>
              <w:rPr>
                <w:b/>
                <w:sz w:val="17"/>
              </w:rPr>
              <w:t>2,123</w:t>
            </w:r>
          </w:p>
        </w:tc>
        <w:tc>
          <w:tcPr>
            <w:tcW w:type="dxa" w:w="1440"/>
            <w:shd w:fill="FAFAFA" w:val="clear"/>
          </w:tcPr>
          <w:p>
            <w:r>
              <w:rPr>
                <w:sz w:val="17"/>
              </w:rPr>
              <w:t>2,224</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1,964</w:t>
            </w:r>
          </w:p>
        </w:tc>
        <w:tc>
          <w:tcPr>
            <w:tcW w:type="dxa" w:w="1440"/>
            <w:shd w:fill="FAFAFA" w:val="clear"/>
          </w:tcPr>
          <w:p>
            <w:r>
              <w:rPr>
                <w:b/>
                <w:sz w:val="17"/>
              </w:rPr>
              <w:t>2,104</w:t>
            </w:r>
          </w:p>
        </w:tc>
        <w:tc>
          <w:tcPr>
            <w:tcW w:type="dxa" w:w="1440"/>
            <w:shd w:fill="FAFAFA" w:val="clear"/>
          </w:tcPr>
          <w:p>
            <w:r>
              <w:rPr>
                <w:sz w:val="17"/>
              </w:rPr>
              <w:t>2,245</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1,917</w:t>
            </w:r>
          </w:p>
        </w:tc>
        <w:tc>
          <w:tcPr>
            <w:tcW w:type="dxa" w:w="1440"/>
            <w:shd w:fill="FFDCE0" w:val="clear"/>
          </w:tcPr>
          <w:p>
            <w:r>
              <w:rPr>
                <w:b/>
                <w:sz w:val="17"/>
              </w:rPr>
              <w:t>2,087</w:t>
            </w:r>
          </w:p>
        </w:tc>
        <w:tc>
          <w:tcPr>
            <w:tcW w:type="dxa" w:w="1440"/>
            <w:shd w:fill="FFDCE0" w:val="clear"/>
          </w:tcPr>
          <w:p>
            <w:r>
              <w:rPr>
                <w:sz w:val="17"/>
              </w:rPr>
              <w:t>2,258</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1,877</w:t>
            </w:r>
          </w:p>
        </w:tc>
        <w:tc>
          <w:tcPr>
            <w:tcW w:type="dxa" w:w="1440"/>
            <w:shd w:fill="FFDCE0" w:val="clear"/>
          </w:tcPr>
          <w:p>
            <w:r>
              <w:rPr>
                <w:b/>
                <w:sz w:val="17"/>
              </w:rPr>
              <w:t>2,072</w:t>
            </w:r>
          </w:p>
        </w:tc>
        <w:tc>
          <w:tcPr>
            <w:tcW w:type="dxa" w:w="1440"/>
            <w:shd w:fill="FFDCE0" w:val="clear"/>
          </w:tcPr>
          <w:p>
            <w:r>
              <w:rPr>
                <w:sz w:val="17"/>
              </w:rPr>
              <w:t>2,268</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1,841</w:t>
            </w:r>
          </w:p>
        </w:tc>
        <w:tc>
          <w:tcPr>
            <w:tcW w:type="dxa" w:w="1440"/>
            <w:shd w:fill="FFDCE0" w:val="clear"/>
          </w:tcPr>
          <w:p>
            <w:r>
              <w:rPr>
                <w:b/>
                <w:sz w:val="17"/>
              </w:rPr>
              <w:t>2,058</w:t>
            </w:r>
          </w:p>
        </w:tc>
        <w:tc>
          <w:tcPr>
            <w:tcW w:type="dxa" w:w="1440"/>
            <w:shd w:fill="FFDCE0" w:val="clear"/>
          </w:tcPr>
          <w:p>
            <w:r>
              <w:rPr>
                <w:sz w:val="17"/>
              </w:rPr>
              <w:t>2,275</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1,809</w:t>
            </w:r>
          </w:p>
        </w:tc>
        <w:tc>
          <w:tcPr>
            <w:tcW w:type="dxa" w:w="1440"/>
            <w:shd w:fill="FFDCE0" w:val="clear"/>
          </w:tcPr>
          <w:p>
            <w:r>
              <w:rPr>
                <w:b/>
                <w:sz w:val="17"/>
              </w:rPr>
              <w:t>2,045</w:t>
            </w:r>
          </w:p>
        </w:tc>
        <w:tc>
          <w:tcPr>
            <w:tcW w:type="dxa" w:w="1440"/>
            <w:shd w:fill="FFDCE0" w:val="clear"/>
          </w:tcPr>
          <w:p>
            <w:r>
              <w:rPr>
                <w:sz w:val="17"/>
              </w:rPr>
              <w:t>2,282</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1,779</w:t>
            </w:r>
          </w:p>
        </w:tc>
        <w:tc>
          <w:tcPr>
            <w:tcW w:type="dxa" w:w="1440"/>
            <w:shd w:fill="FFDCE0" w:val="clear"/>
          </w:tcPr>
          <w:p>
            <w:r>
              <w:rPr>
                <w:b/>
                <w:sz w:val="17"/>
              </w:rPr>
              <w:t>2,033</w:t>
            </w:r>
          </w:p>
        </w:tc>
        <w:tc>
          <w:tcPr>
            <w:tcW w:type="dxa" w:w="1440"/>
            <w:shd w:fill="FFDCE0" w:val="clear"/>
          </w:tcPr>
          <w:p>
            <w:r>
              <w:rPr>
                <w:sz w:val="17"/>
              </w:rPr>
              <w:t>2,287</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1,752</w:t>
            </w:r>
          </w:p>
        </w:tc>
        <w:tc>
          <w:tcPr>
            <w:tcW w:type="dxa" w:w="1440"/>
            <w:shd w:fill="FFDCE0" w:val="clear"/>
          </w:tcPr>
          <w:p>
            <w:r>
              <w:rPr>
                <w:b/>
                <w:sz w:val="17"/>
              </w:rPr>
              <w:t>2,021</w:t>
            </w:r>
          </w:p>
        </w:tc>
        <w:tc>
          <w:tcPr>
            <w:tcW w:type="dxa" w:w="1440"/>
            <w:shd w:fill="FFDCE0" w:val="clear"/>
          </w:tcPr>
          <w:p>
            <w:r>
              <w:rPr>
                <w:sz w:val="17"/>
              </w:rPr>
              <w:t>2,291</w:t>
            </w:r>
          </w:p>
        </w:tc>
        <w:tc>
          <w:tcPr>
            <w:tcW w:type="dxa" w:w="1440"/>
            <w:shd w:fill="FFDCE0" w:val="clear"/>
          </w:tcPr>
          <w:p>
            <w:r>
              <w:rPr>
                <w:b/>
                <w:color w:val="C00000"/>
                <w:sz w:val="17"/>
              </w:rPr>
              <w:t>-5.3%</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1,726</w:t>
            </w:r>
          </w:p>
        </w:tc>
        <w:tc>
          <w:tcPr>
            <w:tcW w:type="dxa" w:w="1440"/>
            <w:shd w:fill="FFDCE0" w:val="clear"/>
          </w:tcPr>
          <w:p>
            <w:r>
              <w:rPr>
                <w:b/>
                <w:sz w:val="17"/>
              </w:rPr>
              <w:t>2,010</w:t>
            </w:r>
          </w:p>
        </w:tc>
        <w:tc>
          <w:tcPr>
            <w:tcW w:type="dxa" w:w="1440"/>
            <w:shd w:fill="FFDCE0" w:val="clear"/>
          </w:tcPr>
          <w:p>
            <w:r>
              <w:rPr>
                <w:sz w:val="17"/>
              </w:rPr>
              <w:t>2,295</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1,701</w:t>
            </w:r>
          </w:p>
        </w:tc>
        <w:tc>
          <w:tcPr>
            <w:tcW w:type="dxa" w:w="1440"/>
            <w:shd w:fill="FFDCE0" w:val="clear"/>
          </w:tcPr>
          <w:p>
            <w:r>
              <w:rPr>
                <w:b/>
                <w:sz w:val="17"/>
              </w:rPr>
              <w:t>1,999</w:t>
            </w:r>
          </w:p>
        </w:tc>
        <w:tc>
          <w:tcPr>
            <w:tcW w:type="dxa" w:w="1440"/>
            <w:shd w:fill="FFDCE0" w:val="clear"/>
          </w:tcPr>
          <w:p>
            <w:r>
              <w:rPr>
                <w:sz w:val="17"/>
              </w:rPr>
              <w:t>2,298</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*Bourse Régionale des Valeurs Mobilières (BRVM) — Secteur : Entreprise (Distribution de matériaux de construction)*</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14,14 milliards FCFA, BNBC se situe dans la catégorie des petites capitalisations de la BRVM, ce qui la rend vulnérable aux mouvements de faible volume (2 863 titres/jour en moyenne). Le BPA de 3 FCFA/action est symbolique, reflétant un résultat net quasi nul (22,3 millions FCFA en 2025) pour un capital de 1,656 milliard FCFA. Le PER de 633,7x est totalement aberrant comparé à la moyenne BRVM (~8-12x) : les investisseurs paient plus de 600 fois les bénéfices, ce qui traduit une décorrélation complète entre le cours (2 135 FCFA) et la rentabilité réelle de l'entreprise — le marché valorise ici des perspectives de redressement, non les profits actuels. À l'inverse, le P/B de 0,80x indique que le titre se négocie 20% sous sa valeur comptable (capitaux propres de 17,77 Mds FCFA), ce qui constitue une opportunité potentielle en cas de retournement, mais aussi un signal de défiance du marché envers la qualité de ces actifs. Enfin, l'EV/EBITDA de 24,7x (&gt;15x) est très exigeant et suggère que la valeur d'entreprise intègre déjà une forte amélioration opérationnelle future, laissant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performance spectaculaire de +41,86%, portée par un rally haussier qui contraste fortement avec la dégradation des fondamentaux ; toutefois, la dernière séance (J-1) marque un repli de -1,39%, signalant un essoufflement de la dynamique acheteuse. Le titre a évolué dans un range très large de 1 300 FCFA (plus bas) à 2 400 FCFA (plus haut), soit une amplitude de 84,6%, ce qui témoigne d'une forte volatilité et d'une spéculation active sur ce dossier. La moyenne (1 838 FCFA) est inférieure à la médiane (1 900 FCFA), indiquant une légère asymétrie négative avec quelques séances de forte baisse qui tirent la moyenne vers le bas, tandis que le mode à 1 990 FCFA confirme que le cours a longtemps stationné autour de 2 000 FCFA avant de s'envoler. L'écart-type de 244 FCFA (CV = 13,3%) traduit une dispersion modérée du cours autour de sa moyenne, mais la volatilité annualisée de 51,5% classe clairement BNBC dans la catégorie des titres à volatilité élevée (&gt;30%), ce qui implique un risque de perte en capital significatif. Le kurtosis de -0,628 (mésokurtique) et le skewness de -0,234 (distribution quasi-symétrique) indiquent un comportement proche d'une loi normale, sans pics extrêmes fréquents ni biais marqué — le risque est donc diffus et non concentré sur des événements rares.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(2 126,5 FCFA) et la MM50 (2 000,6 FCFA) sont toutes deux inférieures au cours actuel (2 135 FCFA), avec une MM20 au-dessus de la MM50 — configuration haussière classique (golden cross). Le cours évolue au-dessus de ses deux moyennes, ce qui valide la décision « Achat » et confirme la tendance positive de court et moyen terme.</w:t>
      </w:r>
    </w:p>
    <w:p>
      <w:pPr>
        <w:spacing w:after="120" w:line="276" w:lineRule="auto"/>
      </w:pPr>
      <w:r>
        <w:t>**Bandes de Bollinger** : Le cours (2 135 FCFA) se situe dans la partie médiane-haute de la bande (borne supérieure 2 383,9 FCFA, borne inférieure 1 869,1 FCFA), sans contact avec les extrêmes. Cette position centrale, couplée à une largeur de bande élevée (514,9 FCFA), traduit une volatilité importante mais sans excès directionnel — d'où la décision « Neutre », qui invite à la prudence face à un possible retour vers la moyenne.</w:t>
      </w:r>
    </w:p>
    <w:p>
      <w:pPr>
        <w:spacing w:after="120" w:line="276" w:lineRule="auto"/>
      </w:pPr>
      <w:r>
        <w:t>**MACD** : La valeur du MACD (45,995) est inférieure à son signal (60,57), générant une divergence baissière et une décision « Vente ». Ce croisement négatif indique un affaiblissement du momentum haussier, bien que le MACD reste en territoire positif — signal de correction technique plutôt que de retournement majeur.</w:t>
      </w:r>
    </w:p>
    <w:p>
      <w:pPr>
        <w:spacing w:after="120" w:line="276" w:lineRule="auto"/>
      </w:pPr>
      <w:r>
        <w:t>**RSI** : À 57,838, le RSI se situe en zone neutre (30-70), sans surachat ni survente. Cette valeur modérée confirme que le titre n'est ni épuisé à la hausse ni survendu, laissant la porte ouverte à une poursuite de la tendance ou à une consolidation — décision « Neutre ».</w:t>
      </w:r>
    </w:p>
    <w:p>
      <w:pPr>
        <w:spacing w:after="120" w:line="276" w:lineRule="auto"/>
      </w:pPr>
      <w:r>
        <w:t>**Stochastique** : Le %K (35,366) et le %D (36,585) sont proches et en zone basse-médiane, sans croisement net. Cette configuration neutre suggère une absence de signal directionnel fort à court terme, cohérente avec la décision « Neutre ».</w:t>
      </w:r>
    </w:p>
    <w:p>
      <w:pPr>
        <w:spacing w:after="120" w:line="276" w:lineRule="auto"/>
      </w:pPr>
      <w:r>
        <w:t>**Conclusion technique** : Les indicateurs sont majoritairement neutres (Bollinger, RSI, Stochastique) avec un biais haussier sur les moyennes mobiles mais un signal de vente sur le MACD. Cette divergence traduit un marché en phase de consolidation après le rally de +41,86%, avec un risque de correction à court terme mais une tendance de fond encore positive. La prudence est de mise avant tout nouvel engagement.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BNBC affiche un chiffre d'affaires de 42,454 milliards FCFA, en recul de -6,31% par rapport à 2024 (45,312 milliards FCFA), confirmant une contraction de l'activité commerciale. Le résultat net s'établit à 22,318 millions FCFA (contre 7,313 millions en 2024), soit une amélioration de +205% en valeur absolue, mais la marge nette reste catastrophiquement faible à 0,0526% — l'entreprise travaille quasiment à perte. Le ROE de 0,1256% et le ROA de 0,0454% sont dérisoires, très loin du seuil de 15% considéré comme excellent, ce qui signifie que les capitaux propres (17,77 Mds FCFA) ne sont pas rémunérés. Sur le plan opérationnel, le résultat d'exploitation chute à 1,049 milliard FCFA (contre 1,193 milliard en 2024), et la trésorerie nette est massivement négative à -16,689 milliards FCFA, révélant une dépendance critique aux financements bancaires. Les délais d'exploitation sont préoccupants : 104,40 jours de délai client (risque de trésorerie élevé), 339,23 jours de durée de stockage (immobilisation de capital massive) et un BFR de 29,373 milliards FCFA qui pèse lourdement. Le ratio d'endettement de 105,48% (dettes totales/capitaux propres) et la capacité de remboursement de 19,17 années (dettes financières/CAF) signalent une structure financière fragile, bien que l'autonomie financière (36,16%) reste au-dessus du seuil de 30%. Les rapports trimestriels confirment cette tendance : le T1 2026 (publié en 2026) affiche un CA stable à 11,194 milliards FCFA (-0,12%) mais un résultat net positif de 65,566 millions FCFA (contre une perte de -16,147 millions au T1 2025), grâce à l'intégration de la division Équipement — un retournement encourageant mais encore fragile. Le rapport du T3 2025 (daté du 30/09/2025) faisait état d'une perte nette de -157,03 millions FCFA sur 9 mois, avec un CA en recul de -3% à 31,83 milliards FCFA, et le S1 2025 (30/06/2025) montrait une perte de -139,57 millions FCFA. On estime donc que l'exercice 2026 devrait bénéficier de la montée en puissance des divisions Équipement et Power, avec un possible retour à l'équilibre annuel si la dynamique du T1 se confirme — mais la prudence reste de mise compte tenu de l'absence de dividende (0 FCFA en 2025) et de la trésorerie négative. En conclusion, BNBC présente une solidité financière très précaire, des risques de liquidité majeurs et une rentabilité anémique, malgré des perspectives d'amélioration liées aux nouveaux relais de croissance.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BNBC est paradoxale : un PER de 633,7x et un EV/EBITDA de 24,7x indiquent une surévaluation manifeste par rapport aux bénéfices actuels, mais le P/B de 0,80x suggère une sous-évaluation des actifs comptables — le marché parie sur un redressement futur plutôt que sur les fondamentaux présents. Le comportement du cours sur 100 jours (+41,86%) est haussier mais la volatilité annualisée de 51,5% et le repli de -1,39% en J-1 signalent un essoufflement, avec une distribution quasi-normale (kurtosis -0,628, skewness -0,234) qui n'écarte pas de fortes fluctuations. Les signaux techniques sont divergents : les moyennes mobiles (MM20 &gt; MM50 &gt; cours) soutiennent l'achat, mais le MACD génère une vente et les autres indicateurs (Bollinger, RSI, Stochastique) sont neutres — cette absence de convergence plaide pour une consolidation à court terme. Les fondamentaux restent le point faible : malgré l'amélioration du résultat net en 2025 (22,3 millions FCFA) et le retour à la rentabilité au T1 2026 (65,6 millions FCFA), la trésorerie nette de -16,689 milliards FCFA, la marge nette de 0,05% et l'absence de dividende constituent des risques majeurs. Les prédictions IA (J+1 à J+10) anticipent une baisse progressive de 2 123 FCFA à 2 058 FCFA, confirmant la pression baissière à court terme et contredisant la dynamique haussière récente. Sur la base de cette synthèse globale, la recommandation finale est **CONSERVER** avec un niveau de confiance **Moyen** et un risque global **Élevé**. La convergence entre la technique (MACD baissier), les prédictions IA (baisse) et les fondamentaux (fragiles) invite à la prudence, mais le potentiel de redressement lié aux nouvelles divisions et la décote sur la valeur comptable (P/B &lt; 1) justifient de ne pas vendre précipitamment. L'horizon d'investissement optimal est **moyen terme (3-12 mois)**, en surveillant les résultats du T2 2026 pour confirmer la reprise de la rentabilité et l'amélioration de la trésorerie — un passage à l'achat serait justifié si ces indicateurs se confirment, tandis qu'une dégradation supplémentaire entraînerait une recommandation de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409.67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5,721 titres</w:t>
            </w:r>
          </w:p>
        </w:tc>
        <w:tc>
          <w:tcPr>
            <w:tcW w:type="dxa" w:w="2268"/>
            <w:shd w:fill="FFF2CC" w:val="clear"/>
          </w:tcPr>
          <w:p>
            <w:r>
              <w:rPr>
                <w:b/>
                <w:color w:val="503200"/>
                <w:sz w:val="16"/>
              </w:rPr>
              <w:t xml:space="preserve">Cours actuel : </w:t>
            </w:r>
            <w:r>
              <w:rPr>
                <w:color w:val="000000"/>
                <w:sz w:val="17"/>
              </w:rPr>
              <w:t>10,100 FCFA</w:t>
            </w:r>
          </w:p>
          <w:p>
            <w:r>
              <w:rPr>
                <w:b/>
                <w:color w:val="503200"/>
                <w:sz w:val="16"/>
              </w:rPr>
              <w:t xml:space="preserve">Var. 100 jours : </w:t>
            </w:r>
            <w:r>
              <w:rPr>
                <w:b/>
                <w:color w:val="007800"/>
                <w:sz w:val="17"/>
              </w:rPr>
              <w:t>+26.49%</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7,985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μ=9,044 FCFA, σ=569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β=-0.1808 (Contre-cyclique) — Cov=-0.000006, Var(idx)=0.000035, ρ=-0.065,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5,721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9,661</w:t>
            </w:r>
          </w:p>
        </w:tc>
        <w:tc>
          <w:tcPr>
            <w:tcW w:type="dxa" w:w="1440"/>
            <w:shd w:fill="FAFAFA" w:val="clear"/>
          </w:tcPr>
          <w:p>
            <w:r>
              <w:rPr>
                <w:b/>
                <w:sz w:val="17"/>
              </w:rPr>
              <w:t>10,006</w:t>
            </w:r>
          </w:p>
        </w:tc>
        <w:tc>
          <w:tcPr>
            <w:tcW w:type="dxa" w:w="1440"/>
            <w:shd w:fill="FAFAFA" w:val="clear"/>
          </w:tcPr>
          <w:p>
            <w:r>
              <w:rPr>
                <w:sz w:val="17"/>
              </w:rPr>
              <w:t>10,352</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9,474</w:t>
            </w:r>
          </w:p>
        </w:tc>
        <w:tc>
          <w:tcPr>
            <w:tcW w:type="dxa" w:w="1440"/>
            <w:shd w:fill="FAFAFA" w:val="clear"/>
          </w:tcPr>
          <w:p>
            <w:r>
              <w:rPr>
                <w:b/>
                <w:sz w:val="17"/>
              </w:rPr>
              <w:t>9,961</w:t>
            </w:r>
          </w:p>
        </w:tc>
        <w:tc>
          <w:tcPr>
            <w:tcW w:type="dxa" w:w="1440"/>
            <w:shd w:fill="FAFAFA" w:val="clear"/>
          </w:tcPr>
          <w:p>
            <w:r>
              <w:rPr>
                <w:sz w:val="17"/>
              </w:rPr>
              <w:t>10,448</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9,320</w:t>
            </w:r>
          </w:p>
        </w:tc>
        <w:tc>
          <w:tcPr>
            <w:tcW w:type="dxa" w:w="1440"/>
            <w:shd w:fill="FAFAFA" w:val="clear"/>
          </w:tcPr>
          <w:p>
            <w:r>
              <w:rPr>
                <w:b/>
                <w:sz w:val="17"/>
              </w:rPr>
              <w:t>9,914</w:t>
            </w:r>
          </w:p>
        </w:tc>
        <w:tc>
          <w:tcPr>
            <w:tcW w:type="dxa" w:w="1440"/>
            <w:shd w:fill="FAFAFA" w:val="clear"/>
          </w:tcPr>
          <w:p>
            <w:r>
              <w:rPr>
                <w:sz w:val="17"/>
              </w:rPr>
              <w:t>10,507</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9,190</w:t>
            </w:r>
          </w:p>
        </w:tc>
        <w:tc>
          <w:tcPr>
            <w:tcW w:type="dxa" w:w="1440"/>
            <w:shd w:fill="FFDCE0" w:val="clear"/>
          </w:tcPr>
          <w:p>
            <w:r>
              <w:rPr>
                <w:b/>
                <w:sz w:val="17"/>
              </w:rPr>
              <w:t>9,872</w:t>
            </w:r>
          </w:p>
        </w:tc>
        <w:tc>
          <w:tcPr>
            <w:tcW w:type="dxa" w:w="1440"/>
            <w:shd w:fill="FFDCE0" w:val="clear"/>
          </w:tcPr>
          <w:p>
            <w:r>
              <w:rPr>
                <w:sz w:val="17"/>
              </w:rPr>
              <w:t>10,554</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9,074</w:t>
            </w:r>
          </w:p>
        </w:tc>
        <w:tc>
          <w:tcPr>
            <w:tcW w:type="dxa" w:w="1440"/>
            <w:shd w:fill="FFDCE0" w:val="clear"/>
          </w:tcPr>
          <w:p>
            <w:r>
              <w:rPr>
                <w:b/>
                <w:sz w:val="17"/>
              </w:rPr>
              <w:t>9,834</w:t>
            </w:r>
          </w:p>
        </w:tc>
        <w:tc>
          <w:tcPr>
            <w:tcW w:type="dxa" w:w="1440"/>
            <w:shd w:fill="FFDCE0" w:val="clear"/>
          </w:tcPr>
          <w:p>
            <w:r>
              <w:rPr>
                <w:sz w:val="17"/>
              </w:rPr>
              <w:t>10,594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8,969</w:t>
            </w:r>
          </w:p>
        </w:tc>
        <w:tc>
          <w:tcPr>
            <w:tcW w:type="dxa" w:w="1440"/>
            <w:shd w:fill="FFDCE0" w:val="clear"/>
          </w:tcPr>
          <w:p>
            <w:r>
              <w:rPr>
                <w:b/>
                <w:sz w:val="17"/>
              </w:rPr>
              <w:t>9,798</w:t>
            </w:r>
          </w:p>
        </w:tc>
        <w:tc>
          <w:tcPr>
            <w:tcW w:type="dxa" w:w="1440"/>
            <w:shd w:fill="FFDCE0" w:val="clear"/>
          </w:tcPr>
          <w:p>
            <w:r>
              <w:rPr>
                <w:sz w:val="17"/>
              </w:rPr>
              <w:t>10,628</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8,871</w:t>
            </w:r>
          </w:p>
        </w:tc>
        <w:tc>
          <w:tcPr>
            <w:tcW w:type="dxa" w:w="1440"/>
            <w:shd w:fill="FFDCE0" w:val="clear"/>
          </w:tcPr>
          <w:p>
            <w:r>
              <w:rPr>
                <w:b/>
                <w:sz w:val="17"/>
              </w:rPr>
              <w:t>9,764</w:t>
            </w:r>
          </w:p>
        </w:tc>
        <w:tc>
          <w:tcPr>
            <w:tcW w:type="dxa" w:w="1440"/>
            <w:shd w:fill="FFDCE0" w:val="clear"/>
          </w:tcPr>
          <w:p>
            <w:r>
              <w:rPr>
                <w:sz w:val="17"/>
              </w:rPr>
              <w:t>10,657</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8,781</w:t>
            </w:r>
          </w:p>
        </w:tc>
        <w:tc>
          <w:tcPr>
            <w:tcW w:type="dxa" w:w="1440"/>
            <w:shd w:fill="FFDCE0" w:val="clear"/>
          </w:tcPr>
          <w:p>
            <w:r>
              <w:rPr>
                <w:b/>
                <w:sz w:val="17"/>
              </w:rPr>
              <w:t>9,732</w:t>
            </w:r>
          </w:p>
        </w:tc>
        <w:tc>
          <w:tcPr>
            <w:tcW w:type="dxa" w:w="1440"/>
            <w:shd w:fill="FFDCE0" w:val="clear"/>
          </w:tcPr>
          <w:p>
            <w:r>
              <w:rPr>
                <w:sz w:val="17"/>
              </w:rPr>
              <w:t>10,683</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8,695</w:t>
            </w:r>
          </w:p>
        </w:tc>
        <w:tc>
          <w:tcPr>
            <w:tcW w:type="dxa" w:w="1440"/>
            <w:shd w:fill="FFDCE0" w:val="clear"/>
          </w:tcPr>
          <w:p>
            <w:r>
              <w:rPr>
                <w:b/>
                <w:sz w:val="17"/>
              </w:rPr>
              <w:t>9,701</w:t>
            </w:r>
          </w:p>
        </w:tc>
        <w:tc>
          <w:tcPr>
            <w:tcW w:type="dxa" w:w="1440"/>
            <w:shd w:fill="FFDCE0" w:val="clear"/>
          </w:tcPr>
          <w:p>
            <w:r>
              <w:rPr>
                <w:sz w:val="17"/>
              </w:rPr>
              <w:t>10,707</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8,615</w:t>
            </w:r>
          </w:p>
        </w:tc>
        <w:tc>
          <w:tcPr>
            <w:tcW w:type="dxa" w:w="1440"/>
            <w:shd w:fill="FFDCE0" w:val="clear"/>
          </w:tcPr>
          <w:p>
            <w:r>
              <w:rPr>
                <w:b/>
                <w:sz w:val="17"/>
              </w:rPr>
              <w:t>9,672</w:t>
            </w:r>
          </w:p>
        </w:tc>
        <w:tc>
          <w:tcPr>
            <w:tcW w:type="dxa" w:w="1440"/>
            <w:shd w:fill="FFDCE0" w:val="clear"/>
          </w:tcPr>
          <w:p>
            <w:r>
              <w:rPr>
                <w:sz w:val="17"/>
              </w:rPr>
              <w:t>10,729</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409,67 milliards FCFA, BOAB s'impose comme l'une des valeurs bancaires les plus capitalisées de la cote BRVM, ce qui témoigne de sa liquidité relative et de son poids dans l'indice sectoriel. Le BPA de 496 FCFA/action signifie que chaque titre génère près de 500 FCFA de bénéfice net, un niveau confortable qui traduit la rentabilité intrinsèque de la banque. Toutefois, le PER de 20,4x apparaît nettement supérieur à la moyenne du marché BRVM (généralement comprise entre 8x et 12x), ce qui indique que les investisseurs paient une prime significative pour les bénéfices actuels, anticipant probablement une croissance future ou reflétant un engouement sectoriel. Le P/B de 3,49x confirme cette lecture : le marché valorise la banque à plus de trois fois sa valeur comptable, une prime de croissance typique des établissements bancaires bien capitalisés et rentables. Enfin, l'EV/EBITDA de 20,6x, très exigeant (seuil d'alerte &gt;15x), suggère que la valeur d'entreprise intègre déjà une bonne partie du potentiel opérationnel,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 enregistré une progression remarquable de +26,49%, avec une dernière séance en hausse de +0,70%, confirmant une dynamique haussière solidement installée. Le cours actuel de 10 100 FCFA se situe dans le haut de la fourchette de trading, le plus haut ayant été atteint à 10 350 FCFA et le plus bas à 7 985 FCFA, soit un range de plus de 2 300 FCFA qui illustre une tendance clairement ascendante. La moyenne des cours sur la période s'établit à 9 044 FCFA, tandis que la médiane est légèrement inférieure à 8 860 FCFA : cet écart positif entre moyenne et médiane, conjugué à un skewness de +0,887, révèle une asymétrie positive — autrement dit, le titre a passé plus de journées sous sa moyenne, mais les poussées haussières ont été suffisamment fortes pour tirer la moyenne vers le haut. L'écart-type de 572 FCFA, avec un coefficient de variation de seulement 6,3%, indique une dispersion modérée du cours autour de sa tendance, ce qui est rassurant pour un investisseur : la hausse n'est pas erratique mais progressive. Le kurtosis de 0,213 (mésokurtique) suggère une distribution proche de la normale, sans risque excessif de pics extrêmes, tandis que la volatilité annualisée de 26,1% place le titre dans la catégorie des valeurs à volatilité modérée (15-30%), offrant un bon compromis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(9 914,25 FCFA) et la MM50 (9 217,00 FCFA) sont toutes deux inférieures au cours actuel de 10 100 FCFA, et la MM20 surpasse la MM50, configurant un croisement haussier classique. Cette configuration en « golden cross » justifie pleinement la décision d'achat, le titre évoluant au-dessus de ses deux supports dynamiques.</w:t>
      </w:r>
    </w:p>
    <w:p>
      <w:pPr>
        <w:spacing w:after="120" w:line="276" w:lineRule="auto"/>
      </w:pPr>
      <w:r>
        <w:t>**Bandes de Bollinger** : Le cours (10 100 FCFA) se situe entre la borne supérieure (10 956,08 FCFA) et la borne inférieure (8 872,42 FCFA), plus proche de la borne haute sans l'atteindre. Cette position médiane-haute traduit une volatilité contenue et une absence de surachat extrême, d'où la décision neutre : le titre n'est ni en zone de surchauffe, ni en zone de rebond.</w:t>
      </w:r>
    </w:p>
    <w:p>
      <w:pPr>
        <w:spacing w:after="120" w:line="276" w:lineRule="auto"/>
      </w:pPr>
      <w:r>
        <w:t>**MACD** : La valeur du MACD (317,10) est inférieure à son signal (350,89), générant une divergence baissière qui justifie la décision de vente. Ce croisement négatif indique un essoufflement du momentum haussier à court terme, bien que les deux lignes restent en territoire positif, ce qui tempère la portée du signal.</w:t>
      </w:r>
    </w:p>
    <w:p>
      <w:pPr>
        <w:spacing w:after="120" w:line="276" w:lineRule="auto"/>
      </w:pPr>
      <w:r>
        <w:t>**RSI** : À 53,75, le RSI se situe parfaitement dans la zone neutre (30-70), sans pression de surachat ni de survente. Cette position équilibrée confirme la décision neutre et suggère que le titre dispose encore de marge de progression avant d'atteindre des niveaux de surachat.</w:t>
      </w:r>
    </w:p>
    <w:p>
      <w:pPr>
        <w:spacing w:after="120" w:line="276" w:lineRule="auto"/>
      </w:pPr>
      <w:r>
        <w:t>**Stochastique** : Le %K (30,56) est inférieur au %D (41,75), et les deux oscillateurs se situent dans la zone basse, proche de la zone de survente. Cette configuration indique une pression vendeuse récente mais un potentiel de rebond technique, justifiant la décision neutre dans l'attente d'un croisement haussier.</w:t>
      </w:r>
    </w:p>
    <w:p>
      <w:pPr>
        <w:spacing w:after="120" w:line="276" w:lineRule="auto"/>
      </w:pPr>
      <w:r>
        <w:t>**Conclusion technique** : Les indicateurs présentent un tableau mitigé : les moyennes mobiles confirment la tendance haussière de fond, mais le MACD signale un essoufflement à court terme, tandis que le RSI et le stochastique restent neutres. Cette divergence suggère une phase de consolidation possible avant une reprise, le titre ayant besoin de digérer sa forte progression de +26,49% sur 100 jours.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 affiche des fondamentaux solides : le Produit Net Bancaire (équivalent du chiffre d'affaires pour une banque) s'établit à 51,274 milliards FCFA, en croissance de 10,20% sur un an, tandis que le résultat net atteint 20,107 milliards FCFA, générant un ROE de 17,11% (nettement supérieur au seuil d'excellence de 15%) et un ROA de 2,08%. Le coefficient d'exploitation de 49,53% place la banque sous la barre des 50%, signe d'une efficacité opérationnelle remarquable, et la marge nette de 39,22% témoigne d'une forte capacité à transformer le PNB en bénéfice. Cependant, le coût du risque rapporté aux charges financières s'élève à 22,50%, un niveau élevé qui signale une exposition significative au risque de crédit, à surveiller dans un contexte de contraction des encours. La structure financière révèle une autonomie financière faible (12,18%) et un ratio d'endettement de 98,77%, typique du modèle bancaire où les dépôts clientèle (711,642 milliards FCFA) financent les créances (391,724 milliards FCFA), avec un ratio de transformation de 55%, indiquant une marge de croissance sur le crédit. Les rapports trimestriels confirment la dynamique : le T1 2026 (rapport du 31 mars 2026) affiche un PNB de 12,329 milliards FCFA (+11%) et un résultat net de 4,502 milliards FCFA (+1%), tandis que le T3 2025 (rapport du 30 septembre 2025) enregistrait un PNB de 37,065 milliards FCFA (+9%) et un résultat net de 15,880 milliards FCFA (+13%). Sur la base de ces tendances, on estime que l'exercice 2026 devrait maintenir une croissance du PNB autour de 10%, avec un résultat net annuel projeté entre 20,5 et 21 milliards FCFA, bien que la pression sur les coûts et la hausse du coût du risque constituent des facteurs de vigilance. La recommandation fondamentale est de conserver le titre : la solidité des fondamentaux et la rentabilité élevée justifient la prime de valorisation, mais le niveau exigeant du PER limite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20,4x, P/B de 3,49x et EV/EBITDA de 20,6x indiquent que le marché a déjà intégré une bonne partie du potentiel de croissance, laissant peu de marge de sécurité. Le comportement du cours (Partie 1) est néanmoins favorable : tendance haussière de +26,49%, volatilité modérée (26,1%) et distribution proche de la normale (kurtosis 0,213), bien que le skewness positif suggère une dépendance aux poussées haussières. Les signaux techniques (Partie 2) sont divergents : les moyennes mobiles confirment la tendance haussière, mais le MACD génère un signal de vente et le RSI/stochastique restent neutres, plaidant pour une consolidation. Les fondamentaux (Partie 3) sont solides : ROE de 17,11%, coefficient d'exploitation de 49,53% et croissance du PNB de 10,20% en 2025, avec des estimations 2026 favorables (PNB +11% au T1 2026). Les prédictions IA (J+1 à J+10) anticipent une légère correction vers 9 834 FCFA d'ici le 18 septembre 2026, ce qui contredit la tendance haussière récente mais s'aligne sur le signal de vente du MACD. Sur la base de cette synthèse, la recommandation finale est **CONSERVER** : la convergence entre fondamentaux solides et valorisation exigeante ne justifie ni un achat agressif aux niveaux actuels, ni une vente qui sacrifierait une position sur une valeur de qualité. Le niveau de confiance est **Moyen**, car les signaux techniques et les prédictions IA suggèrent une consolidation à court terme, tandis que le niveau de risque global est **Moyen**, la volatilité modérée et la solidité financière compensant la prime de valorisation. L'horizon d'investissement optimal est le **moyen terme (3-12 mois)**, le temps que la croissance des bénéfices rattrape les multiples actuels et que la consolidation technique s'achève.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395.56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6,787 titres</w:t>
            </w:r>
          </w:p>
        </w:tc>
        <w:tc>
          <w:tcPr>
            <w:tcW w:type="dxa" w:w="2268"/>
            <w:shd w:fill="FFF2CC" w:val="clear"/>
          </w:tcPr>
          <w:p>
            <w:r>
              <w:rPr>
                <w:b/>
                <w:color w:val="503200"/>
                <w:sz w:val="16"/>
              </w:rPr>
              <w:t xml:space="preserve">Cours actuel : </w:t>
            </w:r>
            <w:r>
              <w:rPr>
                <w:color w:val="000000"/>
                <w:sz w:val="17"/>
              </w:rPr>
              <w:t>8,990 FCFA</w:t>
            </w:r>
          </w:p>
          <w:p>
            <w:r>
              <w:rPr>
                <w:b/>
                <w:color w:val="503200"/>
                <w:sz w:val="16"/>
              </w:rPr>
              <w:t xml:space="preserve">Var. 100 jours : </w:t>
            </w:r>
            <w:r>
              <w:rPr>
                <w:b/>
                <w:color w:val="007800"/>
                <w:sz w:val="17"/>
              </w:rPr>
              <w:t>+59.68%</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18.54% (Élevée) — μ=6,480 FCFA, σ=1,201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β=0.1021 (Défensif) — Cov=0.000004, Var(idx)=0.000035, ρ=0.028,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8,594</w:t>
            </w:r>
          </w:p>
        </w:tc>
        <w:tc>
          <w:tcPr>
            <w:tcW w:type="dxa" w:w="1440"/>
            <w:shd w:fill="FAFAFA" w:val="clear"/>
          </w:tcPr>
          <w:p>
            <w:r>
              <w:rPr>
                <w:b/>
                <w:sz w:val="17"/>
              </w:rPr>
              <w:t>8,914</w:t>
            </w:r>
          </w:p>
        </w:tc>
        <w:tc>
          <w:tcPr>
            <w:tcW w:type="dxa" w:w="1440"/>
            <w:shd w:fill="FAFAFA" w:val="clear"/>
          </w:tcPr>
          <w:p>
            <w:r>
              <w:rPr>
                <w:sz w:val="17"/>
              </w:rPr>
              <w:t>9,235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8,411</w:t>
            </w:r>
          </w:p>
        </w:tc>
        <w:tc>
          <w:tcPr>
            <w:tcW w:type="dxa" w:w="1440"/>
            <w:shd w:fill="FAFAFA" w:val="clear"/>
          </w:tcPr>
          <w:p>
            <w:r>
              <w:rPr>
                <w:b/>
                <w:sz w:val="17"/>
              </w:rPr>
              <w:t>8,861</w:t>
            </w:r>
          </w:p>
        </w:tc>
        <w:tc>
          <w:tcPr>
            <w:tcW w:type="dxa" w:w="1440"/>
            <w:shd w:fill="FAFAFA" w:val="clear"/>
          </w:tcPr>
          <w:p>
            <w:r>
              <w:rPr>
                <w:sz w:val="17"/>
              </w:rPr>
              <w:t>9,312</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8,274</w:t>
            </w:r>
          </w:p>
        </w:tc>
        <w:tc>
          <w:tcPr>
            <w:tcW w:type="dxa" w:w="1440"/>
            <w:shd w:fill="FAFAFA" w:val="clear"/>
          </w:tcPr>
          <w:p>
            <w:r>
              <w:rPr>
                <w:b/>
                <w:sz w:val="17"/>
              </w:rPr>
              <w:t>8,824</w:t>
            </w:r>
          </w:p>
        </w:tc>
        <w:tc>
          <w:tcPr>
            <w:tcW w:type="dxa" w:w="1440"/>
            <w:shd w:fill="FAFAFA" w:val="clear"/>
          </w:tcPr>
          <w:p>
            <w:r>
              <w:rPr>
                <w:sz w:val="17"/>
              </w:rPr>
              <w:t>9,374</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8,166</w:t>
            </w:r>
          </w:p>
        </w:tc>
        <w:tc>
          <w:tcPr>
            <w:tcW w:type="dxa" w:w="1440"/>
            <w:shd w:fill="FFDCE0" w:val="clear"/>
          </w:tcPr>
          <w:p>
            <w:r>
              <w:rPr>
                <w:b/>
                <w:sz w:val="17"/>
              </w:rPr>
              <w:t>8,799</w:t>
            </w:r>
          </w:p>
        </w:tc>
        <w:tc>
          <w:tcPr>
            <w:tcW w:type="dxa" w:w="1440"/>
            <w:shd w:fill="FFDCE0" w:val="clear"/>
          </w:tcPr>
          <w:p>
            <w:r>
              <w:rPr>
                <w:sz w:val="17"/>
              </w:rPr>
              <w:t>9,431</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8,073</w:t>
            </w:r>
          </w:p>
        </w:tc>
        <w:tc>
          <w:tcPr>
            <w:tcW w:type="dxa" w:w="1440"/>
            <w:shd w:fill="FFDCE0" w:val="clear"/>
          </w:tcPr>
          <w:p>
            <w:r>
              <w:rPr>
                <w:b/>
                <w:sz w:val="17"/>
              </w:rPr>
              <w:t>8,779</w:t>
            </w:r>
          </w:p>
        </w:tc>
        <w:tc>
          <w:tcPr>
            <w:tcW w:type="dxa" w:w="1440"/>
            <w:shd w:fill="FFDCE0" w:val="clear"/>
          </w:tcPr>
          <w:p>
            <w:r>
              <w:rPr>
                <w:sz w:val="17"/>
              </w:rPr>
              <w:t>9,485</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7,990</w:t>
            </w:r>
          </w:p>
        </w:tc>
        <w:tc>
          <w:tcPr>
            <w:tcW w:type="dxa" w:w="1440"/>
            <w:shd w:fill="FFDCE0" w:val="clear"/>
          </w:tcPr>
          <w:p>
            <w:r>
              <w:rPr>
                <w:b/>
                <w:sz w:val="17"/>
              </w:rPr>
              <w:t>8,762</w:t>
            </w:r>
          </w:p>
        </w:tc>
        <w:tc>
          <w:tcPr>
            <w:tcW w:type="dxa" w:w="1440"/>
            <w:shd w:fill="FFDCE0" w:val="clear"/>
          </w:tcPr>
          <w:p>
            <w:r>
              <w:rPr>
                <w:sz w:val="17"/>
              </w:rPr>
              <w:t>9,534</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7,914</w:t>
            </w:r>
          </w:p>
        </w:tc>
        <w:tc>
          <w:tcPr>
            <w:tcW w:type="dxa" w:w="1440"/>
            <w:shd w:fill="FFDCE0" w:val="clear"/>
          </w:tcPr>
          <w:p>
            <w:r>
              <w:rPr>
                <w:b/>
                <w:sz w:val="17"/>
              </w:rPr>
              <w:t>8,746</w:t>
            </w:r>
          </w:p>
        </w:tc>
        <w:tc>
          <w:tcPr>
            <w:tcW w:type="dxa" w:w="1440"/>
            <w:shd w:fill="FFDCE0" w:val="clear"/>
          </w:tcPr>
          <w:p>
            <w:r>
              <w:rPr>
                <w:sz w:val="17"/>
              </w:rPr>
              <w:t>9,578</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7,843</w:t>
            </w:r>
          </w:p>
        </w:tc>
        <w:tc>
          <w:tcPr>
            <w:tcW w:type="dxa" w:w="1440"/>
            <w:shd w:fill="FFDCE0" w:val="clear"/>
          </w:tcPr>
          <w:p>
            <w:r>
              <w:rPr>
                <w:b/>
                <w:sz w:val="17"/>
              </w:rPr>
              <w:t>8,731</w:t>
            </w:r>
          </w:p>
        </w:tc>
        <w:tc>
          <w:tcPr>
            <w:tcW w:type="dxa" w:w="1440"/>
            <w:shd w:fill="FFDCE0" w:val="clear"/>
          </w:tcPr>
          <w:p>
            <w:r>
              <w:rPr>
                <w:sz w:val="17"/>
              </w:rPr>
              <w:t>9,619</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7,776</w:t>
            </w:r>
          </w:p>
        </w:tc>
        <w:tc>
          <w:tcPr>
            <w:tcW w:type="dxa" w:w="1440"/>
            <w:shd w:fill="FFDCE0" w:val="clear"/>
          </w:tcPr>
          <w:p>
            <w:r>
              <w:rPr>
                <w:b/>
                <w:sz w:val="17"/>
              </w:rPr>
              <w:t>8,716</w:t>
            </w:r>
          </w:p>
        </w:tc>
        <w:tc>
          <w:tcPr>
            <w:tcW w:type="dxa" w:w="1440"/>
            <w:shd w:fill="FFDCE0" w:val="clear"/>
          </w:tcPr>
          <w:p>
            <w:r>
              <w:rPr>
                <w:sz w:val="17"/>
              </w:rPr>
              <w:t>9,656</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7,712</w:t>
            </w:r>
          </w:p>
        </w:tc>
        <w:tc>
          <w:tcPr>
            <w:tcW w:type="dxa" w:w="1440"/>
            <w:shd w:fill="FFDCE0" w:val="clear"/>
          </w:tcPr>
          <w:p>
            <w:r>
              <w:rPr>
                <w:b/>
                <w:sz w:val="17"/>
              </w:rPr>
              <w:t>8,701</w:t>
            </w:r>
          </w:p>
        </w:tc>
        <w:tc>
          <w:tcPr>
            <w:tcW w:type="dxa" w:w="1440"/>
            <w:shd w:fill="FFDCE0" w:val="clear"/>
          </w:tcPr>
          <w:p>
            <w:r>
              <w:rPr>
                <w:sz w:val="17"/>
              </w:rPr>
              <w:t>9,690</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395,56 milliards FCFA, BOABF s'impose comme l'une des valeurs bancaires les plus importantes de la cote BRVM, ce qui témoigne de la confiance du marché envers cet établissement de premier plan au Burkina Faso. Le BPA de 438 FCFA/action signifie que chaque titre génère près de 438 FCFA de bénéfice net, un niveau de rentabilité par action solide pour le secteur bancaire régional. Le PER de 20,5x est nettement supérieur à la moyenne BRVM (estimée entre 8 et 12x), ce qui indique que les investisseurs paient une prime significative pour les bénéfices de la banque — soit en anticipant une forte croissance future, soit en raison d'une surévaluation spéculative. Le P/B de 3,13x confirme cette prime de croissance : le marché valorise BOABF à plus de trois fois sa valeur comptable, ce qui est cohérent avec un établissement affichant un ROE supérieur à 15%. Enfin, l'EV/EBITDA de 9,5x se situe dans la fourchette raisonnable de 5-10x, suggérant que la valeur totale de l'entreprise reste proportionnée à sa capacité opérationnelle, bien que ce ratio soit moins pertinent pour une banque que pour une entreprise industrielle.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+59,68%, passant d'un plus bas de 5 235 FCFA à un plus haut de 9 090 FCFA, pour un cours actuel de 8 990 FCFA — la variation de la dernière séance étant quasi nulle à -0,06%. Cette tendance nettement haussière traduit un engouement marqué des investisseurs pour la valeur, portée par des fondamentaux en amélioration et un contexte de marché favorable aux valeurs bancaires de la zone UEMOA. L'analyse des statistiques descriptives révèle une distribution asymétrique : la moyenne (6 480 FCFA) est supérieure à la médiane (5 920 FCFA), elle-même supérieure au mode (5 400 FCFA), ce qui indique que le cours a passé davantage de séances sous sa moyenne que près des sommets — le skewness positif de 0,908 confirme cette asymétrie avec « plus de journées sous la moyenne », caractéristique d'un titre dont la hausse s'est concentrée sur une phase récente et rapide. L'écart-type de 1 207 FCFA (CV de 18,6%) traduit une dispersion modérée du cours autour de sa moyenne, tandis que le kurtosis de -0,432 (mésokurtique, proche d'une distribution normale) suggère une absence de pics extrêmes — le risque de mouvements erratiques violents est donc limité. La volatilité annualisée de 33,6% positionne BOABF dans la catégorie des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8 409,25 FCFA et la MM50 à 7 448,70 FCFA, toutes deux nettement inférieures au cours actuel de 8 990 FCFA. Cette configuration — cours au-dessus des deux moyennes, avec la MM20 au-dessus de la MM50 — est typique d'une tendance haussière confirmée, justifiant la décision d'achat. L'écart entre le cours et la MM20 (+6,9%) indique toutefois une extension à court terme qui pourrait favoriser une consolidation.</w:t>
      </w:r>
    </w:p>
    <w:p>
      <w:pPr>
        <w:spacing w:after="120" w:line="276" w:lineRule="auto"/>
      </w:pPr>
      <w:r>
        <w:t>**Bandes de Bollinger** : Le cours actuel (8 990 FCFA) se situe dans la partie supérieure de la bande, entre la borne inférieure (6 916,07 FCFA) et la borne supérieure (9 902,44 FCFA), sans la franchir. Cette position proche de la borne haute, combinée à la décision « Neutre », suggère que le titre évolue dans un canal haussier mais approche d'une zone de résistance potentielle, la volatilité restant contenue dans les bandes.</w:t>
      </w:r>
    </w:p>
    <w:p>
      <w:pPr>
        <w:spacing w:after="120" w:line="276" w:lineRule="auto"/>
      </w:pPr>
      <w:r>
        <w:t>**MACD** : La valeur du MACD (497,26) est légèrement inférieure à son signal (510,31), générant une décision de vente. Cette divergence négative — bien que marginale — indique un essoufflement du momentum haussier : la dynamique positive qui a porté le titre semble s'affaiblir, et un croisement baissier du MACD sous son signal pourrait précéder une correction.</w:t>
      </w:r>
    </w:p>
    <w:p>
      <w:pPr>
        <w:spacing w:after="120" w:line="276" w:lineRule="auto"/>
      </w:pPr>
      <w:r>
        <w:t>**RSI** : À 81,31, le RSI se situe largement au-dessus du seuil de surachat de 70, déclenchant une décision de vente. Ce niveau élevé signale que le titre a été acheté de manière excessive à court terme et qu'une pause ou un repli est statistiquement probable, même si en tendance haussière forte, le RSI peut rester élevé durablement.</w:t>
      </w:r>
    </w:p>
    <w:p>
      <w:pPr>
        <w:spacing w:after="120" w:line="276" w:lineRule="auto"/>
      </w:pPr>
      <w:r>
        <w:t>**Stochastique** : Le %K (90,83) et le %D (92,72) sont tous deux en zone de surachat extrême, avec le %K légèrement sous le %D — un croisement potentiellement baissier en formation. Cette configuration confirme la décision de vente et suggère que la pression acheteuse arrive en fin de cycle à court terme.</w:t>
      </w:r>
    </w:p>
    <w:p>
      <w:pPr>
        <w:spacing w:after="120" w:line="276" w:lineRule="auto"/>
      </w:pPr>
      <w:r>
        <w:t>**Conclusion technique** : Les indicateurs techniques présentent un tableau mitigé. Les moyennes mobiles confirment une tendance haussière de fond (décision d'achat), mais le MACD, le RSI et le stochastique affichent tous des signaux de vente en raison d'un surachat manifeste. Cette divergence entre tendance de fond et momentum court terme suggère que le titre pourrait connaître une consolidation ou une correction avant de reprendre sa trajectoire haussière. La prudence est de mise à court terme, même si la structure technique globale reste positive.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BOABF a réalisé un Produit Net Bancaire (PNB) de 57,820 milliards FCFA, quasi stable par rapport à 2024 (+0,6%), avec un résultat net de 19,252 milliards FCFA, en recul de -14,1% sur un an. Cette baisse de rentabilité s'explique principalement par un coût du risque qui a quasiment doublé, passant de -4,303 à -8,355 milliards FCFA. Le ROE s'établit à 15,22% (excellent, &gt;15%) et le ROA à 1,68%, confirmant la solidité de la rentabilité malgré la pression sur le résultat net. Le coefficient d'exploitation de 47,19% est excellent (&lt;50%), témoignant d'une grande efficacité opérationnelle. Le ratio dépôts/créances est très favorable : 877,822 milliards FCFA de dépôts clientèle contre 474,064 milliards FCFA de créances, soit une transformation prudente et une liquidité abondante. Le coût du risque/charges financières de 33,92% reste élevé, signalant un risque de crédit significatif à surveiller.</w:t>
      </w:r>
    </w:p>
    <w:p>
      <w:pPr>
        <w:spacing w:after="120" w:line="276" w:lineRule="auto"/>
      </w:pPr>
      <w:r>
        <w:t>**Estimations basées sur les rapports trimestriels** : Les rapports les plus récents (T1 2026 et S1 2026, datés du 31/03/2026 et 30/06/2026) révèlent une dynamique contrastée. Au T1 2026, le PNB a chuté de -10,75% à 12,694 milliards FCFA et le résultat net de -12,99% à 4,520 milliards FCFA. Cependant, au S1 2026, le résultat net a bondi de +31,0% à 10,770 milliards FCFA, porté par une amélioration spectaculaire du coût du risque (-65,2% à -2,396 milliards FCFA). Le PNB semestriel reste toutefois en repli de -5,2% à 27,539 milliards FCFA. Sur la base de ces tendances, on estime que l'exercice 2026 devrait afficher un résultat net en amélioration par rapport à 2025, grâce à la normalisation du coût du risque, mais avec un PNB toujours sous pression — la croissance commerciale reste le principal défi. Les dépôts clientèle progressent de +7,4% à 942,692 milliards FCFA, confirmant la solidité de la collecte, tandis que les crédits nets stagnent (+1,3% à 479,993 milliards FCFA), limitant les opportunités de croissance du produit net bancaire.</w:t>
      </w:r>
    </w:p>
    <w:p>
      <w:pPr>
        <w:spacing w:after="120" w:line="276" w:lineRule="auto"/>
      </w:pPr>
      <w:r>
        <w:t>**Recommandation fondamentale** : La solidité financière de BOABF est indéniable (ROE &gt;15%, coefficient d'exploitation &lt;50%, liquidité abondante), mais la dynamique commerciale est préoccupante avec un PNB en contraction et une stagnation des crédits. La normalisation du coût du risque en 2026 offre un répit temporaire, mais la pérennité de la rentabilité dépendra de la capacité de la banque à relancer sa croissance. Les rapports officiels recommandent « CONSERVER », une position prudente qui reflète l'équilibre entre solidité fondamentale et absence de catalyseur de croissance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apparaît tendue : le PER de 20,5x et le P/B de 3,13x intègrent déjà une prime de croissance significative, ce qui limite le potentiel d'appréciation supplémentaire à moins d'une accélération des bénéfices. Le comportement du cours sur 100 jours est spectaculaire (+59,68%) mais présente des signes de fatigue : le skewness positif et le RSI en surachat (81,31) suggèrent que la hausse a été rapide et pourrait nécessiter une consolidation. Les signaux techniques sont divergents — les moyennes mobiles confirment la tendance haussière, mais le MACD, le RSI et le stochastique émettent tous des signaux de vente, indiquant un essoufflement du momentum à court terme. Les fondamentaux sont solides (ROE de 15,22%, coefficient d'exploitation de 47,19%, dépôts en croissance de +7,4%), mais le PNB est en contraction et la croissance des crédits stagne, ce qui limite les perspectives de revalorisation. Les prédictions IA anticipent une légère correction à court terme (8 914 FCFA à J+1, puis 8 779 FCFA à J+5), confirmant la thèse d'une pause après la forte hausse. **Recommandation finale : CONSERVER** — la convergence entre valorisation tendue, signaux techniques de surachat et fondamentaux solides mais sans catalyseur de croissance justifie une position attentiste. Le niveau de confiance est **Moyen** (les signaux sont divergents entre tendance de fond et momentum court terme) et le niveau de risque global est **Élevé** (volatilité annualisée de 33,6%, PER supérieur à la moyenne du marché, contexte sécuritaire burkinabè incertain). L'horizon d'investissement optimal est le **moyen terme (3-12 mois)**, le temps que la consolidation technique s'achève et que les résultats du S2 2026 confirment (ou infirment) la reprise de la croissance du PNB.</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11,407 titres</w:t>
            </w:r>
          </w:p>
        </w:tc>
        <w:tc>
          <w:tcPr>
            <w:tcW w:type="dxa" w:w="2268"/>
            <w:shd w:fill="FFF2CC" w:val="clear"/>
          </w:tcPr>
          <w:p>
            <w:r>
              <w:rPr>
                <w:b/>
                <w:color w:val="503200"/>
                <w:sz w:val="16"/>
              </w:rPr>
              <w:t xml:space="preserve">Cours actuel : </w:t>
            </w:r>
            <w:r>
              <w:rPr>
                <w:color w:val="000000"/>
                <w:sz w:val="17"/>
              </w:rPr>
              <w:t>12,400 FCFA</w:t>
            </w:r>
          </w:p>
          <w:p>
            <w:r>
              <w:rPr>
                <w:b/>
                <w:color w:val="503200"/>
                <w:sz w:val="16"/>
              </w:rPr>
              <w:t xml:space="preserve">Var. 100 jours : </w:t>
            </w:r>
            <w:r>
              <w:rPr>
                <w:b/>
                <w:color w:val="007800"/>
                <w:sz w:val="17"/>
              </w:rPr>
              <w:t>+44.19%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8,495 FCFA</w:t>
            </w:r>
          </w:p>
          <w:p>
            <w:r>
              <w:rPr>
                <w:b/>
                <w:color w:val="503200"/>
                <w:sz w:val="16"/>
              </w:rPr>
              <w:t xml:space="preserve">Volatilité ann. : </w:t>
            </w:r>
            <w:r>
              <w:rPr>
                <w:color w:val="000000"/>
                <w:sz w:val="17"/>
              </w:rPr>
              <w:t>25.6%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15.69% (Élevée) — μ=10,121 FCFA, σ=1,588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β=-0.0434 (Contre-cyclique) — Cov=-0.000002, Var(idx)=0.000035, ρ=-0.016,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11,407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11,864</w:t>
            </w:r>
          </w:p>
        </w:tc>
        <w:tc>
          <w:tcPr>
            <w:tcW w:type="dxa" w:w="1440"/>
            <w:shd w:fill="FAFAFA" w:val="clear"/>
          </w:tcPr>
          <w:p>
            <w:r>
              <w:rPr>
                <w:b/>
                <w:sz w:val="17"/>
              </w:rPr>
              <w:t>12,256</w:t>
            </w:r>
          </w:p>
        </w:tc>
        <w:tc>
          <w:tcPr>
            <w:tcW w:type="dxa" w:w="1440"/>
            <w:shd w:fill="FAFAFA" w:val="clear"/>
          </w:tcPr>
          <w:p>
            <w:r>
              <w:rPr>
                <w:sz w:val="17"/>
              </w:rPr>
              <w:t>12,647</w:t>
            </w:r>
          </w:p>
        </w:tc>
        <w:tc>
          <w:tcPr>
            <w:tcW w:type="dxa" w:w="1440"/>
            <w:shd w:fill="FAFAFA" w:val="clear"/>
          </w:tcPr>
          <w:p>
            <w:r>
              <w:rPr>
                <w:b/>
                <w:color w:val="C00000"/>
                <w:sz w:val="17"/>
              </w:rPr>
              <w:t>-1.2%</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11,602</w:t>
            </w:r>
          </w:p>
        </w:tc>
        <w:tc>
          <w:tcPr>
            <w:tcW w:type="dxa" w:w="1440"/>
            <w:shd w:fill="FFDCE0" w:val="clear"/>
          </w:tcPr>
          <w:p>
            <w:r>
              <w:rPr>
                <w:b/>
                <w:sz w:val="17"/>
              </w:rPr>
              <w:t>12,151</w:t>
            </w:r>
          </w:p>
        </w:tc>
        <w:tc>
          <w:tcPr>
            <w:tcW w:type="dxa" w:w="1440"/>
            <w:shd w:fill="FFDCE0" w:val="clear"/>
          </w:tcPr>
          <w:p>
            <w:r>
              <w:rPr>
                <w:sz w:val="17"/>
              </w:rPr>
              <w:t>12,699</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11,375</w:t>
            </w:r>
          </w:p>
        </w:tc>
        <w:tc>
          <w:tcPr>
            <w:tcW w:type="dxa" w:w="1440"/>
            <w:shd w:fill="FFDCE0" w:val="clear"/>
          </w:tcPr>
          <w:p>
            <w:r>
              <w:rPr>
                <w:b/>
                <w:sz w:val="17"/>
              </w:rPr>
              <w:t>12,041</w:t>
            </w:r>
          </w:p>
        </w:tc>
        <w:tc>
          <w:tcPr>
            <w:tcW w:type="dxa" w:w="1440"/>
            <w:shd w:fill="FFDCE0" w:val="clear"/>
          </w:tcPr>
          <w:p>
            <w:r>
              <w:rPr>
                <w:sz w:val="17"/>
              </w:rPr>
              <w:t>12,708</w:t>
            </w:r>
          </w:p>
        </w:tc>
        <w:tc>
          <w:tcPr>
            <w:tcW w:type="dxa" w:w="1440"/>
            <w:shd w:fill="FFDCE0" w:val="clear"/>
          </w:tcPr>
          <w:p>
            <w:r>
              <w:rPr>
                <w:b/>
                <w:color w:val="C00000"/>
                <w:sz w:val="17"/>
              </w:rPr>
              <w:t>-2.9%</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11,176</w:t>
            </w:r>
          </w:p>
        </w:tc>
        <w:tc>
          <w:tcPr>
            <w:tcW w:type="dxa" w:w="1440"/>
            <w:shd w:fill="FFDCE0" w:val="clear"/>
          </w:tcPr>
          <w:p>
            <w:r>
              <w:rPr>
                <w:b/>
                <w:sz w:val="17"/>
              </w:rPr>
              <w:t>11,939</w:t>
            </w:r>
          </w:p>
        </w:tc>
        <w:tc>
          <w:tcPr>
            <w:tcW w:type="dxa" w:w="1440"/>
            <w:shd w:fill="FFDCE0" w:val="clear"/>
          </w:tcPr>
          <w:p>
            <w:r>
              <w:rPr>
                <w:sz w:val="17"/>
              </w:rPr>
              <w:t>12,701</w:t>
            </w:r>
          </w:p>
        </w:tc>
        <w:tc>
          <w:tcPr>
            <w:tcW w:type="dxa" w:w="1440"/>
            <w:shd w:fill="FFDCE0" w:val="clear"/>
          </w:tcPr>
          <w:p>
            <w:r>
              <w:rPr>
                <w:b/>
                <w:color w:val="C00000"/>
                <w:sz w:val="17"/>
              </w:rPr>
              <w:t>-3.7%</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10,998</w:t>
            </w:r>
          </w:p>
        </w:tc>
        <w:tc>
          <w:tcPr>
            <w:tcW w:type="dxa" w:w="1440"/>
            <w:shd w:fill="FFDCE0" w:val="clear"/>
          </w:tcPr>
          <w:p>
            <w:r>
              <w:rPr>
                <w:b/>
                <w:sz w:val="17"/>
              </w:rPr>
              <w:t>11,843</w:t>
            </w:r>
          </w:p>
        </w:tc>
        <w:tc>
          <w:tcPr>
            <w:tcW w:type="dxa" w:w="1440"/>
            <w:shd w:fill="FFDCE0" w:val="clear"/>
          </w:tcPr>
          <w:p>
            <w:r>
              <w:rPr>
                <w:sz w:val="17"/>
              </w:rPr>
              <w:t>12,689</w:t>
            </w:r>
          </w:p>
        </w:tc>
        <w:tc>
          <w:tcPr>
            <w:tcW w:type="dxa" w:w="1440"/>
            <w:shd w:fill="FFDCE0" w:val="clear"/>
          </w:tcPr>
          <w:p>
            <w:r>
              <w:rPr>
                <w:b/>
                <w:color w:val="C00000"/>
                <w:sz w:val="17"/>
              </w:rPr>
              <w:t>-4.5%</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10,835</w:t>
            </w:r>
          </w:p>
        </w:tc>
        <w:tc>
          <w:tcPr>
            <w:tcW w:type="dxa" w:w="1440"/>
            <w:shd w:fill="FFDCE0" w:val="clear"/>
          </w:tcPr>
          <w:p>
            <w:r>
              <w:rPr>
                <w:b/>
                <w:sz w:val="17"/>
              </w:rPr>
              <w:t>11,755</w:t>
            </w:r>
          </w:p>
        </w:tc>
        <w:tc>
          <w:tcPr>
            <w:tcW w:type="dxa" w:w="1440"/>
            <w:shd w:fill="FFDCE0" w:val="clear"/>
          </w:tcPr>
          <w:p>
            <w:r>
              <w:rPr>
                <w:sz w:val="17"/>
              </w:rPr>
              <w:t>12,675</w:t>
            </w:r>
          </w:p>
        </w:tc>
        <w:tc>
          <w:tcPr>
            <w:tcW w:type="dxa" w:w="1440"/>
            <w:shd w:fill="FFDCE0" w:val="clear"/>
          </w:tcPr>
          <w:p>
            <w:r>
              <w:rPr>
                <w:b/>
                <w:color w:val="C00000"/>
                <w:sz w:val="17"/>
              </w:rPr>
              <w:t>-5.2%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10,687</w:t>
            </w:r>
          </w:p>
        </w:tc>
        <w:tc>
          <w:tcPr>
            <w:tcW w:type="dxa" w:w="1440"/>
            <w:shd w:fill="FFDCE0" w:val="clear"/>
          </w:tcPr>
          <w:p>
            <w:r>
              <w:rPr>
                <w:b/>
                <w:sz w:val="17"/>
              </w:rPr>
              <w:t>11,673</w:t>
            </w:r>
          </w:p>
        </w:tc>
        <w:tc>
          <w:tcPr>
            <w:tcW w:type="dxa" w:w="1440"/>
            <w:shd w:fill="FFDCE0" w:val="clear"/>
          </w:tcPr>
          <w:p>
            <w:r>
              <w:rPr>
                <w:sz w:val="17"/>
              </w:rPr>
              <w:t>12,660</w:t>
            </w:r>
          </w:p>
        </w:tc>
        <w:tc>
          <w:tcPr>
            <w:tcW w:type="dxa" w:w="1440"/>
            <w:shd w:fill="FFDCE0" w:val="clear"/>
          </w:tcPr>
          <w:p>
            <w:r>
              <w:rPr>
                <w:b/>
                <w:color w:val="C00000"/>
                <w:sz w:val="17"/>
              </w:rPr>
              <w:t>-5.9%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10,549</w:t>
            </w:r>
          </w:p>
        </w:tc>
        <w:tc>
          <w:tcPr>
            <w:tcW w:type="dxa" w:w="1440"/>
            <w:shd w:fill="FFDCE0" w:val="clear"/>
          </w:tcPr>
          <w:p>
            <w:r>
              <w:rPr>
                <w:b/>
                <w:sz w:val="17"/>
              </w:rPr>
              <w:t>11,597</w:t>
            </w:r>
          </w:p>
        </w:tc>
        <w:tc>
          <w:tcPr>
            <w:tcW w:type="dxa" w:w="1440"/>
            <w:shd w:fill="FFDCE0" w:val="clear"/>
          </w:tcPr>
          <w:p>
            <w:r>
              <w:rPr>
                <w:sz w:val="17"/>
              </w:rPr>
              <w:t>12,645</w:t>
            </w:r>
          </w:p>
        </w:tc>
        <w:tc>
          <w:tcPr>
            <w:tcW w:type="dxa" w:w="1440"/>
            <w:shd w:fill="FFDCE0" w:val="clear"/>
          </w:tcPr>
          <w:p>
            <w:r>
              <w:rPr>
                <w:b/>
                <w:color w:val="C00000"/>
                <w:sz w:val="17"/>
              </w:rPr>
              <w:t>-6.5%</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10,422</w:t>
            </w:r>
          </w:p>
        </w:tc>
        <w:tc>
          <w:tcPr>
            <w:tcW w:type="dxa" w:w="1440"/>
            <w:shd w:fill="FFDCE0" w:val="clear"/>
          </w:tcPr>
          <w:p>
            <w:r>
              <w:rPr>
                <w:b/>
                <w:sz w:val="17"/>
              </w:rPr>
              <w:t>11,527</w:t>
            </w:r>
          </w:p>
        </w:tc>
        <w:tc>
          <w:tcPr>
            <w:tcW w:type="dxa" w:w="1440"/>
            <w:shd w:fill="FFDCE0" w:val="clear"/>
          </w:tcPr>
          <w:p>
            <w:r>
              <w:rPr>
                <w:sz w:val="17"/>
              </w:rPr>
              <w:t>12,631</w:t>
            </w:r>
          </w:p>
        </w:tc>
        <w:tc>
          <w:tcPr>
            <w:tcW w:type="dxa" w:w="1440"/>
            <w:shd w:fill="FFDCE0" w:val="clear"/>
          </w:tcPr>
          <w:p>
            <w:r>
              <w:rPr>
                <w:b/>
                <w:color w:val="C00000"/>
                <w:sz w:val="17"/>
              </w:rPr>
              <w:t>-7.0%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10,303</w:t>
            </w:r>
          </w:p>
        </w:tc>
        <w:tc>
          <w:tcPr>
            <w:tcW w:type="dxa" w:w="1440"/>
            <w:shd w:fill="FFDCE0" w:val="clear"/>
          </w:tcPr>
          <w:p>
            <w:r>
              <w:rPr>
                <w:b/>
                <w:sz w:val="17"/>
              </w:rPr>
              <w:t>11,461</w:t>
            </w:r>
          </w:p>
        </w:tc>
        <w:tc>
          <w:tcPr>
            <w:tcW w:type="dxa" w:w="1440"/>
            <w:shd w:fill="FFDCE0" w:val="clear"/>
          </w:tcPr>
          <w:p>
            <w:r>
              <w:rPr>
                <w:sz w:val="17"/>
              </w:rPr>
              <w:t>12,619</w:t>
            </w:r>
          </w:p>
        </w:tc>
        <w:tc>
          <w:tcPr>
            <w:tcW w:type="dxa" w:w="1440"/>
            <w:shd w:fill="FFDCE0" w:val="clear"/>
          </w:tcPr>
          <w:p>
            <w:r>
              <w:rPr>
                <w:b/>
                <w:color w:val="C00000"/>
                <w:sz w:val="17"/>
              </w:rPr>
              <w:t>-7.6%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CÔTE D'IVOIRE)**</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496,00 milliards FCFA, BOAC s'impose comme l'une des principales capitalisations bancaires de la BRVM, ce qui témoigne de sa liquidité relative et de son poids dans l'indice sectoriel. Le BPA de 888 FCFA par action signifie que chaque titre génère près de neuf cents francs de bénéfice net, un niveau de rentabilité unitaire élevé pour le marché régional. Le PER de 14,0x se situe au-dessus de la moyenne BRVM (estimée entre 8x et 12x), traduisant une prime de qualité que les investisseurs acceptent de payer pour cette valeur bancaire, sans pour autant basculer dans une zone de surévaluation manifeste. Le P/B de 3,90x indique que le marché valorise la banque à près de quatre fois sa valeur comptable, une prime de croissance significative qui suppose que le marché anticipe une poursuite de la rentabilité élevée (ROE ~28%). En revanche, l'EV/EBITDA de 27,3x apparaît très exigeant, bien que cet indicateur soit peu pertinent pour une banque où la notion d'EBITDA est moins standardisée que le PNB ou le résultat net.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 enregistré une progression spectaculaire de +44,19%, clôturant à 12 400 FCFA, avec une variation nulle sur la dernière séance (J-1 : +0,00%), signe d'une pause dans le mouvement haussier. Le range de trading est particulièrement large, avec un plus haut à 13 450 FCFA et un plus bas à 8 495 FCFA, soit un écart de près de 58% entre les deux extrêmes, ce qui confirme une tendance nettement haussière sur la période. L'analyse des statistiques descriptives révèle une moyenne de 10 121 FCFA supérieure à la médiane de 9 325 FCFA, avec un mode à 11 600 FCFA : cet écart entre moyenne et médiane, combiné à un skewness positif de 0,810, indique une asymétrie à droite — le cours a passé plus de journées sous sa moyenne, mais les poussées haussières ont été suffisamment fortes pour tirer la moyenne vers le haut. L'écart-type de 1 596 FCFA (CV = 15,8%) traduit une dispersion modérée du cours autour de sa tendance, tandis que le kurtosis de -0,950 (mésokurtique) suggère une distribution proche de la normale, sans risque majeur de pics extrêmes imprévisibles. Enfin, la volatilité annualisée de 25,6% positionne BOAC dans la catégorie des titres à volatilité modérée (15-30%), ce qui est cohérent avec un profil bancaire de qualité mais dont le cours a fortement progressé récemment.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12 742,75 FCFA et la MM50 à 11 351,80 FCFA, toutes deux inférieures au cours actuel de 12 400 FCFA pour la MM50 mais supérieures pour la MM20. Le croisement haussier MM20 &gt; MM50 confirme la dynamique positive de moyen terme, et la décision technique affichée est "Achat", bien que le cours évolue légèrement sous sa MM20, ce qui suggère une consolidation à court terme.</w:t>
      </w:r>
    </w:p>
    <w:p>
      <w:pPr>
        <w:spacing w:after="120" w:line="276" w:lineRule="auto"/>
      </w:pPr>
      <w:r>
        <w:t>**Bandes de Bollinger** : La borne supérieure se situe à 13 494,75 FCFA et la borne inférieure à 11 990,75 FCFA, encadrant le cours actuel de 12 400 FCFA. Le prix évolue dans la partie basse de la bande, ce qui indique une pression vendeuse récente mais sans rupture de tendance. La décision "Neutre" reflète cette position médiane dans le canal, avec une volatilité qui reste contenue.</w:t>
      </w:r>
    </w:p>
    <w:p>
      <w:pPr>
        <w:spacing w:after="120" w:line="276" w:lineRule="auto"/>
      </w:pPr>
      <w:r>
        <w:t>**MACD** : La valeur du MACD (248,66) est inférieure à son signal (384,07), générant une configuration baissière et une décision "Vente". Cette divergence négative indique un essoufflement du momentum haussier à court terme, bien que le MACD reste en territoire positif, ce qui tempère la portée baissière du signal.</w:t>
      </w:r>
    </w:p>
    <w:p>
      <w:pPr>
        <w:spacing w:after="120" w:line="276" w:lineRule="auto"/>
      </w:pPr>
      <w:r>
        <w:t>**RSI** : À 20,90, le RSI se situe nettement en zone de survente (seuil &lt;30), déclenchant une décision "Achat". Cette lecture suggère que le titre a été excessivement vendu à court terme et qu'un rebond technique est probable, ce qui contraste avec le signal MACD.</w:t>
      </w:r>
    </w:p>
    <w:p>
      <w:pPr>
        <w:spacing w:after="120" w:line="276" w:lineRule="auto"/>
      </w:pPr>
      <w:r>
        <w:t>**Stochastique** : Le %K (15,22) et le %D (16,78) évoluent tous deux en zone de survente, avec un %K légèrement sous le %D, configuration propice à un retournement haussier imminent. La décision "Achat" confirme cette lecture, en cohérence avec le RSI.</w:t>
      </w:r>
    </w:p>
    <w:p>
      <w:pPr>
        <w:spacing w:after="120" w:line="276" w:lineRule="auto"/>
      </w:pPr>
      <w:r>
        <w:t>**Conclusion technique** : Les indicateurs présentent une divergence notable : les oscillateurs (RSI, Stochastique) signalent une survente propice à un rebond, tandis que le MACD et la position sous la MM20 plaident pour une consolidation. Les moyennes mobiles restent haussières de fond, et les Bandes de Bollinger encadrent le cours sans excès. La convergence des signaux d'achat à court terme (RSI, Stochastique) suggère qu'un rebond technique est probable, mais la prudence reste de mise tant que le MACD ne se retourne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BOAC affiche un Produit Net Bancaire (PNB) de 73 545 millions FCFA, en hausse de +1,1% par rapport à 2024 (72 724 millions), selon le rapport des commissaires aux comptes du 31 décembre 2025. Le résultat net s'élève à 35 540 millions FCFA, en progression de +10,9% sur un an, porté par une amélioration du coût du risque (-27,8%, à -4 902 millions) et une bonne maîtrise des charges. Le ROE atteint 27,91% et le ROA 3,22%, des niveaux exceptionnels qui confirment la forte rentabilité de la banque. Le coefficient d'exploitation de 36,70% est excellent (&lt; 50%), signe d'une efficacité opérationnelle remarquable. La structure bilancielle montre des dépôts clientèle de 850 548 millions FCFA face à des créances clientèle de 430 433 millions, soit un ratio de transformation de 50,6%, indiquant une surliquidité et une marge de manœuvre importante pour développer le crédit. Le coût du risque rapporté aux charges financières (6,67%) reste modéré, bien que la hausse des créances en souffrance (+52,1%) constitue un point de vigilance. Sur la base du rapport T1 2026 (daté du 31 mars 2026), le PNB trimestriel progresse de +3,09% à 18 960 millions FCFA et le résultat net de +0,91% à 10 801 millions, mais le coût net du risque bondit de +314,75% (-652 vs -157 millions), un signal à surveiller. Les dépôts clientèle bondissent de +21,44% à 923 307 millions, tandis que les crédits nets restent quasi stables (-0,29% à 442 169 millions), confirmant la stratégie prudente de la banque. On estime que l'exercice 2026 devrait maintenir une croissance modérée du PNB et du résultat net, sous réserve que la dégradation du coût du risque ne s'aggrave pas. La recommandation fondamentale est "ACHAT", soutenue par une rentabilité exceptionnelle, une structure financière solide et une politique de dividende attractive (684 FCFA/action au titre de 2024, soit un rendement d'environ 5,5% au cours actuel).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(PER 14,0x, P/B 3,90x, EV/EBITDA 27,3x) indique une prime de qualité par rapport à la moyenne BRVM, justifiée par un ROE de 27,9% et une rentabilité supérieure à celle de ses pairs. Le comportement du cours sur 100 jours (+44,19%) est nettement haussier, avec une volatilité modérée (25,6%) et une distribution proche de la normale (kurtosis -0,95), bien que le skewness positif (0,81) révèle une asymétrie à droite typique des titres en forte progression. Les signaux techniques sont divergents : les oscillateurs (RSI 20,9, Stochastique 15,2) plaident pour un rebond imminent, tandis que le MACD (248,66 &lt; 384,07) et la position sous la MM20 suggèrent une consolidation à court terme. Les fondamentaux restent solides, avec un PNB de 73 545 millions FCFA en 2025, un résultat net de 35 540 millions (+10,9%) et un coefficient d'exploitation de 36,70%, bien que la hausse du coût du risque au T1 2026 mérite une surveillance accrue. Les prédictions IA anticipent une légère correction à court terme (12 256 FCFA à J+1, 11 843 FCFA à J+5), ce qui contredit les signaux d'achat des oscillateurs mais s'aligne avec le MACD baissier. Sur la base de cette synthèse, la recommandation finale est **CONSERVER**, avec un niveau de confiance **Moyen** et un risque global **Moyen**. La convergence entre valorisation exigeante, technique mitigée et fondamentaux solides suggère une position d'attente, avec un horizon d'investissement optimal de **moyen terme (3-12 mois)** pour profiter de la rentabilité structurelle de la banque tout en laissant passer la consolidation technique en cours.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196.27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6,312 titres</w:t>
            </w:r>
          </w:p>
        </w:tc>
        <w:tc>
          <w:tcPr>
            <w:tcW w:type="dxa" w:w="2268"/>
            <w:shd w:fill="FFF2CC" w:val="clear"/>
          </w:tcPr>
          <w:p>
            <w:r>
              <w:rPr>
                <w:b/>
                <w:color w:val="503200"/>
                <w:sz w:val="16"/>
              </w:rPr>
              <w:t xml:space="preserve">Cours actuel : </w:t>
            </w:r>
            <w:r>
              <w:rPr>
                <w:color w:val="000000"/>
                <w:sz w:val="17"/>
              </w:rPr>
              <w:t>7,150 FCFA</w:t>
            </w:r>
          </w:p>
          <w:p>
            <w:r>
              <w:rPr>
                <w:b/>
                <w:color w:val="503200"/>
                <w:sz w:val="16"/>
              </w:rPr>
              <w:t xml:space="preserve">Var. 100 jours : </w:t>
            </w:r>
            <w:r>
              <w:rPr>
                <w:b/>
                <w:color w:val="007800"/>
                <w:sz w:val="17"/>
              </w:rPr>
              <w:t>+52.13%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13.90% (Moyenne) — μ=5,355 FCFA, σ=744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β=0.3924 (Défensif) — Cov=0.000014, Var(idx)=0.000035, ρ=0.108,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6,887</w:t>
            </w:r>
          </w:p>
        </w:tc>
        <w:tc>
          <w:tcPr>
            <w:tcW w:type="dxa" w:w="1440"/>
            <w:shd w:fill="FAFAFA" w:val="clear"/>
          </w:tcPr>
          <w:p>
            <w:r>
              <w:rPr>
                <w:b/>
                <w:sz w:val="17"/>
              </w:rPr>
              <w:t>7,107</w:t>
            </w:r>
          </w:p>
        </w:tc>
        <w:tc>
          <w:tcPr>
            <w:tcW w:type="dxa" w:w="1440"/>
            <w:shd w:fill="FAFAFA" w:val="clear"/>
          </w:tcPr>
          <w:p>
            <w:r>
              <w:rPr>
                <w:sz w:val="17"/>
              </w:rPr>
              <w:t>7,327</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6,793</w:t>
            </w:r>
          </w:p>
        </w:tc>
        <w:tc>
          <w:tcPr>
            <w:tcW w:type="dxa" w:w="1440"/>
            <w:shd w:fill="FAFAFA" w:val="clear"/>
          </w:tcPr>
          <w:p>
            <w:r>
              <w:rPr>
                <w:b/>
                <w:sz w:val="17"/>
              </w:rPr>
              <w:t>7,104</w:t>
            </w:r>
          </w:p>
        </w:tc>
        <w:tc>
          <w:tcPr>
            <w:tcW w:type="dxa" w:w="1440"/>
            <w:shd w:fill="FAFAFA" w:val="clear"/>
          </w:tcPr>
          <w:p>
            <w:r>
              <w:rPr>
                <w:sz w:val="17"/>
              </w:rPr>
              <w:t>7,415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6,741</w:t>
            </w:r>
          </w:p>
        </w:tc>
        <w:tc>
          <w:tcPr>
            <w:tcW w:type="dxa" w:w="1440"/>
            <w:shd w:fill="FAFAFA" w:val="clear"/>
          </w:tcPr>
          <w:p>
            <w:r>
              <w:rPr>
                <w:b/>
                <w:sz w:val="17"/>
              </w:rPr>
              <w:t>7,123</w:t>
            </w:r>
          </w:p>
        </w:tc>
        <w:tc>
          <w:tcPr>
            <w:tcW w:type="dxa" w:w="1440"/>
            <w:shd w:fill="FAFAFA" w:val="clear"/>
          </w:tcPr>
          <w:p>
            <w:r>
              <w:rPr>
                <w:sz w:val="17"/>
              </w:rPr>
              <w:t>7,504</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6,703</w:t>
            </w:r>
          </w:p>
        </w:tc>
        <w:tc>
          <w:tcPr>
            <w:tcW w:type="dxa" w:w="1440"/>
            <w:shd w:fill="FAFAFA" w:val="clear"/>
          </w:tcPr>
          <w:p>
            <w:r>
              <w:rPr>
                <w:b/>
                <w:sz w:val="17"/>
              </w:rPr>
              <w:t>7,145</w:t>
            </w:r>
          </w:p>
        </w:tc>
        <w:tc>
          <w:tcPr>
            <w:tcW w:type="dxa" w:w="1440"/>
            <w:shd w:fill="FAFAFA" w:val="clear"/>
          </w:tcPr>
          <w:p>
            <w:r>
              <w:rPr>
                <w:sz w:val="17"/>
              </w:rPr>
              <w:t>7,588</w:t>
            </w:r>
          </w:p>
        </w:tc>
        <w:tc>
          <w:tcPr>
            <w:tcW w:type="dxa" w:w="1440"/>
            <w:shd w:fill="FAFAFA" w:val="clear"/>
          </w:tcPr>
          <w:p>
            <w:r>
              <w:rPr>
                <w:b/>
                <w:color w:val="C00000"/>
                <w:sz w:val="17"/>
              </w:rPr>
              <w:t>-0.1%</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6,670</w:t>
            </w:r>
          </w:p>
        </w:tc>
        <w:tc>
          <w:tcPr>
            <w:tcW w:type="dxa" w:w="1440"/>
            <w:shd w:fill="FAFAFA" w:val="clear"/>
          </w:tcPr>
          <w:p>
            <w:r>
              <w:rPr>
                <w:b/>
                <w:sz w:val="17"/>
              </w:rPr>
              <w:t>7,166</w:t>
            </w:r>
          </w:p>
        </w:tc>
        <w:tc>
          <w:tcPr>
            <w:tcW w:type="dxa" w:w="1440"/>
            <w:shd w:fill="FAFAFA" w:val="clear"/>
          </w:tcPr>
          <w:p>
            <w:r>
              <w:rPr>
                <w:sz w:val="17"/>
              </w:rPr>
              <w:t>7,662</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6,639</w:t>
            </w:r>
          </w:p>
        </w:tc>
        <w:tc>
          <w:tcPr>
            <w:tcW w:type="dxa" w:w="1440"/>
            <w:shd w:fill="FAFAFA" w:val="clear"/>
          </w:tcPr>
          <w:p>
            <w:r>
              <w:rPr>
                <w:b/>
                <w:sz w:val="17"/>
              </w:rPr>
              <w:t>7,183</w:t>
            </w:r>
          </w:p>
        </w:tc>
        <w:tc>
          <w:tcPr>
            <w:tcW w:type="dxa" w:w="1440"/>
            <w:shd w:fill="FAFAFA" w:val="clear"/>
          </w:tcPr>
          <w:p>
            <w:r>
              <w:rPr>
                <w:sz w:val="17"/>
              </w:rPr>
              <w:t>7,728</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6,609</w:t>
            </w:r>
          </w:p>
        </w:tc>
        <w:tc>
          <w:tcPr>
            <w:tcW w:type="dxa" w:w="1440"/>
            <w:shd w:fill="FAFAFA" w:val="clear"/>
          </w:tcPr>
          <w:p>
            <w:r>
              <w:rPr>
                <w:b/>
                <w:sz w:val="17"/>
              </w:rPr>
              <w:t>7,199</w:t>
            </w:r>
          </w:p>
        </w:tc>
        <w:tc>
          <w:tcPr>
            <w:tcW w:type="dxa" w:w="1440"/>
            <w:shd w:fill="FAFAFA" w:val="clear"/>
          </w:tcPr>
          <w:p>
            <w:r>
              <w:rPr>
                <w:sz w:val="17"/>
              </w:rPr>
              <w:t>7,788</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6,581</w:t>
            </w:r>
          </w:p>
        </w:tc>
        <w:tc>
          <w:tcPr>
            <w:tcW w:type="dxa" w:w="1440"/>
            <w:shd w:fill="FAFAFA" w:val="clear"/>
          </w:tcPr>
          <w:p>
            <w:r>
              <w:rPr>
                <w:b/>
                <w:sz w:val="17"/>
              </w:rPr>
              <w:t>7,213</w:t>
            </w:r>
          </w:p>
        </w:tc>
        <w:tc>
          <w:tcPr>
            <w:tcW w:type="dxa" w:w="1440"/>
            <w:shd w:fill="FAFAFA" w:val="clear"/>
          </w:tcPr>
          <w:p>
            <w:r>
              <w:rPr>
                <w:sz w:val="17"/>
              </w:rPr>
              <w:t>7,844</w:t>
            </w:r>
          </w:p>
        </w:tc>
        <w:tc>
          <w:tcPr>
            <w:tcW w:type="dxa" w:w="1440"/>
            <w:shd w:fill="FAFAFA" w:val="clear"/>
          </w:tcPr>
          <w:p>
            <w:r>
              <w:rPr>
                <w:b/>
                <w:color w:val="008000"/>
                <w:sz w:val="17"/>
              </w:rPr>
              <w:t>+0.9%</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6,555</w:t>
            </w:r>
          </w:p>
        </w:tc>
        <w:tc>
          <w:tcPr>
            <w:tcW w:type="dxa" w:w="1440"/>
            <w:shd w:fill="FAFAFA" w:val="clear"/>
          </w:tcPr>
          <w:p>
            <w:r>
              <w:rPr>
                <w:b/>
                <w:sz w:val="17"/>
              </w:rPr>
              <w:t>7,226</w:t>
            </w:r>
          </w:p>
        </w:tc>
        <w:tc>
          <w:tcPr>
            <w:tcW w:type="dxa" w:w="1440"/>
            <w:shd w:fill="FAFAFA" w:val="clear"/>
          </w:tcPr>
          <w:p>
            <w:r>
              <w:rPr>
                <w:sz w:val="17"/>
              </w:rPr>
              <w:t>7,897</w:t>
            </w:r>
          </w:p>
        </w:tc>
        <w:tc>
          <w:tcPr>
            <w:tcW w:type="dxa" w:w="1440"/>
            <w:shd w:fill="FAFAFA" w:val="clear"/>
          </w:tcPr>
          <w:p>
            <w:r>
              <w:rPr>
                <w:b/>
                <w:color w:val="008000"/>
                <w:sz w:val="17"/>
              </w:rPr>
              <w:t>+1.1%</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6,529</w:t>
            </w:r>
          </w:p>
        </w:tc>
        <w:tc>
          <w:tcPr>
            <w:tcW w:type="dxa" w:w="1440"/>
            <w:shd w:fill="FAFAFA" w:val="clear"/>
          </w:tcPr>
          <w:p>
            <w:r>
              <w:rPr>
                <w:b/>
                <w:sz w:val="17"/>
              </w:rPr>
              <w:t>7,238</w:t>
            </w:r>
          </w:p>
        </w:tc>
        <w:tc>
          <w:tcPr>
            <w:tcW w:type="dxa" w:w="1440"/>
            <w:shd w:fill="FAFAFA" w:val="clear"/>
          </w:tcPr>
          <w:p>
            <w:r>
              <w:rPr>
                <w:sz w:val="17"/>
              </w:rPr>
              <w:t>7,946</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BANK OF AFRICA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196,27 milliards FCFA, BOAM se positionne comme une valeur de premier plan du compartiment bancaire de la BRVM, représentant un poids significatif dans l'indice sectoriel. Le BPA de 404 FCFA/action traduit la capacité bénéficiaire de la banque, et le PER de 17,7x indique que les investisseurs paient une prime notable par rapport à la moyenne du marché BRVM (généralement 8-12x), ce qui traduit des anticipations de croissance soutenue. Le P/B de 3,94x confirme cette prime de croissance, le marché valorisant la banque près de quatre fois sa valeur comptable, ce qui est cohérent avec un ROE supérieur à 22%. L'EV/EBITDA de 9,8x, situé dans la fourchette raisonnable de 5-10x, suggère que la valeur totale de l'entreprise reste proportionnée à sa capacité opérationnelle, bien que la lecture de cet indicateur soit moins pertinente pour une banque que pour une entreprise industrielle.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BOAM a enregistré une performance exceptionnelle de +52,13%, portant le cours à 7 150 FCFA, malgré un léger repli de -0,63% lors de la dernière séance. Le titre a évolué dans un range très large, entre un plus bas de 4 425 FCFA et un plus haut de 7 195 FCFA, le cours actuel se situant à seulement 0,63% de son sommet, ce qui témoigne d'une tendance haussière puissante et d'une pression acheteuse soutenue. Les statistiques descriptives révèlent une moyenne de 5 355 FCFA nettement supérieure à la médiane de 5 045 FCFA et au mode de 4 670 FCFA, confirmant une distribution asymétrique avec une concentration des cours sur la première partie de la période avant l'accélération récente. L'écart-type de 748 FCFA (CV=14,0%) indique une dispersion modérée autour de la moyenne, tandis que le kurtosis de -0,614 (mésokurtique) suggère une distribution proche de la normale, sans risque excessif de pics extrêmes. Le skewness positif de 0,721 signale toutefois une asymétrie à droite, avec davantage de journées de cotation sous la moyenne, ce qui est typique d'un titre en phase d'accélération haussière tardive. La volatilité annualisée de 34,2% classe BOAM dans la catégorie des titres à volatilité élevée (&gt;30%), ce qui implique un risque de correction significatif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6 568,25 FCFA et la MM50 à 5 968,10 FCFA, toutes deux nettement inférieures au cours actuel de 7 150 FCFA. Cette configuration en "golden cross" (MM20 &gt; MM50) avec un cours surplombant les deux moyennes confirme une tendance haussière robuste et justifie la décision d'achat. L'écart entre le cours et la MM20 (+8,9%) indique toutefois une extension qui pourrait favoriser une consolidation à court terme.</w:t>
      </w:r>
    </w:p>
    <w:p>
      <w:pPr>
        <w:spacing w:after="120" w:line="276" w:lineRule="auto"/>
      </w:pPr>
      <w:r>
        <w:t>**Bandes de Bollinger** : Le cours actuel de 7 150 FCFA évolue à proximité immédiate de la borne supérieure (7 192,54 FCFA), tandis que la borne inférieure se situe à 5 943,96 FCFA. Cette position haute dans le canal traduit une forte volatilité et une pression acheteuse intense, mais la décision "Neutre" suggère que le titre approche d'une zone de résistance où un essoufflement est possible. L'amplitude du canal (1 248,58 FCFA) reflète la volatilité élevée du titre sur la période récente.</w:t>
      </w:r>
    </w:p>
    <w:p>
      <w:pPr>
        <w:spacing w:after="120" w:line="276" w:lineRule="auto"/>
      </w:pPr>
      <w:r>
        <w:t>**MACD** : La valeur du MACD (320,27) est supérieure à son signal (281,39), avec un histogramme positif, ce qui confirme un momentum haussier en cours. La décision "Achat" est justifiée par cette configuration positive, bien que l'écart entre les deux lignes reste modéré, suggérant une dynamique haussière qui pourrait s'essouffler si la divergence se réduit.</w:t>
      </w:r>
    </w:p>
    <w:p>
      <w:pPr>
        <w:spacing w:after="120" w:line="276" w:lineRule="auto"/>
      </w:pPr>
      <w:r>
        <w:t>**RSI** : À 74,09, le RSI se situe en zone de surachat (&gt;70), ce qui déclenche une décision "Vente". Cette lecture indique que le titre a été acheté de manière excessive à court terme et qu'un repli technique ou une consolidation est probable. Le RSI reste toutefois inférieur aux niveaux extrêmes (&gt;80) qui signaleraient un retournement imminent.</w:t>
      </w:r>
    </w:p>
    <w:p>
      <w:pPr>
        <w:spacing w:after="120" w:line="276" w:lineRule="auto"/>
      </w:pPr>
      <w:r>
        <w:t>**Stochastique** : Le %K (94,34) et le %D (98,11) sont tous deux en zone de surachat extrême, avec un %D supérieur au %K, ce qui constitue un signal baissier potentiel (croisement à la baisse). La décision "Vente" est cohérente avec cette configuration, indiquant que la pression acheteuse pourrait s'inverser à très court terme.</w:t>
      </w:r>
    </w:p>
    <w:p>
      <w:pPr>
        <w:spacing w:after="120" w:line="276" w:lineRule="auto"/>
      </w:pPr>
      <w:r>
        <w:t>**Conclusion technique** : Les indicateurs de tendance (MM, MACD) restent haussiers et confirment la dynamique positive de moyen terme, mais les oscillateurs (RSI, Stochastique) signalent un surachat extrême et un risque de correction à court terme. Cette divergence entre tendance et momentum suggère une phase de consolidation imminente, avec un support potentiel autour de la MM20 (6 568 FCFA) et une résistance à 7 195 FCFA. La décision globale est donc "Conserver" avec un biais prudent, en attendant un repli pour renforcer les positions.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certifiés) révèlent une banque solide et rentable : le Produit Net Bancaire (PNB) s'élève à 37,996 milliards FCFA, le résultat net à 11,081 milliards FCFA, avec un ROE exceptionnel de 22,24% et un ROA de 1,87%. Le coefficient d'exploitation de 63,14% reste supérieur au seuil de 60% (efficacité moyenne), mais le coût du risque de 43,39% (provisions/charges financières) demeure élevé, signalant un portefeuille de crédits encore risqué. La structure financière est saine avec une autonomie financière de 8,40% (faible mais typique des banques) et une solvabilité générale de 109,16%, tandis que le ratio dépôts/crédits (502,89 Mds FCFA de dépôts pour 253,65 Mds FCFA de créances) indique une surliquidité, la banque collectant plus qu'elle ne prête. Les rapports trimestriels de 2025 confirment cette dynamique : au T1 2025 (rapport du 31/03/2025), le PNB recule de 3,11% à 8 394 MFCFA mais le résultat net bondit de 91,18% à 3 021 MFCFA grâce à la baisse des provisions ; au S1 2025 (rapport du 30/06/2025), le PNB croît de 2,7% à 18,71 Mds FCFA et le résultat net de 28,8% à 6,21 Mds FCFA ; au T3 2025 (rapport du 30/09/2025), le PNB cumulé atteint 28,52 Mds FCFA (+5,8%) et le résultat net 9,16 Mds FCFA (+26,2%). Sur la base du rapport T1 2026 (PNB de 10 322 MFCFA, +22,97% sur un an), on estime que l'exercice 2026 devrait afficher une accélération de la croissance du PNB, potentiellement autour de 10-12%, avec un résultat net qui pourrait dépasser 12 milliards FCFA si la maîtrise du coût du risque se poursuit. La recommandation fondamentale est "Achat" sur le moyen terme, la banque affichant une résilience remarquable dans un contexte malien difficile (insécurité, inflation), mais les risques de crédit et de liquidité (baisse des dépôts au S1 2025) nécessitent une surveillance active.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BOAM (PER 17,7x, P/B 3,94x) intègre une prime de croissance significative par rapport au marché BRVM, ce qui limite le potentiel de réévaluation à court terme mais se justifie par un ROE de 22,24% et une dynamique bénéficiaire robuste. Le comportement du cours sur 100 jours (+52,13%) est exceptionnel, mais la volatilité élevée (34,2%) et le skewness positif (0,721) signalent une asymétrie à droite avec un risque de correction, tandis que le kurtosis mésokurtique (-0,614) indique l'absence de pics extrêmes. Les signaux techniques sont divergents : les moyennes mobiles et le MACD confirment la tendance haussière, mais le RSI (74,09) et le stochastique (94,34/98,11) sont en surachat extrême, suggérant une consolidation imminente. Les fondamentaux restent solides avec un PNB de 37,996 Mds FCFA et un résultat net de 11,081 Mds FCFA en 2025, et les rapports trimestriels (T1 2026 : PNB +22,97%) laissent présager une accélération en 2026. Les prédictions IA (7 107 FCFA à 7 166 FCFA sur 10 jours) anticipent une légère consolidation suivie d'un rebond, ce qui est cohérent avec la lecture technique. Sur la base de cette synthèse, la recommandation finale est **CONSERVER** avec un biais haussier : la convergence entre fondamentaux solides, tendance de fond positive et prédictions modérément optimistes justifie le maintien des positions, mais le surachat technique et la valorisation exigeante incitent à la prudence à court terme. Le niveau de confiance est **Moyen** (divergence technique), le risque global est **Élevé** (volatilité 34,2%, contexte malien), et l'horizon d'investissement optimal est **moyen terme (3-12 mois)** , en profitant des replis vers 6 500-6 600 FCFA pour renforcer.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116.38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9,656 titres</w:t>
            </w:r>
          </w:p>
        </w:tc>
        <w:tc>
          <w:tcPr>
            <w:tcW w:type="dxa" w:w="2268"/>
            <w:shd w:fill="FFF2CC" w:val="clear"/>
          </w:tcPr>
          <w:p>
            <w:r>
              <w:rPr>
                <w:b/>
                <w:color w:val="503200"/>
                <w:sz w:val="16"/>
              </w:rPr>
              <w:t xml:space="preserve">Cours actuel : </w:t>
            </w:r>
            <w:r>
              <w:rPr>
                <w:color w:val="000000"/>
                <w:sz w:val="17"/>
              </w:rPr>
              <w:t>5,595 FCFA</w:t>
            </w:r>
          </w:p>
          <w:p>
            <w:r>
              <w:rPr>
                <w:b/>
                <w:color w:val="503200"/>
                <w:sz w:val="16"/>
              </w:rPr>
              <w:t xml:space="preserve">Var. 100 jours : </w:t>
            </w:r>
            <w:r>
              <w:rPr>
                <w:b/>
                <w:color w:val="007800"/>
                <w:sz w:val="17"/>
              </w:rPr>
              <w:t>+74.84%</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18.06% (Élevée) — μ=4,415 FCFA, σ=797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β=0.4432 (Défensif) — Cov=0.000016, Var(idx)=0.000035, ρ=0.112,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9,656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5,400</w:t>
            </w:r>
          </w:p>
        </w:tc>
        <w:tc>
          <w:tcPr>
            <w:tcW w:type="dxa" w:w="1440"/>
            <w:shd w:fill="FAFAFA" w:val="clear"/>
          </w:tcPr>
          <w:p>
            <w:r>
              <w:rPr>
                <w:b/>
                <w:sz w:val="17"/>
              </w:rPr>
              <w:t>5,533</w:t>
            </w:r>
          </w:p>
        </w:tc>
        <w:tc>
          <w:tcPr>
            <w:tcW w:type="dxa" w:w="1440"/>
            <w:shd w:fill="FAFAFA" w:val="clear"/>
          </w:tcPr>
          <w:p>
            <w:r>
              <w:rPr>
                <w:sz w:val="17"/>
              </w:rPr>
              <w:t>5,666</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5,348</w:t>
            </w:r>
          </w:p>
        </w:tc>
        <w:tc>
          <w:tcPr>
            <w:tcW w:type="dxa" w:w="1440"/>
            <w:shd w:fill="FAFAFA" w:val="clear"/>
          </w:tcPr>
          <w:p>
            <w:r>
              <w:rPr>
                <w:b/>
                <w:sz w:val="17"/>
              </w:rPr>
              <w:t>5,537</w:t>
            </w:r>
          </w:p>
        </w:tc>
        <w:tc>
          <w:tcPr>
            <w:tcW w:type="dxa" w:w="1440"/>
            <w:shd w:fill="FAFAFA" w:val="clear"/>
          </w:tcPr>
          <w:p>
            <w:r>
              <w:rPr>
                <w:sz w:val="17"/>
              </w:rPr>
              <w:t>5,726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5,300</w:t>
            </w:r>
          </w:p>
        </w:tc>
        <w:tc>
          <w:tcPr>
            <w:tcW w:type="dxa" w:w="1440"/>
            <w:shd w:fill="FAFAFA" w:val="clear"/>
          </w:tcPr>
          <w:p>
            <w:r>
              <w:rPr>
                <w:b/>
                <w:sz w:val="17"/>
              </w:rPr>
              <w:t>5,531</w:t>
            </w:r>
          </w:p>
        </w:tc>
        <w:tc>
          <w:tcPr>
            <w:tcW w:type="dxa" w:w="1440"/>
            <w:shd w:fill="FAFAFA" w:val="clear"/>
          </w:tcPr>
          <w:p>
            <w:r>
              <w:rPr>
                <w:sz w:val="17"/>
              </w:rPr>
              <w:t>5,762</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5,258</w:t>
            </w:r>
          </w:p>
        </w:tc>
        <w:tc>
          <w:tcPr>
            <w:tcW w:type="dxa" w:w="1440"/>
            <w:shd w:fill="FAFAFA" w:val="clear"/>
          </w:tcPr>
          <w:p>
            <w:r>
              <w:rPr>
                <w:b/>
                <w:sz w:val="17"/>
              </w:rPr>
              <w:t>5,525</w:t>
            </w:r>
          </w:p>
        </w:tc>
        <w:tc>
          <w:tcPr>
            <w:tcW w:type="dxa" w:w="1440"/>
            <w:shd w:fill="FAFAFA" w:val="clear"/>
          </w:tcPr>
          <w:p>
            <w:r>
              <w:rPr>
                <w:sz w:val="17"/>
              </w:rPr>
              <w:t>5,791</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5,220</w:t>
            </w:r>
          </w:p>
        </w:tc>
        <w:tc>
          <w:tcPr>
            <w:tcW w:type="dxa" w:w="1440"/>
            <w:shd w:fill="FAFAFA" w:val="clear"/>
          </w:tcPr>
          <w:p>
            <w:r>
              <w:rPr>
                <w:b/>
                <w:sz w:val="17"/>
              </w:rPr>
              <w:t>5,518</w:t>
            </w:r>
          </w:p>
        </w:tc>
        <w:tc>
          <w:tcPr>
            <w:tcW w:type="dxa" w:w="1440"/>
            <w:shd w:fill="FAFAFA" w:val="clear"/>
          </w:tcPr>
          <w:p>
            <w:r>
              <w:rPr>
                <w:sz w:val="17"/>
              </w:rPr>
              <w:t>5,815</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5,186</w:t>
            </w:r>
          </w:p>
        </w:tc>
        <w:tc>
          <w:tcPr>
            <w:tcW w:type="dxa" w:w="1440"/>
            <w:shd w:fill="FAFAFA" w:val="clear"/>
          </w:tcPr>
          <w:p>
            <w:r>
              <w:rPr>
                <w:b/>
                <w:sz w:val="17"/>
              </w:rPr>
              <w:t>5,512</w:t>
            </w:r>
          </w:p>
        </w:tc>
        <w:tc>
          <w:tcPr>
            <w:tcW w:type="dxa" w:w="1440"/>
            <w:shd w:fill="FAFAFA" w:val="clear"/>
          </w:tcPr>
          <w:p>
            <w:r>
              <w:rPr>
                <w:sz w:val="17"/>
              </w:rPr>
              <w:t>5,837</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5,154</w:t>
            </w:r>
          </w:p>
        </w:tc>
        <w:tc>
          <w:tcPr>
            <w:tcW w:type="dxa" w:w="1440"/>
            <w:shd w:fill="FAFAFA" w:val="clear"/>
          </w:tcPr>
          <w:p>
            <w:r>
              <w:rPr>
                <w:b/>
                <w:sz w:val="17"/>
              </w:rPr>
              <w:t>5,505</w:t>
            </w:r>
          </w:p>
        </w:tc>
        <w:tc>
          <w:tcPr>
            <w:tcW w:type="dxa" w:w="1440"/>
            <w:shd w:fill="FAFAFA" w:val="clear"/>
          </w:tcPr>
          <w:p>
            <w:r>
              <w:rPr>
                <w:sz w:val="17"/>
              </w:rPr>
              <w:t>5,856</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5,124</w:t>
            </w:r>
          </w:p>
        </w:tc>
        <w:tc>
          <w:tcPr>
            <w:tcW w:type="dxa" w:w="1440"/>
            <w:shd w:fill="FAFAFA" w:val="clear"/>
          </w:tcPr>
          <w:p>
            <w:r>
              <w:rPr>
                <w:b/>
                <w:sz w:val="17"/>
              </w:rPr>
              <w:t>5,499</w:t>
            </w:r>
          </w:p>
        </w:tc>
        <w:tc>
          <w:tcPr>
            <w:tcW w:type="dxa" w:w="1440"/>
            <w:shd w:fill="FAFAFA" w:val="clear"/>
          </w:tcPr>
          <w:p>
            <w:r>
              <w:rPr>
                <w:sz w:val="17"/>
              </w:rPr>
              <w:t>5,874</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5,096</w:t>
            </w:r>
          </w:p>
        </w:tc>
        <w:tc>
          <w:tcPr>
            <w:tcW w:type="dxa" w:w="1440"/>
            <w:shd w:fill="FAFAFA" w:val="clear"/>
          </w:tcPr>
          <w:p>
            <w:r>
              <w:rPr>
                <w:b/>
                <w:sz w:val="17"/>
              </w:rPr>
              <w:t>5,493</w:t>
            </w:r>
          </w:p>
        </w:tc>
        <w:tc>
          <w:tcPr>
            <w:tcW w:type="dxa" w:w="1440"/>
            <w:shd w:fill="FAFAFA" w:val="clear"/>
          </w:tcPr>
          <w:p>
            <w:r>
              <w:rPr>
                <w:sz w:val="17"/>
              </w:rPr>
              <w:t>5,891</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5,069</w:t>
            </w:r>
          </w:p>
        </w:tc>
        <w:tc>
          <w:tcPr>
            <w:tcW w:type="dxa" w:w="1440"/>
            <w:shd w:fill="FAFAFA" w:val="clear"/>
          </w:tcPr>
          <w:p>
            <w:r>
              <w:rPr>
                <w:b/>
                <w:sz w:val="17"/>
              </w:rPr>
              <w:t>5,487</w:t>
            </w:r>
          </w:p>
        </w:tc>
        <w:tc>
          <w:tcPr>
            <w:tcW w:type="dxa" w:w="1440"/>
            <w:shd w:fill="FAFAFA" w:val="clear"/>
          </w:tcPr>
          <w:p>
            <w:r>
              <w:rPr>
                <w:sz w:val="17"/>
              </w:rPr>
              <w:t>5,906</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BOAN s'élève à 116,38 milliards FCFA, un niveau significatif à l'échelle de la BRVM qui positionne le titre parmi les valeurs bancaires de premier plan de la cote. Le BPA ressort à 20 FCFA par action, un niveau extrêmement faible qui traduit la chute drastique des bénéfices en 2025 (résultat net de 409 millions FCFA seulement). Le PER qui en découle, à 284,5x, est totalement déconnecté des standards du marché (PER BRVM moyen ~8-12x) et signale que les investisseurs paient environ 285 fois les bénéfices actuels — une valorisation qui n'est justifiable que par l'anticipation d'un rebond spectaculaire des profits, ce qui exige une prudence extrême. Le P/B de 3,23x indique que le marché valorise le titre à plus de trois fois sa valeur comptable (capitaux propres de 36,06 Mds FCFA), soit une prime de croissance significative accordée par le marché. Enfin, l'EV/EBITDA de 41,4x, très supérieur au seuil de 15x généralement considéré comme exigeant, confirme que la valeur d'entreprise intègre des attentes de rentabilité opérationnelle future très optimistes, en net décalage avec la performance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BOAN a enregistré une progression spectaculaire de +74,84%, avec une dernière séance (J-1) en hausse de +1,82%, portant le cours actuel à 5 595 FCFA. Le range de trading est particulièrement large, le titre ayant oscillé entre un plus bas de 3 200 FCFA et un plus haut de 5 645 FCFA, soit une amplitude de plus de 76% qui témoigne d'une dynamique haussière puissante mais aussi d'une forte nervosité. La tendance générale est clairement haussière, le cours actuel (5 595 FCFA) se situant à seulement 0,9% de son plus haut historique sur la période. Les statistiques descriptives révèlent une moyenne de 4 415 FCFA supérieure à la médiane de 4 192 FCFA, signe d'une légère asymétrie positive (skewness de 0,125, distribution quasi-symétrique) avec quelques pics haussiers tirant la moyenne vers le haut. L'écart-type de 801 FCFA (CV de 18,2%) indique une dispersion modérée du cours autour de sa moyenne, tandis que le kurtosis négatif (-1,694, distribution platykurtique) suggère une faible concentration des valeurs extrêmes et un risque de pics moins prononcé qu'une distribution normale. La volatilité annualisée de 37,0% classe le titre dans la catégorie des valeurs à volatilité élevée (&gt;30%), ce qui implique un risque de fluctuation important et justifie une approche prudente malgré la tendance haussière.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(5 382,75 FCFA) et la MM50 (5 148,70 FCFA) se situent toutes deux en dessous du cours actuel (5 595 FCFA), confirmant une configuration haussière avec le prix au-dessus des deux moyennes. La MM20 étant supérieure à la MM50, le croisement est favorable et la décision technique est à l'**Achat**, bien que le cours s'éloigne progressivement de ses moyennes, ce qui pourrait indiquer une extension excessive à court terme.</w:t>
      </w:r>
    </w:p>
    <w:p>
      <w:pPr>
        <w:spacing w:after="120" w:line="276" w:lineRule="auto"/>
      </w:pPr>
      <w:r>
        <w:t>**Bandes de Bollinger** : Le cours (5 595 FCFA) évolue dans la partie haute des bandes, proche de la borne supérieure (5 689,58 FCFA) et très éloigné de la borne inférieure (5 075,93 FCFA), ce qui reflète une pression acheteuse soutenue. La largeur des bandes indique une volatilité significative, et la décision est **Neutre** car le cours n'a pas encore franchi la borne supérieure, mais la proximité de cette dernière suggère une possible résistance.</w:t>
      </w:r>
    </w:p>
    <w:p>
      <w:pPr>
        <w:spacing w:after="120" w:line="276" w:lineRule="auto"/>
      </w:pPr>
      <w:r>
        <w:t>**MACD** : La valeur du MACD (119,23) est légèrement inférieure à son signal (124,735), générant une divergence baissière et une décision de **Vente**. Ce croisement négatif indique un essoufflement du momentum haussier malgré la tendance positive du cours, signalant une possible correction à court terme.</w:t>
      </w:r>
    </w:p>
    <w:p>
      <w:pPr>
        <w:spacing w:after="120" w:line="276" w:lineRule="auto"/>
      </w:pPr>
      <w:r>
        <w:t>**RSI** : À 68,208, le RSI se situe en zone neutre haute, proche du seuil de surachat (70) sans l'avoir franchi. La décision est **Neutre**, mais la proximité du seuil de surachat invite à la vigilance car le titre pourrait être proche d'un point de retournement.</w:t>
      </w:r>
    </w:p>
    <w:p>
      <w:pPr>
        <w:spacing w:after="120" w:line="276" w:lineRule="auto"/>
      </w:pPr>
      <w:r>
        <w:t>**Stochastique** : Le %K (83,333) est nettement supérieur au %D (65,978), avec un croisement en zone de surachat (&gt;80). La décision est **Vente**, ce qui suggère que le titre pourrait bientôt connaître une correction après sa forte progression.</w:t>
      </w:r>
    </w:p>
    <w:p>
      <w:pPr>
        <w:spacing w:after="120" w:line="276" w:lineRule="auto"/>
      </w:pPr>
      <w:r>
        <w:t>**Conclusion technique** : Les indicateurs techniques présentent une divergence préoccupante. Si les moyennes mobiles confirment la tendance haussière de fond, le MACD, le RSI et le stochastique signalent tous un essoufflement du momentum et une possible correction à court terme. Le titre évolue en zone de surachat technique, ce qui plaide pour une prise de bénéfices ou une attente de repli avant tout nouvel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révèlent une situation préoccupante pour BOAN. Le Produit Net Bancaire (équivalent du chiffre d'affaires pour une banque) s'établit à 21 125 millions FCFA en 2025, en léger repli de -1,2% par rapport à 2024 (21 380 millions FCFA), tandis que le résultat net s'effondre à 409 millions FCFA, soit une chute de -91,8% par rapport aux 5 002 millions FCFA de 2024. Cette dégradation spectaculaire se traduit par un ROE de seulement 1,13% (très loin du seuil de 15% considéré comme excellent) et un ROA de 0,14%, confirmant l'effondrement de la rentabilité. Le coefficient d'exploitation, à 74,37%, demeure élevé (seuil d'efficacité : &lt;60%), bien qu'en amélioration par rapport aux trimestres précédents, et le coût du risque rapporté aux charges financières atteint 67,30%, reflétant un portefeuille de crédits très dégradé avec un taux de créances en souffrance de 24% (contre 12% en moyenne UEMOA). La structure financière reste fragile avec une autonomie financière de 12,36% (seuil sain : &gt;30%) et un ratio d'endettement de 178,61%, bien que la solvabilité générale (114,10%) et le ratio de solvabilité réglementaire (14,06%) demeurent conformes aux exigences UEMOA. Les dépôts clientèle (183 280 millions FCFA) couvrent largement les créances clientèle (128 447 millions FCFA), avec un ratio de transformation de 70%, mais la trésorerie nette est négative à -43 516 millions FCFA.</w:t>
      </w:r>
    </w:p>
    <w:p>
      <w:pPr>
        <w:spacing w:after="120" w:line="276" w:lineRule="auto"/>
      </w:pPr>
      <w:r>
        <w:t>Les rapports narratifs confirment cette analyse et apportent des perspectives d'amélioration. Le rapport du T1 2026 (daté du 31 mars 2026, analysé par Claude-Manual) fait état d'un redressement net : le PNB progresse de +7,9% à 5 170 millions FCFA, le résultat net bondit de +28,9% à 1 467,3 millions FCFA, et le coefficient d'exploitation s'améliore à 56,2% (contre 66,8% un an plus tôt). Le rapport du 2nd semestre 2025 (daté du 31 décembre 2025) souligne que la chute du résultat net est largement imputable à une provision exceptionnelle de 4,8 milliards FCFA liée au risque sectoriel, et que les dépôts progressent de +4% (surperformant le secteur à +1%) tandis que les crédits reculent volontairement de -20,9% dans le cadre d'une politique sélective de réduction des risques. Le rapport du T3 2025 (daté du 30 septembre 2025) indiquait déjà un résultat net cumulé de 2,84 milliards FCFA (-33,1%) avec un coût du risque en explosion (+70%). Sur la base du rapport T1 2026, on peut estimer que l'exercice 2026 devrait marquer un rebond significatif, avec un PNB attendu en hausse de +6,4% à 22 327 millions FCFA et un résultat avant impôts multiplié par plus de 6 à 7 280 millions FCFA selon le budget prévisionnel. La recommandation fondamentale est de **CONSERVER** le titre : la banque dispose d'atouts solides (soutien du groupe BOA, ratios prudentiels conformes, plan stratégique 2025-2027 axé sur la digitalisation et la qualité du portefeuille) et d'un potentiel de rebond, mais les risques (instabilité politique au Niger, qualité du portefeuille crédit, absence de dividende depuis 3 ans) justifient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révèle une situation contrastée qui appelle à une recommandation de **CONSERVER** avec un niveau de confiance **Moyen** et un risque global **Élevé**. Sur le plan de la valorisation (Partie 0), les ratios PER (284,5x), P/B (3,23x) et EV/EBITDA (41,4x) indiquent une surévaluation manifeste par rapport aux bénéfices actuels, le marché ayant déjà intégré un scénario de rebond très optimiste. Le comportement du cours (Partie 1) est haussier (+74,84% sur 100 jours) mais avec une volatilité élevée (37%) et des statistiques (kurtosis négatif, skewness quasi-nul) qui suggèrent une distribution aplatie sans biais directionnel marqué, ce qui est neutre mais peu rassurant sur la stabilité. Les signaux techniques (Partie 2) sont divergents : les moyennes mobiles confirment la tendance haussière, mais le MACD, le RSI et le stochastique signalent tous un essoufflement et une possible correction à court terme, le titre évoluant en zone de surachat. Les fondamentaux (Partie 3) restent préoccupants pour 2025 (ROE de 1,13%, résultat net en chute de 91,8%, coefficient d'exploitation de 74,37%), mais les rapports trimestriels (T1 2026) montrent un début de redressement encourageant (résultat net +28,9%, coefficient d'exploitation à 56,2%). Les prédictions IA (J+1 à J+10) anticipent une légère correction du cours de 5 595 FCFA vers 5 518 FCFA d'ici le 18 septembre 2026, ce qui confirme les signaux techniques de prise de bénéfices à court terme. En conséquence, la convergence entre la surévaluation, les signaux techniques de correction et les prédictions baissières à court terme, tempérée par les perspectives de redressement fondamental, justifie une recommandation de **CONSERVER** : les investisseurs déjà positionnés peuvent conserver le titre en surveillant les prochains trimestres pour confirmer la reprise, tandis que les nouveaux entrants devraient attendre un repli vers la MM20 (5 382 FCFA) ou la borne inférieure des bandes de Bollinger (5 075 FCFA) avant d'envisager une entrée. L'horizon d'investissement optimal est le **moyen terme (3-12 mois)**, le temps que les effets du plan stratégique 2025-2027 se matérialisent et que la rentabilité se redresse durablement.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10,324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+20.68%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μ=7,572 FCFA, σ=414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β=0.2902 (Défensif) — Cov=0.000010, Var(idx)=0.000035, ρ=0.110,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7,954</w:t>
            </w:r>
          </w:p>
        </w:tc>
        <w:tc>
          <w:tcPr>
            <w:tcW w:type="dxa" w:w="1440"/>
            <w:shd w:fill="FAFAFA" w:val="clear"/>
          </w:tcPr>
          <w:p>
            <w:r>
              <w:rPr>
                <w:b/>
                <w:sz w:val="17"/>
              </w:rPr>
              <w:t>8,166</w:t>
            </w:r>
          </w:p>
        </w:tc>
        <w:tc>
          <w:tcPr>
            <w:tcW w:type="dxa" w:w="1440"/>
            <w:shd w:fill="FAFAFA" w:val="clear"/>
          </w:tcPr>
          <w:p>
            <w:r>
              <w:rPr>
                <w:sz w:val="17"/>
              </w:rPr>
              <w:t>8,379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7,828</w:t>
            </w:r>
          </w:p>
        </w:tc>
        <w:tc>
          <w:tcPr>
            <w:tcW w:type="dxa" w:w="1440"/>
            <w:shd w:fill="FAFAFA" w:val="clear"/>
          </w:tcPr>
          <w:p>
            <w:r>
              <w:rPr>
                <w:b/>
                <w:sz w:val="17"/>
              </w:rPr>
              <w:t>8,126</w:t>
            </w:r>
          </w:p>
        </w:tc>
        <w:tc>
          <w:tcPr>
            <w:tcW w:type="dxa" w:w="1440"/>
            <w:shd w:fill="FAFAFA" w:val="clear"/>
          </w:tcPr>
          <w:p>
            <w:r>
              <w:rPr>
                <w:sz w:val="17"/>
              </w:rPr>
              <w:t>8,425</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7,726</w:t>
            </w:r>
          </w:p>
        </w:tc>
        <w:tc>
          <w:tcPr>
            <w:tcW w:type="dxa" w:w="1440"/>
            <w:shd w:fill="FAFAFA" w:val="clear"/>
          </w:tcPr>
          <w:p>
            <w:r>
              <w:rPr>
                <w:b/>
                <w:sz w:val="17"/>
              </w:rPr>
              <w:t>8,090</w:t>
            </w:r>
          </w:p>
        </w:tc>
        <w:tc>
          <w:tcPr>
            <w:tcW w:type="dxa" w:w="1440"/>
            <w:shd w:fill="FAFAFA" w:val="clear"/>
          </w:tcPr>
          <w:p>
            <w:r>
              <w:rPr>
                <w:sz w:val="17"/>
              </w:rPr>
              <w:t>8,454</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7,638</w:t>
            </w:r>
          </w:p>
        </w:tc>
        <w:tc>
          <w:tcPr>
            <w:tcW w:type="dxa" w:w="1440"/>
            <w:shd w:fill="FAFAFA" w:val="clear"/>
          </w:tcPr>
          <w:p>
            <w:r>
              <w:rPr>
                <w:b/>
                <w:sz w:val="17"/>
              </w:rPr>
              <w:t>8,056</w:t>
            </w:r>
          </w:p>
        </w:tc>
        <w:tc>
          <w:tcPr>
            <w:tcW w:type="dxa" w:w="1440"/>
            <w:shd w:fill="FAFAFA" w:val="clear"/>
          </w:tcPr>
          <w:p>
            <w:r>
              <w:rPr>
                <w:sz w:val="17"/>
              </w:rPr>
              <w:t>8,475</w:t>
            </w:r>
          </w:p>
        </w:tc>
        <w:tc>
          <w:tcPr>
            <w:tcW w:type="dxa" w:w="1440"/>
            <w:shd w:fill="FAFAFA" w:val="clear"/>
          </w:tcPr>
          <w:p>
            <w:r>
              <w:rPr>
                <w:b/>
                <w:color w:val="C00000"/>
                <w:sz w:val="17"/>
              </w:rPr>
              <w:t>-1.8%</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7,558</w:t>
            </w:r>
          </w:p>
        </w:tc>
        <w:tc>
          <w:tcPr>
            <w:tcW w:type="dxa" w:w="1440"/>
            <w:shd w:fill="FFDCE0" w:val="clear"/>
          </w:tcPr>
          <w:p>
            <w:r>
              <w:rPr>
                <w:b/>
                <w:sz w:val="17"/>
              </w:rPr>
              <w:t>8,024</w:t>
            </w:r>
          </w:p>
        </w:tc>
        <w:tc>
          <w:tcPr>
            <w:tcW w:type="dxa" w:w="1440"/>
            <w:shd w:fill="FFDCE0" w:val="clear"/>
          </w:tcPr>
          <w:p>
            <w:r>
              <w:rPr>
                <w:sz w:val="17"/>
              </w:rPr>
              <w:t>8,490</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7,485</w:t>
            </w:r>
          </w:p>
        </w:tc>
        <w:tc>
          <w:tcPr>
            <w:tcW w:type="dxa" w:w="1440"/>
            <w:shd w:fill="FFDCE0" w:val="clear"/>
          </w:tcPr>
          <w:p>
            <w:r>
              <w:rPr>
                <w:b/>
                <w:sz w:val="17"/>
              </w:rPr>
              <w:t>7,993</w:t>
            </w:r>
          </w:p>
        </w:tc>
        <w:tc>
          <w:tcPr>
            <w:tcW w:type="dxa" w:w="1440"/>
            <w:shd w:fill="FFDCE0" w:val="clear"/>
          </w:tcPr>
          <w:p>
            <w:r>
              <w:rPr>
                <w:sz w:val="17"/>
              </w:rPr>
              <w:t>8,502</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7,416</w:t>
            </w:r>
          </w:p>
        </w:tc>
        <w:tc>
          <w:tcPr>
            <w:tcW w:type="dxa" w:w="1440"/>
            <w:shd w:fill="FFDCE0" w:val="clear"/>
          </w:tcPr>
          <w:p>
            <w:r>
              <w:rPr>
                <w:b/>
                <w:sz w:val="17"/>
              </w:rPr>
              <w:t>7,964</w:t>
            </w:r>
          </w:p>
        </w:tc>
        <w:tc>
          <w:tcPr>
            <w:tcW w:type="dxa" w:w="1440"/>
            <w:shd w:fill="FFDCE0" w:val="clear"/>
          </w:tcPr>
          <w:p>
            <w:r>
              <w:rPr>
                <w:sz w:val="17"/>
              </w:rPr>
              <w:t>8,511</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7,353</w:t>
            </w:r>
          </w:p>
        </w:tc>
        <w:tc>
          <w:tcPr>
            <w:tcW w:type="dxa" w:w="1440"/>
            <w:shd w:fill="FFDCE0" w:val="clear"/>
          </w:tcPr>
          <w:p>
            <w:r>
              <w:rPr>
                <w:b/>
                <w:sz w:val="17"/>
              </w:rPr>
              <w:t>7,936</w:t>
            </w:r>
          </w:p>
        </w:tc>
        <w:tc>
          <w:tcPr>
            <w:tcW w:type="dxa" w:w="1440"/>
            <w:shd w:fill="FFDCE0" w:val="clear"/>
          </w:tcPr>
          <w:p>
            <w:r>
              <w:rPr>
                <w:sz w:val="17"/>
              </w:rPr>
              <w:t>8,519</w:t>
            </w:r>
          </w:p>
        </w:tc>
        <w:tc>
          <w:tcPr>
            <w:tcW w:type="dxa" w:w="1440"/>
            <w:shd w:fill="FFDCE0" w:val="clear"/>
          </w:tcPr>
          <w:p>
            <w:r>
              <w:rPr>
                <w:b/>
                <w:color w:val="C00000"/>
                <w:sz w:val="17"/>
              </w:rPr>
              <w:t>-3.2%</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7,292</w:t>
            </w:r>
          </w:p>
        </w:tc>
        <w:tc>
          <w:tcPr>
            <w:tcW w:type="dxa" w:w="1440"/>
            <w:shd w:fill="FFDCE0" w:val="clear"/>
          </w:tcPr>
          <w:p>
            <w:r>
              <w:rPr>
                <w:b/>
                <w:sz w:val="17"/>
              </w:rPr>
              <w:t>7,909</w:t>
            </w:r>
          </w:p>
        </w:tc>
        <w:tc>
          <w:tcPr>
            <w:tcW w:type="dxa" w:w="1440"/>
            <w:shd w:fill="FFDCE0" w:val="clear"/>
          </w:tcPr>
          <w:p>
            <w:r>
              <w:rPr>
                <w:sz w:val="17"/>
              </w:rPr>
              <w:t>8,525</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7,235</w:t>
            </w:r>
          </w:p>
        </w:tc>
        <w:tc>
          <w:tcPr>
            <w:tcW w:type="dxa" w:w="1440"/>
            <w:shd w:fill="FFDCE0" w:val="clear"/>
          </w:tcPr>
          <w:p>
            <w:r>
              <w:rPr>
                <w:b/>
                <w:sz w:val="17"/>
              </w:rPr>
              <w:t>7,883</w:t>
            </w:r>
          </w:p>
        </w:tc>
        <w:tc>
          <w:tcPr>
            <w:tcW w:type="dxa" w:w="1440"/>
            <w:shd w:fill="FFDCE0" w:val="clear"/>
          </w:tcPr>
          <w:p>
            <w:r>
              <w:rPr>
                <w:sz w:val="17"/>
              </w:rPr>
              <w:t>8,530</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295,20 milliards FCFA, BOAS s'impose comme l'une des valeurs bancaires de référence de la cote BRVM, témoignant d'une liquidité et d'une profondeur de marché appréciables pour la zone UEMOA. Le BPA de 608 FCFA/action signifie que chaque titre génère près de 608 FCFA de bénéfice net, un niveau de rentabilité unitaire solide pour le secteur. Le PER de 13,5x se situe légèrement au-dessus de la moyenne BRVM (8-12x), traduisant une prime de qualité consentie par le marché, mais demeurant raisonnable au regard de la croissance des bénéfices. Le P/B de 3,06x indique que le marché valorise la banque à environ trois fois ses fonds propres comptables, une prime de croissance justifiée par un ROE supérieur à 22%. Enfin, l'EV/EBITDA de 8,8x, dans la fourchette raisonnable de 5-10x, confirme que la valeur d'entreprise reste cohérente avec la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 enregistré une progression remarquable de +20,68%, bien que la dernière séance (J-1) affiche un repli de -1,20%, signalant une légère prise de bénéfices après le rallye. Le cours actuel de 8 200 FCFA évolue dans un range de trading compris entre 6 735 FCFA (plus bas) et 8 500 FCFA (plus haut), soit une amplitude de plus de 26%, ce qui traduit une tendance nettement haussière sur la période. Les statistiques descriptives révèlent une moyenne de 7 572 FCFA légèrement supérieure à la médiane de 7 490 FCFA, avec un mode à 7 700 FCFA : cet écart modéré entre moyenne et médiane, conjugué à un skewness de 0,307 (distribution symétrique), indique une répartition équilibrée des cours sans biais marqué. L'écart-type de 416 FCFA et le coefficient de variation de 5,5% témoignent d'une dispersion contenue du cours autour de sa moyenne, gage de stabilité relative. Le kurtosis de -0,356 (mésokurtique) suggère une distribution proche de la normale, sans risque excessif de pics extrêmes. Enfin, la volatilité annualisée de 24,7% positionne BOAS dans la catégorie des titres à volatilité modérée (15-30%), offrant un profil rendement/risque équilibré pour un investisseur avisé.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8 170,5 FCFA et la MM50 à 7 806,6 FCFA, toutes deux inférieures au cours actuel de 8 200 FCFA, ce qui confirme une configuration haussière avec le prix au-dessus de ses moyennes. L'écart positif entre MM20 et MM50 (golden cross implicite) valide la décision d'achat.</w:t>
      </w:r>
    </w:p>
    <w:p>
      <w:pPr>
        <w:spacing w:after="120" w:line="276" w:lineRule="auto"/>
      </w:pPr>
      <w:r>
        <w:t>**Bandes de Bollinger** : Le cours (8 200 FCFA) évolue dans la partie supérieure de la bande, entre la borne inférieure (7 692 FCFA) et la borne supérieure (8 648,9 FCFA), sans franchir cette dernière. Cette position médiane-haute traduit une volatilité normale et justifie la décision neutre, le titre n'étant ni suracheté ni survendu.</w:t>
      </w:r>
    </w:p>
    <w:p>
      <w:pPr>
        <w:spacing w:after="120" w:line="276" w:lineRule="auto"/>
      </w:pPr>
      <w:r>
        <w:t>**MACD** : La valeur du MACD (131,454) est inférieure à son signal (155,664), générant une divergence baissière qui indique un essoufflement du momentum haussier. Cette configuration justifie la décision de vente à court terme, bien que la tendance de fond reste positive.</w:t>
      </w:r>
    </w:p>
    <w:p>
      <w:pPr>
        <w:spacing w:after="120" w:line="276" w:lineRule="auto"/>
      </w:pPr>
      <w:r>
        <w:t>**RSI** : À 58,403, le RSI se situe en zone neutre (30-70), sans signal de surachat (&gt;70) ni de survente (&lt;30). Cette position médiane confirme la décision neutre, le titre conservant un potentiel de progression sans excès.</w:t>
      </w:r>
    </w:p>
    <w:p>
      <w:pPr>
        <w:spacing w:after="120" w:line="276" w:lineRule="auto"/>
      </w:pPr>
      <w:r>
        <w:t>**Stochastique** : Le %K à 0,0 et le %D à 33,333 indiquent que le %K est en zone de survente extrême, sous son signal %D, ce qui génère un croisement haussier potentiel. Cette configuration justifie la décision d'achat, anticipant un rebond technique à court terme.</w:t>
      </w:r>
    </w:p>
    <w:p>
      <w:pPr>
        <w:spacing w:after="120" w:line="276" w:lineRule="auto"/>
      </w:pPr>
      <w:r>
        <w:t>**Conclusion technique** : Les indicateurs présentent une divergence notable : les moyennes mobiles et le stochastique plaident pour l'achat, tandis que le MACD signale une vente et que le RSI et les bandes de Bollinger restent neutres. Cette configuration mitigée suggère une consolidation possible avant une reprise haussière, le titre évoluant dans une tendance de fond positive mais confronté à un essoufflement momentum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fondamentaux bancaires solides avec un Produit Net Bancaire (PNB) de 51,926 milliards FCFA, un résultat net de 21,905 milliards FCFA et un ROE remarquable de 22,69%, largement supérieur au seuil d'excellence de 15%. Le coefficient d'exploitation de 44,02% confirme l'efficacité opérationnelle de la banque (seuil &lt;60% = efficace, &lt;50% = excellente), tandis que le coût du risque de 23,31% des charges financières mérite une surveillance attentive. La structure bilancielle révèle une forte dépendance aux dépôts clientèle (686,927 milliards FCFA) face à des créances clientèle de 386,424 milliards FCFA, soit un ratio de transformation de 56%, typique d'une banque de dépôt bien capitalisée. Les rapports trimestriels confirment cette dynamique : le rapport du T1 2026 (publié en 2026) fait état d'un PNB de 12,580 milliards FCFA (+6,82%) et d'un résultat net de 5,741 milliards FCFA (+9,78%), avec un coefficient d'exploitation en amélioration à 42,1%. Le rapport du T3 2025 (30 septembre 2025) indiquait un PNB cumulé de 37,44 milliards FCFA (+6,71%) et un résultat net de 16,37 milliards FCFA (+10,01%), avec un coût du risque en baisse à -0,5% du PNB. Sur la base de ces tendances, on estime que l'exercice 2026 devrait enregistrer une croissance du PNB d'environ 6-7% et une progression du résultat net de 8-10%, portée par la hausse des commissions (+10,1% au T1 2026) et la maîtrise des charges. Les risques identifiés incluent la concentration sur le marché sénégalais, la concurrence accrue et l'exposition au risque de crédit dans un environnement économique incertain. Néanmoins, la solidité des fondamentaux, la trajectoire de croissance et l'amélioration continue de l'efficacité opérationnelle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équilibré pour BOAS. La valorisation (Partie 0) apparaît raisonnable avec un PER de 13,5x légèrement supérieur à la moyenne BRVM mais justifié par un ROE de 22,69%, un P/B de 3,06x traduisant une prime de croissance et un EV/EBITDA de 8,8x dans la fourchette normale. Le comportement du cours (Partie 1) est nettement haussier (+20,68% sur 100 jours), avec une volatilité modérée (24,7%) et des statistiques descriptives rassurantes (distribution symétrique, kurtosis proche de la normale). Les signaux techniques (Partie 2) sont mitigés : les moyennes mobiles et le stochastique sont haussiers, le MACD baissier, tandis que le RSI et les bandes de Bollinger restent neutres, suggérant une consolidation avant reprise. Les fondamentaux (Partie 3) sont solides, avec une croissance du PNB et du résultat net confirmée par les rapports trimestriels (T1 2026 : PNB +6,82%, RN +9,78%), un coefficient d'exploitation en amélioration et une structure financière saine. Les prédictions IA (J+1 à J+10) anticipent une légère correction vers 8 024 FCFA, en ligne avec le repli de J-1 et la divergence baissière du MACD, mais cette correction apparaît comme une opportunité d'achat dans une tendance de fond haussière. Sur la base de cette convergence entre valorisation raisonnable, fondamentaux solides, tendance haussière et correction technique temporaire, la recommandation finale est **ACHAT**, avec un niveau de confiance **Moyen** (en raison de la divergence des indicateurs techniques à court terme) et un niveau de risque **Moyen** (volatilité modérée, exposition au risque de crédit). L'horizon d'investissement optimal est le **moyen terme (3-12 mois)**, permettant de capitaliser sur la croissance des bénéfices et l'amélioration continue des fondamentaux, tout en absorbant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2,140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B40000"/>
                <w:sz w:val="17"/>
              </w:rPr>
              <w:t>-8.02%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7.20% (Moyenne) — μ=3,714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β=0.1622 (Défensif) — Cov=0.000006, Var(idx)=0.000035, ρ=0.031,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3,379</w:t>
            </w:r>
          </w:p>
        </w:tc>
        <w:tc>
          <w:tcPr>
            <w:tcW w:type="dxa" w:w="1440"/>
            <w:shd w:fill="FAFAFA" w:val="clear"/>
          </w:tcPr>
          <w:p>
            <w:r>
              <w:rPr>
                <w:b/>
                <w:sz w:val="17"/>
              </w:rPr>
              <w:t>3,475</w:t>
            </w:r>
          </w:p>
        </w:tc>
        <w:tc>
          <w:tcPr>
            <w:tcW w:type="dxa" w:w="1440"/>
            <w:shd w:fill="FAFAFA" w:val="clear"/>
          </w:tcPr>
          <w:p>
            <w:r>
              <w:rPr>
                <w:sz w:val="17"/>
              </w:rPr>
              <w:t>3,571</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3,322</w:t>
            </w:r>
          </w:p>
        </w:tc>
        <w:tc>
          <w:tcPr>
            <w:tcW w:type="dxa" w:w="1440"/>
            <w:shd w:fill="FAFAFA" w:val="clear"/>
          </w:tcPr>
          <w:p>
            <w:r>
              <w:rPr>
                <w:b/>
                <w:sz w:val="17"/>
              </w:rPr>
              <w:t>3,457</w:t>
            </w:r>
          </w:p>
        </w:tc>
        <w:tc>
          <w:tcPr>
            <w:tcW w:type="dxa" w:w="1440"/>
            <w:shd w:fill="FAFAFA" w:val="clear"/>
          </w:tcPr>
          <w:p>
            <w:r>
              <w:rPr>
                <w:sz w:val="17"/>
              </w:rPr>
              <w:t>3,592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3,271</w:t>
            </w:r>
          </w:p>
        </w:tc>
        <w:tc>
          <w:tcPr>
            <w:tcW w:type="dxa" w:w="1440"/>
            <w:shd w:fill="FAFAFA" w:val="clear"/>
          </w:tcPr>
          <w:p>
            <w:r>
              <w:rPr>
                <w:b/>
                <w:sz w:val="17"/>
              </w:rPr>
              <w:t>3,435</w:t>
            </w:r>
          </w:p>
        </w:tc>
        <w:tc>
          <w:tcPr>
            <w:tcW w:type="dxa" w:w="1440"/>
            <w:shd w:fill="FAFAFA" w:val="clear"/>
          </w:tcPr>
          <w:p>
            <w:r>
              <w:rPr>
                <w:sz w:val="17"/>
              </w:rPr>
              <w:t>3,600</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3,225</w:t>
            </w:r>
          </w:p>
        </w:tc>
        <w:tc>
          <w:tcPr>
            <w:tcW w:type="dxa" w:w="1440"/>
            <w:shd w:fill="FFDCE0" w:val="clear"/>
          </w:tcPr>
          <w:p>
            <w:r>
              <w:rPr>
                <w:b/>
                <w:sz w:val="17"/>
              </w:rPr>
              <w:t>3,413</w:t>
            </w:r>
          </w:p>
        </w:tc>
        <w:tc>
          <w:tcPr>
            <w:tcW w:type="dxa" w:w="1440"/>
            <w:shd w:fill="FFDCE0" w:val="clear"/>
          </w:tcPr>
          <w:p>
            <w:r>
              <w:rPr>
                <w:sz w:val="17"/>
              </w:rPr>
              <w:t>3,602</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3,182</w:t>
            </w:r>
          </w:p>
        </w:tc>
        <w:tc>
          <w:tcPr>
            <w:tcW w:type="dxa" w:w="1440"/>
            <w:shd w:fill="FFDCE0" w:val="clear"/>
          </w:tcPr>
          <w:p>
            <w:r>
              <w:rPr>
                <w:b/>
                <w:sz w:val="17"/>
              </w:rPr>
              <w:t>3,391</w:t>
            </w:r>
          </w:p>
        </w:tc>
        <w:tc>
          <w:tcPr>
            <w:tcW w:type="dxa" w:w="1440"/>
            <w:shd w:fill="FFDCE0" w:val="clear"/>
          </w:tcPr>
          <w:p>
            <w:r>
              <w:rPr>
                <w:sz w:val="17"/>
              </w:rPr>
              <w:t>3,600</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3,142</w:t>
            </w:r>
          </w:p>
        </w:tc>
        <w:tc>
          <w:tcPr>
            <w:tcW w:type="dxa" w:w="1440"/>
            <w:shd w:fill="FFDCE0" w:val="clear"/>
          </w:tcPr>
          <w:p>
            <w:r>
              <w:rPr>
                <w:b/>
                <w:sz w:val="17"/>
              </w:rPr>
              <w:t>3,370</w:t>
            </w:r>
          </w:p>
        </w:tc>
        <w:tc>
          <w:tcPr>
            <w:tcW w:type="dxa" w:w="1440"/>
            <w:shd w:fill="FFDCE0" w:val="clear"/>
          </w:tcPr>
          <w:p>
            <w:r>
              <w:rPr>
                <w:sz w:val="17"/>
              </w:rPr>
              <w:t>3,597</w:t>
            </w:r>
          </w:p>
        </w:tc>
        <w:tc>
          <w:tcPr>
            <w:tcW w:type="dxa" w:w="1440"/>
            <w:shd w:fill="FFDCE0" w:val="clear"/>
          </w:tcPr>
          <w:p>
            <w:r>
              <w:rPr>
                <w:b/>
                <w:color w:val="C00000"/>
                <w:sz w:val="17"/>
              </w:rPr>
              <w:t>-3.7%</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3,105</w:t>
            </w:r>
          </w:p>
        </w:tc>
        <w:tc>
          <w:tcPr>
            <w:tcW w:type="dxa" w:w="1440"/>
            <w:shd w:fill="FFDCE0" w:val="clear"/>
          </w:tcPr>
          <w:p>
            <w:r>
              <w:rPr>
                <w:b/>
                <w:sz w:val="17"/>
              </w:rPr>
              <w:t>3,349</w:t>
            </w:r>
          </w:p>
        </w:tc>
        <w:tc>
          <w:tcPr>
            <w:tcW w:type="dxa" w:w="1440"/>
            <w:shd w:fill="FFDCE0" w:val="clear"/>
          </w:tcPr>
          <w:p>
            <w:r>
              <w:rPr>
                <w:sz w:val="17"/>
              </w:rPr>
              <w:t>3,593</w:t>
            </w:r>
          </w:p>
        </w:tc>
        <w:tc>
          <w:tcPr>
            <w:tcW w:type="dxa" w:w="1440"/>
            <w:shd w:fill="FFDCE0" w:val="clear"/>
          </w:tcPr>
          <w:p>
            <w:r>
              <w:rPr>
                <w:b/>
                <w:color w:val="C00000"/>
                <w:sz w:val="17"/>
              </w:rPr>
              <w:t>-4.3%</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3,069</w:t>
            </w:r>
          </w:p>
        </w:tc>
        <w:tc>
          <w:tcPr>
            <w:tcW w:type="dxa" w:w="1440"/>
            <w:shd w:fill="FFDCE0" w:val="clear"/>
          </w:tcPr>
          <w:p>
            <w:r>
              <w:rPr>
                <w:b/>
                <w:sz w:val="17"/>
              </w:rPr>
              <w:t>3,329</w:t>
            </w:r>
          </w:p>
        </w:tc>
        <w:tc>
          <w:tcPr>
            <w:tcW w:type="dxa" w:w="1440"/>
            <w:shd w:fill="FFDCE0" w:val="clear"/>
          </w:tcPr>
          <w:p>
            <w:r>
              <w:rPr>
                <w:sz w:val="17"/>
              </w:rPr>
              <w:t>3,588</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3,035</w:t>
            </w:r>
          </w:p>
        </w:tc>
        <w:tc>
          <w:tcPr>
            <w:tcW w:type="dxa" w:w="1440"/>
            <w:shd w:fill="FFDCE0" w:val="clear"/>
          </w:tcPr>
          <w:p>
            <w:r>
              <w:rPr>
                <w:b/>
                <w:sz w:val="17"/>
              </w:rPr>
              <w:t>3,309</w:t>
            </w:r>
          </w:p>
        </w:tc>
        <w:tc>
          <w:tcPr>
            <w:tcW w:type="dxa" w:w="1440"/>
            <w:shd w:fill="FFDCE0" w:val="clear"/>
          </w:tcPr>
          <w:p>
            <w:r>
              <w:rPr>
                <w:sz w:val="17"/>
              </w:rPr>
              <w:t>3,583</w:t>
            </w:r>
          </w:p>
        </w:tc>
        <w:tc>
          <w:tcPr>
            <w:tcW w:type="dxa" w:w="1440"/>
            <w:shd w:fill="FFDCE0" w:val="clear"/>
          </w:tcPr>
          <w:p>
            <w:r>
              <w:rPr>
                <w:b/>
                <w:color w:val="C00000"/>
                <w:sz w:val="17"/>
              </w:rPr>
              <w:t>-5.5%</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3,002</w:t>
            </w:r>
          </w:p>
        </w:tc>
        <w:tc>
          <w:tcPr>
            <w:tcW w:type="dxa" w:w="1440"/>
            <w:shd w:fill="FFDCE0" w:val="clear"/>
          </w:tcPr>
          <w:p>
            <w:r>
              <w:rPr>
                <w:b/>
                <w:sz w:val="17"/>
              </w:rPr>
              <w:t>3,289</w:t>
            </w:r>
          </w:p>
        </w:tc>
        <w:tc>
          <w:tcPr>
            <w:tcW w:type="dxa" w:w="1440"/>
            <w:shd w:fill="FFDCE0" w:val="clear"/>
          </w:tcPr>
          <w:p>
            <w:r>
              <w:rPr>
                <w:sz w:val="17"/>
              </w:rPr>
              <w:t>3,576</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20,72 Mds FCFA, CABC se positionne comme une valeur de taille intermédiaire sur la BRVM, loin des poids lourds comme SONATEL mais suffisamment liquide pour intéresser les investisseurs institutionnels régionaux. Le BPA de 243 FCFA/action confère au titre un PER de 14,4x, soit une prime notable par rapport à la moyenne du marché BRVM (8-12x), ce qui traduit une anticipation de croissance par le marché. Le P/B de 2,22x indique que le marché valorise l'entreprise à plus du double de sa valeur comptable, une prime de croissance accordée aux valeurs industrielles bénéficiant de la demande structurelle en infrastructures électriques. L'EV/EBITDA de 7,3x, dans la fourchette raisonnable de 5-10x, suggère que la valeur d'entreprise reste cohérente avec la capacité opérationnelle, bien que cette apparente modération contraste avec la cherté relative du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affiche une variation totale de -8,02%, matérialisant une tendance baissière de fond, bien que la dernière séance (J-1) enregistre un rebond marginal de +0,57% à 3 500 FCFA. Le range de trading s'étend de 3 350 FCFA (plus bas) à 4 500 FCFA (plus haut), soit une amplitude de 34%, révélant une forte dispersion des prix sur la période. La moyenne de 3 714 FCFA dépasse la médiane de 3 632 FCFA, confirmant une asymétrie positive (skewness de 1,103) où les journées sous la moyenne ont été plus fréquentes mais compensées par des pics haussiers ponctuels. L'écart-type de 269 FCFA avec un coefficient de variation de 7,2% indique une dispersion modérée autour de la moyenne, tandis que le kurtosis de 0,758 (mésokurtique) suggère une distribution proche de la normale, sans risque extrême de pics violents. La volatilité annualisée de 48,0% classe le titre dans la catégorie des valeurs très volatiles (&gt;30%), ce qui implique un risque de marché élevé et justifie une prime de rendement exigée par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(3 545,75 FCFA) et la MM50 (3 690,9 FCFA) encadrent le cours actuel (3 500 FCFA) par le haut, avec une MM20 inférieure à la MM50 — configuration baissière classique. Le cours évoluant sous ses deux moyennes, la pression vendeuse domine, justifiant la décision technique de **Vente**.</w:t>
      </w:r>
    </w:p>
    <w:p>
      <w:pPr>
        <w:spacing w:after="120" w:line="276" w:lineRule="auto"/>
      </w:pPr>
      <w:r>
        <w:t>**Bandes de Bollinger** : Le cours (3 500 FCFA) se situe dans la moitié inférieure de la bande, entre la borne inférieure (3 403,835 FCFA) et la borne supérieure (3 687,665 FCFA), sans franchissement des extrêmes. Cette position neutre, couplée à un rétrécissement des bandes, suggère une phase de consolidation avant un mouvement directionnel, d'où la décision **Neutre**.</w:t>
      </w:r>
    </w:p>
    <w:p>
      <w:pPr>
        <w:spacing w:after="120" w:line="276" w:lineRule="auto"/>
      </w:pPr>
      <w:r>
        <w:t>**MACD** : La valeur du MACD (-45,263) est supérieure à son signal (-50,607), formant un croisement haussier bien que les deux restent en territoire négatif. Ce momentum positif naissant, bien que fragile, justifie la décision d'**Achat** sur anticipation d'un retournement.</w:t>
      </w:r>
    </w:p>
    <w:p>
      <w:pPr>
        <w:spacing w:after="120" w:line="276" w:lineRule="auto"/>
      </w:pPr>
      <w:r>
        <w:t>**RSI** : À 25,862, le RSI se situe en zone de survente (&lt;30), signalant que le titre a été excessivement vendu à court terme. Cette configuration précède souvent un rebond technique, d'où la décision d'**Achat**.</w:t>
      </w:r>
    </w:p>
    <w:p>
      <w:pPr>
        <w:spacing w:after="120" w:line="276" w:lineRule="auto"/>
      </w:pPr>
      <w:r>
        <w:t>**Stochastique** : Le %K (14,286) est supérieur au %D (4,762), avec un croisement haussier en zone de survente extrême. Cette configuration est un signal d'achat classique, confirmant la décision d'**Achat**.</w:t>
      </w:r>
    </w:p>
    <w:p>
      <w:pPr>
        <w:spacing w:after="120" w:line="276" w:lineRule="auto"/>
      </w:pPr>
      <w:r>
        <w:t>**Conclusion technique** : Les indicateurs présentent une divergence notable : les moyennes mobiles restent baissières (Vente), tandis que le MACD, le RSI et le Stochastique génèrent des signaux d'achat en zone de survente. Cette configuration suggère un potentiel rebond technique à court terme, mais la tendance de fond demeure fragile tant que le cours n'aura pas reconquis la MM50 (3 690,9 FCFA). La prudence reste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CABC affiche un chiffre d'affaires de 21 263 M FCFA, en croissance de 11,18% sur un an, confirmant la dynamique commerciale. Le résultat net s'établit à 1 439 M FCFA, générant un ROE de 15,40% (excellent, &gt;15%) et un ROA de 6,10%. La marge nette de 6,77% reste modérée mais en amélioration. Le BFR de 7 186 M FCFA — bien que qualifié de « négatif = favorable » dans les données, ce qui semble contradictoire avec le montant positif affiché — mérite une vérification. Les délais clients (144,69 jours) et de stockage (152,12 jours) sont élevés, signalant un risque de trésorerie important. La trésorerie nette de 5 139 M FCFA offre une certaine marge de manœuvre, mais le flux opérationnel négatif (-819,66 M FCFA) et le Free Cash Flow négatif (-982,71 M FCFA) constituent des signaux d'alerte.</w:t>
      </w:r>
    </w:p>
    <w:p>
      <w:pPr>
        <w:spacing w:after="120" w:line="276" w:lineRule="auto"/>
      </w:pPr>
      <w:r>
        <w:t>**Estimations basées sur les rapports trimestriels** : Le rapport du 3ème trimestre 2025 (daté du 30/09/2025) indique un CA cumulé de 16 630 M FCFA (+13,7%) et un résultat net de 1 329,5 M FCFA (+26,0%), avec une marge nette de 8,0% — nettement supérieure à la marge annuelle de 6,77%. Cela suggère que le T4 2025 a été moins performant, probablement impacté par des charges exceptionnelles. Le rapport du 1er semestre 2025 (daté du 30/06/2025) faisait état d'un résultat net de 851,5 M FCFA (+55,3%) et d'une marge nette de 7,9%, confirmant la tendance. **On estime donc que l'exercice 2025, bien que solide sur le plan opérationnel, a été pénalisé par des éléments non récurrents au T4.**</w:t>
      </w:r>
    </w:p>
    <w:p>
      <w:pPr>
        <w:spacing w:after="120" w:line="276" w:lineRule="auto"/>
      </w:pPr>
      <w:r>
        <w:t>**Évolution pluriannuelle** : Le rapport annuel 2024 (daté du 31/12/2024) révèle un CA de 19 125 M FCFA (+7,7%) et un résultat net de 1 225 M FCFA (-14,3%), impacté par une provision de 490 M FCFA sur créance douteuse et une hausse de 94% de l'impôt sur les résultats. Le rapport 2023 (daté du 31/12/2023) affichait un résultat net de 1 430 M FCFA (+33%) et une trésorerie nette de 6 491 M FCFA (+74%). **La dégradation de 2024 s'explique par des éléments exceptionnels, mais la trésorerie a depuis fondu de 25% (5 139 M FCFA en 2025 vs 6 865 M FCFA en 2024).**</w:t>
      </w:r>
    </w:p>
    <w:p>
      <w:pPr>
        <w:spacing w:after="120" w:line="276" w:lineRule="auto"/>
      </w:pPr>
      <w:r>
        <w:t>**Recommandation fondamentale** : CABC présente des fondamentaux mitigés — croissance du CA et ROE solide, mais trésorerie en tension, flux opérationnels négatifs et délais clients/stocks élevés. Le rapport T1 2026 (daté du 31/03/2026) révèle une perte nette de 222 M FCFA (-205%) due à une maintenance planifiée et à l'inflation des cours des métaux (+23%), ce qui assombrit les perspectives à court terme. **La solidité financière est compromise par la dégradation de la trésorerie et les risques opérationnels.**</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 le PER de 14,4x et le P/B de 2,22x intègrent une prime de croissance que les fondamentaux ne justifient que partiellement, surtout au vu de la dégradation récente. Le comportement du cours (Partie 1) est préoccupant : tendance baissière (-8,02%), volatilité élevée (48%) et skewness positive (1,103) indiquant que les baisses sont plus fréquentes que les hausses. Les signaux techniques (Partie 2) sont divergents : les moyennes mobiles restent baissières, mais le RSI (25,86) et le Stochastique (14,29) en zone de survente extrême suggèrent un rebond technique imminent. Les fondamentaux (Partie 3) sont mitigés : croissance du CA et ROE solide (15,40%), mais trésorerie en baisse (-25%), flux opérationnel négatif et perte au T1 2026. Les prédictions IA (J+1 à J+10) anticipent une poursuite de la baisse vers 3 391 FCFA d'ici le 18/09/2026, contredisant les signaux d'achat techniques à court terme.</w:t>
      </w:r>
    </w:p>
    <w:p>
      <w:pPr>
        <w:spacing w:after="120" w:line="276" w:lineRule="auto"/>
      </w:pPr>
      <w:r>
        <w:t>**Recommandation finale : CONSERVER (avec vigilance)**</w:t>
      </w:r>
    </w:p>
    <w:p>
      <w:pPr>
        <w:spacing w:after="120" w:line="276" w:lineRule="auto"/>
      </w:pPr>
      <w:r>
        <w:t>Cette recommandation reflète la convergence partielle des signaux : la survente technique plaide pour un rebond à court terme, mais la dégradation fondamentale (trésorerie, perte T1 2026) et les prédictions baissières incitent à la prudence. **Niveau de confiance : Moyen** — les signaux sont contradictoires et le contexte macroéconomique (volatilité des métaux, élections) ajoute de l'incertitude. **Niveau de risque global : Élevé** — volatilité de 48%, trésorerie tendue et endettement croissant. **Horizon d'investissement optimal : Moyen terme (3-12 mois)** — le temps que la situation opérationnelle se normalise (fin de maintenance, stabilisation des cours des métaux) et que la trésorerie se reconstitue. Une entrée spéculative sur rebond technique est envisageable pour les investisseurs agressifs, avec un stop-loss strict sous 3 350 FCFA.</w:t>
      </w:r>
    </w:p>
    <w:p>
      <w:pPr>
        <w:spacing w:after="120" w:line="276" w:lineRule="auto"/>
      </w:pPr>
      <w:r>
        <w:t>---</w:t>
      </w:r>
    </w:p>
    <w:p>
      <w:pPr>
        <w:spacing w:after="120" w:line="276" w:lineRule="auto"/>
      </w:pPr>
      <w:r>
        <w:t>*Rapport généré le 14 septembre 2026 — Sources : BRVM, états financiers CABC 2023-2025, rapports trimestriels S1/T3 2025 et T1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1097.60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1,482 titres</w:t>
            </w:r>
          </w:p>
        </w:tc>
        <w:tc>
          <w:tcPr>
            <w:tcW w:type="dxa" w:w="2268"/>
            <w:shd w:fill="FFF2CC" w:val="clear"/>
          </w:tcPr>
          <w:p>
            <w:r>
              <w:rPr>
                <w:b/>
                <w:color w:val="503200"/>
                <w:sz w:val="16"/>
              </w:rPr>
              <w:t xml:space="preserve">Cours actuel : </w:t>
            </w:r>
            <w:r>
              <w:rPr>
                <w:color w:val="000000"/>
                <w:sz w:val="17"/>
              </w:rPr>
              <w:t>34,300 FCFA</w:t>
            </w:r>
          </w:p>
          <w:p>
            <w:r>
              <w:rPr>
                <w:b/>
                <w:color w:val="503200"/>
                <w:sz w:val="16"/>
              </w:rPr>
              <w:t xml:space="preserve">Var. 100 jours : </w:t>
            </w:r>
            <w:r>
              <w:rPr>
                <w:b/>
                <w:color w:val="007800"/>
                <w:sz w:val="17"/>
              </w:rPr>
              <w:t>+104.11%</w:t>
            </w:r>
          </w:p>
          <w:p>
            <w:r>
              <w:rPr>
                <w:b/>
                <w:color w:val="503200"/>
                <w:sz w:val="16"/>
              </w:rPr>
              <w:t xml:space="preserve">Plus haut 100j : </w:t>
            </w:r>
            <w:r>
              <w:rPr>
                <w:color w:val="000000"/>
                <w:sz w:val="17"/>
              </w:rPr>
              <w:t>34,300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21.28% (Élevée) — μ=24,411 FCFA, σ=5,196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β=1.0508 (Neutre (suit le marché)) — Cov=0.000037, Var(idx)=0.000035, ρ=0.233,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30,832</w:t>
            </w:r>
          </w:p>
        </w:tc>
        <w:tc>
          <w:tcPr>
            <w:tcW w:type="dxa" w:w="1440"/>
            <w:shd w:fill="FFDCE0" w:val="clear"/>
          </w:tcPr>
          <w:p>
            <w:r>
              <w:rPr>
                <w:b/>
                <w:sz w:val="17"/>
              </w:rPr>
              <w:t>31,728</w:t>
            </w:r>
          </w:p>
        </w:tc>
        <w:tc>
          <w:tcPr>
            <w:tcW w:type="dxa" w:w="1440"/>
            <w:shd w:fill="FFDCE0" w:val="clear"/>
          </w:tcPr>
          <w:p>
            <w:r>
              <w:rPr>
                <w:sz w:val="17"/>
              </w:rPr>
              <w:t>32,623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29,045</w:t>
            </w:r>
          </w:p>
        </w:tc>
        <w:tc>
          <w:tcPr>
            <w:tcW w:type="dxa" w:w="1440"/>
            <w:shd w:fill="FFDCE0" w:val="clear"/>
          </w:tcPr>
          <w:p>
            <w:r>
              <w:rPr>
                <w:b/>
                <w:sz w:val="17"/>
              </w:rPr>
              <w:t>30,252</w:t>
            </w:r>
          </w:p>
        </w:tc>
        <w:tc>
          <w:tcPr>
            <w:tcW w:type="dxa" w:w="1440"/>
            <w:shd w:fill="FFDCE0" w:val="clear"/>
          </w:tcPr>
          <w:p>
            <w:r>
              <w:rPr>
                <w:sz w:val="17"/>
              </w:rPr>
              <w:t>31,460</w:t>
            </w:r>
          </w:p>
        </w:tc>
        <w:tc>
          <w:tcPr>
            <w:tcW w:type="dxa" w:w="1440"/>
            <w:shd w:fill="FFDCE0" w:val="clear"/>
          </w:tcPr>
          <w:p>
            <w:r>
              <w:rPr>
                <w:b/>
                <w:color w:val="C00000"/>
                <w:sz w:val="17"/>
              </w:rPr>
              <w:t>-11.8%</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28,351</w:t>
            </w:r>
          </w:p>
        </w:tc>
        <w:tc>
          <w:tcPr>
            <w:tcW w:type="dxa" w:w="1440"/>
            <w:shd w:fill="FFDCE0" w:val="clear"/>
          </w:tcPr>
          <w:p>
            <w:r>
              <w:rPr>
                <w:b/>
                <w:sz w:val="17"/>
              </w:rPr>
              <w:t>29,808</w:t>
            </w:r>
          </w:p>
        </w:tc>
        <w:tc>
          <w:tcPr>
            <w:tcW w:type="dxa" w:w="1440"/>
            <w:shd w:fill="FFDCE0" w:val="clear"/>
          </w:tcPr>
          <w:p>
            <w:r>
              <w:rPr>
                <w:sz w:val="17"/>
              </w:rPr>
              <w:t>31,265</w:t>
            </w:r>
          </w:p>
        </w:tc>
        <w:tc>
          <w:tcPr>
            <w:tcW w:type="dxa" w:w="1440"/>
            <w:shd w:fill="FFDCE0" w:val="clear"/>
          </w:tcPr>
          <w:p>
            <w:r>
              <w:rPr>
                <w:b/>
                <w:color w:val="C00000"/>
                <w:sz w:val="17"/>
              </w:rPr>
              <w:t>-13.1%</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27,864</w:t>
            </w:r>
          </w:p>
        </w:tc>
        <w:tc>
          <w:tcPr>
            <w:tcW w:type="dxa" w:w="1440"/>
            <w:shd w:fill="FFDCE0" w:val="clear"/>
          </w:tcPr>
          <w:p>
            <w:r>
              <w:rPr>
                <w:b/>
                <w:sz w:val="17"/>
              </w:rPr>
              <w:t>29,531</w:t>
            </w:r>
          </w:p>
        </w:tc>
        <w:tc>
          <w:tcPr>
            <w:tcW w:type="dxa" w:w="1440"/>
            <w:shd w:fill="FFDCE0" w:val="clear"/>
          </w:tcPr>
          <w:p>
            <w:r>
              <w:rPr>
                <w:sz w:val="17"/>
              </w:rPr>
              <w:t>31,198</w:t>
            </w:r>
          </w:p>
        </w:tc>
        <w:tc>
          <w:tcPr>
            <w:tcW w:type="dxa" w:w="1440"/>
            <w:shd w:fill="FFDCE0" w:val="clear"/>
          </w:tcPr>
          <w:p>
            <w:r>
              <w:rPr>
                <w:b/>
                <w:color w:val="C00000"/>
                <w:sz w:val="17"/>
              </w:rPr>
              <w:t>-13.9%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27,433</w:t>
            </w:r>
          </w:p>
        </w:tc>
        <w:tc>
          <w:tcPr>
            <w:tcW w:type="dxa" w:w="1440"/>
            <w:shd w:fill="FFDCE0" w:val="clear"/>
          </w:tcPr>
          <w:p>
            <w:r>
              <w:rPr>
                <w:b/>
                <w:sz w:val="17"/>
              </w:rPr>
              <w:t>29,281</w:t>
            </w:r>
          </w:p>
        </w:tc>
        <w:tc>
          <w:tcPr>
            <w:tcW w:type="dxa" w:w="1440"/>
            <w:shd w:fill="FFDCE0" w:val="clear"/>
          </w:tcPr>
          <w:p>
            <w:r>
              <w:rPr>
                <w:sz w:val="17"/>
              </w:rPr>
              <w:t>31,129</w:t>
            </w:r>
          </w:p>
        </w:tc>
        <w:tc>
          <w:tcPr>
            <w:tcW w:type="dxa" w:w="1440"/>
            <w:shd w:fill="FFDCE0" w:val="clear"/>
          </w:tcPr>
          <w:p>
            <w:r>
              <w:rPr>
                <w:b/>
                <w:color w:val="C00000"/>
                <w:sz w:val="17"/>
              </w:rPr>
              <w:t>-14.6%</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27,063</w:t>
            </w:r>
          </w:p>
        </w:tc>
        <w:tc>
          <w:tcPr>
            <w:tcW w:type="dxa" w:w="1440"/>
            <w:shd w:fill="FFDCE0" w:val="clear"/>
          </w:tcPr>
          <w:p>
            <w:r>
              <w:rPr>
                <w:b/>
                <w:sz w:val="17"/>
              </w:rPr>
              <w:t>29,073</w:t>
            </w:r>
          </w:p>
        </w:tc>
        <w:tc>
          <w:tcPr>
            <w:tcW w:type="dxa" w:w="1440"/>
            <w:shd w:fill="FFDCE0" w:val="clear"/>
          </w:tcPr>
          <w:p>
            <w:r>
              <w:rPr>
                <w:sz w:val="17"/>
              </w:rPr>
              <w:t>31,083</w:t>
            </w:r>
          </w:p>
        </w:tc>
        <w:tc>
          <w:tcPr>
            <w:tcW w:type="dxa" w:w="1440"/>
            <w:shd w:fill="FFDCE0" w:val="clear"/>
          </w:tcPr>
          <w:p>
            <w:r>
              <w:rPr>
                <w:b/>
                <w:color w:val="C00000"/>
                <w:sz w:val="17"/>
              </w:rPr>
              <w:t>-15.2%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26,741</w:t>
            </w:r>
          </w:p>
        </w:tc>
        <w:tc>
          <w:tcPr>
            <w:tcW w:type="dxa" w:w="1440"/>
            <w:shd w:fill="FFDCE0" w:val="clear"/>
          </w:tcPr>
          <w:p>
            <w:r>
              <w:rPr>
                <w:b/>
                <w:sz w:val="17"/>
              </w:rPr>
              <w:t>28,899</w:t>
            </w:r>
          </w:p>
        </w:tc>
        <w:tc>
          <w:tcPr>
            <w:tcW w:type="dxa" w:w="1440"/>
            <w:shd w:fill="FFDCE0" w:val="clear"/>
          </w:tcPr>
          <w:p>
            <w:r>
              <w:rPr>
                <w:sz w:val="17"/>
              </w:rPr>
              <w:t>31,057</w:t>
            </w:r>
          </w:p>
        </w:tc>
        <w:tc>
          <w:tcPr>
            <w:tcW w:type="dxa" w:w="1440"/>
            <w:shd w:fill="FFDCE0" w:val="clear"/>
          </w:tcPr>
          <w:p>
            <w:r>
              <w:rPr>
                <w:b/>
                <w:color w:val="C00000"/>
                <w:sz w:val="17"/>
              </w:rPr>
              <w:t>-15.7%</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26,455</w:t>
            </w:r>
          </w:p>
        </w:tc>
        <w:tc>
          <w:tcPr>
            <w:tcW w:type="dxa" w:w="1440"/>
            <w:shd w:fill="FFDCE0" w:val="clear"/>
          </w:tcPr>
          <w:p>
            <w:r>
              <w:rPr>
                <w:b/>
                <w:sz w:val="17"/>
              </w:rPr>
              <w:t>28,750</w:t>
            </w:r>
          </w:p>
        </w:tc>
        <w:tc>
          <w:tcPr>
            <w:tcW w:type="dxa" w:w="1440"/>
            <w:shd w:fill="FFDCE0" w:val="clear"/>
          </w:tcPr>
          <w:p>
            <w:r>
              <w:rPr>
                <w:sz w:val="17"/>
              </w:rPr>
              <w:t>31,046</w:t>
            </w:r>
          </w:p>
        </w:tc>
        <w:tc>
          <w:tcPr>
            <w:tcW w:type="dxa" w:w="1440"/>
            <w:shd w:fill="FFDCE0" w:val="clear"/>
          </w:tcPr>
          <w:p>
            <w:r>
              <w:rPr>
                <w:b/>
                <w:color w:val="C00000"/>
                <w:sz w:val="17"/>
              </w:rPr>
              <w:t>-16.2%</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26,198</w:t>
            </w:r>
          </w:p>
        </w:tc>
        <w:tc>
          <w:tcPr>
            <w:tcW w:type="dxa" w:w="1440"/>
            <w:shd w:fill="FFDCE0" w:val="clear"/>
          </w:tcPr>
          <w:p>
            <w:r>
              <w:rPr>
                <w:b/>
                <w:sz w:val="17"/>
              </w:rPr>
              <w:t>28,621</w:t>
            </w:r>
          </w:p>
        </w:tc>
        <w:tc>
          <w:tcPr>
            <w:tcW w:type="dxa" w:w="1440"/>
            <w:shd w:fill="FFDCE0" w:val="clear"/>
          </w:tcPr>
          <w:p>
            <w:r>
              <w:rPr>
                <w:sz w:val="17"/>
              </w:rPr>
              <w:t>31,045</w:t>
            </w:r>
          </w:p>
        </w:tc>
        <w:tc>
          <w:tcPr>
            <w:tcW w:type="dxa" w:w="1440"/>
            <w:shd w:fill="FFDCE0" w:val="clear"/>
          </w:tcPr>
          <w:p>
            <w:r>
              <w:rPr>
                <w:b/>
                <w:color w:val="C00000"/>
                <w:sz w:val="17"/>
              </w:rPr>
              <w:t>-16.6%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25,963</w:t>
            </w:r>
          </w:p>
        </w:tc>
        <w:tc>
          <w:tcPr>
            <w:tcW w:type="dxa" w:w="1440"/>
            <w:shd w:fill="FFDCE0" w:val="clear"/>
          </w:tcPr>
          <w:p>
            <w:r>
              <w:rPr>
                <w:b/>
                <w:sz w:val="17"/>
              </w:rPr>
              <w:t>28,507</w:t>
            </w:r>
          </w:p>
        </w:tc>
        <w:tc>
          <w:tcPr>
            <w:tcW w:type="dxa" w:w="1440"/>
            <w:shd w:fill="FFDCE0" w:val="clear"/>
          </w:tcPr>
          <w:p>
            <w:r>
              <w:rPr>
                <w:sz w:val="17"/>
              </w:rPr>
              <w:t>31,052</w:t>
            </w:r>
          </w:p>
        </w:tc>
        <w:tc>
          <w:tcPr>
            <w:tcW w:type="dxa" w:w="1440"/>
            <w:shd w:fill="FFDCE0" w:val="clear"/>
          </w:tcPr>
          <w:p>
            <w:r>
              <w:rPr>
                <w:b/>
                <w:color w:val="C00000"/>
                <w:sz w:val="17"/>
              </w:rPr>
              <w:t>-16.9%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**Bourse Régionale des Valeurs Mobilières (BRVM) — Secteur Bancaire**</w:t>
        <w:br/>
        <w:t>*Date d'analyse : Avril 2026*</w:t>
      </w:r>
    </w:p>
    <w:p>
      <w:pPr>
        <w:spacing w:after="120" w:line="276" w:lineRule="auto"/>
      </w:pPr>
      <w:r>
        <w:t>---</w:t>
      </w:r>
    </w:p>
    <w:p>
      <w:pPr>
        <w:spacing w:after="120" w:line="276" w:lineRule="auto"/>
      </w:pPr>
      <w:r>
        <w:t>## PARTIE 0 : INDICATEURS DE VALORISATION BOURSIÈRE</w:t>
      </w:r>
    </w:p>
    <w:p>
      <w:pPr>
        <w:spacing w:after="120" w:line="276" w:lineRule="auto"/>
      </w:pPr>
      <w:r>
        <w:t>Coris Bank International affiche une capitalisation boursière de **1 097,60 milliards FCFA**, ce qui en fait l'une des toutes premières capitalisations de la cote BRVM, confirmant son statut de valeur phare du compartiment bancaire régional. Avec un **BPA de 2 047 FCFA/action**, chaque titre génère un bénéfice unitaire élevé, reflet de la forte rentabilité de l'établissement. Le **PER de 16,8x** se situe nettement au-dessus de la moyenne du marché BRVM (généralement comprise entre 8 et 12x), ce qui traduit une **prime de valorisation** consentie par les investisseurs en raison de la qualité de la croissance et du leadership de la banque — le titre n'est donc pas « bon marché » au sens strict, mais la prime se justifie par les fondamentaux. L'**EV/EBITDA de 12,4x** (fourchette 10-15x) confirme cette valorisation élevée, intégrant la valeur totale de l'entreprise rapportée à sa capacité opérationnelle. Le ratio P/B n'étant pas fourni dans les données disponibles, il n'est pas commenté ici.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**performance spectaculaire de +104,11%**, avec une dernière séance en hausse de **+2,08%**, portant le cours à **34 300 FCFA**. Le range de trading est particulièrement large, le plus bas ayant été touché à **15 600 FCFA** et le plus haut — égal au cours actuel — à **34 300 FCFA**, ce qui signifie que le titre évolue actuellement sur ses sommets absolus de la période, une configuration typiquement haussière. La tendance générale est donc **franchement haussière**, soutenue par un volume moyen quotidien de 1 482 titres. Les statistiques descriptives révèlent une **moyenne (24 411 FCFA) légèrement supérieure à la médiane (23 955 FCFA)**, avec un mode à 22 000 FCFA : l'écart faible entre moyenne et médiane indique une distribution quasi symétrique, cohérente avec le **skewness de -0,046** (distribution symétrique). L'**écart-type de 5 222 FCFA (CV = 21,4%)** traduit une dispersion modérée du cours autour de sa moyenne, tandis que le **kurtosis de -1,082 (platykurtique)** signale une distribution aplatie avec un **faible risque de pics extrêmes** — un élément rassurant pour la stabilité. La **volatilité annualisée de 42,0%** classe le titre dans la catégorie **élevée (&gt;30%)**, ce qui est cohérent avec la forte appréciation récente et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**30 870,5 FCFA** et la MM50 à **28 983,4 FCFA**, toutes deux nettement inférieures au cours actuel de 34 300 FCFA. Le cours évolue donc au-dessus de ses deux moyennes, avec une MM20 elle-même supérieure à la MM50, configuration de **croisement haussier (golden cross)** confirmant la dynamique positive. La décision technique est logiquement à l'**Achat**.</w:t>
      </w:r>
    </w:p>
    <w:p>
      <w:pPr>
        <w:spacing w:after="120" w:line="276" w:lineRule="auto"/>
      </w:pPr>
      <w:r>
        <w:t>**Bandes de Bollinger :** La borne supérieure se situe à **35 189,67 FCFA** et la borne inférieure à **26 551,33 FCFA**, encadrant un cours actuel de 34 300 FCFA qui évolue **proche de la bande haute** sans l'avoir franchie. Cette position signale une pression acheteuse soutenue mais un potentiel de correction à court terme si le cours venait à buter sur la borne supérieure. La décision est **Neutre**, traduisant l'absence de signal directionnel clair à ce stade.</w:t>
      </w:r>
    </w:p>
    <w:p>
      <w:pPr>
        <w:spacing w:after="120" w:line="276" w:lineRule="auto"/>
      </w:pPr>
      <w:r>
        <w:t>**MACD :** Le MACD affiche une valeur de **1 590,36** contre un signal à **1 318,121**, soit une **divergence positive de +272 points**. Le MACD évolue au-dessus de sa ligne de signal, confirmant un **momentum haussier intact** et une accélération de la tendance. La décision est à l'**Achat**.</w:t>
      </w:r>
    </w:p>
    <w:p>
      <w:pPr>
        <w:spacing w:after="120" w:line="276" w:lineRule="auto"/>
      </w:pPr>
      <w:r>
        <w:t>**RSI :** Le RSI s'élève à **79,861**, largement au-dessus du seuil de surachat de 70. Le titre est donc en **zone de surachat marquée**, ce qui suggère un essoufflement possible de la dynamique acheteuse et un risque de correction technique. La décision est à la **Vente** (prise de profit).</w:t>
      </w:r>
    </w:p>
    <w:p>
      <w:pPr>
        <w:spacing w:after="120" w:line="276" w:lineRule="auto"/>
      </w:pPr>
      <w:r>
        <w:t>**Stochastique :** Le %K et le %D sont tous deux à **100,0**, soit le niveau maximal de la fourchette. Cette configuration extrême indique que le cours clôture systématiquement près de ses plus hauts récents, signe d'une **sur-extension haussière** pouvant précéder un retournement. La décision est à la **Vente**.</w:t>
      </w:r>
    </w:p>
    <w:p>
      <w:pPr>
        <w:spacing w:after="120" w:line="276" w:lineRule="auto"/>
      </w:pPr>
      <w:r>
        <w:t>**Conclusion technique :** Les indicateurs de tendance (MM, MACD) restent **haussiers** et confirment la solidité du mouvement, mais les oscillateurs (RSI à 79,9 et Stochastique à 100) sont en **zone de surachat extrême** et émettent des signaux de vente. Cette **divergence entre tendance et momentum** suggère que le titre, bien qu'inscrit dans une dynamique haussière de fond, approche d'une zone de consolidation ou de correction à court terme. La prudence est de mise pour les nouveaux entrants.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 réalisé un **Produit Net Bancaire (PNB) de 138,986 milliards FCFA**, en croissance de **+6,11%**, pour un **résultat net de 65,495 milliards FCFA**, soit une **marge nette exceptionnelle de 47,12%**. Le **ROA s'établit à 2,18%** et la **rotation des actifs à 4,64%**, des niveaux solides pour une banque. Le **coefficient d'exploitation de 36,39%** est **excellent** (largement inférieur au seuil de 60% et même de 50%), témoignant d'une efficacité opérationnelle remarquable. Le bilan affiche un **total actif de 2 997,779 milliards FCFA**, des **dépôts clientèle de 2 015,284 milliards FCFA** et des **créances clientèle de 1 326,977 milliards FCFA**, soit un **ratio de transformation (crédits/dépôts) de 65,8%**, révélant une marge de progression dans l'emploi des ressources collectées. Le **coût du risque** ressort à 16,5 milliards FCFA, en **amélioration significative de 59,3%** par rapport à 2024, signe d'un assainissement réussi du portefeuille.</w:t>
      </w:r>
    </w:p>
    <w:p>
      <w:pPr>
        <w:spacing w:after="120" w:line="276" w:lineRule="auto"/>
      </w:pPr>
      <w:r>
        <w:t>**Évolution temporelle :** L'exercice 2024 avait été difficile (résultat net de 47,9 Mds FCFA, en baisse de -25,4% sous l'effet d'une explosion du coût du risque de +72,5%), mais **2025 marque un net redressement avec un résultat net en hausse de +36,6%**. Les rapports trimestriels confirment cette dynamique : au **T3 2025 (rapport du 30/09/2025)**, le PNB atteint 101,3 Mds FCFA (+9,65%) et le résultat net 52,9 Mds FCFA (+6,25%) ; au **S1 2025 (rapport du 30/06/2025)**, le PNB progressait de +8,75% à 65,1 Mds FCFA. Plus récemment, le **rapport T1 2026** publié en 2026 révèle une **accélération spectaculaire** : PNB de 36,8 Mds FCFA (**+28,5%**), résultat net de 21,5 Mds FCFA (**+22,2%**), dépôts clientèle bondissant de **+37,9% à 2 365,1 Mds FCFA** et marge nette de 58,4%. **Sur cette base, on estime que l'exercice 2026 devrait enregistrer une nouvelle année de forte croissance**, avec un résultat net potentiellement supérieur à 75-80 Mds FCFA si la dynamique se maintient. La notation **AA/AI avec perspective stable** (Bloomfield) et le renforcement de la gouvernance (administrateurs indépendants) confortent la solidité fondamentale. **Recommandation fondamentale : solide, avec des perspectives favorables malgré un environnement régional incertain.**</w:t>
      </w:r>
    </w:p>
    <w:p>
      <w:pPr>
        <w:spacing w:after="120" w:line="276" w:lineRule="auto"/>
      </w:pPr>
      <w:r>
        <w:t>---</w:t>
      </w:r>
    </w:p>
    <w:p>
      <w:pPr>
        <w:spacing w:after="120" w:line="276" w:lineRule="auto"/>
      </w:pPr>
      <w:r>
        <w:t>## PARTIE 4 : CONCLUSION D'INVESTISSEMENT</w:t>
      </w:r>
    </w:p>
    <w:p>
      <w:pPr>
        <w:spacing w:after="120" w:line="276" w:lineRule="auto"/>
      </w:pPr>
      <w:r>
        <w:t>La **valorisation (Partie 0)** affiche un PER de 16,8x et un EV/EBITDA de 12,4x, soit une **prime certaine** par rapport à la moyenne BRVM, mais justifiée par la qualité de la croissance et le leadership de la banque — le titre n'est donc ni sous-évalué, ni excessivement cher au regard de ses fondamentaux. Le **comportement du cours (Partie 1)** est exceptionnel (+104,11% sur 100 jours) mais s'accompagne d'une **volatilité élevée de 42%** et d'une position sur les plus hauts absolus, avec un kurtosis platykurtique rassurant (faible risque de pics) et une distribution symétrique. Les **signaux techniques (Partie 2)** sont **mitigés** : les tendances (MM, MACD) restent haussières, mais le RSI (79,9) et le Stochastique (100) sont en **surachat extrême**, annonçant une probable consolidation à court terme. Les **fondamentaux (Partie 3)** sont **excellents** : coefficient d'exploitation de 36,4%, marge nette de 47,1%, coût du risque en baisse de 59,3%, et surtout un **T1 2026 en accélération (+28,5% de PNB, +22,2% de résultat net)** qui valide la trajectoire de croissance. Les **prédictions IA (J+1 à J+10)** anticipent en revanche une **correction baissière** (de 31 728 FCFA à 29 281 FCFA, soit -7,7%), ce qui **contredit partiellement** les signaux haussiers de tendance mais **confirme** les alertes de surachat des oscillateurs. **Synthèse : convergence entre technique (surachat) et prédiction IA (correction) sur le court terme, mais divergence avec les fondamentaux (excellents) et la tendance de fond (haussière).** En conséquence, la recommandation finale est **CONSERVER** pour les détenteurs actuels (prise de profit partielle envisageable), et **ATTENDRE UN REPLI** vers la zone 29 000-30 000 FCFA (MM20/MM50) pour les nouveaux entrants. Le **niveau de confiance est Moyen** (divergence court terme/long terme), le **risque global est Élevé** (volatilité 42% + surachat), et l'**horizon optimal est le moyen terme (3-12 mois)**, le temps que la correction technique s'achève et que la croissance fondamentale du T1 2026 se matérialise dans les résultats annuels.</w:t>
      </w:r>
    </w:p>
    <w:p>
      <w:pPr>
        <w:spacing w:after="120" w:line="276" w:lineRule="auto"/>
      </w:pPr>
      <w:r>
        <w:t>---</w:t>
      </w:r>
    </w:p>
    <w:p>
      <w:pPr>
        <w:spacing w:after="120" w:line="276" w:lineRule="auto"/>
      </w:pPr>
      <w:r>
        <w:t>*⚠️ Avertissement : Ce rapport est fourni à titre informatif et ne constitue pas un conseil en investissement. Les investisseurs doivent effectuer leurs propres diligences avant toute décision.*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309.24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3,670 titres</w:t>
            </w:r>
          </w:p>
        </w:tc>
        <w:tc>
          <w:tcPr>
            <w:tcW w:type="dxa" w:w="2268"/>
            <w:shd w:fill="FFF2CC" w:val="clear"/>
          </w:tcPr>
          <w:p>
            <w:r>
              <w:rPr>
                <w:b/>
                <w:color w:val="503200"/>
                <w:sz w:val="16"/>
              </w:rPr>
              <w:t xml:space="preserve">Cours actuel : </w:t>
            </w:r>
            <w:r>
              <w:rPr>
                <w:color w:val="000000"/>
                <w:sz w:val="17"/>
              </w:rPr>
              <w:t>1,705 FCFA</w:t>
            </w:r>
          </w:p>
          <w:p>
            <w:r>
              <w:rPr>
                <w:b/>
                <w:color w:val="503200"/>
                <w:sz w:val="16"/>
              </w:rPr>
              <w:t xml:space="preserve">Var. 100 jours : </w:t>
            </w:r>
            <w:r>
              <w:rPr>
                <w:b/>
                <w:color w:val="007800"/>
                <w:sz w:val="17"/>
              </w:rPr>
              <w:t>+10.36%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μ=1,619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β=1.0868 (Neutre (suit le marché)) — Cov=0.000038, Var(idx)=0.000035, ρ=0.212,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σ_j=3.00%/j (Stable) — Vol. annualisée≈47.6%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1,648</w:t>
            </w:r>
          </w:p>
        </w:tc>
        <w:tc>
          <w:tcPr>
            <w:tcW w:type="dxa" w:w="1440"/>
            <w:shd w:fill="FAFAFA" w:val="clear"/>
          </w:tcPr>
          <w:p>
            <w:r>
              <w:rPr>
                <w:b/>
                <w:sz w:val="17"/>
              </w:rPr>
              <w:t>1,706</w:t>
            </w:r>
          </w:p>
        </w:tc>
        <w:tc>
          <w:tcPr>
            <w:tcW w:type="dxa" w:w="1440"/>
            <w:shd w:fill="FAFAFA" w:val="clear"/>
          </w:tcPr>
          <w:p>
            <w:r>
              <w:rPr>
                <w:sz w:val="17"/>
              </w:rPr>
              <w:t>1,764</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1,627</w:t>
            </w:r>
          </w:p>
        </w:tc>
        <w:tc>
          <w:tcPr>
            <w:tcW w:type="dxa" w:w="1440"/>
            <w:shd w:fill="FAFAFA" w:val="clear"/>
          </w:tcPr>
          <w:p>
            <w:r>
              <w:rPr>
                <w:b/>
                <w:sz w:val="17"/>
              </w:rPr>
              <w:t>1,709</w:t>
            </w:r>
          </w:p>
        </w:tc>
        <w:tc>
          <w:tcPr>
            <w:tcW w:type="dxa" w:w="1440"/>
            <w:shd w:fill="FAFAFA" w:val="clear"/>
          </w:tcPr>
          <w:p>
            <w:r>
              <w:rPr>
                <w:sz w:val="17"/>
              </w:rPr>
              <w:t>1,791</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1,611</w:t>
            </w:r>
          </w:p>
        </w:tc>
        <w:tc>
          <w:tcPr>
            <w:tcW w:type="dxa" w:w="1440"/>
            <w:shd w:fill="FAFAFA" w:val="clear"/>
          </w:tcPr>
          <w:p>
            <w:r>
              <w:rPr>
                <w:b/>
                <w:sz w:val="17"/>
              </w:rPr>
              <w:t>1,712</w:t>
            </w:r>
          </w:p>
        </w:tc>
        <w:tc>
          <w:tcPr>
            <w:tcW w:type="dxa" w:w="1440"/>
            <w:shd w:fill="FAFAFA" w:val="clear"/>
          </w:tcPr>
          <w:p>
            <w:r>
              <w:rPr>
                <w:sz w:val="17"/>
              </w:rPr>
              <w:t>1,812</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1,598</w:t>
            </w:r>
          </w:p>
        </w:tc>
        <w:tc>
          <w:tcPr>
            <w:tcW w:type="dxa" w:w="1440"/>
            <w:shd w:fill="FAFAFA" w:val="clear"/>
          </w:tcPr>
          <w:p>
            <w:r>
              <w:rPr>
                <w:b/>
                <w:sz w:val="17"/>
              </w:rPr>
              <w:t>1,715</w:t>
            </w:r>
          </w:p>
        </w:tc>
        <w:tc>
          <w:tcPr>
            <w:tcW w:type="dxa" w:w="1440"/>
            <w:shd w:fill="FAFAFA" w:val="clear"/>
          </w:tcPr>
          <w:p>
            <w:r>
              <w:rPr>
                <w:sz w:val="17"/>
              </w:rPr>
              <w:t>1,831</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1,587</w:t>
            </w:r>
          </w:p>
        </w:tc>
        <w:tc>
          <w:tcPr>
            <w:tcW w:type="dxa" w:w="1440"/>
            <w:shd w:fill="FAFAFA" w:val="clear"/>
          </w:tcPr>
          <w:p>
            <w:r>
              <w:rPr>
                <w:b/>
                <w:sz w:val="17"/>
              </w:rPr>
              <w:t>1,717</w:t>
            </w:r>
          </w:p>
        </w:tc>
        <w:tc>
          <w:tcPr>
            <w:tcW w:type="dxa" w:w="1440"/>
            <w:shd w:fill="FAFAFA" w:val="clear"/>
          </w:tcPr>
          <w:p>
            <w:r>
              <w:rPr>
                <w:sz w:val="17"/>
              </w:rPr>
              <w:t>1,848</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1,577</w:t>
            </w:r>
          </w:p>
        </w:tc>
        <w:tc>
          <w:tcPr>
            <w:tcW w:type="dxa" w:w="1440"/>
            <w:shd w:fill="FAFAFA" w:val="clear"/>
          </w:tcPr>
          <w:p>
            <w:r>
              <w:rPr>
                <w:b/>
                <w:sz w:val="17"/>
              </w:rPr>
              <w:t>1,720</w:t>
            </w:r>
          </w:p>
        </w:tc>
        <w:tc>
          <w:tcPr>
            <w:tcW w:type="dxa" w:w="1440"/>
            <w:shd w:fill="FAFAFA" w:val="clear"/>
          </w:tcPr>
          <w:p>
            <w:r>
              <w:rPr>
                <w:sz w:val="17"/>
              </w:rPr>
              <w:t>1,863</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1,568</w:t>
            </w:r>
          </w:p>
        </w:tc>
        <w:tc>
          <w:tcPr>
            <w:tcW w:type="dxa" w:w="1440"/>
            <w:shd w:fill="FAFAFA" w:val="clear"/>
          </w:tcPr>
          <w:p>
            <w:r>
              <w:rPr>
                <w:b/>
                <w:sz w:val="17"/>
              </w:rPr>
              <w:t>1,723</w:t>
            </w:r>
          </w:p>
        </w:tc>
        <w:tc>
          <w:tcPr>
            <w:tcW w:type="dxa" w:w="1440"/>
            <w:shd w:fill="FAFAFA" w:val="clear"/>
          </w:tcPr>
          <w:p>
            <w:r>
              <w:rPr>
                <w:sz w:val="17"/>
              </w:rPr>
              <w:t>1,877</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1,560</w:t>
            </w:r>
          </w:p>
        </w:tc>
        <w:tc>
          <w:tcPr>
            <w:tcW w:type="dxa" w:w="1440"/>
            <w:shd w:fill="FAFAFA" w:val="clear"/>
          </w:tcPr>
          <w:p>
            <w:r>
              <w:rPr>
                <w:b/>
                <w:sz w:val="17"/>
              </w:rPr>
              <w:t>1,726</w:t>
            </w:r>
          </w:p>
        </w:tc>
        <w:tc>
          <w:tcPr>
            <w:tcW w:type="dxa" w:w="1440"/>
            <w:shd w:fill="FAFAFA" w:val="clear"/>
          </w:tcPr>
          <w:p>
            <w:r>
              <w:rPr>
                <w:sz w:val="17"/>
              </w:rPr>
              <w:t>1,891</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1,552</w:t>
            </w:r>
          </w:p>
        </w:tc>
        <w:tc>
          <w:tcPr>
            <w:tcW w:type="dxa" w:w="1440"/>
            <w:shd w:fill="FAFAFA" w:val="clear"/>
          </w:tcPr>
          <w:p>
            <w:r>
              <w:rPr>
                <w:b/>
                <w:sz w:val="17"/>
              </w:rPr>
              <w:t>1,728</w:t>
            </w:r>
          </w:p>
        </w:tc>
        <w:tc>
          <w:tcPr>
            <w:tcW w:type="dxa" w:w="1440"/>
            <w:shd w:fill="FAFAFA" w:val="clear"/>
          </w:tcPr>
          <w:p>
            <w:r>
              <w:rPr>
                <w:sz w:val="17"/>
              </w:rPr>
              <w:t>1,904</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1,545</w:t>
            </w:r>
          </w:p>
        </w:tc>
        <w:tc>
          <w:tcPr>
            <w:tcW w:type="dxa" w:w="1440"/>
            <w:shd w:fill="FAFAFA" w:val="clear"/>
          </w:tcPr>
          <w:p>
            <w:r>
              <w:rPr>
                <w:b/>
                <w:sz w:val="17"/>
              </w:rPr>
              <w:t>1,731</w:t>
            </w:r>
          </w:p>
        </w:tc>
        <w:tc>
          <w:tcPr>
            <w:tcW w:type="dxa" w:w="1440"/>
            <w:shd w:fill="FAFAFA" w:val="clear"/>
          </w:tcPr>
          <w:p>
            <w:r>
              <w:rPr>
                <w:sz w:val="17"/>
              </w:rPr>
              <w:t>1,916</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*BRVM — Bourse Régionale des Valeurs Mobilières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309,24 milliards FCFA, CFAC figure parmi les valeurs les plus importantes de la cote BRVM, ce qui témoigne de sa stature de leader du secteur automobile ivoirien et de sa liquidité relative sur le marché. Le BPA de 26 FCFA/action signifie que chaque titre génère 26 FCFA de bénéfice net, un niveau modeste au regard du cours actuel de 1 705 FCFA. Le PER de 65,9x traduit une valorisation très exigeante : les investisseurs paient près de 66 fois les bénéfices annuels, soit un multiple très supérieur à la moyenne BRVM (8-12x), ce qui intègre déjà une forte anticipation de croissance future et laisse peu de marge d'erreur. Le P/B de 15,90x indique que le marché valorise la société à près de 16 fois sa valeur comptable, une prime considérable qui reflète la qualité de la franchise (leadership, marques Toyota/Suzuki) mais rend le titre vulnérable à toute déception. Enfin, l'EV/EBITDA de 33,5x, très supérieur au seuil de 15x, confirme que la valeur d'entreprise intègre une prime de rareté et de qualité, mais signale une valorisation tendue par rapport à la capacité opérationnelle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+10,36%, avec une dernière séance en hausse de +0,59%, portant le cours à 1 705 FCFA. Le range de trading est large, entre un plus bas de 1 325 FCFA et un plus haut de 1 825 FCFA, soit une amplitude de 500 FCFA (37,7%) qui traduit une réelle nervosité du marché. La tendance générale est haussière mais ponctuée de corrections, le cours actuel se situant à mi-chemin entre les extrêmes, ce qui suggère une phase de consolidation après le pic. Les statistiques descriptives révèlent une moyenne de 1 619 FCFA légèrement supérieure à la médiane de 1 610 FCFA, avec un mode à 1 600 FCFA : l'écart faible entre ces trois mesures indique une distribution quasi symétrique, confirmée par un skewness de -0,482 (léger étirement vers les valeurs basses). L'écart-type de 109 FCFA et le coefficient de variation de 6,7% traduisent une dispersion modérée autour de la moyenne, tandis que le kurtosis de -0,345 (mésokurtique) indique une distribution proche de la normale, sans risque de pics extrêmes marqué. La volatilité annualisée de 47,6% classe le titre dans la catégorie des valeurs à volatilité élevée (&gt;30%), ce qui implique un risque de marché significatif et justifie une approche prudente en termes de taille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(1 710,5 FCFA) et la MM50 (1 675,8 FCFA) se situent toutes deux sous le cours actuel (1 705 FCFA pour la MM20, cours à 1 705 FCFA), avec la MM20 légèrement au-dessus de la MM50, configurant un croisement haussier classique. Le cours évolue au-dessus de la MM50 mais pratiquement au contact de la MM20, ce qui traduit une dynamique positive mais essoufflée à court terme. La décision « Achat » est justifiée par cette structure de moyennes ascendantes, bien que la proximité du cours avec la MM20 appelle à la prudence.</w:t>
      </w:r>
    </w:p>
    <w:p>
      <w:pPr>
        <w:spacing w:after="120" w:line="276" w:lineRule="auto"/>
      </w:pPr>
      <w:r>
        <w:t>**Bandes de Bollinger** : Les bornes supérieure (1 802,2 FCFA) et inférieure (1 618,8 FCFA) encadrent un cours de 1 705 FCFA, situé dans la moitié basse du canal, à environ 40% de la largeur totale. Cette position médiane-basse indique l'absence de pression acheteuse ou vendeuse dominante, avec une volatilité contenue dans les bandes. La décision « Neutre » reflète cet équilibre : le titre n'est ni en zone de surachat (borne haute) ni en zone de survente (borne basse), et aucun signal directionnel fort ne se dégage.</w:t>
      </w:r>
    </w:p>
    <w:p>
      <w:pPr>
        <w:spacing w:after="120" w:line="276" w:lineRule="auto"/>
      </w:pPr>
      <w:r>
        <w:t>**MACD** : Le MACD (11,083) est inférieur à son signal (16,459), configuration baissière qui indique un momentum négatif à court terme. L'écart de -5,376 points entre les deux lignes suggère que la dynamique haussière s'essouffle, voire s'inverse, malgré la tendance de fond positive. La décision « Vente » est cohérente avec cette divergence baissière, qui constitue un signal d'alerte pour les positions court terme.</w:t>
      </w:r>
    </w:p>
    <w:p>
      <w:pPr>
        <w:spacing w:after="120" w:line="276" w:lineRule="auto"/>
      </w:pPr>
      <w:r>
        <w:t>**RSI** : À 43,396, le RSI se situe en zone neutre (30-70), sans signal de surachat (&gt;70) ni de survente (&lt;30). Cette valeur légèrement sous la barre des 50 indique une dynamique acheteuse faible mais non négative, le titre n'étant pas encore en territoire de faiblesse marquée. La décision « Neutre » est appropriée : le RSI ne fournit pas de signal directionnel fort, mais sa position médiane-basse suggère une certaine réserve des acheteurs.</w:t>
      </w:r>
    </w:p>
    <w:p>
      <w:pPr>
        <w:spacing w:after="120" w:line="276" w:lineRule="auto"/>
      </w:pPr>
      <w:r>
        <w:t>**Stochastique** : Le %K (29,412) est supérieur au %D (19,608), avec un croisement haussier en zone de survente (les deux lignes étant sous 20 pour le %D). Cette configuration est techniquement positive à court terme, car elle signale un possible rebond après une phase de faiblesse. Toutefois, la décision « Neutre » est maintenue car le signal reste fragile et doit être confirmé par une remontée du %K au-dessus de 50.</w:t>
      </w:r>
    </w:p>
    <w:p>
      <w:pPr>
        <w:spacing w:after="120" w:line="276" w:lineRule="auto"/>
      </w:pPr>
      <w:r>
        <w:t>**Conclusion technique** : Les indicateurs techniques présentent un tableau mitigé, avec une divergence notable entre la tendance de fond haussière (moyennes mobiles) et les signaux de momentum baissiers (MACD). Le RSI et le stochastique en zone neutre-basse n'apportent pas de confirmation directionnelle claire, tandis que les bandes de Bollinger traduisent un équilibre précaire. La convergence des signaux reste faible, ce qui plaide pour une posture attentiste à court terme, en attendant une clarification du MACD ou une cassure des bandes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2024 de CFAC (exercice clos le 31 décembre 2024) révèlent un chiffre d'affaires de 158,313 milliards FCFA, en baisse de -12,1% par rapport à 2023 (180,162 milliards FCFA), et un résultat net de 4,693 milliards FCFA, en recul de -26,7% (contre 6,399 milliards en 2023). Le ROE s'établit à 24,13%, un niveau excellent (&gt;15%) qui témoigne d'une forte rentabilité des fonds propres, tandis que le ROA de 5,52% reste correct mais reflète la lourdeur du bilan (85,013 milliards FCFA d'actif total). La marge nette de 2,96% est faible, conséquence d'une marge brute de 5,92% et d'une marge opérationnelle de 4,96%, dans un secteur automobile à faibles marges. L'analyse du BFR est favorable : il est négatif à -3,482 milliards FCFA, ce qui signifie que les fournisseurs (délai de 81,75 jours) financent une partie du cycle d'exploitation, compensant le délai client de 36,64 jours et la durée de stockage de 88,35 jours. La structure financière est correcte avec une autonomie financière de 22,88% (légèrement sous le seuil de 30%) et une capacité de remboursement de 0,72 an (dette financière/CAF), très saine. Les rapports trimestriels 2025 confirment un net redressement : le T1 2025 (rapport du 31 mars 2025) affiche un CA de 46,161 milliards FCFA (+14,5%) et un résultat net de 3,836 milliards FCFA (+279,7%) ; le S1 2025 (rapport du 30 juin 2025) montre un CA de 91,182 milliards FCFA (+18,4%) et un résultat net de 5,420 milliards FCFA (+152,7%) ; le T3 2025 (rapport du 30 septembre 2025) enregistre un CA de 43,580 milliards FCFA (+18,3%) et un résultat net de 1,489 milliard FCFA (+38,1%). Sur la base de ces tendances, on peut estimer que l'exercice 2025 devrait clôturer avec un CA proche de 180-185 milliards FCFA et un résultat net de l'ordre de 10-11 milliards FCFA, marquant un retour à des niveaux de rentabilité supérieurs à 2023. Le rapport annuel 2024 (daté du 31 décembre 2024) souligne par ailleurs des perspectives positives pour 2025, portées par le développement du réseau, la diversification (SHACMAN, LOVOL, BYD) et l'amélioration du SAV. La principale faiblesse réside dans la trésorerie nette négative (-624,20 millions FCFA fin 2024) et un free cash-flow négatif (-1,650 milliard FCFA) dû à des investissements lourds (-8,741 milliards FCFA), ce qui limite la flexibilité financière à court terme. En synthèse, la solidité fondamentale de CFAC est réelle (ROE élevé, BFR négatif, capacité de remboursement excellente) mais entachée par une rentabilité 2024 en retrait et une valorisation boursière très exigeante ; les rapports 2025 suggèrent une nette amélioration qui pourrait justifier une partie de la prime, mais le risque d'exécution demeure.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(Partie 0) apparaît très tendue : un PER de 65,9x, un P/B de 15,90x et un EV/EBITDA de 33,5x intègrent déjà une forte croissance et une prime de qualité, ce qui expose le titre à un risque de correction en cas de déception. Le comportement du cours (Partie 1) est haussier sur 100 jours (+10,36%) mais avec une volatilité élevée (47,6%) et une distribution quasi symétrique (skewness -0,482, kurtosis -0,345), sans biais directionnel fort, ce qui traduit une certaine indécision du marché. Les signaux techniques (Partie 2) sont divergents : les moyennes mobiles sont haussières mais le MACD est baissier, le RSI et le stochastique sont neutres, et les bandes de Bollinger ne montrent pas de pression dominante — une convergence insuffisante pour un signal fort. Les fondamentaux (Partie 3) sont solides (ROE 24,13%, BFR négatif, capacité de remboursement 0,72 an) mais la rentabilité 2024 a reculé (-26,7% de résultat net), avant un redressement spectaculaire confirmé par les rapports T1, S1 et T3 2025 (croissance du CA de +14% à +18% et résultat net en forte hausse). Les prédictions IA (J+1 à J+10) tablent sur une progression très modérée de 1 706 à 1 717 FCFA, soit +0,7% sur 10 jours, ce qui confirme une trajectoire haussière faible mais ne contredit pas les signaux techniques neutres. Sur la base de cette synthèse, la recommandation finale est **CONSERVER** : la convergence entre fondamentaux en amélioration (rapports 2025) et valorisation exigeante (PER 65,9x) ne justifie ni un achat agressif ni une vente, d'autant que les signaux techniques sont mitigés et que la prédiction IA n'anticipe qu'une hausse marginale. Le niveau de confiance est **Moyen** (les rapports 2025 sont encourageants mais la valorisation limite le potentiel), et le risque global est **Élevé** (volatilité 47,6%, PER très supérieur à la moyenne, dépendance à la conjoncture automobile). L'horizon d'investissement optimal est le **moyen terme (3-12 mois)**, le temps que les résultats 2025 se matérialisent et que la valorisation se normalise, avec un suivi attentif des prochains rapports trimestriels et de l'évolution du MACD pour confirmer ou infirmer la tendance.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397.60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6,656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+129.03%</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24.28% (Élevée) — μ=4,973 FCFA, σ=1,208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β=0.8333 (Neutre (suit le marché)) — Cov=0.000029, Var(idx)=0.000035, ρ=0.154,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6,656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2026-09-14</w:t>
            </w:r>
          </w:p>
        </w:tc>
        <w:tc>
          <w:tcPr>
            <w:tcW w:type="dxa" w:w="1440"/>
            <w:shd w:fill="FFDCE0" w:val="clear"/>
          </w:tcPr>
          <w:p>
            <w:r>
              <w:rPr>
                <w:sz w:val="17"/>
              </w:rPr>
              <w:t>6,327</w:t>
            </w:r>
          </w:p>
        </w:tc>
        <w:tc>
          <w:tcPr>
            <w:tcW w:type="dxa" w:w="1440"/>
            <w:shd w:fill="FFDCE0" w:val="clear"/>
          </w:tcPr>
          <w:p>
            <w:r>
              <w:rPr>
                <w:b/>
                <w:sz w:val="17"/>
              </w:rPr>
              <w:t>6,678</w:t>
            </w:r>
          </w:p>
        </w:tc>
        <w:tc>
          <w:tcPr>
            <w:tcW w:type="dxa" w:w="1440"/>
            <w:shd w:fill="FFDCE0" w:val="clear"/>
          </w:tcPr>
          <w:p>
            <w:r>
              <w:rPr>
                <w:sz w:val="17"/>
              </w:rPr>
              <w:t>7,028</w:t>
            </w:r>
          </w:p>
        </w:tc>
        <w:tc>
          <w:tcPr>
            <w:tcW w:type="dxa" w:w="1440"/>
            <w:shd w:fill="FFDCE0" w:val="clear"/>
          </w:tcPr>
          <w:p>
            <w:r>
              <w:rPr>
                <w:b/>
                <w:color w:val="C00000"/>
                <w:sz w:val="17"/>
              </w:rPr>
              <w:t>-5.9%</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5,969</w:t>
            </w:r>
          </w:p>
        </w:tc>
        <w:tc>
          <w:tcPr>
            <w:tcW w:type="dxa" w:w="1440"/>
            <w:shd w:fill="FFDCE0" w:val="clear"/>
          </w:tcPr>
          <w:p>
            <w:r>
              <w:rPr>
                <w:b/>
                <w:sz w:val="17"/>
              </w:rPr>
              <w:t>6,448</w:t>
            </w:r>
          </w:p>
        </w:tc>
        <w:tc>
          <w:tcPr>
            <w:tcW w:type="dxa" w:w="1440"/>
            <w:shd w:fill="FFDCE0" w:val="clear"/>
          </w:tcPr>
          <w:p>
            <w:r>
              <w:rPr>
                <w:sz w:val="17"/>
              </w:rPr>
              <w:t>6,927</w:t>
            </w:r>
          </w:p>
        </w:tc>
        <w:tc>
          <w:tcPr>
            <w:tcW w:type="dxa" w:w="1440"/>
            <w:shd w:fill="FFDCE0" w:val="clear"/>
          </w:tcPr>
          <w:p>
            <w:r>
              <w:rPr>
                <w:b/>
                <w:color w:val="C00000"/>
                <w:sz w:val="17"/>
              </w:rPr>
              <w:t>-9.2%</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5,718</w:t>
            </w:r>
          </w:p>
        </w:tc>
        <w:tc>
          <w:tcPr>
            <w:tcW w:type="dxa" w:w="1440"/>
            <w:shd w:fill="FFDCE0" w:val="clear"/>
          </w:tcPr>
          <w:p>
            <w:r>
              <w:rPr>
                <w:b/>
                <w:sz w:val="17"/>
              </w:rPr>
              <w:t>6,290</w:t>
            </w:r>
          </w:p>
        </w:tc>
        <w:tc>
          <w:tcPr>
            <w:tcW w:type="dxa" w:w="1440"/>
            <w:shd w:fill="FFDCE0" w:val="clear"/>
          </w:tcPr>
          <w:p>
            <w:r>
              <w:rPr>
                <w:sz w:val="17"/>
              </w:rPr>
              <w:t>6,862</w:t>
            </w:r>
          </w:p>
        </w:tc>
        <w:tc>
          <w:tcPr>
            <w:tcW w:type="dxa" w:w="1440"/>
            <w:shd w:fill="FFDCE0" w:val="clear"/>
          </w:tcPr>
          <w:p>
            <w:r>
              <w:rPr>
                <w:b/>
                <w:color w:val="C00000"/>
                <w:sz w:val="17"/>
              </w:rPr>
              <w:t>-11.4%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5,554</w:t>
            </w:r>
          </w:p>
        </w:tc>
        <w:tc>
          <w:tcPr>
            <w:tcW w:type="dxa" w:w="1440"/>
            <w:shd w:fill="FFDCE0" w:val="clear"/>
          </w:tcPr>
          <w:p>
            <w:r>
              <w:rPr>
                <w:b/>
                <w:sz w:val="17"/>
              </w:rPr>
              <w:t>6,206</w:t>
            </w:r>
          </w:p>
        </w:tc>
        <w:tc>
          <w:tcPr>
            <w:tcW w:type="dxa" w:w="1440"/>
            <w:shd w:fill="FFDCE0" w:val="clear"/>
          </w:tcPr>
          <w:p>
            <w:r>
              <w:rPr>
                <w:sz w:val="17"/>
              </w:rPr>
              <w:t>6,858</w:t>
            </w:r>
          </w:p>
        </w:tc>
        <w:tc>
          <w:tcPr>
            <w:tcW w:type="dxa" w:w="1440"/>
            <w:shd w:fill="FFDCE0" w:val="clear"/>
          </w:tcPr>
          <w:p>
            <w:r>
              <w:rPr>
                <w:b/>
                <w:color w:val="C00000"/>
                <w:sz w:val="17"/>
              </w:rPr>
              <w:t>-12.6%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5,427</w:t>
            </w:r>
          </w:p>
        </w:tc>
        <w:tc>
          <w:tcPr>
            <w:tcW w:type="dxa" w:w="1440"/>
            <w:shd w:fill="FFDCE0" w:val="clear"/>
          </w:tcPr>
          <w:p>
            <w:r>
              <w:rPr>
                <w:b/>
                <w:sz w:val="17"/>
              </w:rPr>
              <w:t>6,149</w:t>
            </w:r>
          </w:p>
        </w:tc>
        <w:tc>
          <w:tcPr>
            <w:tcW w:type="dxa" w:w="1440"/>
            <w:shd w:fill="FFDCE0" w:val="clear"/>
          </w:tcPr>
          <w:p>
            <w:r>
              <w:rPr>
                <w:sz w:val="17"/>
              </w:rPr>
              <w:t>6,871</w:t>
            </w:r>
          </w:p>
        </w:tc>
        <w:tc>
          <w:tcPr>
            <w:tcW w:type="dxa" w:w="1440"/>
            <w:shd w:fill="FFDCE0" w:val="clear"/>
          </w:tcPr>
          <w:p>
            <w:r>
              <w:rPr>
                <w:b/>
                <w:color w:val="C00000"/>
                <w:sz w:val="17"/>
              </w:rPr>
              <w:t>-13.4%</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5,318</w:t>
            </w:r>
          </w:p>
        </w:tc>
        <w:tc>
          <w:tcPr>
            <w:tcW w:type="dxa" w:w="1440"/>
            <w:shd w:fill="FFDCE0" w:val="clear"/>
          </w:tcPr>
          <w:p>
            <w:r>
              <w:rPr>
                <w:b/>
                <w:sz w:val="17"/>
              </w:rPr>
              <w:t>6,103</w:t>
            </w:r>
          </w:p>
        </w:tc>
        <w:tc>
          <w:tcPr>
            <w:tcW w:type="dxa" w:w="1440"/>
            <w:shd w:fill="FFDCE0" w:val="clear"/>
          </w:tcPr>
          <w:p>
            <w:r>
              <w:rPr>
                <w:sz w:val="17"/>
              </w:rPr>
              <w:t>6,889</w:t>
            </w:r>
          </w:p>
        </w:tc>
        <w:tc>
          <w:tcPr>
            <w:tcW w:type="dxa" w:w="1440"/>
            <w:shd w:fill="FFDCE0" w:val="clear"/>
          </w:tcPr>
          <w:p>
            <w:r>
              <w:rPr>
                <w:b/>
                <w:color w:val="C00000"/>
                <w:sz w:val="17"/>
              </w:rPr>
              <w:t>-14.0%</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5,223</w:t>
            </w:r>
          </w:p>
        </w:tc>
        <w:tc>
          <w:tcPr>
            <w:tcW w:type="dxa" w:w="1440"/>
            <w:shd w:fill="FFDCE0" w:val="clear"/>
          </w:tcPr>
          <w:p>
            <w:r>
              <w:rPr>
                <w:b/>
                <w:sz w:val="17"/>
              </w:rPr>
              <w:t>6,066</w:t>
            </w:r>
          </w:p>
        </w:tc>
        <w:tc>
          <w:tcPr>
            <w:tcW w:type="dxa" w:w="1440"/>
            <w:shd w:fill="FFDCE0" w:val="clear"/>
          </w:tcPr>
          <w:p>
            <w:r>
              <w:rPr>
                <w:sz w:val="17"/>
              </w:rPr>
              <w:t>6,909</w:t>
            </w:r>
          </w:p>
        </w:tc>
        <w:tc>
          <w:tcPr>
            <w:tcW w:type="dxa" w:w="1440"/>
            <w:shd w:fill="FFDCE0" w:val="clear"/>
          </w:tcPr>
          <w:p>
            <w:r>
              <w:rPr>
                <w:b/>
                <w:color w:val="C00000"/>
                <w:sz w:val="17"/>
              </w:rPr>
              <w:t>-14.6%</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5,138</w:t>
            </w:r>
          </w:p>
        </w:tc>
        <w:tc>
          <w:tcPr>
            <w:tcW w:type="dxa" w:w="1440"/>
            <w:shd w:fill="FFDCE0" w:val="clear"/>
          </w:tcPr>
          <w:p>
            <w:r>
              <w:rPr>
                <w:b/>
                <w:sz w:val="17"/>
              </w:rPr>
              <w:t>6,035</w:t>
            </w:r>
          </w:p>
        </w:tc>
        <w:tc>
          <w:tcPr>
            <w:tcW w:type="dxa" w:w="1440"/>
            <w:shd w:fill="FFDCE0" w:val="clear"/>
          </w:tcPr>
          <w:p>
            <w:r>
              <w:rPr>
                <w:sz w:val="17"/>
              </w:rPr>
              <w:t>6,931</w:t>
            </w:r>
          </w:p>
        </w:tc>
        <w:tc>
          <w:tcPr>
            <w:tcW w:type="dxa" w:w="1440"/>
            <w:shd w:fill="FFDCE0" w:val="clear"/>
          </w:tcPr>
          <w:p>
            <w:r>
              <w:rPr>
                <w:b/>
                <w:color w:val="C00000"/>
                <w:sz w:val="17"/>
              </w:rPr>
              <w:t>-15.0%</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5,062</w:t>
            </w:r>
          </w:p>
        </w:tc>
        <w:tc>
          <w:tcPr>
            <w:tcW w:type="dxa" w:w="1440"/>
            <w:shd w:fill="FFDCE0" w:val="clear"/>
          </w:tcPr>
          <w:p>
            <w:r>
              <w:rPr>
                <w:b/>
                <w:sz w:val="17"/>
              </w:rPr>
              <w:t>6,009</w:t>
            </w:r>
          </w:p>
        </w:tc>
        <w:tc>
          <w:tcPr>
            <w:tcW w:type="dxa" w:w="1440"/>
            <w:shd w:fill="FFDCE0" w:val="clear"/>
          </w:tcPr>
          <w:p>
            <w:r>
              <w:rPr>
                <w:sz w:val="17"/>
              </w:rPr>
              <w:t>6,956</w:t>
            </w:r>
          </w:p>
        </w:tc>
        <w:tc>
          <w:tcPr>
            <w:tcW w:type="dxa" w:w="1440"/>
            <w:shd w:fill="FFDCE0" w:val="clear"/>
          </w:tcPr>
          <w:p>
            <w:r>
              <w:rPr>
                <w:b/>
                <w:color w:val="C00000"/>
                <w:sz w:val="17"/>
              </w:rPr>
              <w:t>-15.4%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4,993</w:t>
            </w:r>
          </w:p>
        </w:tc>
        <w:tc>
          <w:tcPr>
            <w:tcW w:type="dxa" w:w="1440"/>
            <w:shd w:fill="FFDCE0" w:val="clear"/>
          </w:tcPr>
          <w:p>
            <w:r>
              <w:rPr>
                <w:b/>
                <w:sz w:val="17"/>
              </w:rPr>
              <w:t>5,987</w:t>
            </w:r>
          </w:p>
        </w:tc>
        <w:tc>
          <w:tcPr>
            <w:tcW w:type="dxa" w:w="1440"/>
            <w:shd w:fill="FFDCE0" w:val="clear"/>
          </w:tcPr>
          <w:p>
            <w:r>
              <w:rPr>
                <w:sz w:val="17"/>
              </w:rPr>
              <w:t>6,982</w:t>
            </w:r>
          </w:p>
        </w:tc>
        <w:tc>
          <w:tcPr>
            <w:tcW w:type="dxa" w:w="1440"/>
            <w:shd w:fill="FFDCE0" w:val="clear"/>
          </w:tcPr>
          <w:p>
            <w:r>
              <w:rPr>
                <w:b/>
                <w:color w:val="C00000"/>
                <w:sz w:val="17"/>
              </w:rPr>
              <w:t>-15.7%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397,60 Mds FCFA, la CIEC figure parmi les plus grandes capitalisations de la BRVM, ce qui témoigne de son statut d'entreprise stratégique du secteur électrique ivoirien. Le BPA de 234 FCFA/action indique ce que chaque titre rapporte en bénéfice net, mais le PER de 30,3x signifie que les investisseurs paient environ 30 fois les bénéfices, soit un niveau très supérieur à la moyenne BRVM (~8-12x) — une prime de croissance ou une surévaluation selon la lecture. Le P/B de 11,06x confirme cette exigence : le marché valorise la société à plus de 11 fois sa valeur comptable, ce qui est extrêmement élevé et traduit une forte anticipation de rentabilité future. Enfin, l'EV/EBITDA de 15,8x montre que la valeur totale de l'entreprise (dette incluse) représente près de 16 fois sa capacité opérationnelle, un niveau exigeant qui laisse peu de marge d'erreur. Ces ratios, pris ensemble, signalent une valorisation tendue qui nécessite une croissance soutenue pour être justifiée.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CIEC a enregistré une progression spectaculaire de +129,03%, passant d'un plus bas de 3 000 FCFA à un plus haut de 7 400 FCFA, avec un cours actuel de 7 100 FCFA et une variation J-1 nulle (+0,00%), signe d'une pause dans la dynamique haussière. Le range de trading (3 000–7 400 FCFA) est très large, illustrant une tendance nettement haussière portée par un fort intérêt des investisseurs. Les statistiques descriptives révèlent une moyenne de 4 973 FCFA légèrement inférieure à la médiane de 5 095 FCFA, ce qui suggère une distribution très légèrement asymétrique à gauche, bien que le skewness de 0,028 confirme une symétrie quasi parfaite. L'écart-type de 1 214 FCFA (CV = 24,4%) indique une dispersion modérée du cours autour de sa moyenne, tandis que le kurtosis de -0,670 (mésokurtique) signifie que la distribution est proche d'une loi normale, sans risque excessif de pics extrêmes. La volatilité annualisée de 50,9% classe le titre dans la catégorie des valeurs à volatilité élevée (&gt;30%), ce qui implique un risque de fluctuation important à court terme,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(6 760,25 FCFA) et la MM50 (5 835,40 FCFA) sont toutes deux inférieures au cours actuel (7 100 FCFA), ce qui confirme une configuration haussière solide. La MM20 étant supérieure à la MM50, le croisement des moyennes est positif (golden cross), justifiant la décision d'achat. Le cours évolue au-dessus de ses deux moyennes, signalant que la dynamique de fond reste favorable malgré la pause récente.</w:t>
      </w:r>
    </w:p>
    <w:p>
      <w:pPr>
        <w:spacing w:after="120" w:line="276" w:lineRule="auto"/>
      </w:pPr>
      <w:r>
        <w:t>**Bandes de Bollinger** : Le cours actuel (7 100 FCFA) se situe à l'intérieur des bandes, entre la borne inférieure (5 858,94 FCFA) et la borne supérieure (7 661,56 FCFA), mais plus proche de la borne haute. Cette position indique que le titre n'est ni suracheté ni survendu, justifiant la décision neutre. L'écart entre les bornes (1 802,61 FCFA) reflète une volatilité encore élevée, cohérente avec le contexte de forte hausse récente.</w:t>
      </w:r>
    </w:p>
    <w:p>
      <w:pPr>
        <w:spacing w:after="120" w:line="276" w:lineRule="auto"/>
      </w:pPr>
      <w:r>
        <w:t>**MACD** : La valeur du MACD (401,179) est légèrement supérieure à son signal (397,169), ce qui génère un croisement haussier et confirme la décision d'achat. L'écart entre les deux lignes reste toutefois faible, suggérant un momentum positif mais qui pourrait s'essouffler si la divergence ne s'accentue pas. La position positive du MACD au-dessus de zéro renforce le biais haussier.</w:t>
      </w:r>
    </w:p>
    <w:p>
      <w:pPr>
        <w:spacing w:after="120" w:line="276" w:lineRule="auto"/>
      </w:pPr>
      <w:r>
        <w:t>**RSI** : À 55,618, le RSI se situe dans la zone neutre (30-70), sans signal de surachat ni de survente. Cela indique que le titre dispose encore d'un potentiel de hausse sans être dans une zone d'excès, justifiant la décision neutre. Le RSI ne contredit pas la tendance haussière mais invite à la prudence sur les entrées.</w:t>
      </w:r>
    </w:p>
    <w:p>
      <w:pPr>
        <w:spacing w:after="120" w:line="276" w:lineRule="auto"/>
      </w:pPr>
      <w:r>
        <w:t>**Stochastique** : Le %K (66,667) est inférieur au %D (77,778), ce qui suggère un croisement baissier potentiel à court terme, bien que les deux valeurs restent dans une zone neutre-haute. La décision neutre reflète cette absence de signal clair, avec un risque de correction technique si le %K continue de baisser sous le %D. La position élevée du %D (proche de 80) indique que le titre approche d'une zone de surachat relative.</w:t>
      </w:r>
    </w:p>
    <w:p>
      <w:pPr>
        <w:spacing w:after="120" w:line="276" w:lineRule="auto"/>
      </w:pPr>
      <w:r>
        <w:t>**Conclusion technique** : Les indicateurs sont globalement haussiers (MM, MACD) mais tempérés par des signaux neutres (Bollinger, RSI, Stochastique). La convergence des MM et du MACD soutient la tendance de fond, tandis que le RSI et le Stochastique suggèrent une possible consolidation à court terme. Le titre reste dans une dynamique positive mais approche de niveaux où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CIEC affiche un chiffre d'affaires de 302,320 Mds FCFA, en croissance de +14,82% par rapport à 2024 (263,294 Mds FCFA), portée par une hausse des ventes d'énergie (+8,3% en volume) et une expansion du nombre de clients (+15,1% à 5 282 283 clients). Le résultat net s'établit à 13,127 Mds FCFA, en progression de +24,4% (contre 10,526 Mds FCFA en 2024), avec une marge nette de 4,34% et un ROE exceptionnel de 36,50%, bien supérieur au seuil de 15% considéré comme excellent. Le ROA reste faible à 0,65%, reflétant l'intensité capitalistique du secteur, mais la rotation des actifs (14,98%) et le coefficient d'exploitation (28,54%) témoignent d'une bonne efficacité opérationnelle. La structure financière est toutefois très déséquilibrée : l'autonomie financière n'est que de 1,78% (capitaux propres/total bilan), le ratio d'endettement atteint 612,94% et la dépendance financière 98,22%, ce qui expose la société à un risque de solvabilité en cas de choc. Le BFR est négatif (-90,244 Mds FCFA), ce qui est favorable car il signifie que les dettes fournisseurs (278,106 Mds FCFA, délai de 970 jours) financent largement les créances clients (137,728 Mds FCFA, délai de 164 jours) et les stocks (50,134 Mds FCFA, 175 jours). La trésorerie nette est positive à 32,190 Mds FCFA et la couverture des intérêts est très élevée (617,75%), mais la capacité de remboursement de 7,64 années reste un point de vigilance. Les rapports semestriels 2025 (S1 2025, daté du 30/06/2025) confirment la tendance : CA de 134,923 Mds FCFA (+18,85%) et résultat net de 5,096 Mds FCFA (+13,37%), avec une marge nette de 3,8% et une marge opérationnelle stable à 6,4%. Sur cette base, on estime que l'exercice 2026 devrait poursuivre sa croissance, portée par le programme PEPT et la demande énergétique régionale, avec un résultat net attendu autour de 14-15 Mds FCFA. La recommandation fondamentale est de **CONSERVER** : la solidité opérationnelle et la politique de dividende attractive (234 FCFA/action, soit un rendement de 3,3% au cours actuel) sont contrebalancées par une valorisation exigeante et une structure financière très endettée.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CIEC apparaît nettement surévaluée avec un PER de 30,3x (vs 8-12x pour la BRVM), un P/B de 11,06x et un EV/EBITDA de 15,8x, ce qui intègre déjà une forte croissance future et laisse peu de marge de sécurité. Le comportement du cours sur 100 jours est exceptionnellement haussier (+129,03%) avec une volatilité élevée (50,9%) et une distribution symétrique (skewness 0,028) sans risque de pics extrêmes (kurtosis -0,670), mais la pause récente (variation J-1 nulle) et la position du RSI/Stochastique suggèrent une consolidation imminente. Les signaux techniques sont mitigés : les MM et le MACD confirment la tendance haussière, mais les Bandes de Bollinger, le RSI et le Stochastique sont neutres, créant une divergence qui appelle à la prudence. Les fondamentaux sont solides (CA +14,8%, résultat net +24,4%, ROE 36,5%) mais fragilisés par un endettement massif (ratio 612,9%) et une autonomie financière quasi nulle (1,78%), tandis que les rapports semestriels 2025 confirment la dynamique positive. Les prédictions IA pour les 10 prochains jours (6 678 → 6 149 FCFA) anticipent une correction baissière de -13,4% par rapport au cours actuel, ce qui contredit les signaux haussiers des MM et du MACD et suggère que le titre pourrait consolider après sa forte hausse. Sur la base de cette synthèse, la recommandation finale est **CONSERVER** : la convergence entre une valorisation tendue, des signaux techniques mitigés et une prédiction baissière à court terme plaide pour ne pas renforcer la position, tandis que la solidité fondamentale et le dividende attractif justifient de conserver le titre pour le rendement. Le niveau de confiance est **Moyen** (les indicateurs sont divergents) et le risque global est **Élevé** (volatilité 50,9%, endettement massif, valorisation exigeante). L'horizon d'investissement optimal est **moyen terme (3-12 mois)**, le temps que la consolidation technique s'achève et que les fondamentaux confirment leur trajectoire.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951.55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4,020 titres</w:t>
            </w:r>
          </w:p>
        </w:tc>
        <w:tc>
          <w:tcPr>
            <w:tcW w:type="dxa" w:w="2268"/>
            <w:shd w:fill="FFF2CC" w:val="clear"/>
          </w:tcPr>
          <w:p>
            <w:r>
              <w:rPr>
                <w:b/>
                <w:color w:val="503200"/>
                <w:sz w:val="16"/>
              </w:rPr>
              <w:t xml:space="preserve">Cours actuel : </w:t>
            </w:r>
            <w:r>
              <w:rPr>
                <w:color w:val="000000"/>
                <w:sz w:val="17"/>
              </w:rPr>
              <w:t>17,285 FCFA</w:t>
            </w:r>
          </w:p>
          <w:p>
            <w:r>
              <w:rPr>
                <w:b/>
                <w:color w:val="503200"/>
                <w:sz w:val="16"/>
              </w:rPr>
              <w:t xml:space="preserve">Var. 100 jours : </w:t>
            </w:r>
            <w:r>
              <w:rPr>
                <w:b/>
                <w:color w:val="007800"/>
                <w:sz w:val="17"/>
              </w:rPr>
              <w:t>+6.37%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2.75% (Faible) — μ=16,454 FCFA, σ=453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β=0.3884 (Défensif) — Cov=0.000014, Var(idx)=0.000035, ρ=0.133,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16,770</w:t>
            </w:r>
          </w:p>
        </w:tc>
        <w:tc>
          <w:tcPr>
            <w:tcW w:type="dxa" w:w="1440"/>
            <w:shd w:fill="FAFAFA" w:val="clear"/>
          </w:tcPr>
          <w:p>
            <w:r>
              <w:rPr>
                <w:b/>
                <w:sz w:val="17"/>
              </w:rPr>
              <w:t>17,295</w:t>
            </w:r>
          </w:p>
        </w:tc>
        <w:tc>
          <w:tcPr>
            <w:tcW w:type="dxa" w:w="1440"/>
            <w:shd w:fill="FAFAFA" w:val="clear"/>
          </w:tcPr>
          <w:p>
            <w:r>
              <w:rPr>
                <w:sz w:val="17"/>
              </w:rPr>
              <w:t>17,819</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16,576</w:t>
            </w:r>
          </w:p>
        </w:tc>
        <w:tc>
          <w:tcPr>
            <w:tcW w:type="dxa" w:w="1440"/>
            <w:shd w:fill="FAFAFA" w:val="clear"/>
          </w:tcPr>
          <w:p>
            <w:r>
              <w:rPr>
                <w:b/>
                <w:sz w:val="17"/>
              </w:rPr>
              <w:t>17,318</w:t>
            </w:r>
          </w:p>
        </w:tc>
        <w:tc>
          <w:tcPr>
            <w:tcW w:type="dxa" w:w="1440"/>
            <w:shd w:fill="FAFAFA" w:val="clear"/>
          </w:tcPr>
          <w:p>
            <w:r>
              <w:rPr>
                <w:sz w:val="17"/>
              </w:rPr>
              <w:t>18,061</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16,430</w:t>
            </w:r>
          </w:p>
        </w:tc>
        <w:tc>
          <w:tcPr>
            <w:tcW w:type="dxa" w:w="1440"/>
            <w:shd w:fill="FAFAFA" w:val="clear"/>
          </w:tcPr>
          <w:p>
            <w:r>
              <w:rPr>
                <w:b/>
                <w:sz w:val="17"/>
              </w:rPr>
              <w:t>17,341</w:t>
            </w:r>
          </w:p>
        </w:tc>
        <w:tc>
          <w:tcPr>
            <w:tcW w:type="dxa" w:w="1440"/>
            <w:shd w:fill="FAFAFA" w:val="clear"/>
          </w:tcPr>
          <w:p>
            <w:r>
              <w:rPr>
                <w:sz w:val="17"/>
              </w:rPr>
              <w:t>18,251</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16,306</w:t>
            </w:r>
          </w:p>
        </w:tc>
        <w:tc>
          <w:tcPr>
            <w:tcW w:type="dxa" w:w="1440"/>
            <w:shd w:fill="FAFAFA" w:val="clear"/>
          </w:tcPr>
          <w:p>
            <w:r>
              <w:rPr>
                <w:b/>
                <w:sz w:val="17"/>
              </w:rPr>
              <w:t>17,358</w:t>
            </w:r>
          </w:p>
        </w:tc>
        <w:tc>
          <w:tcPr>
            <w:tcW w:type="dxa" w:w="1440"/>
            <w:shd w:fill="FAFAFA" w:val="clear"/>
          </w:tcPr>
          <w:p>
            <w:r>
              <w:rPr>
                <w:sz w:val="17"/>
              </w:rPr>
              <w:t>18,411</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16,196</w:t>
            </w:r>
          </w:p>
        </w:tc>
        <w:tc>
          <w:tcPr>
            <w:tcW w:type="dxa" w:w="1440"/>
            <w:shd w:fill="FAFAFA" w:val="clear"/>
          </w:tcPr>
          <w:p>
            <w:r>
              <w:rPr>
                <w:b/>
                <w:sz w:val="17"/>
              </w:rPr>
              <w:t>17,374</w:t>
            </w:r>
          </w:p>
        </w:tc>
        <w:tc>
          <w:tcPr>
            <w:tcW w:type="dxa" w:w="1440"/>
            <w:shd w:fill="FAFAFA" w:val="clear"/>
          </w:tcPr>
          <w:p>
            <w:r>
              <w:rPr>
                <w:sz w:val="17"/>
              </w:rPr>
              <w:t>18,552</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16,097</w:t>
            </w:r>
          </w:p>
        </w:tc>
        <w:tc>
          <w:tcPr>
            <w:tcW w:type="dxa" w:w="1440"/>
            <w:shd w:fill="FAFAFA" w:val="clear"/>
          </w:tcPr>
          <w:p>
            <w:r>
              <w:rPr>
                <w:b/>
                <w:sz w:val="17"/>
              </w:rPr>
              <w:t>17,389</w:t>
            </w:r>
          </w:p>
        </w:tc>
        <w:tc>
          <w:tcPr>
            <w:tcW w:type="dxa" w:w="1440"/>
            <w:shd w:fill="FAFAFA" w:val="clear"/>
          </w:tcPr>
          <w:p>
            <w:r>
              <w:rPr>
                <w:sz w:val="17"/>
              </w:rPr>
              <w:t>18,680</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16,007</w:t>
            </w:r>
          </w:p>
        </w:tc>
        <w:tc>
          <w:tcPr>
            <w:tcW w:type="dxa" w:w="1440"/>
            <w:shd w:fill="FAFAFA" w:val="clear"/>
          </w:tcPr>
          <w:p>
            <w:r>
              <w:rPr>
                <w:b/>
                <w:sz w:val="17"/>
              </w:rPr>
              <w:t>17,404</w:t>
            </w:r>
          </w:p>
        </w:tc>
        <w:tc>
          <w:tcPr>
            <w:tcW w:type="dxa" w:w="1440"/>
            <w:shd w:fill="FAFAFA" w:val="clear"/>
          </w:tcPr>
          <w:p>
            <w:r>
              <w:rPr>
                <w:sz w:val="17"/>
              </w:rPr>
              <w:t>18,800</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15,924</w:t>
            </w:r>
          </w:p>
        </w:tc>
        <w:tc>
          <w:tcPr>
            <w:tcW w:type="dxa" w:w="1440"/>
            <w:shd w:fill="FAFAFA" w:val="clear"/>
          </w:tcPr>
          <w:p>
            <w:r>
              <w:rPr>
                <w:b/>
                <w:sz w:val="17"/>
              </w:rPr>
              <w:t>17,418</w:t>
            </w:r>
          </w:p>
        </w:tc>
        <w:tc>
          <w:tcPr>
            <w:tcW w:type="dxa" w:w="1440"/>
            <w:shd w:fill="FAFAFA" w:val="clear"/>
          </w:tcPr>
          <w:p>
            <w:r>
              <w:rPr>
                <w:sz w:val="17"/>
              </w:rPr>
              <w:t>18,912</w:t>
            </w:r>
          </w:p>
        </w:tc>
        <w:tc>
          <w:tcPr>
            <w:tcW w:type="dxa" w:w="1440"/>
            <w:shd w:fill="FAFAFA" w:val="clear"/>
          </w:tcPr>
          <w:p>
            <w:r>
              <w:rPr>
                <w:b/>
                <w:color w:val="008000"/>
                <w:sz w:val="17"/>
              </w:rPr>
              <w:t>+0.8%</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15,847</w:t>
            </w:r>
          </w:p>
        </w:tc>
        <w:tc>
          <w:tcPr>
            <w:tcW w:type="dxa" w:w="1440"/>
            <w:shd w:fill="FAFAFA" w:val="clear"/>
          </w:tcPr>
          <w:p>
            <w:r>
              <w:rPr>
                <w:b/>
                <w:sz w:val="17"/>
              </w:rPr>
              <w:t>17,432</w:t>
            </w:r>
          </w:p>
        </w:tc>
        <w:tc>
          <w:tcPr>
            <w:tcW w:type="dxa" w:w="1440"/>
            <w:shd w:fill="FAFAFA" w:val="clear"/>
          </w:tcPr>
          <w:p>
            <w:r>
              <w:rPr>
                <w:sz w:val="17"/>
              </w:rPr>
              <w:t>19,018</w:t>
            </w:r>
          </w:p>
        </w:tc>
        <w:tc>
          <w:tcPr>
            <w:tcW w:type="dxa" w:w="1440"/>
            <w:shd w:fill="FAFAFA" w:val="clear"/>
          </w:tcPr>
          <w:p>
            <w:r>
              <w:rPr>
                <w:b/>
                <w:color w:val="008000"/>
                <w:sz w:val="17"/>
              </w:rPr>
              <w:t>+0.9%</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15,773</w:t>
            </w:r>
          </w:p>
        </w:tc>
        <w:tc>
          <w:tcPr>
            <w:tcW w:type="dxa" w:w="1440"/>
            <w:shd w:fill="FAFAFA" w:val="clear"/>
          </w:tcPr>
          <w:p>
            <w:r>
              <w:rPr>
                <w:b/>
                <w:sz w:val="17"/>
              </w:rPr>
              <w:t>17,446</w:t>
            </w:r>
          </w:p>
        </w:tc>
        <w:tc>
          <w:tcPr>
            <w:tcW w:type="dxa" w:w="1440"/>
            <w:shd w:fill="FAFAFA" w:val="clear"/>
          </w:tcPr>
          <w:p>
            <w:r>
              <w:rPr>
                <w:sz w:val="17"/>
              </w:rPr>
              <w:t>19,119</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951,55 milliards FCFA, ECOC figure parmi les valeurs les plus capitalisées de la BRVM, ce qui en fait un pilier du compartiment bancaire régional et un titre de référence pour les investisseurs institutionnels. Le BPA de 1 153 FCFA/action signifie que chaque titre génère un bénéfice net de 1 153 FCFA, un niveau élevé qui traduit la forte rentabilité de la banque. Le PER de 15,0x se situe au-dessus de la moyenne du marché BRVM (8-12x), indiquant que les investisseurs paient une prime pour la qualité et la régularité des bénéfices d'ECOC, sans pour autant tomber dans une zone de surévaluation excessive. Le P/B de 4,35x (&gt;4x) révèle que le marché valorise la banque à plus de quatre fois sa valeur comptable, une prime exigeante qui reflète la confiance dans la capacité de la banque à générer des rendements bien supérieurs à son coût du capital (ROE de 29%). Enfin, l'EV/EBITDA de 14,6x, dans la fourchette haute (10-15x), confirme que la valeur totale de l'entreprise (dette incluse) est chèrement valorisée par rapport à sa capacité opérationnelle, ce qui laisse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progression totale de +6,37%, avec une dernière séance particulièrement dynamique (+2,89% en J-1), portant le cours actuel à 17 285 FCFA. Le range de trading s'établit entre un plus bas de 15 520 FCFA et un plus haut de 17 725 FCFA, soit une amplitude d'environ 14%, ce qui témoigne d'une tendance générale haussière mais avec des phases de consolidation. La moyenne du cours (16 454 FCFA) est supérieure à la médiane (16 300 FCFA), ce qui indique une légère asymétrie positive : les journées de forte hausse tirent la moyenne vers le haut, tandis que le mode à 16 300 FCFA suggère que ce niveau a été le plus fréquemment testé. L'écart-type de 456 FCFA avec un coefficient de variation de seulement 2,8% révèle une dispersion très faible du cours autour de sa moyenne, signe d'une grande stabilité relative. Le kurtosis (excès) de 0,243, qualifié de mésokurtique, indique une distribution proche de la normale, donc un risque de pics extrêmes limité. En revanche, le skewness de 0,700 (asymétrie positive) signale que les journées sous la moyenne sont plus nombreuses, mais compensées par des hausses plus amples — un profil typique d'un titre en consolidation haussière. Enfin, la volatilité annualisée de 28,8% positionne ECOC dans la catégorie des titres à volatilité modérée (15-30%), ce qui est rassurant pour un investisseur recherchant un compromis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(16 948,75 FCFA) et la MM50 (16 530,50 FCFA) se situent toutes deux sous le cours actuel (17 285 FCFA), avec la MM20 au-dessus de la MM50, configurant un croisement haussier classique. Cette configuration confirme la dynamique positive de court et moyen terme, justifiant la décision d'achat.</w:t>
      </w:r>
    </w:p>
    <w:p>
      <w:pPr>
        <w:spacing w:after="120" w:line="276" w:lineRule="auto"/>
      </w:pPr>
      <w:r>
        <w:t>**Bandes de Bollinger** : Le cours (17 285 FCFA) évolue dans la partie supérieure de la bande, entre la borne inférieure (15 965,66 FCFA) et la borne supérieure (17 931,84 FCFA), sans la franchir. Cette position neutre indique que le titre n'est ni suracheté ni survendu, avec une volatilité contenue, ce qui justifie la décision neutre.</w:t>
      </w:r>
    </w:p>
    <w:p>
      <w:pPr>
        <w:spacing w:after="120" w:line="276" w:lineRule="auto"/>
      </w:pPr>
      <w:r>
        <w:t>**MACD** : La ligne MACD (271,09) est supérieure à sa ligne de signal (256,67), avec un histogramme positif, confirmant un momentum haussier. Cette divergence positive soutient la décision d'achat, bien que l'écart reste modéré.</w:t>
      </w:r>
    </w:p>
    <w:p>
      <w:pPr>
        <w:spacing w:after="120" w:line="276" w:lineRule="auto"/>
      </w:pPr>
      <w:r>
        <w:t>**RSI** : À 56,69, le RSI se situe dans la zone neutre (30-70), sans signal de surachat ni de survente. Cette position équilibrée justifie la décision neutre, le titre conservant un potentiel de hausse sans excès.</w:t>
      </w:r>
    </w:p>
    <w:p>
      <w:pPr>
        <w:spacing w:after="120" w:line="276" w:lineRule="auto"/>
      </w:pPr>
      <w:r>
        <w:t>**Stochastique** : Le %K (63,79) est légèrement supérieur au %D (61,73), sans croisement significatif, et les deux se situent dans la zone neutre. Cette configuration confirme l'absence de signal directionnel fort, justifiant la décision neutre.</w:t>
      </w:r>
    </w:p>
    <w:p>
      <w:pPr>
        <w:spacing w:after="120" w:line="276" w:lineRule="auto"/>
      </w:pPr>
      <w:r>
        <w:t>**Conclusion technique** : Les indicateurs convergent vers un scénario modérément haussier : les moyennes mobiles et le MACD sont clairement positifs, tandis que le RSI, les Bandes de Bollinger et le Stochastique restent neutres, sans signal de surachat. Cette configuration suggère une poursuite de la tendance haussière à court terme, mais avec un potentiel de gain limité à proximité de la borne supérieure des Bandes de Bollinger (17 931 FCFA), qui constitue une résistance technique majeure.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banque solide et rentable : le Produit Net Bancaire (PNB, équivalent du chiffre d'affaires pour une banque) s'établit à 132,725 milliards FCFA, pour un résultat net de 63,482 milliards FCFA, soit une marge nette exceptionnelle de 47,83%. Le ROE atteint 29,04% (&gt;15% = excellent) et le ROA 3,09%, confirmant une création de valeur très supérieure au coût du capital. Le coefficient d'exploitation de 42,89% (&lt;60% = banque efficace, &lt;50% = excellente) témoigne d'une maîtrise remarquable des charges, tandis que le coût du risque de 1,36% reste modéré, bien qu'en légère hausse. La structure financière affiche une autonomie financière de 10,64% (faible, mais typique du modèle bancaire) et une solvabilité générale de 111,91% (&gt;1 = solvable), avec une couverture des intérêts de 317,71%, très confortable. Le portefeuille de crédits (1 050,80 milliards FCFA) est largement financé par les dépôts clientèle (1 626,22 milliards FCFA), soit un ratio crédits/dépôts de 64,6%, indiquant une transformation maîtrisée et une liquidité abondante. Les rapports trimestriels récents confirment cette dynamique : le rapport T3 2025 (publié le 30/09/2025) fait état d'un PNB de 96,4 milliards FCFA (+11,3% sur un an) et d'un résultat net de 44,4 milliards FCFA (+15,4%), avec un ROE de 29,7% et un coefficient d'exploitation de 44,7%. Le rapport T1 2026 (publié le 15/04/2026) montre cependant un ralentissement : PNB de 30,8 milliards FCFA (+3,7%) et résultat net de 13,0 milliards FCFA (-1,6%), avec un ROE de 23,0% et un coût du risque en hausse. Sur la base de ces tendances, on estime que l'exercice 2026 devrait afficher une croissance plus modérée du PNB (autour de +5-7%) et un résultat net stable à légèrement croissant, la banque privilégiant la qualité du portefeuille (taux de créances en souffrance de 3,9%) à la croissance des encours (baisse de 2,6% des crédits au T1 2026). La proposition de dividende de 888 FCFA brut par action (781 FCFA net) pour 2025, en hausse de 10,4% par rapport aux 804 FCFA de 2024, offre un rendement attractif de 5,1% au cours actuel, avec un taux de distribution de 77% qui reste soutenable. En conclusion, ECOC présente des fondamentaux solides (ROE élevé, efficacité opérationnelle, dividende généreux), mais les risques de ralentissement de la croissance et de hausse du coût du risque dans un environnement macroéconomique incertain (rapport T1 2026) nécessitent une surveillance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indique une action chèrement valorisée (PER de 15,0x &gt; moyenne BRVM, P/B de 4,35x, EV/EBITDA de 14,6x), mais cette prime se justifie par un ROE exceptionnel de 29% et une marge nette de 47,8%, bien supérieurs à la moyenne du secteur. Le comportement du cours (Partie 1) est favorable : tendance haussière (+6,37% sur 100 jours), volatilité modérée (28,8%), dispersion faible (CV de 2,8%) et skewness positive (0,700), bien que le kurtosis mésokurtique (0,243) n'écarte pas totalement le risque de pics. Les signaux techniques (Partie 2) sont modérément haussiers : les moyennes mobiles et le MACD sont positifs, tandis que le RSI, les Bandes de Bollinger et le Stochastique restent neutres, sans signal de surachat — une configuration qui plaide pour une poursuite de la hausse à court terme, mais avec une résistance à 17 931 FCFA (borne supérieure des Bandes de Bollinger). Les fondamentaux (Partie 3) sont solides : PNB de 132,7 milliards FCFA et résultat net de 63,5 milliards FCFA en 2025, ROE de 29%, coefficient d'exploitation de 42,9%, dividende de 888 FCFA (rendement de 5,1%), mais le ralentissement observé au T1 2026 (résultat net -1,6%) et la hausse du coût du risque incitent à la prudence. Les prédictions IA (J+1 à J+10) anticipent une trajectoire haussière modérée, avec un cours passant de 17 295 FCFA (14/09/2026) à 17 374 FCFA (18/09/2026), soit une progression de +0,5% sur 5 jours, ce qui confirme la tendance haussière sans emballement. Sur la base de cette synthèse globale, la recommandation finale est **CONSERVER** : la convergence entre valorisation exigeante, technique modérément haussière, fondamentaux solides mais en ralentissement, et prédictions IA prudentes plaide pour une position d'attente. Le niveau de confiance est **Moyen** (les signaux sont cohérents mais le ralentissement du T1 2026 introduit une incertitude), et le niveau de risque global est **Moyen** (volatilité modérée, mais valorisation tendue et environnement macroéconomique incertain). L'horizon d'investissement optimal est le **moyen terme (3-12 mois)**, en surveillant les prochains rapports trimestriels (T2 2026) pour confirmer ou infirmer la reprise de la croissance, avec un objectif de cours à 18 500 FCFA (+7%) si les résultats du T2 2026 s'améliorent, et un seuil de vigilance à 16 500 FCFA (MM50) en cas de dégradation.</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1,490,776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+169.23%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36.98% (Élevée) — μ=49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β=2.4591 (Très agressif) — Cov=0.000086, Var(idx)=0.000035, ρ=0.371,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1,490,776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64</w:t>
            </w:r>
          </w:p>
        </w:tc>
        <w:tc>
          <w:tcPr>
            <w:tcW w:type="dxa" w:w="1440"/>
            <w:shd w:fill="FAFAFA" w:val="clear"/>
          </w:tcPr>
          <w:p>
            <w:r>
              <w:rPr>
                <w:b/>
                <w:sz w:val="17"/>
              </w:rPr>
              <w:t>69</w:t>
            </w:r>
          </w:p>
        </w:tc>
        <w:tc>
          <w:tcPr>
            <w:tcW w:type="dxa" w:w="1440"/>
            <w:shd w:fill="FAFAFA" w:val="clear"/>
          </w:tcPr>
          <w:p>
            <w:r>
              <w:rPr>
                <w:sz w:val="17"/>
              </w:rPr>
              <w:t>74</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58</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57</w:t>
            </w:r>
          </w:p>
        </w:tc>
        <w:tc>
          <w:tcPr>
            <w:tcW w:type="dxa" w:w="1440"/>
            <w:shd w:fill="FFDCE0" w:val="clear"/>
          </w:tcPr>
          <w:p>
            <w:r>
              <w:rPr>
                <w:b/>
                <w:sz w:val="17"/>
              </w:rPr>
              <w:t>68</w:t>
            </w:r>
          </w:p>
        </w:tc>
        <w:tc>
          <w:tcPr>
            <w:tcW w:type="dxa" w:w="1440"/>
            <w:shd w:fill="FFDCE0" w:val="clear"/>
          </w:tcPr>
          <w:p>
            <w:r>
              <w:rPr>
                <w:sz w:val="17"/>
              </w:rPr>
              <w:t>78</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57</w:t>
            </w:r>
          </w:p>
        </w:tc>
        <w:tc>
          <w:tcPr>
            <w:tcW w:type="dxa" w:w="1440"/>
            <w:shd w:fill="FFDCE0" w:val="clear"/>
          </w:tcPr>
          <w:p>
            <w:r>
              <w:rPr>
                <w:b/>
                <w:sz w:val="17"/>
              </w:rPr>
              <w:t>67</w:t>
            </w:r>
          </w:p>
        </w:tc>
        <w:tc>
          <w:tcPr>
            <w:tcW w:type="dxa" w:w="1440"/>
            <w:shd w:fill="FFDCE0" w:val="clear"/>
          </w:tcPr>
          <w:p>
            <w:r>
              <w:rPr>
                <w:sz w:val="17"/>
              </w:rPr>
              <w:t>78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56</w:t>
            </w:r>
          </w:p>
        </w:tc>
        <w:tc>
          <w:tcPr>
            <w:tcW w:type="dxa" w:w="1440"/>
            <w:shd w:fill="FFDCE0" w:val="clear"/>
          </w:tcPr>
          <w:p>
            <w:r>
              <w:rPr>
                <w:b/>
                <w:sz w:val="17"/>
              </w:rPr>
              <w:t>67</w:t>
            </w:r>
          </w:p>
        </w:tc>
        <w:tc>
          <w:tcPr>
            <w:tcW w:type="dxa" w:w="1440"/>
            <w:shd w:fill="FFDCE0" w:val="clear"/>
          </w:tcPr>
          <w:p>
            <w:r>
              <w:rPr>
                <w:sz w:val="17"/>
              </w:rPr>
              <w:t>79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1 265,89 milliards FCFA, ETIT figure parmi les poids lourds de la cote BRVM, ce qui en fait un titre incontournable pour les investisseurs institutionnels régionaux. Le BPA de 19 FCFA/action signifie que chaque titre génère près de 19 FCFA de bénéfice net, un niveau appréciable pour une banque panafricaine. Le PER de 3,7x est nettement inférieur à la moyenne du marché BRVM (8-12x), suggérant une sous-évaluation potentielle marquée, voire une décote excessive si l'on considère la qualité des fondamentaux. Le P/B de 0,79x indique que le marché valorise ETIT à 21% en dessous de sa valeur comptable, une anomalie qui constitue historiquement une opportunité d'achat pour les investisseurs value. Enfin, l'EV/EBITDA de 5,1x, bien que moins pertinent pour une banque, reste dans une fourchette raisonnable (5-10x), confirmant que la valeur d'entreprise n'est pas surévaluée par rapport à sa capacité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performance spectaculaire de +169,23%, passant d'un plus bas de 26 FCFA à un plus haut de 78 FCFA, pour un cours actuel de 70 FCFA, stable en dernière séance (variation J-1 de 0,00%). Cette tendance résolument haussière traduit un engouement massif des investisseurs, soutenu par un volume moyen quotidien de 1 490 776 titres, signe d'une liquidité robuste. Les statistiques descriptives révèlent une moyenne de 49 FCFA contre une médiane de 44 FCFA, un écart qui indique une distribution légèrement asymétrique à droite, cohérente avec le skewness de 0,100 (distribution quasi-symétrique mais avec une queue droite marginale). L'écart-type de 18 FCFA et le coefficient de variation de 37,2% témoignent d'une dispersion élevée du cours, reflet d'une forte volatilité. Le kurtosis de -1,816 (distribution platykurtique) signale une faible concentration des rendements autour de la moyenne, avec un risque de mouvements amples mais moins de pics extrêmes qu'une distribution normale. La volatilité annualisée de 61,7% classe ce titre dans la catégorie des valeurs à volatilité élevée (&gt;30%), ce qui implique un risque significatif mais aussi un potentiel de gain attractif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(67,8 FCFA) et la MM50 (66,22 FCFA) se situent toutes deux en dessous du cours actuel (70 FCFA), avec la MM20 au-dessus de la MM50, configurant un croisement haussier classique. Cette configuration confirme la dynamique positive et justifie la décision d'achat, le cours évoluant au-dessus de ses supports mobiles.</w:t>
      </w:r>
    </w:p>
    <w:p>
      <w:pPr>
        <w:spacing w:after="120" w:line="276" w:lineRule="auto"/>
      </w:pPr>
      <w:r>
        <w:t>**Bandes de Bollinger** : Le cours (70 FCFA) évolue dans la partie supérieure de la bande, proche de la borne supérieure (71,831 FCFA) et bien au-dessus de la borne inférieure (63,769 FCFA). Cette position indique une pression acheteuse soutenue mais sans rupture imminente, la décision restant neutre car le cours n'a pas encore franchi la borne supérieure.</w:t>
      </w:r>
    </w:p>
    <w:p>
      <w:pPr>
        <w:spacing w:after="120" w:line="276" w:lineRule="auto"/>
      </w:pPr>
      <w:r>
        <w:t>**MACD** : La valeur du MACD (1,618) est légèrement supérieure à son signal (1,602), générant un croisement haussier marginal. Le momentum reste positif mais faible, ce qui justifie une décision d'achat prudente, en surveillant une éventuelle divergence baissière.</w:t>
      </w:r>
    </w:p>
    <w:p>
      <w:pPr>
        <w:spacing w:after="120" w:line="276" w:lineRule="auto"/>
      </w:pPr>
      <w:r>
        <w:t>**RSI** : À 61,111, le RSI se situe en zone neutre haute (30-70), sans atteindre la zone de surachat (&gt;70). Cela suggère que le titre conserve un potentiel de hausse sans être techniquement surchauffé, justifiant une décision neutre avec un biais haussier.</w:t>
      </w:r>
    </w:p>
    <w:p>
      <w:pPr>
        <w:spacing w:after="120" w:line="276" w:lineRule="auto"/>
      </w:pPr>
      <w:r>
        <w:t>**Stochastique** : Les valeurs %K et %D sont identiques à 83,333, plaçant l'indicateur en zone de surachat (&gt;80). Cette configuration signale une possible correction à court terme, justifiant la décision de vente, bien que le croisement ne soit pas encore confirmé.</w:t>
      </w:r>
    </w:p>
    <w:p>
      <w:pPr>
        <w:spacing w:after="120" w:line="276" w:lineRule="auto"/>
      </w:pPr>
      <w:r>
        <w:t>**Conclusion technique** : Les indicateurs convergent majoritairement vers un signal haussier (MM, MACD), mais le Stochastique en zone de surachat et le RSI proche de 70 tempèrent l'enthousiasme. La configuration suggère une poursuite de la tendance haussière à moyen terme, avec un risque de consolidation à court terme. Une prudence est recommandée pour les entrées à court terme, tandis que les investisseurs moyen/long terme peuvent conserver leur position.</w:t>
      </w:r>
    </w:p>
    <w:p>
      <w:pPr>
        <w:spacing w:after="120" w:line="276" w:lineRule="auto"/>
      </w:pPr>
      <w:r>
        <w:t>---</w:t>
      </w:r>
    </w:p>
    <w:p>
      <w:pPr>
        <w:spacing w:after="120" w:line="276" w:lineRule="auto"/>
      </w:pPr>
      <w:r>
        <w:t>### PARTIE 3 : ANALYSE FONDAMENTALE</w:t>
      </w:r>
    </w:p>
    <w:p>
      <w:pPr>
        <w:spacing w:after="120" w:line="276" w:lineRule="auto"/>
      </w:pPr>
      <w:r>
        <w:t>En 2025, ETIT affiche un Produit Net Bancaire (PNB) de 1 424,261 milliards FCFA, un résultat net de 345,523 milliards FCFA, un ROE exceptionnel de 21,62% (&gt;15% = excellent) et un ROA de 1,80%. Le coefficient d'exploitation de 27,35% est remarquablement bas (&lt;60% = banque très efficace), témoignant d'une discipline opérationnelle hors pair. Le coût du risque, mesuré à 18,97% des charges financières, reste modéré mais mérite une surveillance attentive. La structure financière montre une autonomie financière de 8,30% (faible) et un ratio d'endettement de 154,06%, typique d'une banque dont le modèle repose sur les dépôts clientèle (14 120,139 milliards FCFA) pour financer les créances (6 570,385 milliards FCFA), avec un ratio de transformation sain. Les rapports semestriels 2026 (S1 2026, publiés le 30 juin 2026) confirment la dynamique : le PNB progresse de +15% à 721,318 milliards FCFA, le résultat net de +6% à 166,682 milliards FCFA, et le coefficient d'exploitation s'améliore à 48,4%. Cependant, le coût du risque bondit de +40%, signal d'alerte sur la qualité des actifs, avec un ratio de prêts non performants (NPL) à 7,6%. Sur la base du rapport T1 2026 (PNB +23%, résultat net +16%), on estime que l'exercice 2026 devrait enregistrer une croissance annuelle du PNB de l'ordre de 12-15%, avec un résultat net en hausse de 8-10%, sous réserve d'une stabilisation du coût du risque au second semestre. La recommandation fondamentale est de **conserver** le titre : la solidité des fondamentaux (ROE élevé, efficacité opérationnelle, croissance du PNB) est tempérée par la hausse du coût du risque et la stagnation du BPA (+2% au S1 2026). Les perspectives à moyen terme restent favorables, portées par la stratégie GTR (Croissance, Transformation, Rentabilité) et les investissements dans la digitalisation.</w:t>
      </w:r>
    </w:p>
    <w:p>
      <w:pPr>
        <w:spacing w:after="120" w:line="276" w:lineRule="auto"/>
      </w:pPr>
      <w:r>
        <w:t>---</w:t>
      </w:r>
    </w:p>
    <w:p>
      <w:pPr>
        <w:spacing w:after="120" w:line="276" w:lineRule="auto"/>
      </w:pPr>
      <w:r>
        <w:t>### PARTIE 4 : CONCLUSION D'INVESTISSEMENT</w:t>
      </w:r>
    </w:p>
    <w:p>
      <w:pPr>
        <w:spacing w:after="120" w:line="276" w:lineRule="auto"/>
      </w:pPr>
      <w:r>
        <w:t>La valorisation de ETIT apparaît nettement sous-évaluée (PER 3,7x, P/B 0,79x, EV/EBITDA 5,1x), offrant une marge de sécurité significative par rapport aux moyennes du marché. Le comportement du cours sur 100 jours est résolument haussier (+169,23%), avec une volatilité élevée (61,7%) et une distribution platykurtique (kurtosis -1,816) qui suggère des mouvements amples mais sans pics extrêmes, tandis que le skewness quasi-nul (0,100) indique une symétrie des rendements. Les signaux techniques sont majoritairement haussiers (MM20 &gt; MM50, MACD &gt; Signal, cours &gt; MM), mais le Stochastique en zone de surachat (83,333) et le RSI proche de 70 (61,111) appellent à la prudence à court terme. Les fondamentaux sont solides (ROE 21,62%, coefficient d'exploitation 27,35%, PNB +15% au S1 2026), mais le coût du risque en hausse (+40%) et la stagnation du BPA (+2%) constituent des points de vigilance. Les prédictions IA (J+1 à J+10) anticipent une légère correction vers 68-69 FCFA, ce qui contredit partiellement les signaux haussiers à court terme mais reste cohérent avec une consolidation après la forte hausse. Sur la base de cette synthèse, la recommandation finale est **CONSERVER** avec un biais positif : la convergence entre valorisation attractive, fondamentaux solides et tendance haussière de fond est tempérée par les risques à court terme (surachat technique, coût du risque). Le niveau de confiance est **Moyen** (incertitude sur la trajectoire du coût du risque), et le niveau de risque global est **Élevé** (volatilité 61,7%, exposition aux marchés africains). L'horizon d'investissement optimal est **moyen terme (3-12 mois)**, en attendant la confirmation de la maîtrise du coût du risque et la publication des résultats annuels 2026. Un passage à **ACHAT** serait justifié si le titre consolide vers 65-68 FCFA et que le coût du risque se stabilise au S2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3,989 titres</w:t>
            </w:r>
          </w:p>
        </w:tc>
        <w:tc>
          <w:tcPr>
            <w:tcW w:type="dxa" w:w="2268"/>
            <w:shd w:fill="FFF2CC" w:val="clear"/>
          </w:tcPr>
          <w:p>
            <w:r>
              <w:rPr>
                <w:b/>
                <w:color w:val="503200"/>
                <w:sz w:val="16"/>
              </w:rPr>
              <w:t xml:space="preserve">Cours actuel : </w:t>
            </w:r>
            <w:r>
              <w:rPr>
                <w:color w:val="000000"/>
                <w:sz w:val="17"/>
              </w:rPr>
              <w:t>2,120 FCFA</w:t>
            </w:r>
          </w:p>
          <w:p>
            <w:r>
              <w:rPr>
                <w:b/>
                <w:color w:val="503200"/>
                <w:sz w:val="16"/>
              </w:rPr>
              <w:t xml:space="preserve">Var. 100 jours : </w:t>
            </w:r>
            <w:r>
              <w:rPr>
                <w:b/>
                <w:color w:val="B40000"/>
                <w:sz w:val="17"/>
              </w:rPr>
              <w:t>-3.64%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5.93% (Moyenne) — μ=2,137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β=0.4791 (Défensif) — Cov=0.000017, Var(idx)=0.000035, ρ=0.129,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2,027</w:t>
            </w:r>
          </w:p>
        </w:tc>
        <w:tc>
          <w:tcPr>
            <w:tcW w:type="dxa" w:w="1440"/>
            <w:shd w:fill="FAFAFA" w:val="clear"/>
          </w:tcPr>
          <w:p>
            <w:r>
              <w:rPr>
                <w:b/>
                <w:sz w:val="17"/>
              </w:rPr>
              <w:t>2,100</w:t>
            </w:r>
          </w:p>
        </w:tc>
        <w:tc>
          <w:tcPr>
            <w:tcW w:type="dxa" w:w="1440"/>
            <w:shd w:fill="FAFAFA" w:val="clear"/>
          </w:tcPr>
          <w:p>
            <w:r>
              <w:rPr>
                <w:sz w:val="17"/>
              </w:rPr>
              <w:t>2,173</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1,981</w:t>
            </w:r>
          </w:p>
        </w:tc>
        <w:tc>
          <w:tcPr>
            <w:tcW w:type="dxa" w:w="1440"/>
            <w:shd w:fill="FAFAFA" w:val="clear"/>
          </w:tcPr>
          <w:p>
            <w:r>
              <w:rPr>
                <w:b/>
                <w:sz w:val="17"/>
              </w:rPr>
              <w:t>2,083</w:t>
            </w:r>
          </w:p>
        </w:tc>
        <w:tc>
          <w:tcPr>
            <w:tcW w:type="dxa" w:w="1440"/>
            <w:shd w:fill="FAFAFA" w:val="clear"/>
          </w:tcPr>
          <w:p>
            <w:r>
              <w:rPr>
                <w:sz w:val="17"/>
              </w:rPr>
              <w:t>2,185</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1,941</w:t>
            </w:r>
          </w:p>
        </w:tc>
        <w:tc>
          <w:tcPr>
            <w:tcW w:type="dxa" w:w="1440"/>
            <w:shd w:fill="FFDCE0" w:val="clear"/>
          </w:tcPr>
          <w:p>
            <w:r>
              <w:rPr>
                <w:b/>
                <w:sz w:val="17"/>
              </w:rPr>
              <w:t>2,065</w:t>
            </w:r>
          </w:p>
        </w:tc>
        <w:tc>
          <w:tcPr>
            <w:tcW w:type="dxa" w:w="1440"/>
            <w:shd w:fill="FFDCE0" w:val="clear"/>
          </w:tcPr>
          <w:p>
            <w:r>
              <w:rPr>
                <w:sz w:val="17"/>
              </w:rPr>
              <w:t>2,189</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1,907</w:t>
            </w:r>
          </w:p>
        </w:tc>
        <w:tc>
          <w:tcPr>
            <w:tcW w:type="dxa" w:w="1440"/>
            <w:shd w:fill="FFDCE0" w:val="clear"/>
          </w:tcPr>
          <w:p>
            <w:r>
              <w:rPr>
                <w:b/>
                <w:sz w:val="17"/>
              </w:rPr>
              <w:t>2,049</w:t>
            </w:r>
          </w:p>
        </w:tc>
        <w:tc>
          <w:tcPr>
            <w:tcW w:type="dxa" w:w="1440"/>
            <w:shd w:fill="FFDCE0" w:val="clear"/>
          </w:tcPr>
          <w:p>
            <w:r>
              <w:rPr>
                <w:sz w:val="17"/>
              </w:rPr>
              <w:t>2,191</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1,875</w:t>
            </w:r>
          </w:p>
        </w:tc>
        <w:tc>
          <w:tcPr>
            <w:tcW w:type="dxa" w:w="1440"/>
            <w:shd w:fill="FFDCE0" w:val="clear"/>
          </w:tcPr>
          <w:p>
            <w:r>
              <w:rPr>
                <w:b/>
                <w:sz w:val="17"/>
              </w:rPr>
              <w:t>2,033</w:t>
            </w:r>
          </w:p>
        </w:tc>
        <w:tc>
          <w:tcPr>
            <w:tcW w:type="dxa" w:w="1440"/>
            <w:shd w:fill="FFDCE0" w:val="clear"/>
          </w:tcPr>
          <w:p>
            <w:r>
              <w:rPr>
                <w:sz w:val="17"/>
              </w:rPr>
              <w:t>2,191</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1,847</w:t>
            </w:r>
          </w:p>
        </w:tc>
        <w:tc>
          <w:tcPr>
            <w:tcW w:type="dxa" w:w="1440"/>
            <w:shd w:fill="FFDCE0" w:val="clear"/>
          </w:tcPr>
          <w:p>
            <w:r>
              <w:rPr>
                <w:b/>
                <w:sz w:val="17"/>
              </w:rPr>
              <w:t>2,018</w:t>
            </w:r>
          </w:p>
        </w:tc>
        <w:tc>
          <w:tcPr>
            <w:tcW w:type="dxa" w:w="1440"/>
            <w:shd w:fill="FFDCE0" w:val="clear"/>
          </w:tcPr>
          <w:p>
            <w:r>
              <w:rPr>
                <w:sz w:val="17"/>
              </w:rPr>
              <w:t>2,190</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1,820</w:t>
            </w:r>
          </w:p>
        </w:tc>
        <w:tc>
          <w:tcPr>
            <w:tcW w:type="dxa" w:w="1440"/>
            <w:shd w:fill="FFDCE0" w:val="clear"/>
          </w:tcPr>
          <w:p>
            <w:r>
              <w:rPr>
                <w:b/>
                <w:sz w:val="17"/>
              </w:rPr>
              <w:t>2,004</w:t>
            </w:r>
          </w:p>
        </w:tc>
        <w:tc>
          <w:tcPr>
            <w:tcW w:type="dxa" w:w="1440"/>
            <w:shd w:fill="FFDCE0" w:val="clear"/>
          </w:tcPr>
          <w:p>
            <w:r>
              <w:rPr>
                <w:sz w:val="17"/>
              </w:rPr>
              <w:t>2,188</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1,795</w:t>
            </w:r>
          </w:p>
        </w:tc>
        <w:tc>
          <w:tcPr>
            <w:tcW w:type="dxa" w:w="1440"/>
            <w:shd w:fill="FFDCE0" w:val="clear"/>
          </w:tcPr>
          <w:p>
            <w:r>
              <w:rPr>
                <w:b/>
                <w:sz w:val="17"/>
              </w:rPr>
              <w:t>1,990</w:t>
            </w:r>
          </w:p>
        </w:tc>
        <w:tc>
          <w:tcPr>
            <w:tcW w:type="dxa" w:w="1440"/>
            <w:shd w:fill="FFDCE0" w:val="clear"/>
          </w:tcPr>
          <w:p>
            <w:r>
              <w:rPr>
                <w:sz w:val="17"/>
              </w:rPr>
              <w:t>2,185</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1,771</w:t>
            </w:r>
          </w:p>
        </w:tc>
        <w:tc>
          <w:tcPr>
            <w:tcW w:type="dxa" w:w="1440"/>
            <w:shd w:fill="FFDCE0" w:val="clear"/>
          </w:tcPr>
          <w:p>
            <w:r>
              <w:rPr>
                <w:b/>
                <w:sz w:val="17"/>
              </w:rPr>
              <w:t>1,976</w:t>
            </w:r>
          </w:p>
        </w:tc>
        <w:tc>
          <w:tcPr>
            <w:tcW w:type="dxa" w:w="1440"/>
            <w:shd w:fill="FFDCE0" w:val="clear"/>
          </w:tcPr>
          <w:p>
            <w:r>
              <w:rPr>
                <w:sz w:val="17"/>
              </w:rPr>
              <w:t>2,182</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1,748</w:t>
            </w:r>
          </w:p>
        </w:tc>
        <w:tc>
          <w:tcPr>
            <w:tcW w:type="dxa" w:w="1440"/>
            <w:shd w:fill="FFDCE0" w:val="clear"/>
          </w:tcPr>
          <w:p>
            <w:r>
              <w:rPr>
                <w:b/>
                <w:sz w:val="17"/>
              </w:rPr>
              <w:t>1,963</w:t>
            </w:r>
          </w:p>
        </w:tc>
        <w:tc>
          <w:tcPr>
            <w:tcW w:type="dxa" w:w="1440"/>
            <w:shd w:fill="FFDCE0" w:val="clear"/>
          </w:tcPr>
          <w:p>
            <w:r>
              <w:rPr>
                <w:sz w:val="17"/>
              </w:rPr>
              <w:t>2,179</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FILTISAC CI (FTSC)</w:t>
        <w:br/>
        <w:t>**Bourse Régionale des Valeurs Mobilières (BRVM) — Secteur : Emballages industriels / Transformation agro-industrielle**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29,90 Mds FCFA, FTSC se situe dans la catégorie des valeurs moyennes de la cote BRVM, ce qui la rend sensible aux mouvements de liquidité restreinte du marché. Le BPA de 33 FCFA/action signifie que chaque titre génère théoriquement 33 FCFA de bénéfice net, un niveau faible qui, rapporté au cours de 2 120 FCFA, aboutit à un PER de 64,2x — très largement supérieur à la moyenne BRVM (~8-12x), signalant que les investisseurs paient une prime spéculative très élevée pour des bénéfices qui se sont effondrés en 2025 (chute du résultat net à 466 M FCFA contre 18,6 Mds FCFA en 2024). Le P/B de 1,90x indique que le marché valorise l'action à près du double de sa valeur comptable (capitaux propres de 15,7 Mds FCFA), ce qui reste raisonnable dans l'absolu mais devient exigeant au regard de la faible rentabilité des fonds propres (ROE de 2,97%). Enfin, l'EV/EBITDA de 37,8x est très exigeant (seuil d'alerte &gt;15x), traduisant une valeur d'entreprise déconnectée de la capacité opérationnelle réelle à générer du cash, ce qui confirme une valorisation globalement tendue malgré un P/B modéré.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affiche une variation totale de -3,64%, en légère baisse, mais la dernière séance (J-1) enregistre un rebond de +0,95%, signe d'un timide retour d'intérêt acheteur à court terme. Le range de trading est large, entre un plus haut de 2 430 FCFA et un plus bas de 1 910 FCFA (soit un écart de 520 FCFA, ~27% du cours), ce qui traduit une forte amplitude intra-période malgré une tendance globale stable à légèrement baissière. Les statistiques descriptives révèlent une moyenne de 2 137 FCFA très proche de la médiane (2 155 FCFA), confirmant la symétrie de la distribution (skewness de 0,063 ≈ 0), tandis que le mode à 1 990 FCFA suggère que le prix a longtemps stationné autour de ce palier. L'écart-type de 127 FCFA avec un coefficient de variation de 6,0% indique une dispersion modérée du cours autour de sa moyenne, mais la volatilité annualisée de 34,5% classe le titre dans la catégorie des valeurs à volatilité élevée (&gt;30%), ce qui est cohérent avec la faible liquidité (volume moyen de 3 989 titres/jour). Le kurtosis (excès) de -0,860, qualifié de mésokurtique, signifie que la distribution des rendements est proche d'une loi normale, sans risque marqué de pics extrêmes (queues épaisses), ce qui est rassurant pour la gestion du risque. En synthèse, le titre évolue dans un régime de volatilité élevée mais sans asymétrie directionnelle marquée, avec une tendance de fond légèrement baissière.</w:t>
      </w:r>
    </w:p>
    <w:p>
      <w:pPr>
        <w:spacing w:after="120" w:line="276" w:lineRule="auto"/>
      </w:pPr>
      <w:r>
        <w:t>---</w:t>
      </w:r>
    </w:p>
    <w:p>
      <w:pPr>
        <w:spacing w:after="120" w:line="276" w:lineRule="auto"/>
      </w:pPr>
      <w:r>
        <w:t>## PARTIE 2 : ANALYSE TECHNIQUE DÉTAILLÉE</w:t>
      </w:r>
    </w:p>
    <w:p>
      <w:pPr>
        <w:spacing w:after="120" w:line="276" w:lineRule="auto"/>
      </w:pPr>
      <w:r>
        <w:t>**Moyennes Mobiles** : La MM20 (2 143,25 FCFA) est supérieure à la MM50 (2 061,40 FCFA), et le cours actuel (2 120 FCFA) se situe entre les deux, légèrement sous la MM20 mais au-dessus de la MM50. Cette configuration en « croisement haussier » (MM20 &gt; MM50) justifie la décision technique d'**Achat**, bien que le cours doive reconquérir la MM20 pour confirmer la dynamique.</w:t>
      </w:r>
    </w:p>
    <w:p>
      <w:pPr>
        <w:spacing w:after="120" w:line="276" w:lineRule="auto"/>
      </w:pPr>
      <w:r>
        <w:t>**Bandes de Bollinger** : Le cours (2 120 FCFA) évolue dans la partie médiane de la bande, entre la borne inférieure (2 083,67 FCFA) et la borne supérieure (2 202,83 FCFA), sans contact avec les extrêmes. Cette position centrale, couplée à un resserrement relatif des bandes, traduit une volatilité en compression et justifie la décision **Neutre**, en attendant une cassure directionnelle.</w:t>
      </w:r>
    </w:p>
    <w:p>
      <w:pPr>
        <w:spacing w:after="120" w:line="276" w:lineRule="auto"/>
      </w:pPr>
      <w:r>
        <w:t>**MACD** : La valeur du MACD (8,822) est nettement inférieure à son signal (18,395), ce qui constitue un croisement baissier et un momentum négatif. Cette divergence négative, bien que le MACD reste en territoire positif, justifie la décision de **Vente** à court terme, l'élan haussier s'essoufflant.</w:t>
      </w:r>
    </w:p>
    <w:p>
      <w:pPr>
        <w:spacing w:after="120" w:line="276" w:lineRule="auto"/>
      </w:pPr>
      <w:r>
        <w:t>**RSI** : À 40,0, le RSI se situe en zone neutre basse (entre 30 et 70), sans signal de survente (&lt;30) ni de surachat (&gt;70). Cette position médiane-basse indique une absence de pression acheteuse forte mais aussi un potentiel de rebond limité, justifiant la décision **Neutre**.</w:t>
      </w:r>
    </w:p>
    <w:p>
      <w:pPr>
        <w:spacing w:after="120" w:line="276" w:lineRule="auto"/>
      </w:pPr>
      <w:r>
        <w:t>**Stochastique** : Le %K (33,333) est supérieur au %D (18,519), ce qui suggère un début de croisement haussier depuis la zone de survente (les deux courbes étant sous 20-30). Cette configuration naissante justifie la décision **Neutre**, avec un potentiel de retournement à surveiller.</w:t>
      </w:r>
    </w:p>
    <w:p>
      <w:pPr>
        <w:spacing w:after="120" w:line="276" w:lineRule="auto"/>
      </w:pPr>
      <w:r>
        <w:t>**Conclusion technique** : Les indicateurs sont divergents — les moyennes mobiles plaident pour un achat (croisement haussier MM20/MM50), tandis que le MACD signale une vente (croisement baissier) et que le RSI, les Bollinger et le stochastique restent neutres. Cette absence de consensus traduit un marché indécis, avec un biais légèrement baissier à court terme (MACD) mais un support technique solide autour de 2 060-2 080 FCFA (MM50 et borne basse de Bollinger). La prudence est de mise tant qu'aucune cassure nette ne se matérialise.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FILTISAC CI a réalisé un chiffre d'affaires de 32 109 Mds FCFA (32,1 Mds FCFA), en croissance de 4,61% sur un an, mais son résultat net s'est effondré à 465,98 M FCFA (contre 18,6 Mds FCFA en 2024), soit une marge nette de seulement 1,45%. Cette chute spectaculaire s'explique par la disparition des produits financiers exceptionnels liés à la cession de filiales en 2024 (Ivoire Coton, Chimtec, Cofisac). Les ratios de rentabilité sont très faibles : ROE de 2,97% (très en dessous du seuil d'excellence de 15%) et ROA de 1,19%, confirmant une rentabilité opérationnelle quasi nulle (marge opérationnelle de 0,86%). En tant qu'entreprise industrielle, l'analyse des délais d'exploitation est préoccupante : le délai clients atteint 213,72 jours (risque de trésorerie élevé), le délai fournisseurs est de 140,71 jours, et la durée de stockage de 214,65 jours, ce qui immobilise massivement du capital. Le BFR s'élève à 11 529 Mds FCFA et la trésorerie nette est fortement négative à -11 528 Mds FCFA, conséquence directe du versement de dividendes massifs en 2024 (18,6 Mds FCFA, soit 100% du résultat). La structure financière reste toutefois solvable (autonomie financière de 40,11%, solvabilité générale de 166,98%, liquidité générale de 158,64%), mais la capacité de remboursement de 11,49 années et la couverture des intérêts de 40,58% sont des points de vigilance.</w:t>
      </w:r>
    </w:p>
    <w:p>
      <w:pPr>
        <w:spacing w:after="120" w:line="276" w:lineRule="auto"/>
      </w:pPr>
      <w:r>
        <w:t>**Estimations basées sur les rapports trimestriels** : Le rapport du **T1 2026** (publié en 2026) révèle un chiffre d'affaires de 8 901 M FCFA, en hausse de 55% sur un an, porté par la forte demande d'emballages pour le cacao, avec un résultat d'exploitation redevenu positif à 75 M FCFA (contre -78 M FCFA au T1 2025). Toutefois, le résultat net reste déficitaire à -154 M FCFA (marge nette de -1,73%), bien qu'en amélioration de 14%. Le rapport du **T3 2025** (30/09/2025) confirmait déjà cette tendance : CA de 18 371 M FCFA sur 9 mois (-1%), résultat courant avant impôt de -216 M FCFA, et dépendance critique à la campagne cacaoyère 2025/2026. Sur la base de ces éléments, on estime que l'exercice 2026 devrait bénéficier d'un rebond du chiffre d'affaires (potentiel de 35-40 Mds FCFA), mais la rentabilité nette pourrait rester fragile, voire négative, tant que les charges opérationnelles et les coûts logistiques (fret maritime, crise au Moyen-Orient) ne seront pas maîtrisés. Le communiqué du 08/07/2026 rassure sur la continuité des activités malgré l'arrêt de la filature (interdiction d'exportation de jute par le Bangladesh), avec une solution alternative d'importation de fil.</w:t>
      </w:r>
    </w:p>
    <w:p>
      <w:pPr>
        <w:spacing w:after="120" w:line="276" w:lineRule="auto"/>
      </w:pPr>
      <w:r>
        <w:t>**Recommandation fondamentale** : La situation est contrastée — la solidité bilancielle (capitaux propres de 15,7 Mds FCFA, autonomie financière de 40%) et le rebond commercial du T1 2026 sont encourageants, mais la rentabilité nette reste négative, la trésorerie est fortement dégradée et la dépendance à la campagne cacaoyère constitue un risque majeur. La recommandation fondamentale est de **CONSERVER** avec prudence, en attendant la confirmation d'un redressement durable de la rentabilité opérationnelle.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très mitigé. **Sur la valorisation (Partie 0)**, le PER de 64,2x et l'EV/EBITDA de 37,8x indiquent une nette surévaluation par rapport aux bénéfices et à la capacité opérationnelle, bien que le P/B de 1,90x reste modéré. **Sur le comportement du cours (Partie 1)**, la tendance est légèrement baissière (-3,64% sur 100 jours) avec une volatilité élevée (34,5%), une distribution symétrique (skewness ≈ 0) et sans risque de pics extrêmes (kurtosis de -0,86), ce qui est neutre mais peu favorable. **Sur le plan technique (Partie 2)**, les indicateurs sont divergents : les moyennes mobiles sont haussières (MM20 &gt; MM50), mais le MACD est baissier, tandis que le RSI, les Bollinger et le stochastique restent neutres — un manque de consensus qui plaide pour l'attentisme. **Sur le plan fondamental (Partie 3)**, la société affiche une rentabilité très faible (ROE de 2,97%, marge nette de 1,45%), une trésorerie nette négative (-11,5 Mds FCFA) et une dépendance critique au cacao, malgré un rebond du CA au T1 2026 (+55%) et un résultat d'exploitation redevenu positif. **Les prédictions IA (J+1 à J+10)** anticipent une trajectoire baissière continue, de 2 100 FCFA à 2 033 FCFA, ce qui contredit le rebond de J-1 (+0,95%) et confirme la pression baissière à court terme.</w:t>
      </w:r>
    </w:p>
    <w:p>
      <w:pPr>
        <w:spacing w:after="120" w:line="276" w:lineRule="auto"/>
      </w:pPr>
      <w:r>
        <w:t>**Recommandation finale : CONSERVER** (avec un biais baissier à court terme). La convergence entre la surévaluation (PER/EV-EBITDA), le momentum négatif (MACD, prédictions IA) et la fragilité fondamentale (rentabilité quasi nulle, trésorerie dégradée) ne justifie pas un achat, mais la solidité bilancielle et le rebond commercial du T1 2026 interdisent une vente panique. **Niveau de confiance : Moyen** (les signaux sont divergents et la faible liquidité du titre accroît l'incertitude). **Niveau de risque global : Élevé** (volatilité de 34,5%, dépendance au cacao, trésorerie négative). **Horizon d'investissement optimal : Moyen terme (3-12 mois)**, en surveillant la publication des résultats semestriels 2026 et l'évolution de la campagne cacaoyère 2026/2027, qui seront les catalyseurs décisifs pour confirmer ou infirmer le redressement opérationnel.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4,375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+1.78%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4.78% (Faible) — μ=4,067 FCFA, σ=194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β=-0.1389 (Contre-cyclique) — Cov=-0.000005, Var(idx)=0.000035, ρ=-0.035,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3,863</w:t>
            </w:r>
          </w:p>
        </w:tc>
        <w:tc>
          <w:tcPr>
            <w:tcW w:type="dxa" w:w="1440"/>
            <w:shd w:fill="FAFAFA" w:val="clear"/>
          </w:tcPr>
          <w:p>
            <w:r>
              <w:rPr>
                <w:b/>
                <w:sz w:val="17"/>
              </w:rPr>
              <w:t>4,031</w:t>
            </w:r>
          </w:p>
        </w:tc>
        <w:tc>
          <w:tcPr>
            <w:tcW w:type="dxa" w:w="1440"/>
            <w:shd w:fill="FAFAFA" w:val="clear"/>
          </w:tcPr>
          <w:p>
            <w:r>
              <w:rPr>
                <w:sz w:val="17"/>
              </w:rPr>
              <w:t>4,200</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3,794</w:t>
            </w:r>
          </w:p>
        </w:tc>
        <w:tc>
          <w:tcPr>
            <w:tcW w:type="dxa" w:w="1440"/>
            <w:shd w:fill="FAFAFA" w:val="clear"/>
          </w:tcPr>
          <w:p>
            <w:r>
              <w:rPr>
                <w:b/>
                <w:sz w:val="17"/>
              </w:rPr>
              <w:t>4,032</w:t>
            </w:r>
          </w:p>
        </w:tc>
        <w:tc>
          <w:tcPr>
            <w:tcW w:type="dxa" w:w="1440"/>
            <w:shd w:fill="FAFAFA" w:val="clear"/>
          </w:tcPr>
          <w:p>
            <w:r>
              <w:rPr>
                <w:sz w:val="17"/>
              </w:rPr>
              <w:t>4,271</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3,744</w:t>
            </w:r>
          </w:p>
        </w:tc>
        <w:tc>
          <w:tcPr>
            <w:tcW w:type="dxa" w:w="1440"/>
            <w:shd w:fill="FAFAFA" w:val="clear"/>
          </w:tcPr>
          <w:p>
            <w:r>
              <w:rPr>
                <w:b/>
                <w:sz w:val="17"/>
              </w:rPr>
              <w:t>4,036</w:t>
            </w:r>
          </w:p>
        </w:tc>
        <w:tc>
          <w:tcPr>
            <w:tcW w:type="dxa" w:w="1440"/>
            <w:shd w:fill="FAFAFA" w:val="clear"/>
          </w:tcPr>
          <w:p>
            <w:r>
              <w:rPr>
                <w:sz w:val="17"/>
              </w:rPr>
              <w:t>4,328</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3,714</w:t>
            </w:r>
          </w:p>
        </w:tc>
        <w:tc>
          <w:tcPr>
            <w:tcW w:type="dxa" w:w="1440"/>
            <w:shd w:fill="FAFAFA" w:val="clear"/>
          </w:tcPr>
          <w:p>
            <w:r>
              <w:rPr>
                <w:b/>
                <w:sz w:val="17"/>
              </w:rPr>
              <w:t>4,053</w:t>
            </w:r>
          </w:p>
        </w:tc>
        <w:tc>
          <w:tcPr>
            <w:tcW w:type="dxa" w:w="1440"/>
            <w:shd w:fill="FAFAFA" w:val="clear"/>
          </w:tcPr>
          <w:p>
            <w:r>
              <w:rPr>
                <w:sz w:val="17"/>
              </w:rPr>
              <w:t>4,392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3,697</w:t>
            </w:r>
          </w:p>
        </w:tc>
        <w:tc>
          <w:tcPr>
            <w:tcW w:type="dxa" w:w="1440"/>
            <w:shd w:fill="FAFAFA" w:val="clear"/>
          </w:tcPr>
          <w:p>
            <w:r>
              <w:rPr>
                <w:b/>
                <w:sz w:val="17"/>
              </w:rPr>
              <w:t>4,078</w:t>
            </w:r>
          </w:p>
        </w:tc>
        <w:tc>
          <w:tcPr>
            <w:tcW w:type="dxa" w:w="1440"/>
            <w:shd w:fill="FAFAFA" w:val="clear"/>
          </w:tcPr>
          <w:p>
            <w:r>
              <w:rPr>
                <w:sz w:val="17"/>
              </w:rPr>
              <w:t>4,459</w:t>
            </w:r>
          </w:p>
        </w:tc>
        <w:tc>
          <w:tcPr>
            <w:tcW w:type="dxa" w:w="1440"/>
            <w:shd w:fill="FAFAFA" w:val="clear"/>
          </w:tcPr>
          <w:p>
            <w:r>
              <w:rPr>
                <w:b/>
                <w:color w:val="008000"/>
                <w:sz w:val="17"/>
              </w:rPr>
              <w:t>+1.9%</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3,689</w:t>
            </w:r>
          </w:p>
        </w:tc>
        <w:tc>
          <w:tcPr>
            <w:tcW w:type="dxa" w:w="1440"/>
            <w:shd w:fill="C6EFCE" w:val="clear"/>
          </w:tcPr>
          <w:p>
            <w:r>
              <w:rPr>
                <w:b/>
                <w:sz w:val="17"/>
              </w:rPr>
              <w:t>4,110</w:t>
            </w:r>
          </w:p>
        </w:tc>
        <w:tc>
          <w:tcPr>
            <w:tcW w:type="dxa" w:w="1440"/>
            <w:shd w:fill="C6EFCE" w:val="clear"/>
          </w:tcPr>
          <w:p>
            <w:r>
              <w:rPr>
                <w:sz w:val="17"/>
              </w:rPr>
              <w:t>4,531</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3,674</w:t>
            </w:r>
          </w:p>
        </w:tc>
        <w:tc>
          <w:tcPr>
            <w:tcW w:type="dxa" w:w="1440"/>
            <w:shd w:fill="C6EFCE" w:val="clear"/>
          </w:tcPr>
          <w:p>
            <w:r>
              <w:rPr>
                <w:b/>
                <w:sz w:val="17"/>
              </w:rPr>
              <w:t>4,131</w:t>
            </w:r>
          </w:p>
        </w:tc>
        <w:tc>
          <w:tcPr>
            <w:tcW w:type="dxa" w:w="1440"/>
            <w:shd w:fill="C6EFCE" w:val="clear"/>
          </w:tcPr>
          <w:p>
            <w:r>
              <w:rPr>
                <w:sz w:val="17"/>
              </w:rPr>
              <w:t>4,588</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3,672</w:t>
            </w:r>
          </w:p>
        </w:tc>
        <w:tc>
          <w:tcPr>
            <w:tcW w:type="dxa" w:w="1440"/>
            <w:shd w:fill="C6EFCE" w:val="clear"/>
          </w:tcPr>
          <w:p>
            <w:r>
              <w:rPr>
                <w:b/>
                <w:sz w:val="17"/>
              </w:rPr>
              <w:t>4,164</w:t>
            </w:r>
          </w:p>
        </w:tc>
        <w:tc>
          <w:tcPr>
            <w:tcW w:type="dxa" w:w="1440"/>
            <w:shd w:fill="C6EFCE" w:val="clear"/>
          </w:tcPr>
          <w:p>
            <w:r>
              <w:rPr>
                <w:sz w:val="17"/>
              </w:rPr>
              <w:t>4,657</w:t>
            </w:r>
          </w:p>
        </w:tc>
        <w:tc>
          <w:tcPr>
            <w:tcW w:type="dxa" w:w="1440"/>
            <w:shd w:fill="C6EFCE" w:val="clear"/>
          </w:tcPr>
          <w:p>
            <w:r>
              <w:rPr>
                <w:b/>
                <w:color w:val="008000"/>
                <w:sz w:val="17"/>
              </w:rPr>
              <w:t>+4.1%</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3,649</w:t>
            </w:r>
          </w:p>
        </w:tc>
        <w:tc>
          <w:tcPr>
            <w:tcW w:type="dxa" w:w="1440"/>
            <w:shd w:fill="C6EFCE" w:val="clear"/>
          </w:tcPr>
          <w:p>
            <w:r>
              <w:rPr>
                <w:b/>
                <w:sz w:val="17"/>
              </w:rPr>
              <w:t>4,172</w:t>
            </w:r>
          </w:p>
        </w:tc>
        <w:tc>
          <w:tcPr>
            <w:tcW w:type="dxa" w:w="1440"/>
            <w:shd w:fill="C6EFCE" w:val="clear"/>
          </w:tcPr>
          <w:p>
            <w:r>
              <w:rPr>
                <w:sz w:val="17"/>
              </w:rPr>
              <w:t>4,696</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3,622</w:t>
            </w:r>
          </w:p>
        </w:tc>
        <w:tc>
          <w:tcPr>
            <w:tcW w:type="dxa" w:w="1440"/>
            <w:shd w:fill="C6EFCE" w:val="clear"/>
          </w:tcPr>
          <w:p>
            <w:r>
              <w:rPr>
                <w:b/>
                <w:sz w:val="17"/>
              </w:rPr>
              <w:t>4,174</w:t>
            </w:r>
          </w:p>
        </w:tc>
        <w:tc>
          <w:tcPr>
            <w:tcW w:type="dxa" w:w="1440"/>
            <w:shd w:fill="C6EFCE" w:val="clear"/>
          </w:tcPr>
          <w:p>
            <w:r>
              <w:rPr>
                <w:sz w:val="17"/>
              </w:rPr>
              <w:t>4,727</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80,00 Mds FCFA pour un cours de 4 000 FCFA, LNBB se positionne comme une valeur de taille intermédiaire sur le marché BRVM, représentant un poids modéré dans l'indice composite. Le BPA de 231 FCFA/action signifie que chaque titre génère près de 231 FCFA de bénéfice net, ce qui, rapporté au cours actuel, donne un PER de 17,3x — nettement supérieur à la moyenne du marché BRVM (8-12x), traduisant une prime de valorisation significative que les investisseurs accordent à la société. Le P/B de 3,64x confirme cette tendance : le marché valorise LNBB à plus de 3,6 fois sa valeur comptable, ce qui est cohérent avec une entreprise affichant un ROE élevé de 21,05% et des perspectives de croissance digitale. L'EV/EBITDA de 10,1x, bien que dans la fourchette 10-15x qualifiée d'élevée, reste soutenable si la société parvient à stabiliser ses marges opérationnelles ; cette valorisation intègre donc déjà une bonne partie des anticipations positives de redressement.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LNBB a enregistré une progression modérée de +1,78%, avec une dernière séance en hausse de +1,27% à 4 000 FCFA, signalant un léger regain d'intérêt acheteur à court terme. Le range de trading s'établit entre un plus bas de 3 825 FCFA et un plus haut de 4 560 FCFA, soit une amplitude d'environ 19%, reflétant une volatilité non négligeable sur la période. La tendance générale apparaît stable à légèrement haussière, le cours actuel se situant dans la partie médiane de ce range, sans direction franche. Les statistiques descriptives révèlent une moyenne de 4 067 FCFA légèrement supérieure à la médiane de 4 002 FCFA, avec un mode à 4 000 FCFA — cet écart modéré entre moyenne et médiane, combiné à un skewness positif de 0,552, indique une asymétrie vers la droite avec davantage de journées de cotation sous la moyenne, suggérant quelques pics haussiers isolés. L'écart-type de 195 FCFA (CV de 4,8%) témoigne d'une dispersion relativement contenue du cours autour de sa moyenne, tandis que le kurtosis de -0,877 (mésokurtique) indique une distribution proche de la normale, sans risque excessif de pics extrêmes. La volatilité annualisée de 37,7% classe ce titre dans la catégorie des valeurs à volatilité élevée (&gt;30%), ce qui implique un risque de fluctuation important et justifie une approche prudente en matière de gestion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(4 047,25 FCFA) se situe légèrement au-dessus du cours actuel (4 000 FCFA), tandis que la MM50 (4 193,0 FCFA) est nettement supérieure, confirmant une configuration baissière de court et moyen terme. Le cours évoluant sous ses deux moyennes mobiles, la décision technique de « Vente » est justifiée, bien que l'écart avec la MM20 reste marginal.</w:t>
      </w:r>
    </w:p>
    <w:p>
      <w:pPr>
        <w:spacing w:after="120" w:line="276" w:lineRule="auto"/>
      </w:pPr>
      <w:r>
        <w:t>**Bandes de Bollinger** : Le cours (4 000 FCFA) se situe dans la partie basse de la bande de Bollinger, entre la borne inférieure (3 915,28 FCFA) et la borne supérieure (4 179,22 FCFA), sans atteindre les extrêmes. Cette position médiane-basse, combinée à un rétrécissement des bandes, suggère une phase de consolidation avec une volatilité en compression, justifiant la décision « Neutre ».</w:t>
      </w:r>
    </w:p>
    <w:p>
      <w:pPr>
        <w:spacing w:after="120" w:line="276" w:lineRule="auto"/>
      </w:pPr>
      <w:r>
        <w:t>**MACD** : La valeur du MACD (-53,25) est légèrement supérieure à son signal (-54,025), générant un croisement haussier marginal. Bien que le MACD reste en territoire négatif, cette divergence positive indique un affaiblissement du momentum baissier et justifie la décision « Achat » à court terme.</w:t>
      </w:r>
    </w:p>
    <w:p>
      <w:pPr>
        <w:spacing w:after="120" w:line="276" w:lineRule="auto"/>
      </w:pPr>
      <w:r>
        <w:t>**RSI** : À 43,624, le RSI se situe en zone neutre (30-70), sans signal de surachat ni de survente. Cette position médiane indique un équilibre entre acheteurs et vendeurs, sans pression directionnelle claire, justifiant la décision « Neutre ».</w:t>
      </w:r>
    </w:p>
    <w:p>
      <w:pPr>
        <w:spacing w:after="120" w:line="276" w:lineRule="auto"/>
      </w:pPr>
      <w:r>
        <w:t>**Stochastique** : Les valeurs %K et %D sont identiques à 50,0, indiquant un équilibre parfait entre les forces haussières et baissières, sans croisement ni divergence. Cette configuration neutre confirme l'absence de signal directionnel fort à court terme.</w:t>
      </w:r>
    </w:p>
    <w:p>
      <w:pPr>
        <w:spacing w:after="120" w:line="276" w:lineRule="auto"/>
      </w:pPr>
      <w:r>
        <w:t>**Conclusion technique** : Les indicateurs techniques présentent un tableau mitigé : les moyennes mobiles sont baissières (cours sous MM20 et MM50), les Bandes de Bollinger et le RSI sont neutres, tandis que le MACD génère un signal d'achat marginal. Cette divergence entre indicateurs de tendance (baissiers) et de momentum (légèrement haussiers) suggère une phase de transition ou de consolidation, sans conviction directionnelle forte. La prudence reste de mise tant que le cours n'aura pas reconquis la MM20 (4 047 FCFA) de manière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Mds FCFA, en baisse de -3,85% par rapport à 2024, avec un résultat net de 4,622 Mds FCFA (marge nette de 4,69%). Le ROE s'établit à 21,05% (excellent, &gt;15%) et le ROA à 14,17%, témoignant d'une rentabilité solide malgré la contraction du CA. La structure financière est très saine : autonomie financière de 67,32%, ratio d'endettement de seulement 2,57%, et trésorerie nette positive de 7,979 Mds FCFA. Le BFR est quasi nul (217,45 M FCFA), avec des délais clients très courts (4,82 jours) et des délais fournisseurs de 20,41 jours — un profil de trésorerie favorable. Sur le plan opérationnel, l'EBE progresse de +34% à 7,164 Mds FCFA et la valeur ajoutée de +22% à 10,548 Mds FCFA, démontrant une excellente maîtrise des charges. Les rapports trimestriels de 2026 confirment cette dynamique : le T1 2026 (rapport du 07/05/2026) affiche un CA de 25,521 Mds FCFA (+6%) mais un résultat net en chute de -46% à 848 M FCFA, en raison du mix produit défavorable (pari sportif à 95% de taux de retour). Cependant, le S1 2026 (rapport du 01/08/2026) marque un retournement spectaculaire avec un résultat net en hausse de +60% et un résultat d'exploitation en progression de +40%, grâce à la maîtrise des charges et aux revenus de partenariats B2B. On estime donc que l'exercice 2026 devrait afficher une amélioration significative de la rentabilité par rapport à 2025, portée par le déploiement de 1 500 nouveaux terminaux et le lancement de nouveaux produits. Le principal risque reste la pression sur le Produit Brut des Jeux (-9% au S1 2026) et la concurrence illégale. La politique de dividende est attractive avec un dividende brut de 173 FCFA/action (rendement ~4,3% au cours actuel), représentant un taux de distribution d'environ 80%. En synthèse, LNBB présente des fondamentaux solides (ROE élevé, structure financière robuste, trésorerie abondante) et des perspectives de redressement crédibles, mais fait face à des défis structurels (érosion des marges sur le pari sportif, concurrence illégale).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17,3x, P/B 3,64x, EV/EBITDA 10,1x) apparaît exigeante par rapport à la moyenne du marché BRVM, intégrant déjà une prime de croissance significative. Le comportement du cours sur 100 jours (+1,78%) révèle une tendance stable avec une volatilité élevée (37,7%), un skewness positif (0,552) et un kurtosis proche de la normale (-0,877), indiquant un profil de risque modéré sans pics extrêmes. Les signaux techniques sont divergents : baissiers pour les moyennes mobiles, neutres pour les Bandes de Bollinger, le RSI et le Stochastique, mais légèrement haussiers pour le MACD — une configuration qui plaide pour une phase de consolidation. Les fondamentaux sont solides (ROE de 21,05%, autonomie financière de 67,32%, trésorerie nette de 7,979 Mds FCFA) et les rapports trimestriels 2026 (T1 du 07/05/2026 et S1 du 01/08/2026) confirment un redressement de la rentabilité au S1 (+60% de résultat net), bien que le T1 ait été difficile (-46%). Les prédictions IA anticipent une trajectoire haussière modérée vers 4 078 FCFA d'ici J+10 (soit +1,95%), ce qui confirme le léger biais positif du MACD sans pour autant contredire la prudence des autres indicateurs. Sur la base de cette synthèse, nous recommandons **CONSERVER** le titre : la convergence entre fondamentaux solides, dividende attractif (173 FCFA/action) et perspectives de redressement justifie le maintien en portefeuille, mais la valorisation exigeante et les défis structurels (pression sur les marges, concurrence illégale) limitent le potentiel d'appréciation à court terme. Le niveau de confiance est **Moyen**, le risque global **Moyen**, et l'horizon d'investissement optimal est le **moyen terme (3-12 mois)**, en attendant la confirmation de la stabilisation du Produit Brut des Jeux et la pérennité des revenus de partenariats au S2 2026.</w:t>
      </w:r>
    </w:p>
    <w:p>
      <w:pPr>
        <w:spacing w:after="120" w:line="276" w:lineRule="auto"/>
      </w:pPr>
      <w:r>
        <w:t>---</w:t>
      </w:r>
    </w:p>
    <w:p>
      <w:pPr>
        <w:spacing w:after="120" w:line="276" w:lineRule="auto"/>
      </w:pPr>
      <w:r>
        <w:t>*Disclaimer : Cette analyse est fournie à titre informatif et ne constitue pas un conseil en investissement personnalisé. Les investisseurs sont invités à consulter un professionnel avant toute décision d'investissement.*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5,061 titres</w:t>
            </w:r>
          </w:p>
        </w:tc>
        <w:tc>
          <w:tcPr>
            <w:tcW w:type="dxa" w:w="2268"/>
            <w:shd w:fill="FFF2CC" w:val="clear"/>
          </w:tcPr>
          <w:p>
            <w:r>
              <w:rPr>
                <w:b/>
                <w:color w:val="503200"/>
                <w:sz w:val="16"/>
              </w:rPr>
              <w:t xml:space="preserve">Cours actuel : </w:t>
            </w:r>
            <w:r>
              <w:rPr>
                <w:color w:val="000000"/>
                <w:sz w:val="17"/>
              </w:rPr>
              <w:t>2,750 FCFA</w:t>
            </w:r>
          </w:p>
          <w:p>
            <w:r>
              <w:rPr>
                <w:b/>
                <w:color w:val="503200"/>
                <w:sz w:val="16"/>
              </w:rPr>
              <w:t xml:space="preserve">Var. 100 jours : </w:t>
            </w:r>
            <w:r>
              <w:rPr>
                <w:b/>
                <w:color w:val="007800"/>
                <w:sz w:val="17"/>
              </w:rPr>
              <w:t>+100.73%</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μ=2,182 FCFA, σ=366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β=-0.1901 (Contre-cyclique) — Cov=-0.000007, Var(idx)=0.000035, ρ=-0.032,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5,061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σ_j=3.57%/j (Modérée) — Vol. annualisée≈56.6%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2,547</w:t>
            </w:r>
          </w:p>
        </w:tc>
        <w:tc>
          <w:tcPr>
            <w:tcW w:type="dxa" w:w="1440"/>
            <w:shd w:fill="FAFAFA" w:val="clear"/>
          </w:tcPr>
          <w:p>
            <w:r>
              <w:rPr>
                <w:b/>
                <w:sz w:val="17"/>
              </w:rPr>
              <w:t>2,715</w:t>
            </w:r>
          </w:p>
        </w:tc>
        <w:tc>
          <w:tcPr>
            <w:tcW w:type="dxa" w:w="1440"/>
            <w:shd w:fill="FAFAFA" w:val="clear"/>
          </w:tcPr>
          <w:p>
            <w:r>
              <w:rPr>
                <w:sz w:val="17"/>
              </w:rPr>
              <w:t>2,883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2,436</w:t>
            </w:r>
          </w:p>
        </w:tc>
        <w:tc>
          <w:tcPr>
            <w:tcW w:type="dxa" w:w="1440"/>
            <w:shd w:fill="FFDCE0" w:val="clear"/>
          </w:tcPr>
          <w:p>
            <w:r>
              <w:rPr>
                <w:b/>
                <w:sz w:val="17"/>
              </w:rPr>
              <w:t>2,670</w:t>
            </w:r>
          </w:p>
        </w:tc>
        <w:tc>
          <w:tcPr>
            <w:tcW w:type="dxa" w:w="1440"/>
            <w:shd w:fill="FFDCE0" w:val="clear"/>
          </w:tcPr>
          <w:p>
            <w:r>
              <w:rPr>
                <w:sz w:val="17"/>
              </w:rPr>
              <w:t>2,903</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2,347</w:t>
            </w:r>
          </w:p>
        </w:tc>
        <w:tc>
          <w:tcPr>
            <w:tcW w:type="dxa" w:w="1440"/>
            <w:shd w:fill="FFDCE0" w:val="clear"/>
          </w:tcPr>
          <w:p>
            <w:r>
              <w:rPr>
                <w:b/>
                <w:sz w:val="17"/>
              </w:rPr>
              <w:t>2,629</w:t>
            </w:r>
          </w:p>
        </w:tc>
        <w:tc>
          <w:tcPr>
            <w:tcW w:type="dxa" w:w="1440"/>
            <w:shd w:fill="FFDCE0" w:val="clear"/>
          </w:tcPr>
          <w:p>
            <w:r>
              <w:rPr>
                <w:sz w:val="17"/>
              </w:rPr>
              <w:t>2,911</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2,275</w:t>
            </w:r>
          </w:p>
        </w:tc>
        <w:tc>
          <w:tcPr>
            <w:tcW w:type="dxa" w:w="1440"/>
            <w:shd w:fill="FFDCE0" w:val="clear"/>
          </w:tcPr>
          <w:p>
            <w:r>
              <w:rPr>
                <w:b/>
                <w:sz w:val="17"/>
              </w:rPr>
              <w:t>2,597</w:t>
            </w:r>
          </w:p>
        </w:tc>
        <w:tc>
          <w:tcPr>
            <w:tcW w:type="dxa" w:w="1440"/>
            <w:shd w:fill="FFDCE0" w:val="clear"/>
          </w:tcPr>
          <w:p>
            <w:r>
              <w:rPr>
                <w:sz w:val="17"/>
              </w:rPr>
              <w:t>2,918</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2,214</w:t>
            </w:r>
          </w:p>
        </w:tc>
        <w:tc>
          <w:tcPr>
            <w:tcW w:type="dxa" w:w="1440"/>
            <w:shd w:fill="FFDCE0" w:val="clear"/>
          </w:tcPr>
          <w:p>
            <w:r>
              <w:rPr>
                <w:b/>
                <w:sz w:val="17"/>
              </w:rPr>
              <w:t>2,570</w:t>
            </w:r>
          </w:p>
        </w:tc>
        <w:tc>
          <w:tcPr>
            <w:tcW w:type="dxa" w:w="1440"/>
            <w:shd w:fill="FFDCE0" w:val="clear"/>
          </w:tcPr>
          <w:p>
            <w:r>
              <w:rPr>
                <w:sz w:val="17"/>
              </w:rPr>
              <w:t>2,925</w:t>
            </w:r>
          </w:p>
        </w:tc>
        <w:tc>
          <w:tcPr>
            <w:tcW w:type="dxa" w:w="1440"/>
            <w:shd w:fill="FFDCE0" w:val="clear"/>
          </w:tcPr>
          <w:p>
            <w:r>
              <w:rPr>
                <w:b/>
                <w:color w:val="C00000"/>
                <w:sz w:val="17"/>
              </w:rPr>
              <w:t>-6.6%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2,159</w:t>
            </w:r>
          </w:p>
        </w:tc>
        <w:tc>
          <w:tcPr>
            <w:tcW w:type="dxa" w:w="1440"/>
            <w:shd w:fill="FFDCE0" w:val="clear"/>
          </w:tcPr>
          <w:p>
            <w:r>
              <w:rPr>
                <w:b/>
                <w:sz w:val="17"/>
              </w:rPr>
              <w:t>2,545</w:t>
            </w:r>
          </w:p>
        </w:tc>
        <w:tc>
          <w:tcPr>
            <w:tcW w:type="dxa" w:w="1440"/>
            <w:shd w:fill="FFDCE0" w:val="clear"/>
          </w:tcPr>
          <w:p>
            <w:r>
              <w:rPr>
                <w:sz w:val="17"/>
              </w:rPr>
              <w:t>2,931</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2,110</w:t>
            </w:r>
          </w:p>
        </w:tc>
        <w:tc>
          <w:tcPr>
            <w:tcW w:type="dxa" w:w="1440"/>
            <w:shd w:fill="FFDCE0" w:val="clear"/>
          </w:tcPr>
          <w:p>
            <w:r>
              <w:rPr>
                <w:b/>
                <w:sz w:val="17"/>
              </w:rPr>
              <w:t>2,524</w:t>
            </w:r>
          </w:p>
        </w:tc>
        <w:tc>
          <w:tcPr>
            <w:tcW w:type="dxa" w:w="1440"/>
            <w:shd w:fill="FFDCE0" w:val="clear"/>
          </w:tcPr>
          <w:p>
            <w:r>
              <w:rPr>
                <w:sz w:val="17"/>
              </w:rPr>
              <w:t>2,937</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2,065</w:t>
            </w:r>
          </w:p>
        </w:tc>
        <w:tc>
          <w:tcPr>
            <w:tcW w:type="dxa" w:w="1440"/>
            <w:shd w:fill="FFDCE0" w:val="clear"/>
          </w:tcPr>
          <w:p>
            <w:r>
              <w:rPr>
                <w:b/>
                <w:sz w:val="17"/>
              </w:rPr>
              <w:t>2,504</w:t>
            </w:r>
          </w:p>
        </w:tc>
        <w:tc>
          <w:tcPr>
            <w:tcW w:type="dxa" w:w="1440"/>
            <w:shd w:fill="FFDCE0" w:val="clear"/>
          </w:tcPr>
          <w:p>
            <w:r>
              <w:rPr>
                <w:sz w:val="17"/>
              </w:rPr>
              <w:t>2,942</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2,024</w:t>
            </w:r>
          </w:p>
        </w:tc>
        <w:tc>
          <w:tcPr>
            <w:tcW w:type="dxa" w:w="1440"/>
            <w:shd w:fill="FFDCE0" w:val="clear"/>
          </w:tcPr>
          <w:p>
            <w:r>
              <w:rPr>
                <w:b/>
                <w:sz w:val="17"/>
              </w:rPr>
              <w:t>2,485</w:t>
            </w:r>
          </w:p>
        </w:tc>
        <w:tc>
          <w:tcPr>
            <w:tcW w:type="dxa" w:w="1440"/>
            <w:shd w:fill="FFDCE0" w:val="clear"/>
          </w:tcPr>
          <w:p>
            <w:r>
              <w:rPr>
                <w:sz w:val="17"/>
              </w:rPr>
              <w:t>2,947</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1,985</w:t>
            </w:r>
          </w:p>
        </w:tc>
        <w:tc>
          <w:tcPr>
            <w:tcW w:type="dxa" w:w="1440"/>
            <w:shd w:fill="FFDCE0" w:val="clear"/>
          </w:tcPr>
          <w:p>
            <w:r>
              <w:rPr>
                <w:b/>
                <w:sz w:val="17"/>
              </w:rPr>
              <w:t>2,468</w:t>
            </w:r>
          </w:p>
        </w:tc>
        <w:tc>
          <w:tcPr>
            <w:tcW w:type="dxa" w:w="1440"/>
            <w:shd w:fill="FFDCE0" w:val="clear"/>
          </w:tcPr>
          <w:p>
            <w:r>
              <w:rPr>
                <w:sz w:val="17"/>
              </w:rPr>
              <w:t>2,951</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35,11 milliards FCFA, NEIC se positionne comme une valeur de taille moyenne sur le compartiment des entreprises non bancaires de la BRVM, ce qui reste modeste à l'échelle régionale mais significatif pour le secteur de l'édition. Le BPA de 160 FCFA/action indique que chaque titre génère 160 FCFA de bénéfice net, un niveau appréciable qui traduit la capacité bénéficiaire de la société. Le PER de 17,2x situe le titre nettement au-dessus de la moyenne BRVM (généralement comprise entre 8 et 12x), ce qui signifie que les investisseurs paient une prime de près de 50% par rapport au marché pour ce bénéfice — une valorisation modérée mais qui n'est pas bon marché. Le P/B de 6,10x révèle que le marché valorise NEIC à plus de six fois sa valeur comptable, une prime très élevée qui suggère que les investisseurs anticipent une forte création de valeur future, ou que le titre est porté par un momentum spéculatif. Enfin, l'EV/EBITDA de 26,0x est très exigeant (seuil d'alerte &gt;15x), indiquant que la valeur d'entreprise représente 26 fois la capacité opérationnelle de génération de cash — un niveau qui n'est justifié que par des perspectives de croissance exceptionnelles, ce qui contraste avec la réalité opérationnelle actuelle de la société.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 enregistré une performance spectaculaire de +100,73%, le cours passant d'environ 1 370 FCFA à 2 750 FCFA, avec un plus haut à 3 000 FCFA et un plus bas à 1 370 FCFA — soit un range de trading de plus du double. Cette progression exceptionnelle contraste toutefois avec la dernière séance, qui affiche un repli de -2,65%, signalant une possible prise de bénéfices après le rallye. La tendance générale est donc nettement haussière sur la période, mais la dynamique récente montre un essoufflement. Les statistiques descriptives révèlent une moyenne de 2 182 FCFA légèrement inférieure à la médiane de 2 198 FCFA, avec un mode à 1 990 FCFA — l'écart faible entre moyenne et médiane (16 FCFA) indique une distribution quasi-symétrique, confirmée par le skewness de 0,302 (distribution symétrique). L'écart-type de 368 FCFA avec un coefficient de variation de 16,9% traduit une dispersion modérée du cours autour de sa moyenne, tandis que le kurtosis de 0,462 (mésokurtique) suggère une distribution proche de la normale, sans risque excessif de pics extrêmes. La volatilité annualisée de 56,6% classe ce titre dans la catégorie des valeurs à volatilité élevée (&gt;30%), ce qui implique un risque de perte en capital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(2 674,75 FCFA) et la MM50 (2 403,70 FCFA) se situent toutes deux sous le cours actuel de 2 750 FCFA, avec la MM20 au-dessus de la MM50 — configuration haussière classique (croisement doré). Le cours évoluant au-dessus de ses deux moyennes, la décision technique est à l'**Achat**, confirmant la tendance positive de moyen terme.</w:t>
      </w:r>
    </w:p>
    <w:p>
      <w:pPr>
        <w:spacing w:after="120" w:line="276" w:lineRule="auto"/>
      </w:pPr>
      <w:r>
        <w:t>**Bandes de Bollinger** : Le cours (2 750 FCFA) se situe dans la partie supérieure de la bande, entre la borne inférieure (2 032,99 FCFA) et la borne supérieure (3 316,51 FCFA), sans en atteindre les extrêmes. Cette position médiane-haute avec un écart-type élevé traduit une volatilité importante mais sans signal de surachat extrême, justifiant la décision **Neutre**.</w:t>
      </w:r>
    </w:p>
    <w:p>
      <w:pPr>
        <w:spacing w:after="120" w:line="276" w:lineRule="auto"/>
      </w:pPr>
      <w:r>
        <w:t>**MACD** : La valeur du MACD (141,586) est inférieure à son signal (161,348), générant un croisement baissier — la divergence négative indique un affaiblissement du momentum haussier. La décision technique est à la **Vente**, signalant que la dynamique positive s'essouffle.</w:t>
      </w:r>
    </w:p>
    <w:p>
      <w:pPr>
        <w:spacing w:after="120" w:line="276" w:lineRule="auto"/>
      </w:pPr>
      <w:r>
        <w:t>**RSI** : À 63,889, le RSI se situe en zone neutre-haute (entre 30 et 70), sans atteindre le seuil de surachat de 70. Cela indique que le titre conserve une certaine marge de progression avant de devenir techniquement suracheté, justifiant la décision **Neutre**.</w:t>
      </w:r>
    </w:p>
    <w:p>
      <w:pPr>
        <w:spacing w:after="120" w:line="276" w:lineRule="auto"/>
      </w:pPr>
      <w:r>
        <w:t>**Stochastique** : Le %K (50,0) est légèrement inférieur au %D (54,637), sans croisement net, et les deux oscillateurs évoluent en zone médiane. Cette configuration neutre n'apporte pas de signal directionnel clair, justifiant la décision **Neutre**.</w:t>
      </w:r>
    </w:p>
    <w:p>
      <w:pPr>
        <w:spacing w:after="120" w:line="276" w:lineRule="auto"/>
      </w:pPr>
      <w:r>
        <w:t>**Conclusion technique** : Les indicateurs présentent une divergence préoccupante — les moyennes mobiles restent haussières (Achat) tandis que le MACD génère un signal de vente, et les trois autres indicateurs (Bollinger, RSI, Stochastique) sont neutres. Cette configuration suggère que la tendance haussière de fond demeure intacte mais que le momentum à court terme s'affaiblit, avec un risque de consolidation voire de correction après le rallye de +100%. La prudence est de mise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(source : brvm_donnees_financieres) révèlent une société affichant un chiffre d'affaires de 5,139 milliards FCFA, un résultat net de 2,037 milliards FCFA, un ROE exceptionnel de 35,39% (&gt;15% = excellent) et un ROA de 27,25% — des niveaux de rentabilité remarquables. Toutefois, le taux de croissance du CA est négatif à -23,80%, signalant une contraction préoccupante de l'activité commerciale. La structure financière est très saine : autonomie financière de 77,01%, solvabilité générale de 435,02%, liquidité générale de 448,86% et trésorerie nette positive de 4,196 milliards FCFA. En tant qu'entreprise du secteur de l'édition, les délais d'exploitation méritent attention : le délai clients de 154,72 jours est élevé (risque de trésorerie), le délai fournisseurs de 69,56 jours est favorable, et la durée de stockage de 54,49 jours reste maîtrisée. Le BFR de 1,498 milliard FCFA et le fonds de roulement de 5,693 milliards FCFA confirment une bonne couverture des besoins. Les rapports narratifs apportent un éclairage contrasté : le rapport T3 2025 (daté du 30/09/2025) indique un CA de 3 406 millions FCFA en baisse de 35% sur un an, mais un résultat net exceptionnel de 1 596 millions FCFA (+125%) dû à la reprise d'une provision pour redressement fiscal — un élément non récurrent qui masque la réalité opérationnelle. Le rapport T1 2026 (daté de 2026) montre une forte croissance du CA (+137% à 115,1 millions FCFA) mais une perte nette persistante de -168,9 millions FCFA, bien qu'en amélioration. Le rapport annuel 2025 (daté de 2025) fait état d'un résultat net de 2,04 milliards FCFA (+169%) et d'un dividende généreux de 2,04 milliards FCFA (100% du résultat net). **On estime** que si la dynamique du T1 2026 se poursuit, l'exercice 2026 pourrait renouer avec une croissance durable, mais la saisonnalité de l'activité (revenus concentrés au second semestre) et la dépendance aux marchés publics restent des risques majeurs. La recommandation fondamentale est de **CONSERVER** avec vigilance : la solidité financière et la rentabilité sont indéniables, mais la durabilité de la performance et la valorisation exigeante (P/B 6,10x, EV/EBITDA 26,0x)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**Valorisation (Partie 0)** : le PER de 17,2x et surtout le P/B de 6,10x et l'EV/EBITDA de 26,0x indiquent une surévaluation manifeste par rapport aux fondamentaux opérationnels, le marché anticipant une croissance qui tarde à se matérialiser. **Comportement du cours (Partie 1)** : la hausse de +100,73% sur 100 jours est exceptionnelle mais la volatilité annualisée de 56,6% et le repli de -2,65% en dernière séance signalent un essoufflement, tandis que le kurtosis (0,462) et le skewness (0,302) indiquent une distribution normale sans risque extrême. **Signaux techniques (Partie 2)** : divergence entre les moyennes mobiles haussières et le MACD baissier, avec trois indicateurs neutres — configuration de consolidation attendue. **Fondamentaux (Partie 3)** : la société affiche une rentabilité exceptionnelle (ROE 35,39%, ROA 27,25%) et une structure financière très saine (autonomie 77,01%), mais le CA est en recul de -23,80% en 2025 et les rapports T1 2026 montrent des pertes persistantes malgré la croissance. **Prédictions IA (J+1 à J+10)** : la trajectoire prévue est baissière, passant de 2 715 FCFA à 2 570 FCFA, confirmant l'essoufflement technique et la prise de bénéfices. Sur la base de cette synthèse globale, la recommandation finale est **CONSERVER**, avec un niveau de confiance **Moyen** et un niveau de risque **Élevé**. La convergence entre la valorisation exigeante, le signal de vente du MACD, la baisse prédite par l'IA et les défis opérationnels (CA en recul, pertes trimestrielles) plaide contre un achat à ces niveaux, tandis que la solidité financière et la rentabilité exceptionnelle justifient de ne pas vendre. L'horizon d'investissement optimal est **moyen terme (3-12 mois)**, en attendant des signaux clairs de redressement durable du chiffre d'affaires et une normalisation de la valorisation.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603.52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2,476 titres</w:t>
            </w:r>
          </w:p>
        </w:tc>
        <w:tc>
          <w:tcPr>
            <w:tcW w:type="dxa" w:w="2268"/>
            <w:shd w:fill="FFF2CC" w:val="clear"/>
          </w:tcPr>
          <w:p>
            <w:r>
              <w:rPr>
                <w:b/>
                <w:color w:val="503200"/>
                <w:sz w:val="16"/>
              </w:rPr>
              <w:t xml:space="preserve">Cours actuel : </w:t>
            </w:r>
            <w:r>
              <w:rPr>
                <w:color w:val="000000"/>
                <w:sz w:val="17"/>
              </w:rPr>
              <w:t>24,400 FCFA</w:t>
            </w:r>
          </w:p>
          <w:p>
            <w:r>
              <w:rPr>
                <w:b/>
                <w:color w:val="503200"/>
                <w:sz w:val="16"/>
              </w:rPr>
              <w:t xml:space="preserve">Var. 100 jours : </w:t>
            </w:r>
            <w:r>
              <w:rPr>
                <w:b/>
                <w:color w:val="007800"/>
                <w:sz w:val="17"/>
              </w:rPr>
              <w:t>+73.67%</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29.5/100 → Moyen</w:t>
      </w:r>
    </w:p>
    <w:p>
      <w:pPr>
        <w:spacing w:before="40" w:after="80"/>
      </w:pPr>
      <w:r>
        <w:rPr>
          <w:rFonts w:ascii="Courier New" w:hAnsi="Courier New"/>
          <w:color w:val="825A00"/>
          <w:sz w:val="18"/>
        </w:rPr>
        <w:t>█████░░░░░░░░░░░░░░░  29.5/100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17.42% (Élevée) — μ=19,910 FCFA, σ=3,468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β=1.3148 (Agressif) — Cov=0.000046, Var(idx)=0.000035, ρ=0.310,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23,601</w:t>
            </w:r>
          </w:p>
        </w:tc>
        <w:tc>
          <w:tcPr>
            <w:tcW w:type="dxa" w:w="1440"/>
            <w:shd w:fill="FAFAFA" w:val="clear"/>
          </w:tcPr>
          <w:p>
            <w:r>
              <w:rPr>
                <w:b/>
                <w:sz w:val="17"/>
              </w:rPr>
              <w:t>24,292</w:t>
            </w:r>
          </w:p>
        </w:tc>
        <w:tc>
          <w:tcPr>
            <w:tcW w:type="dxa" w:w="1440"/>
            <w:shd w:fill="FAFAFA" w:val="clear"/>
          </w:tcPr>
          <w:p>
            <w:r>
              <w:rPr>
                <w:sz w:val="17"/>
              </w:rPr>
              <w:t>24,984</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23,293</w:t>
            </w:r>
          </w:p>
        </w:tc>
        <w:tc>
          <w:tcPr>
            <w:tcW w:type="dxa" w:w="1440"/>
            <w:shd w:fill="FAFAFA" w:val="clear"/>
          </w:tcPr>
          <w:p>
            <w:r>
              <w:rPr>
                <w:b/>
                <w:sz w:val="17"/>
              </w:rPr>
              <w:t>24,270</w:t>
            </w:r>
          </w:p>
        </w:tc>
        <w:tc>
          <w:tcPr>
            <w:tcW w:type="dxa" w:w="1440"/>
            <w:shd w:fill="FAFAFA" w:val="clear"/>
          </w:tcPr>
          <w:p>
            <w:r>
              <w:rPr>
                <w:sz w:val="17"/>
              </w:rPr>
              <w:t>25,247</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23,053</w:t>
            </w:r>
          </w:p>
        </w:tc>
        <w:tc>
          <w:tcPr>
            <w:tcW w:type="dxa" w:w="1440"/>
            <w:shd w:fill="FAFAFA" w:val="clear"/>
          </w:tcPr>
          <w:p>
            <w:r>
              <w:rPr>
                <w:b/>
                <w:sz w:val="17"/>
              </w:rPr>
              <w:t>24,249</w:t>
            </w:r>
          </w:p>
        </w:tc>
        <w:tc>
          <w:tcPr>
            <w:tcW w:type="dxa" w:w="1440"/>
            <w:shd w:fill="FAFAFA" w:val="clear"/>
          </w:tcPr>
          <w:p>
            <w:r>
              <w:rPr>
                <w:sz w:val="17"/>
              </w:rPr>
              <w:t>25,445</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22,857</w:t>
            </w:r>
          </w:p>
        </w:tc>
        <w:tc>
          <w:tcPr>
            <w:tcW w:type="dxa" w:w="1440"/>
            <w:shd w:fill="FAFAFA" w:val="clear"/>
          </w:tcPr>
          <w:p>
            <w:r>
              <w:rPr>
                <w:b/>
                <w:sz w:val="17"/>
              </w:rPr>
              <w:t>24,237</w:t>
            </w:r>
          </w:p>
        </w:tc>
        <w:tc>
          <w:tcPr>
            <w:tcW w:type="dxa" w:w="1440"/>
            <w:shd w:fill="FAFAFA" w:val="clear"/>
          </w:tcPr>
          <w:p>
            <w:r>
              <w:rPr>
                <w:sz w:val="17"/>
              </w:rPr>
              <w:t>25,617</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22,685</w:t>
            </w:r>
          </w:p>
        </w:tc>
        <w:tc>
          <w:tcPr>
            <w:tcW w:type="dxa" w:w="1440"/>
            <w:shd w:fill="FAFAFA" w:val="clear"/>
          </w:tcPr>
          <w:p>
            <w:r>
              <w:rPr>
                <w:b/>
                <w:sz w:val="17"/>
              </w:rPr>
              <w:t>24,227</w:t>
            </w:r>
          </w:p>
        </w:tc>
        <w:tc>
          <w:tcPr>
            <w:tcW w:type="dxa" w:w="1440"/>
            <w:shd w:fill="FAFAFA" w:val="clear"/>
          </w:tcPr>
          <w:p>
            <w:r>
              <w:rPr>
                <w:sz w:val="17"/>
              </w:rPr>
              <w:t>25,770</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22,530</w:t>
            </w:r>
          </w:p>
        </w:tc>
        <w:tc>
          <w:tcPr>
            <w:tcW w:type="dxa" w:w="1440"/>
            <w:shd w:fill="FAFAFA" w:val="clear"/>
          </w:tcPr>
          <w:p>
            <w:r>
              <w:rPr>
                <w:b/>
                <w:sz w:val="17"/>
              </w:rPr>
              <w:t>24,219</w:t>
            </w:r>
          </w:p>
        </w:tc>
        <w:tc>
          <w:tcPr>
            <w:tcW w:type="dxa" w:w="1440"/>
            <w:shd w:fill="FAFAFA" w:val="clear"/>
          </w:tcPr>
          <w:p>
            <w:r>
              <w:rPr>
                <w:sz w:val="17"/>
              </w:rPr>
              <w:t>25,908</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22,389</w:t>
            </w:r>
          </w:p>
        </w:tc>
        <w:tc>
          <w:tcPr>
            <w:tcW w:type="dxa" w:w="1440"/>
            <w:shd w:fill="FAFAFA" w:val="clear"/>
          </w:tcPr>
          <w:p>
            <w:r>
              <w:rPr>
                <w:b/>
                <w:sz w:val="17"/>
              </w:rPr>
              <w:t>24,212</w:t>
            </w:r>
          </w:p>
        </w:tc>
        <w:tc>
          <w:tcPr>
            <w:tcW w:type="dxa" w:w="1440"/>
            <w:shd w:fill="FAFAFA" w:val="clear"/>
          </w:tcPr>
          <w:p>
            <w:r>
              <w:rPr>
                <w:sz w:val="17"/>
              </w:rPr>
              <w:t>26,036</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22,257</w:t>
            </w:r>
          </w:p>
        </w:tc>
        <w:tc>
          <w:tcPr>
            <w:tcW w:type="dxa" w:w="1440"/>
            <w:shd w:fill="FAFAFA" w:val="clear"/>
          </w:tcPr>
          <w:p>
            <w:r>
              <w:rPr>
                <w:b/>
                <w:sz w:val="17"/>
              </w:rPr>
              <w:t>24,206</w:t>
            </w:r>
          </w:p>
        </w:tc>
        <w:tc>
          <w:tcPr>
            <w:tcW w:type="dxa" w:w="1440"/>
            <w:shd w:fill="FAFAFA" w:val="clear"/>
          </w:tcPr>
          <w:p>
            <w:r>
              <w:rPr>
                <w:sz w:val="17"/>
              </w:rPr>
              <w:t>26,155</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22,134</w:t>
            </w:r>
          </w:p>
        </w:tc>
        <w:tc>
          <w:tcPr>
            <w:tcW w:type="dxa" w:w="1440"/>
            <w:shd w:fill="FAFAFA" w:val="clear"/>
          </w:tcPr>
          <w:p>
            <w:r>
              <w:rPr>
                <w:b/>
                <w:sz w:val="17"/>
              </w:rPr>
              <w:t>24,201</w:t>
            </w:r>
          </w:p>
        </w:tc>
        <w:tc>
          <w:tcPr>
            <w:tcW w:type="dxa" w:w="1440"/>
            <w:shd w:fill="FAFAFA" w:val="clear"/>
          </w:tcPr>
          <w:p>
            <w:r>
              <w:rPr>
                <w:sz w:val="17"/>
              </w:rPr>
              <w:t>26,268</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22,017</w:t>
            </w:r>
          </w:p>
        </w:tc>
        <w:tc>
          <w:tcPr>
            <w:tcW w:type="dxa" w:w="1440"/>
            <w:shd w:fill="FAFAFA" w:val="clear"/>
          </w:tcPr>
          <w:p>
            <w:r>
              <w:rPr>
                <w:b/>
                <w:sz w:val="17"/>
              </w:rPr>
              <w:t>24,195</w:t>
            </w:r>
          </w:p>
        </w:tc>
        <w:tc>
          <w:tcPr>
            <w:tcW w:type="dxa" w:w="1440"/>
            <w:shd w:fill="FAFAFA" w:val="clear"/>
          </w:tcPr>
          <w:p>
            <w:r>
              <w:rPr>
                <w:sz w:val="17"/>
              </w:rPr>
              <w:t>26,374</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603,52 milliards FCFA, NSBC s'impose comme l'une des valeurs bancaires les plus importantes de la cote BRVM, reflétant la solidité et la taille critique de l'établissement dans la zone UEMOA. Le BPA de 1 646 FCFA/action signifie que chaque titre détenu génère près de 1 646 FCFA de bénéfice net, un niveau élevé qui traduit la forte rentabilité de la banque. Le PER de 14,8x indique que les investisseurs paient environ 15 fois les bénéfices annuels, ce qui est modérément supérieur à la moyenne du marché BRVM (8-12x), suggérant une prime de qualité justifiée par la croissance, mais qui limite la marge de sécurité. Le P/B de 2,59x montre que le marché valorise NSBC à plus de 2,5 fois sa valeur comptable, une prime de croissance significative accordée aux banques les plus performantes. Enfin, l'EV/EBITDA de 22,1x, très exigeant (&gt;15x), signale que la valeur d'entreprise intègre déjà des anticipations de croissance élevées, ce qui réduit le potentiel d'appréciation à court terme et expose le titre à une correction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variation spectaculaire de **+73,67%**, avec une dernière séance en hausse de **+1,67%**, confirmant une dynamique haussière toujours active. Le cours actuel de 24 400 FCFA se situe dans la partie haute du range de trading, le plus haut ayant atteint 24 885 FCFA et le plus bas 13 810 FCFA — soit un écart de plus de 11 000 FCFA qui témoigne d'un mouvement directionnel puissant. La tendance générale est donc clairement haussière, portée par des fondamentaux solides et un intérêt croissant des investisseurs pour la valeur. Les statistiques descriptives révèlent une moyenne de 19 910 FCFA légèrement inférieure à la médiane de 19 992 FCFA, avec un mode à 13 900 FCFA — cet écart entre moyenne et médiane, bien que faible, suggère une distribution légèrement asymétrique avec quelques journées de forte hausse qui tirent la moyenne vers le bas par rapport à la médiane. L'écart-type de 3 486 FCFA (CV = 17,5%) indique une dispersion modérée du cours autour de sa moyenne, tandis que le kurtosis de -0,972 (mésokurtique) signifie que la distribution est proche d'une loi normale, sans risque excessif de pics extrêmes. Le skewness de -0,541 (asymétrie négative) indique qu'il y a eu plus de journées de hausse au-dessus de la moyenne que de journées de baisse en dessous, ce qui est cohérent avec la tendance haussière observée. Enfin, la volatilité annualisée de 39,6% positionne le titre dans la catégorie des valeurs à volatilité élevée (&gt;30%), ce qui implique un risque de correction significatif et nécessite une tolérance au risque adaptée.</w:t>
      </w:r>
    </w:p>
    <w:p>
      <w:pPr>
        <w:spacing w:after="120" w:line="276" w:lineRule="auto"/>
      </w:pPr>
      <w:r>
        <w:t>---</w:t>
      </w:r>
    </w:p>
    <w:p>
      <w:pPr>
        <w:spacing w:after="120" w:line="276" w:lineRule="auto"/>
      </w:pPr>
      <w:r>
        <w:t>## PARTIE 2 : ANALYSE TECHNIQUE DÉTAILLÉE</w:t>
      </w:r>
    </w:p>
    <w:p>
      <w:pPr>
        <w:spacing w:after="120" w:line="276" w:lineRule="auto"/>
      </w:pPr>
      <w:r>
        <w:t>**Moyennes Mobiles** : La MM20 (23 295,5 FCFA) et la MM50 (22 830,4 FCFA) se situent toutes deux en dessous du cours actuel (24 400 FCFA), avec la MM20 au-dessus de la MM50 — configuration haussière classique. Le cours évolue au-dessus de ses deux moyennes, ce qui confirme la tendance positive et justifie la décision technique d'**Achat**. L'écart entre le cours et la MM20 (+4,7%) indique une extension modérée, sans excès majeur.</w:t>
      </w:r>
    </w:p>
    <w:p>
      <w:pPr>
        <w:spacing w:after="120" w:line="276" w:lineRule="auto"/>
      </w:pPr>
      <w:r>
        <w:t>**Bandes de Bollinger** : Le cours (24 400 FCFA) se situe à l'intérieur des bandes, proche de la borne supérieure (24 734,85 FCFA) et bien au-dessus de la borne inférieure (21 856,15 FCFA). Cette position haute reflète la force de la tendance, mais la proximité de la borne supérieure suggère une possible résistance à court terme. La décision est **Neutre**, car le cours n'a pas encore cassé la borne supérieure, ce qui aurait signalé une accélération haussière.</w:t>
      </w:r>
    </w:p>
    <w:p>
      <w:pPr>
        <w:spacing w:after="120" w:line="276" w:lineRule="auto"/>
      </w:pPr>
      <w:r>
        <w:t>**MACD** : Le MACD (423,194) est nettement au-dessus de son signal (308,702), avec un histogramme positif — configuration haussière qui indique un momentum acheteur soutenu. La divergence positive entre les deux lignes confirme la dynamique haussière en cours et justifie la décision d'**Achat**. Aucun signe de retournement n'est visible à ce stade.</w:t>
      </w:r>
    </w:p>
    <w:p>
      <w:pPr>
        <w:spacing w:after="120" w:line="276" w:lineRule="auto"/>
      </w:pPr>
      <w:r>
        <w:t>**RSI** : À 68,029, le RSI se situe juste en dessous du seuil de surachat (70), ce qui indique une dynamique haussière forte mais pas encore excessive. La décision est **Neutre**, car le RSI approche de la zone de surachat où une correction pourrait survenir, mais il n'y a pas encore de signal de vente. Une surveillance s'impose si le RSI dépasse 70.</w:t>
      </w:r>
    </w:p>
    <w:p>
      <w:pPr>
        <w:spacing w:after="120" w:line="276" w:lineRule="auto"/>
      </w:pPr>
      <w:r>
        <w:t>**Stochastique** : Le %K (79,665) est au-dessus du %D (74,773), avec les deux indicateurs en zone haute (&gt;80 pour le %K, proche de 80 pour le %D). Cette configuration indique une pression acheteuse persistante, mais la proximité de la zone de surachat (80) suggère une possible saturation. La décision est **Neutre**, car le croisement %K/%D reste haussier mais le risque de correction augmente.</w:t>
      </w:r>
    </w:p>
    <w:p>
      <w:pPr>
        <w:spacing w:after="120" w:line="276" w:lineRule="auto"/>
      </w:pPr>
      <w:r>
        <w:t>**Conclusion technique** : Les indicateurs techniques sont majoritairement haussiers (MM, MACD) avec une décision d'achat claire, tandis que le RSI et le stochastique sont neutres en raison de leur proximité avec les zones de surachat. Cette configuration suggère que la tendance haussière reste intacte mais que le titre pourrait connaître une consolidation à court terme avant de reprendre sa progression. La convergence des signaux haussiers (MM, MACD) et la neutralité des oscillateurs (RSI, Stochastique) plaident pour un maintien de la position avec une vigilance accrue sur les niveaux de surachat.</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NSIA Banque Côte d'Ivoire a réalisé un Produit Net Bancaire (PNB) de **112,928 milliards FCFA**, en croissance de **15,45%** par rapport à 2024 (97,8 milliards FCFA), portée par une marge d'intérêts en hausse de 26% à 79,8 milliards FCFA. Le résultat net s'établit à **40,712 milliards FCFA**, en progression de 7% (contre 38,1 milliards en 2024), avec une marge nette de **36,05%** — un niveau exceptionnel qui témoigne d'une excellente maîtrise des charges. Le ROE atteint **17,45%** (&gt;15% = excellent) et le ROA **1,32%**, confirmant la rentabilité élevée des fonds propres et des actifs. Le coefficient d'exploitation de **54,59%** (&lt;60%) indique une banque efficace, avec une amélioration de 5,1 points sur un an. Le coût du risque (7,54% des charges financières) reste élevé, reflétant une dégradation des provisions pour créances douteuses (passées de +0,6 milliard en 2024 à -8,5 milliards en 2025), ce qui constitue le principal point de vigilance. Le ratio dépôts/crédits s'établit à 2 242,2/1 818,7 = **123%**, indiquant une surliquidité et une capacité de transformation maîtrisée, tandis que les créances interbancaires (252,8 milliards FCFA) et les dettes interbancaires (491,6 milliards FCFA) reflètent une activité de marché active.</w:t>
      </w:r>
    </w:p>
    <w:p>
      <w:pPr>
        <w:spacing w:after="120" w:line="276" w:lineRule="auto"/>
      </w:pPr>
      <w:r>
        <w:t>**Estimations basées sur les rapports trimestriels** : Le rapport du **T1 2026 (publié le 31/03/2026)** révèle une accélération spectaculaire avec un PNB de 28,6 milliards FCFA (+28%) et un résultat net de 10,9 milliards FCFA (+53%), tiré par l'activité titres et une maîtrise du coût du risque. Sur cette base, on peut estimer que l'exercice 2026 devrait enregistrer un PNB supérieur à 125 milliards FCFA et un résultat net dépassant 45 milliards FCFA si la dynamique se maintient. Le rapport du **T3 2025 (30/09/2025)** confirme la solidité de la trajectoire avec un PNB de 77,4 milliards FCFA (+7%) et un résultat net de 25,0 milliards FCFA (+6%), tandis que le **S1 2025 (30/06/2025)** affichait déjà un PNB de 50,5 milliards FCFA (+10,6%) et un résultat net de 16,3 milliards FCFA (+12,3%). L'évolution temporelle montre une accélération progressive : T1 2025 (PNB +2,5%), S1 2025 (+10,6%), T3 2025 (+7%), T1 2026 (+28%), ce qui suggère une dynamique commerciale de plus en plus forte.</w:t>
      </w:r>
    </w:p>
    <w:p>
      <w:pPr>
        <w:spacing w:after="120" w:line="276" w:lineRule="auto"/>
      </w:pPr>
      <w:r>
        <w:t>**Recommandation fondamentale** : NSBC affiche une solidité financière remarquable avec une rentabilité élevée (ROE 17,45%, marge nette 36%), une efficacité opérationnelle en amélioration (coefficient d'exploitation 54,6%) et une croissance soutenue du PNB (+15,45% en 2025, +28% au T1 2026). Les principaux risques sont la dégradation du coût du risque (-8,5 milliards en 2025) et la concentration de la performance sur l'activité titres, potentiellement volatile. La surliquidité (ratio dépôts/crédits de 123%) constitue un matelas de sécurité mais aussi un manque à gagner en termes de rendement des actifs. La recommandation fondamentale est **CONSERVER**, avec un biais positif, en attendant la confirmation de la tendance au T2 2026 et des précisions sur la politique de dividende.</w:t>
      </w:r>
    </w:p>
    <w:p>
      <w:pPr>
        <w:spacing w:after="120" w:line="276" w:lineRule="auto"/>
      </w:pPr>
      <w:r>
        <w:t>---</w:t>
      </w:r>
    </w:p>
    <w:p>
      <w:pPr>
        <w:spacing w:after="120" w:line="276" w:lineRule="auto"/>
      </w:pPr>
      <w:r>
        <w:t>## PARTIE 4 : CONCLUSION D'INVESTISSEMENT</w:t>
      </w:r>
    </w:p>
    <w:p>
      <w:pPr>
        <w:spacing w:after="120" w:line="276" w:lineRule="auto"/>
      </w:pPr>
      <w:r>
        <w:t>La valorisation de NSBC (PER 14,8x, P/B 2,59x, EV/EBITDA 22,1x) indique une **surévaluation modérée** par rapport aux moyennes du marché BRVM, avec une prime de qualité déjà intégrée dans les cours, ce qui limite le potentiel d'appréciation à court terme. Le comportement du cours sur 100 jours (+73,67%) est exceptionnellement haussier, avec une volatilité élevée (39,6%) et une distribution proche de la normale (kurtosis -0,972) mais asymétrique négativement (skewness -0,541), ce qui suggère que la tendance pourrait s'essouffler après une telle performance. Les signaux techniques sont **convergents à la hausse** (MM20 &gt; MM50, cours &gt; MM, MACD &gt; Signal) mais les oscillateurs (RSI 68, Stochastique 79,7) approchent des zones de surachat, ce qui plaide pour une consolidation à court terme. Les fondamentaux sont **solides** (PNB +15,45%, résultat net +7%, ROE 17,45%, marge nette 36%) et les rapports trimestriels (T1 2026 : PNB +28%, RN +53%) confirment une accélération de la croissance, bien que le coût du risque reste un point de vigilance. Les prédictions IA pour les 10 prochains jours (24 292 → 24 227 FCFA) anticipent une **légère correction** (-0,7% sur 5 jours), ce qui contredit partiellement les signaux techniques haussiers et suggère une prise de bénéfices après le rallye. Sur la base de cette synthèse, la recommandation finale est **CONSERVER**, avec un niveau de confiance **Moyen** et un risque global **Élevé** (volatilité 39,6%, valorisation exigeante, coût du risque en hausse). L'horizon d'investissement optimal est le **moyen terme (3-12 mois)**, en attendant la publication des résultats semestriels 2026 pour confirmer la tendance et évaluer l'impact du coût du risque sur la rentabilité future. Les investisseurs déjà positionnés peuvent conserver leurs titres en surveillant les niveaux de résistance (24 885 FCFA) et de support (23 295 FCFA — MM20), tandis que les nouveaux entrants devraient attendre une consolidation vers 23 000-23 500 FCFA pour améliorer leur point d'entrée.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1,658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+40.83%</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13.31% (Moyenne) — μ=14,935 FCFA, σ=1,988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β=-0.0549 (Contre-cyclique) — Cov=-0.000002, Var(idx)=0.000035, ρ=-0.013,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16,177</w:t>
            </w:r>
          </w:p>
        </w:tc>
        <w:tc>
          <w:tcPr>
            <w:tcW w:type="dxa" w:w="1440"/>
            <w:shd w:fill="FAFAFA" w:val="clear"/>
          </w:tcPr>
          <w:p>
            <w:r>
              <w:rPr>
                <w:b/>
                <w:sz w:val="17"/>
              </w:rPr>
              <w:t>16,881</w:t>
            </w:r>
          </w:p>
        </w:tc>
        <w:tc>
          <w:tcPr>
            <w:tcW w:type="dxa" w:w="1440"/>
            <w:shd w:fill="FAFAFA" w:val="clear"/>
          </w:tcPr>
          <w:p>
            <w:r>
              <w:rPr>
                <w:sz w:val="17"/>
              </w:rPr>
              <w:t>17,585</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15,872</w:t>
            </w:r>
          </w:p>
        </w:tc>
        <w:tc>
          <w:tcPr>
            <w:tcW w:type="dxa" w:w="1440"/>
            <w:shd w:fill="FAFAFA" w:val="clear"/>
          </w:tcPr>
          <w:p>
            <w:r>
              <w:rPr>
                <w:b/>
                <w:sz w:val="17"/>
              </w:rPr>
              <w:t>16,867</w:t>
            </w:r>
          </w:p>
        </w:tc>
        <w:tc>
          <w:tcPr>
            <w:tcW w:type="dxa" w:w="1440"/>
            <w:shd w:fill="FAFAFA" w:val="clear"/>
          </w:tcPr>
          <w:p>
            <w:r>
              <w:rPr>
                <w:sz w:val="17"/>
              </w:rPr>
              <w:t>17,862</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15,642</w:t>
            </w:r>
          </w:p>
        </w:tc>
        <w:tc>
          <w:tcPr>
            <w:tcW w:type="dxa" w:w="1440"/>
            <w:shd w:fill="FAFAFA" w:val="clear"/>
          </w:tcPr>
          <w:p>
            <w:r>
              <w:rPr>
                <w:b/>
                <w:sz w:val="17"/>
              </w:rPr>
              <w:t>16,860</w:t>
            </w:r>
          </w:p>
        </w:tc>
        <w:tc>
          <w:tcPr>
            <w:tcW w:type="dxa" w:w="1440"/>
            <w:shd w:fill="FAFAFA" w:val="clear"/>
          </w:tcPr>
          <w:p>
            <w:r>
              <w:rPr>
                <w:sz w:val="17"/>
              </w:rPr>
              <w:t>18,078</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15,449</w:t>
            </w:r>
          </w:p>
        </w:tc>
        <w:tc>
          <w:tcPr>
            <w:tcW w:type="dxa" w:w="1440"/>
            <w:shd w:fill="FAFAFA" w:val="clear"/>
          </w:tcPr>
          <w:p>
            <w:r>
              <w:rPr>
                <w:b/>
                <w:sz w:val="17"/>
              </w:rPr>
              <w:t>16,855</w:t>
            </w:r>
          </w:p>
        </w:tc>
        <w:tc>
          <w:tcPr>
            <w:tcW w:type="dxa" w:w="1440"/>
            <w:shd w:fill="FAFAFA" w:val="clear"/>
          </w:tcPr>
          <w:p>
            <w:r>
              <w:rPr>
                <w:sz w:val="17"/>
              </w:rPr>
              <w:t>18,262</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15,279</w:t>
            </w:r>
          </w:p>
        </w:tc>
        <w:tc>
          <w:tcPr>
            <w:tcW w:type="dxa" w:w="1440"/>
            <w:shd w:fill="FAFAFA" w:val="clear"/>
          </w:tcPr>
          <w:p>
            <w:r>
              <w:rPr>
                <w:b/>
                <w:sz w:val="17"/>
              </w:rPr>
              <w:t>16,851</w:t>
            </w:r>
          </w:p>
        </w:tc>
        <w:tc>
          <w:tcPr>
            <w:tcW w:type="dxa" w:w="1440"/>
            <w:shd w:fill="FAFAFA" w:val="clear"/>
          </w:tcPr>
          <w:p>
            <w:r>
              <w:rPr>
                <w:sz w:val="17"/>
              </w:rPr>
              <w:t>18,423</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15,125</w:t>
            </w:r>
          </w:p>
        </w:tc>
        <w:tc>
          <w:tcPr>
            <w:tcW w:type="dxa" w:w="1440"/>
            <w:shd w:fill="FAFAFA" w:val="clear"/>
          </w:tcPr>
          <w:p>
            <w:r>
              <w:rPr>
                <w:b/>
                <w:sz w:val="17"/>
              </w:rPr>
              <w:t>16,846</w:t>
            </w:r>
          </w:p>
        </w:tc>
        <w:tc>
          <w:tcPr>
            <w:tcW w:type="dxa" w:w="1440"/>
            <w:shd w:fill="FAFAFA" w:val="clear"/>
          </w:tcPr>
          <w:p>
            <w:r>
              <w:rPr>
                <w:sz w:val="17"/>
              </w:rPr>
              <w:t>18,568</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14,983</w:t>
            </w:r>
          </w:p>
        </w:tc>
        <w:tc>
          <w:tcPr>
            <w:tcW w:type="dxa" w:w="1440"/>
            <w:shd w:fill="FAFAFA" w:val="clear"/>
          </w:tcPr>
          <w:p>
            <w:r>
              <w:rPr>
                <w:b/>
                <w:sz w:val="17"/>
              </w:rPr>
              <w:t>16,841</w:t>
            </w:r>
          </w:p>
        </w:tc>
        <w:tc>
          <w:tcPr>
            <w:tcW w:type="dxa" w:w="1440"/>
            <w:shd w:fill="FAFAFA" w:val="clear"/>
          </w:tcPr>
          <w:p>
            <w:r>
              <w:rPr>
                <w:sz w:val="17"/>
              </w:rPr>
              <w:t>18,700</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14,850</w:t>
            </w:r>
          </w:p>
        </w:tc>
        <w:tc>
          <w:tcPr>
            <w:tcW w:type="dxa" w:w="1440"/>
            <w:shd w:fill="FAFAFA" w:val="clear"/>
          </w:tcPr>
          <w:p>
            <w:r>
              <w:rPr>
                <w:b/>
                <w:sz w:val="17"/>
              </w:rPr>
              <w:t>16,837</w:t>
            </w:r>
          </w:p>
        </w:tc>
        <w:tc>
          <w:tcPr>
            <w:tcW w:type="dxa" w:w="1440"/>
            <w:shd w:fill="FAFAFA" w:val="clear"/>
          </w:tcPr>
          <w:p>
            <w:r>
              <w:rPr>
                <w:sz w:val="17"/>
              </w:rPr>
              <w:t>18,824</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14,726</w:t>
            </w:r>
          </w:p>
        </w:tc>
        <w:tc>
          <w:tcPr>
            <w:tcW w:type="dxa" w:w="1440"/>
            <w:shd w:fill="FAFAFA" w:val="clear"/>
          </w:tcPr>
          <w:p>
            <w:r>
              <w:rPr>
                <w:b/>
                <w:sz w:val="17"/>
              </w:rPr>
              <w:t>16,833</w:t>
            </w:r>
          </w:p>
        </w:tc>
        <w:tc>
          <w:tcPr>
            <w:tcW w:type="dxa" w:w="1440"/>
            <w:shd w:fill="FAFAFA" w:val="clear"/>
          </w:tcPr>
          <w:p>
            <w:r>
              <w:rPr>
                <w:sz w:val="17"/>
              </w:rPr>
              <w:t>18,939</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14,608</w:t>
            </w:r>
          </w:p>
        </w:tc>
        <w:tc>
          <w:tcPr>
            <w:tcW w:type="dxa" w:w="1440"/>
            <w:shd w:fill="FAFAFA" w:val="clear"/>
          </w:tcPr>
          <w:p>
            <w:r>
              <w:rPr>
                <w:b/>
                <w:sz w:val="17"/>
              </w:rPr>
              <w:t>16,828</w:t>
            </w:r>
          </w:p>
        </w:tc>
        <w:tc>
          <w:tcPr>
            <w:tcW w:type="dxa" w:w="1440"/>
            <w:shd w:fill="FAFAFA" w:val="clear"/>
          </w:tcPr>
          <w:p>
            <w:r>
              <w:rPr>
                <w:sz w:val="17"/>
              </w:rPr>
              <w:t>19,048</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NTLC (Nestlé Côte d'Ivoire S.A.)</w:t>
        <w:br/>
        <w:t>**Bourse Régionale des Valeurs Mobilières (BRVM) — Secteur : Entreprise (Biens de consommation)**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**372,99 milliards FCFA**, NTLC figure parmi les valeurs les plus capitalisées de la BRVM, ce qui en fait un pilier de l'indice BRVM Composite et un titre de référence pour les investisseurs institutionnels. Le **BPA de 835 FCFA/action** traduit la capacité bénéficiaire unitaire du titre, tandis que le **PER de 20,2x** signale que les investisseurs paient environ 20 fois les bénéfices annuels, soit une prime très nette par rapport à la moyenne du marché BRVM (8-12x) — le marché anticipe donc une croissance soutenue ou valorise la qualité de la signature Nestlé. Le **P/B de 12,61x** (largement supérieur au seuil de 4x) confirme cette valorisation exigeante : le marché paie plus de 12 fois la valeur comptable des fonds propres, ce qui est caractéristique d'une entreprise à forte rentabilité (ROE de 62,3%) mais laisse peu de marge de sécurité en cas de déception. Enfin, l'**EV/EBITDA de 10,0x**, situé dans la fourchette raisonnable de 5-10x, tempère le tableau en montrant que la valeur totale de l'entreprise reste cohérente avec sa capacité opérationnelle de génération de cash. Globalement, la valorisation est **exigeante mais justifiée par la qualité des fondamentaux**, avec un risque de correction si la croissance venait à s'essouffler.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**variation totale de +40,83%**, portée par une dernière séance positive de **+1,20%**, ce qui témoigne d'une dynamique haussière robuste et d'un momentum acheteur toujours présent à court terme. Le cours actuel de **16 900 FCFA** se situe dans la partie haute du range de trading, le plus haut ayant atteint **18 000 FCFA** et le plus bas **11 150 FCFA**, soit un écart de près de 61% entre les deux extrêmes — un range particulièrement large qui traduit une forte amplitude de négociation. La tendance générale est donc **nettement haussière**, avec une accélération marquée sur la période récente. Les statistiques descriptives révèlent une **moyenne de 14 935 FCFA** inférieure à la **médiane de 15 850 FCFA**, ce qui indique une distribution légèrement tirée vers le bas par les séances de faible cours, tandis que le **mode à 16 900 FCFA** (égal au cours actuel) suggère que ce niveau constitue un point d'équilibre fréquent. L'**écart-type de 1 998 FCFA** avec un **CV de 13,4%** indique une dispersion modérée du cours autour de sa moyenne, cohérente avec un titre liquide et suivi. Le **kurtosis de -1,315 (platykurtique)** signale une distribution aplatie avec un risque de pics extrêmes plus faible qu'une loi normale, tandis que le **skewness de -0,481** (proche de la symétrie, légèrement négatif) indique une asymétrie modérée vers les valeurs basses. Enfin, la **volatilité annualisée de 39,1%** positionne NTLC dans la catégorie des titres à **volatilité élevée (&gt;30%)**, ce qui implique un risque de fluctuation important et justifie une approche prudente en matière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**16 913,75 FCFA** et la MM50 à **16 631,3 FCFA**, toutes deux inférieures au cours actuel de 16 900 FCFA pour la MM20 (léger écart) et nettement en-dessous pour la MM50. Cette configuration — cours au-dessus des deux moyennes, avec MM20 &gt; MM50 — est typique d'une **tendance haussière confirmée**, justifiant la décision technique **Achat**. Le croisement des moyennes (golden cross) reste favorable tant que le cours se maintient au-dessus de la MM50.</w:t>
      </w:r>
    </w:p>
    <w:p>
      <w:pPr>
        <w:spacing w:after="120" w:line="276" w:lineRule="auto"/>
      </w:pPr>
      <w:r>
        <w:t>**Bandes de Bollinger** : La borne supérieure est à **17 798,36 FCFA** et la borne inférieure à **16 029,14 FCFA**, avec un cours actuel de 16 900 FCFA positionné légèrement au-dessus du centre de la bande. L'amplitude des bandes (environ 1 769 FCFA) reflète une volatilité modérée à court terme, et la position du cours — ni en surachat ni en survente — justifie la décision **Neutre**. Un franchissement de la borne supérieure serait un signal d'accélération haussière, tandis qu'une cassure de la borne inférieure signalerait un retournement.</w:t>
      </w:r>
    </w:p>
    <w:p>
      <w:pPr>
        <w:spacing w:after="120" w:line="276" w:lineRule="auto"/>
      </w:pPr>
      <w:r>
        <w:t>**MACD** : La valeur du MACD est de **95,26** contre un signal à **121,006**, soit un MACD **inférieur à son signal** — configuration baissière qui traduit un **essoufflement du momentum haussier** malgré la tendance de fond positive. La décision technique **Vente** est cohérente avec cette divergence négative, qui suggère que la dynamique acheteuse perd de sa vigueur et qu'une consolidation pourrait intervenir à court terme.</w:t>
      </w:r>
    </w:p>
    <w:p>
      <w:pPr>
        <w:spacing w:after="120" w:line="276" w:lineRule="auto"/>
      </w:pPr>
      <w:r>
        <w:t>**RSI** : À **49,184**, le RSI se situe exactement dans la zone neutre (30-70), sans signal de surachat (&gt;70) ni de survente (&lt;30). Cette position médiane indique un **équilibre entre acheteurs et vendeurs**, justifiant la décision **Neutre**. Le RSI ne fournit donc pas de signal directionnel fort à ce stade, laissant la prime aux autres indicateurs.</w:t>
      </w:r>
    </w:p>
    <w:p>
      <w:pPr>
        <w:spacing w:after="120" w:line="276" w:lineRule="auto"/>
      </w:pPr>
      <w:r>
        <w:t>**Stochastique** : Le %K est à **47,619** et le %D à **44,286**, avec un %K légèrement supérieur au %D — configuration haussière naissante mais sans croisement franc. Les deux valeurs se situent dans la zone neutre (autour de 50), justifiant la décision **Neutre**. Un croisement durable du %K au-dessus du %D avec sortie de la zone 20-80 serait nécessaire pour confirmer un signal d'achat.</w:t>
      </w:r>
    </w:p>
    <w:p>
      <w:pPr>
        <w:spacing w:after="120" w:line="276" w:lineRule="auto"/>
      </w:pPr>
      <w:r>
        <w:t>**Conclusion technique** : Les indicateurs techniques présentent un tableau **mitigé**. La tendance de fond reste haussière (cours &gt; MM20 &gt; MM50), mais le MACD en divergence baissière et le RSI neutre suggèrent un **essoufflement du momentum à court terme**. Les Bandes de Bollinger et le Stochastique confirment cette absence de signal directionnel fort. La convergence des signaux pointe vers une **phase de consolidation probable** avant une reprise ou un retournement, justifiant une prudence tactique malgré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Nestlé Côte d'Ivoire a réalisé un **chiffre d'affaires de 233,261 milliards FCFA**, en croissance de **+5,97%** par rapport à 2024 (220,113 milliards FCFA), confirmant la dynamique commerciale de l'entreprise. Le **résultat net s'établit à 18,427 milliards FCFA**, en légère progression de **+1,53%** (contre 18,150 milliards en 2024), avec une **marge nette de 7,90%** (en légère baisse par rapport aux 8,25% de 2024). La rentabilité des fonds propres (**ROE**) atteint un niveau exceptionnel de **62,28%**, bien au-dessus du seuil de 15% considéré comme excellent, tandis que le **ROA de 9,70%** traduit une bonne efficacité dans l'utilisation des actifs. La **rotation des actifs de 122,80%** (CA/Total actif) indique une forte intensité commerciale.</w:t>
      </w:r>
    </w:p>
    <w:p>
      <w:pPr>
        <w:spacing w:after="120" w:line="276" w:lineRule="auto"/>
      </w:pPr>
      <w:r>
        <w:t>**Adaptation au secteur Entreprise** : L'analyse du bilan 2025 révèle des **créances clients de 48,141 milliards FCFA** et des **stocks de 38,482 milliards FCFA**, avec un **délai client de 74,30 jours** et une **durée de stockage de 59,39 jours** — des niveaux élevés qui immobilisent du capital et exposent l'entreprise à un risque de trésorerie. Le **BFR de 22,625 milliards FCFA** (positif) et un **fonds de roulement négatif de -24,206 milliards FCFA** traduisent une **tension sur la trésorerie**, confirmée par une **trésorerie nette de -46,831 milliards FCFA**. La structure financière est déséquilibrée : **autonomie financière de 15,58%** (bien en-dessous du seuil sain de 30%), **ratio d'endettement de 135,85%** et **liquidité générale de 79,86%** (&lt;1, insuffisante). La **couverture des intérêts de 473,63%** reste confortable, mais la **dépendance financière de 84,42%** constitue un point de vigilance majeur.</w:t>
      </w:r>
    </w:p>
    <w:p>
      <w:pPr>
        <w:spacing w:after="120" w:line="276" w:lineRule="auto"/>
      </w:pPr>
      <w:r>
        <w:t>**Estimations basées sur les rapports trimestriels** : Le **rapport T1 2026 (arrêté au 31 mars 2026)** révèle une **accélération spectaculaire** : le chiffre d'affaires bondit de **+31% à 70,822 milliards FCFA** et le résultat net de **+37% à 7,526 milliards FCFA**, avec une **marge nette en amélioration à 10,6%** (contre 10,1% au T1 2025). Sur cette base, on peut **estimer** que l'exercice 2026 devrait afficher une croissance annuelle du CA supérieure à 15% (si la dynamique se maintient), avec un résultat net potentiellement supérieur à 22 milliards FCFA. Le **rapport 2025 (exercice clos le 31 décembre 2025)** confirme la solidité du modèle mais signale une **hausse des frais financiers de +25,8% à 7,957 milliards FCFA** et une **réduction du dividende à 9,270 milliards FCFA** (payout de 50,3% contre 99,7% en 2024), traduisant une stratégie de **réinvestissement** (report à nouveau de 9,22 milliards FCFA). Le **rapport T3 2025 (30 septembre 2025)** avait montré une **baisse de -21,3% du résultat net** sur 9 mois, avant le rebond du T4 et l'accélération du T1 2026.</w:t>
      </w:r>
    </w:p>
    <w:p>
      <w:pPr>
        <w:spacing w:after="120" w:line="276" w:lineRule="auto"/>
      </w:pPr>
      <w:r>
        <w:t>**Évolution pluriannuelle** : Entre 2023 et 2025, le CA est passé de 203,62 à 233,261 milliards FCFA (+14,6% cumulé), tandis que le résultat net progressait de 16,56 à 18,427 milliards FCFA (+11,3%). La **marge nette s'est toutefois légèrement érodée** (8,13% en 2023 → 7,90% en 2025), sous l'effet de la hausse des coûts des matières premières et des charges financières. Le **rapport 2024 (états financiers au 31 décembre 2024)** soulignait déjà une **politique de dividende quasi-intégrale** (99,7%), avant le changement de cap en 2025.</w:t>
      </w:r>
    </w:p>
    <w:p>
      <w:pPr>
        <w:spacing w:after="120" w:line="276" w:lineRule="auto"/>
      </w:pPr>
      <w:r>
        <w:t>**Recommandation fondamentale** : NTLC présente une **solidité fondamentale incontestable** (ROE &gt;60%, croissance du CA, marque leader), mais des **fragilités structurelles** (endettement élevé, trésorerie nette négative, marges sous pression). L'accélération du T1 2026 est un signal très positif qui pourrait compenser ces faiblesses si elle se confirme. La recommandation fondamentale est **CONSERVER avec biais positif**, en surveillant l'évolution des marges et de l'endettement.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les ratios PER (20,2x) et P/B (12,61x) indiquent une **surévaluation relative** par rapport au marché BRVM, bien que l'EV/EBITDA (10,0x) reste raisonnable — le marché paie donc une prime de qualité qui laisse peu de marge d'erreur. Le **comportement du cours (Partie 1)** est nettement haussier (+40,83% sur 100 jours) mais avec une **volatilité élevée (39,1%)** et une distribution légèrement asymétrique négative (skewness -0,481), ce qui suggère que la tendance pourrait s'essouffler. Les **signaux techniques (Partie 2)** sont **mitigés** : tendance de fond haussière (MM) mais MACD baissier et RSI neutre, pointant vers une consolidation à court terme. Les **fondamentaux (Partie 3)** sont **solides mais perfectibles** : ROE exceptionnel (62,28%), croissance du CA (+5,97% en 2025), accélération du T1 2026 (+31% de CA, +37% de résultat net), mais endettement élevé et trésorerie nette négative. Les **prédictions IA (J+1 à J+10)** anticipent une **légère dérive baissière** (16 881 → 16 851 FCFA), ce qui **contredit partiellement** la tendance haussière récente et confirme l'hypothèse d'une consolidation.</w:t>
      </w:r>
    </w:p>
    <w:p>
      <w:pPr>
        <w:spacing w:after="120" w:line="276" w:lineRule="auto"/>
      </w:pPr>
      <w:r>
        <w:t>**Recommandation finale : CONSERVER** — Justification : la convergence entre une valorisation exigeante, des signaux techniques mitigés et des fondamentaux solides mais sous pression plaide pour une **position d'attente**. L'accélération du T1 2026 est un catalyseur positif qui pourrait justifier un passage à l'achat en cas de correction du cours vers la MM50 (16 631 FCFA) ou la borne inférieure de Bollinger (16 029 FCFA). **Niveau de confiance : Moyen** (les signaux sont divergents). **Niveau de risque global : Moyen à Élevé** (volatilité de 39,1%, endettement de 135,85%, valorisation tendue). **Horizon d'investissement optimal : Moyen terme (3-12 mois)**, le temps que la stratégie de réinvestissement porte ses fruits et que les marges se stabilisent.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5,083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+5.51%</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μ=2,826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β=0.3764 (Défensif) — Cov=0.000013, Var(idx)=0.000035, ρ=0.115,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σ_j=1.91%/j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2,765</w:t>
            </w:r>
          </w:p>
        </w:tc>
        <w:tc>
          <w:tcPr>
            <w:tcW w:type="dxa" w:w="1440"/>
            <w:shd w:fill="FAFAFA" w:val="clear"/>
          </w:tcPr>
          <w:p>
            <w:r>
              <w:rPr>
                <w:b/>
                <w:sz w:val="17"/>
              </w:rPr>
              <w:t>2,859</w:t>
            </w:r>
          </w:p>
        </w:tc>
        <w:tc>
          <w:tcPr>
            <w:tcW w:type="dxa" w:w="1440"/>
            <w:shd w:fill="FAFAFA" w:val="clear"/>
          </w:tcPr>
          <w:p>
            <w:r>
              <w:rPr>
                <w:sz w:val="17"/>
              </w:rPr>
              <w:t>2,953</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2,721</w:t>
            </w:r>
          </w:p>
        </w:tc>
        <w:tc>
          <w:tcPr>
            <w:tcW w:type="dxa" w:w="1440"/>
            <w:shd w:fill="FAFAFA" w:val="clear"/>
          </w:tcPr>
          <w:p>
            <w:r>
              <w:rPr>
                <w:b/>
                <w:sz w:val="17"/>
              </w:rPr>
              <w:t>2,853</w:t>
            </w:r>
          </w:p>
        </w:tc>
        <w:tc>
          <w:tcPr>
            <w:tcW w:type="dxa" w:w="1440"/>
            <w:shd w:fill="FAFAFA" w:val="clear"/>
          </w:tcPr>
          <w:p>
            <w:r>
              <w:rPr>
                <w:sz w:val="17"/>
              </w:rPr>
              <w:t>2,986</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2,685</w:t>
            </w:r>
          </w:p>
        </w:tc>
        <w:tc>
          <w:tcPr>
            <w:tcW w:type="dxa" w:w="1440"/>
            <w:shd w:fill="FAFAFA" w:val="clear"/>
          </w:tcPr>
          <w:p>
            <w:r>
              <w:rPr>
                <w:b/>
                <w:sz w:val="17"/>
              </w:rPr>
              <w:t>2,847</w:t>
            </w:r>
          </w:p>
        </w:tc>
        <w:tc>
          <w:tcPr>
            <w:tcW w:type="dxa" w:w="1440"/>
            <w:shd w:fill="FAFAFA" w:val="clear"/>
          </w:tcPr>
          <w:p>
            <w:r>
              <w:rPr>
                <w:sz w:val="17"/>
              </w:rPr>
              <w:t>3,009</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2,654</w:t>
            </w:r>
          </w:p>
        </w:tc>
        <w:tc>
          <w:tcPr>
            <w:tcW w:type="dxa" w:w="1440"/>
            <w:shd w:fill="FAFAFA" w:val="clear"/>
          </w:tcPr>
          <w:p>
            <w:r>
              <w:rPr>
                <w:b/>
                <w:sz w:val="17"/>
              </w:rPr>
              <w:t>2,841</w:t>
            </w:r>
          </w:p>
        </w:tc>
        <w:tc>
          <w:tcPr>
            <w:tcW w:type="dxa" w:w="1440"/>
            <w:shd w:fill="FAFAFA" w:val="clear"/>
          </w:tcPr>
          <w:p>
            <w:r>
              <w:rPr>
                <w:sz w:val="17"/>
              </w:rPr>
              <w:t>3,027</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2,627</w:t>
            </w:r>
          </w:p>
        </w:tc>
        <w:tc>
          <w:tcPr>
            <w:tcW w:type="dxa" w:w="1440"/>
            <w:shd w:fill="FAFAFA" w:val="clear"/>
          </w:tcPr>
          <w:p>
            <w:r>
              <w:rPr>
                <w:b/>
                <w:sz w:val="17"/>
              </w:rPr>
              <w:t>2,835</w:t>
            </w:r>
          </w:p>
        </w:tc>
        <w:tc>
          <w:tcPr>
            <w:tcW w:type="dxa" w:w="1440"/>
            <w:shd w:fill="FAFAFA" w:val="clear"/>
          </w:tcPr>
          <w:p>
            <w:r>
              <w:rPr>
                <w:sz w:val="17"/>
              </w:rPr>
              <w:t>3,042</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2,601</w:t>
            </w:r>
          </w:p>
        </w:tc>
        <w:tc>
          <w:tcPr>
            <w:tcW w:type="dxa" w:w="1440"/>
            <w:shd w:fill="FAFAFA" w:val="clear"/>
          </w:tcPr>
          <w:p>
            <w:r>
              <w:rPr>
                <w:b/>
                <w:sz w:val="17"/>
              </w:rPr>
              <w:t>2,828</w:t>
            </w:r>
          </w:p>
        </w:tc>
        <w:tc>
          <w:tcPr>
            <w:tcW w:type="dxa" w:w="1440"/>
            <w:shd w:fill="FAFAFA" w:val="clear"/>
          </w:tcPr>
          <w:p>
            <w:r>
              <w:rPr>
                <w:sz w:val="17"/>
              </w:rPr>
              <w:t>3,056</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2,578</w:t>
            </w:r>
          </w:p>
        </w:tc>
        <w:tc>
          <w:tcPr>
            <w:tcW w:type="dxa" w:w="1440"/>
            <w:shd w:fill="FAFAFA" w:val="clear"/>
          </w:tcPr>
          <w:p>
            <w:r>
              <w:rPr>
                <w:b/>
                <w:sz w:val="17"/>
              </w:rPr>
              <w:t>2,823</w:t>
            </w:r>
          </w:p>
        </w:tc>
        <w:tc>
          <w:tcPr>
            <w:tcW w:type="dxa" w:w="1440"/>
            <w:shd w:fill="FAFAFA" w:val="clear"/>
          </w:tcPr>
          <w:p>
            <w:r>
              <w:rPr>
                <w:sz w:val="17"/>
              </w:rPr>
              <w:t>3,067</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2,555</w:t>
            </w:r>
          </w:p>
        </w:tc>
        <w:tc>
          <w:tcPr>
            <w:tcW w:type="dxa" w:w="1440"/>
            <w:shd w:fill="FAFAFA" w:val="clear"/>
          </w:tcPr>
          <w:p>
            <w:r>
              <w:rPr>
                <w:b/>
                <w:sz w:val="17"/>
              </w:rPr>
              <w:t>2,817</w:t>
            </w:r>
          </w:p>
        </w:tc>
        <w:tc>
          <w:tcPr>
            <w:tcW w:type="dxa" w:w="1440"/>
            <w:shd w:fill="FAFAFA" w:val="clear"/>
          </w:tcPr>
          <w:p>
            <w:r>
              <w:rPr>
                <w:sz w:val="17"/>
              </w:rPr>
              <w:t>3,078</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2,534</w:t>
            </w:r>
          </w:p>
        </w:tc>
        <w:tc>
          <w:tcPr>
            <w:tcW w:type="dxa" w:w="1440"/>
            <w:shd w:fill="FFDCE0" w:val="clear"/>
          </w:tcPr>
          <w:p>
            <w:r>
              <w:rPr>
                <w:b/>
                <w:sz w:val="17"/>
              </w:rPr>
              <w:t>2,811</w:t>
            </w:r>
          </w:p>
        </w:tc>
        <w:tc>
          <w:tcPr>
            <w:tcW w:type="dxa" w:w="1440"/>
            <w:shd w:fill="FFDCE0" w:val="clear"/>
          </w:tcPr>
          <w:p>
            <w:r>
              <w:rPr>
                <w:sz w:val="17"/>
              </w:rPr>
              <w:t>3,087</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2,514</w:t>
            </w:r>
          </w:p>
        </w:tc>
        <w:tc>
          <w:tcPr>
            <w:tcW w:type="dxa" w:w="1440"/>
            <w:shd w:fill="FFDCE0" w:val="clear"/>
          </w:tcPr>
          <w:p>
            <w:r>
              <w:rPr>
                <w:b/>
                <w:sz w:val="17"/>
              </w:rPr>
              <w:t>2,805</w:t>
            </w:r>
          </w:p>
        </w:tc>
        <w:tc>
          <w:tcPr>
            <w:tcW w:type="dxa" w:w="1440"/>
            <w:shd w:fill="FFDCE0" w:val="clear"/>
          </w:tcPr>
          <w:p>
            <w:r>
              <w:rPr>
                <w:sz w:val="17"/>
              </w:rPr>
              <w:t>3,096</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 Télécommunications*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195,16 milliards FCFA, ONTBF figure parmi les valeurs de taille intermédiaire de la cote BRVM, loin derrière les poids lourds comme Sonatel mais suffisamment liquide pour intéresser les investisseurs institutionnels régionaux. Le BPA de 234 FCFA par action signifie que chaque titre génère 234 FCFA de bénéfice net, ce qui, rapporté au cours actuel de 2 870 FCFA, donne un PER de 12,3x — un niveau modéré, légèrement supérieur à la moyenne BRVM (8-12x), traduisant une prime de qualité justifiée par la position d'opérateur historique et la solidité du dividende. Le P/B de 3,39x indique que le marché valorise l'entreprise à plus de trois fois sa valeur comptable, une prime de croissance significative qui se situe dans la fourchette 2-4x typique des valeurs télécoms rentables. Enfin, l'EV/EBITDA de 5,1x apparaît raisonnable dans la fourchette 5-10x, suggérant que la valeur totale de l'entreprise (dette incluse) reste modérée par rapport à sa capacité opérationnelle à générer du cash, ce qui constitue un point d'appui pour la valorisation.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 enregistré une progression de +5,51%, avec une dernière séance stable à +0,00%, le cours se maintenant à 2 870 FCFA. Le range de trading s'établit entre un plus bas de 2 610 FCFA et un plus haut de 3 070 FCFA, soit une amplitude de 460 FCFA (17,6%) qui témoigne d'une volatilité réelle mais contenue. La tendance générale est haussière mais modérée, le cours actuel se situant dans la partie supérieure du range, non loin du plus haut, ce qui suggère une pression acheteuse persistante. Les statistiques descriptives révèlent une moyenne de 2 826 FCFA légèrement supérieure à la médiane de 2 805 FCFA, avec un mode à 2 800 FCFA — l'écart faible entre ces trois mesures indique une distribution quasi-symétrique, confirmée par un skewness de 0,103 (distribution symétrique). L'écart-type de 86 FCFA avec un coefficient de variation de 3,0% traduit une dispersion très faible du cours autour de sa moyenne, signe d'une certaine stabilité. Le kurtosis de -0,239 (mésokurtique) indique une distribution proche de la normale, sans risque majeur de pics extrêmes. La volatilité annualisée de 30,4% positionne le titre dans la catégorie des valeurs à volatilité élevée (&gt;30%), ce qui est cohérent avec les valeurs télécoms des marchés frontières, mais qui implique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(2 886,5 FCFA) et la MM50 (2 845,0 FCFA) encadrent le cours actuel de 2 870 FCFA, la MM20 se situant au-dessus du prix tandis que la MM50 reste en dessous. Cette configuration — cours entre les deux moyennes — traduit une phase de consolidation, mais la décision « Achat » suggérée par le système indique que la structure MM20 &gt; MM50 (golden cross implicite) reste haussière à moyen terme.</w:t>
      </w:r>
    </w:p>
    <w:p>
      <w:pPr>
        <w:spacing w:after="120" w:line="276" w:lineRule="auto"/>
      </w:pPr>
      <w:r>
        <w:t>**Bandes de Bollinger** : Le cours (2 870 FCFA) évolue dans la partie médiane des bandes, entre la borne inférieure (2 814 FCFA) et la borne supérieure (2 959 FCFA), sans atteindre les extrêmes. Cette position centrale, couplée à une largeur de bande modérée, traduit une volatilité normale sans signal de surachat ou de survente, justifiant la décision « Neutre ».</w:t>
      </w:r>
    </w:p>
    <w:p>
      <w:pPr>
        <w:spacing w:after="120" w:line="276" w:lineRule="auto"/>
      </w:pPr>
      <w:r>
        <w:t>**MACD** : La valeur du MACD (2,065) est nettement inférieure à son signal (7,264), générant une divergence baissière qui indique un essoufflement du momentum haussier. Cette configuration, bien que le MACD reste positif, suggère une prudence à court terme et justifie la décision « Vente » sur cet indicateur.</w:t>
      </w:r>
    </w:p>
    <w:p>
      <w:pPr>
        <w:spacing w:after="120" w:line="276" w:lineRule="auto"/>
      </w:pPr>
      <w:r>
        <w:t>**RSI** : À 47,541, le RSI se situe dans la zone neutre (30-70), légèrement en dessous du seuil de 50 qui sépare les territoires haussier et baissier. Cette valeur indique un équilibre entre acheteurs et vendeurs, sans pression excessive dans un sens ou dans l'autre, confirmant la décision « Neutre ».</w:t>
      </w:r>
    </w:p>
    <w:p>
      <w:pPr>
        <w:spacing w:after="120" w:line="276" w:lineRule="auto"/>
      </w:pPr>
      <w:r>
        <w:t>**Stochastique** : Le %K (56,522) est légèrement supérieur au %D (53,731), avec un croisement récent à la hausse qui pourrait signaler un début de reprise du momentum. Cependant, les deux valeurs restent dans la zone neutre (20-80), sans signal fort, justifiant la décision « Neutre ».</w:t>
      </w:r>
    </w:p>
    <w:p>
      <w:pPr>
        <w:spacing w:after="120" w:line="276" w:lineRule="auto"/>
      </w:pPr>
      <w:r>
        <w:t>**Conclusion technique** : Les indicateurs techniques présentent un tableau mitigé — les moyennes mobiles restent haussières à moyen terme, mais le MACD génère un signal de vente qui contraste avec la neutralité du RSI, du stochastique et des bandes de Bollinger. Cette divergence suggère une phase de consolidation avec un risque de correction limitée, le cours évoluant dans une zone d'équilibre sans direction claire. La prudence est de mise à court terme, en attendant une clarification du momentum.</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(secteur BANQUE selon la classification, bien qu'il s'agisse d'un opérateur télécom) révèlent un PNB de 146,177 milliards FCFA, en croissance de +3,06% sur un an, porté par le FTTH, l'internet mobile et le Mobile Money. Le résultat net s'établit à 15,887 milliards FCFA, en net repli de -26% par rapport aux 21,47 milliards de 2024, sous l'effet de charges opérationnelles et exceptionnelles élevées (indemnités de fin d'engagement, coûts énergétiques, maintenance en zones à défi sécuritaire, sanction ARCEP de 1,543 milliard FCFA). Le ROE de 27,61% demeure excellent (&gt;15%), bien qu'en baisse par rapport aux 34,3% de 2024, et le ROA de 4,89% reflète la lourdeur du bilan (324,9 milliards FCFA d'actifs). Le coefficient d'exploitation de 67,07% (charges/PNB) dépasse le seuil de 60% qui caractérise une entreprise efficace, confirmant la pression sur les marges. Le coût du risque de 3,57% (provisions/charges financières) reste contenu, mais les provisions de 31,065 milliards FCFA pèsent lourdement sur le résultat. La structure financière montre une autonomie financière de 17,71% (capitaux propres/total bilan), inférieure au seuil de 30% considéré comme sain, et un ratio d'endettement de 186,99% (dettes totales/capitaux propres), élevé mais compensé par une solvabilité générale de 121,52% (&gt;1). La trésorerie nette de 10,649 milliards FCFA et la CAF de 46,952 milliards FCFA témoignent d'une génération de cash solide, mais le Free Cash Flow de seulement 1,556 milliard FCFA révèle l'impact des investissements massifs (45,224 milliards FCFA). Les rapports trimestriels 2025 (T1, S1, 9 mois) confirment la tendance : croissance du CA de +3,1% à +4,3% mais érosion continue de la rentabilité (-17,2% à -29% selon les périodes), avec un taux d'EBITDA IFRS en repli à 39,3% (contre 45,2% en 2024). Le rapport T1 2026 (publié en avril 2026) montre une légère amélioration avec un CA de 37,1 milliards FCFA (+2,7%) et un résultat net de 3,577 milliards FCFA (marge nette de 9,6%), mais la baisse du parc Internet (-21,8%) et la pression concurrentielle restent préoccupantes. La note de crédit A+(WU) avec perspective stable, rehaussée par GCR Ratings, constitue un signal positif pour la solidité financière. En synthèse, ONTBF présente des fondamentaux solides (croissance du CA, génération de cash, dividende attractif de 166,08 FCFA/action soit un rendement de ~5,8%) mais une dégradation préoccupante de la rentabilité et un endettement croissant qui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le plan de la **valorisation (Partie 0)** , le PER de 12,3x et le P/B de 3,39x indiquent une valorisation modérée à légèrement supérieure à la moyenne du marché, sans sous-évaluation manifeste, tandis que l'EV/EBITDA de 5,1x reste raisonnable. Le **comportement du cours (Partie 1)** est favorable avec une tendance haussière modérée (+5,51%), une volatilité élevée (30,4%) mais une distribution symétrique (skewness 0,103) et sans risque de pics extrêmes (kurtosis -0,239), ce qui est rassurant pour la gestion du risque. Les **signaux techniques (Partie 2)** sont mitigés : les moyennes mobiles restent haussières mais le MACD génère un signal de vente, tandis que le RSI, le stochastique et les bandes de Bollinger sont neutres — cette divergence suggère une consolidation avant une éventuelle reprise. Les **fondamentaux (Partie 3)** demeurent solides malgré la baisse du résultat net : croissance du CA (+3,1%), ROE élevé (27,61%), génération de cash robuste (CAF de 46,95 milliards FCFA) et dividende attractif, mais la compression des marges et l'endettement croissant constituent des points de vigilance. Les **prédictions IA (J+1 à J+10)** anticipent une légère baisse du cours de 2 859 FCFA à 2 835 FCFA, soit une contraction de -0,8% sur 10 jours, ce qui contredit la tendance haussière récente mais s'aligne sur le signal de vente du MACD. Sur la base de cette synthèse, la recommandation finale est **CONSERVER** : le titre offre un bon compromis entre rendement (dividende de ~5,8%) et potentiel de croissance (FTTH, Mobile Money), mais les risques de dégradation de la rentabilité et la pression concurrentielle limitent le potentiel de hausse à court terme. Le niveau de confiance est **Moyen** (les signaux techniques divergents et les prédictions baissières tempèrent l'optimisme), et le niveau de risque global est **Moyen** (volatilité élevée mais fondamentaux solides). L'horizon d'investissement optimal est le **moyen terme (3-12 mois)** , en attendant une clarification des marges et une confirmation de la reprise du momentum technique.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3382.21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2,807 titres</w:t>
            </w:r>
          </w:p>
        </w:tc>
        <w:tc>
          <w:tcPr>
            <w:tcW w:type="dxa" w:w="2268"/>
            <w:shd w:fill="FFF2CC" w:val="clear"/>
          </w:tcPr>
          <w:p>
            <w:r>
              <w:rPr>
                <w:b/>
                <w:color w:val="503200"/>
                <w:sz w:val="16"/>
              </w:rPr>
              <w:t xml:space="preserve">Cours actuel : </w:t>
            </w:r>
            <w:r>
              <w:rPr>
                <w:color w:val="000000"/>
                <w:sz w:val="17"/>
              </w:rPr>
              <w:t>22,450 FCFA</w:t>
            </w:r>
          </w:p>
          <w:p>
            <w:r>
              <w:rPr>
                <w:b/>
                <w:color w:val="503200"/>
                <w:sz w:val="16"/>
              </w:rPr>
              <w:t xml:space="preserve">Var. 100 jours : </w:t>
            </w:r>
            <w:r>
              <w:rPr>
                <w:b/>
                <w:color w:val="007800"/>
                <w:sz w:val="17"/>
              </w:rPr>
              <w:t>+52.72%</w:t>
            </w:r>
          </w:p>
          <w:p>
            <w:r>
              <w:rPr>
                <w:b/>
                <w:color w:val="503200"/>
                <w:sz w:val="16"/>
              </w:rPr>
              <w:t xml:space="preserve">Plus haut 100j : </w:t>
            </w:r>
            <w:r>
              <w:rPr>
                <w:color w:val="000000"/>
                <w:sz w:val="17"/>
              </w:rPr>
              <w:t>22,450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12.39% (Moyenne) — μ=16,974 FCFA, σ=2,104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β=1.3741 (Agressif) — Cov=0.000048, Var(idx)=0.000035, ρ=0.431,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21,408</w:t>
            </w:r>
          </w:p>
        </w:tc>
        <w:tc>
          <w:tcPr>
            <w:tcW w:type="dxa" w:w="1440"/>
            <w:shd w:fill="FAFAFA" w:val="clear"/>
          </w:tcPr>
          <w:p>
            <w:r>
              <w:rPr>
                <w:b/>
                <w:sz w:val="17"/>
              </w:rPr>
              <w:t>22,091</w:t>
            </w:r>
          </w:p>
        </w:tc>
        <w:tc>
          <w:tcPr>
            <w:tcW w:type="dxa" w:w="1440"/>
            <w:shd w:fill="FAFAFA" w:val="clear"/>
          </w:tcPr>
          <w:p>
            <w:r>
              <w:rPr>
                <w:sz w:val="17"/>
              </w:rPr>
              <w:t>22,774</w:t>
            </w:r>
          </w:p>
        </w:tc>
        <w:tc>
          <w:tcPr>
            <w:tcW w:type="dxa" w:w="1440"/>
            <w:shd w:fill="FAFAFA" w:val="clear"/>
          </w:tcPr>
          <w:p>
            <w:r>
              <w:rPr>
                <w:b/>
                <w:color w:val="C00000"/>
                <w:sz w:val="17"/>
              </w:rPr>
              <w:t>-1.6%</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21,156</w:t>
            </w:r>
          </w:p>
        </w:tc>
        <w:tc>
          <w:tcPr>
            <w:tcW w:type="dxa" w:w="1440"/>
            <w:shd w:fill="FAFAFA" w:val="clear"/>
          </w:tcPr>
          <w:p>
            <w:r>
              <w:rPr>
                <w:b/>
                <w:sz w:val="17"/>
              </w:rPr>
              <w:t>22,123</w:t>
            </w:r>
          </w:p>
        </w:tc>
        <w:tc>
          <w:tcPr>
            <w:tcW w:type="dxa" w:w="1440"/>
            <w:shd w:fill="FAFAFA" w:val="clear"/>
          </w:tcPr>
          <w:p>
            <w:r>
              <w:rPr>
                <w:sz w:val="17"/>
              </w:rPr>
              <w:t>23,091</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20,932</w:t>
            </w:r>
          </w:p>
        </w:tc>
        <w:tc>
          <w:tcPr>
            <w:tcW w:type="dxa" w:w="1440"/>
            <w:shd w:fill="FAFAFA" w:val="clear"/>
          </w:tcPr>
          <w:p>
            <w:r>
              <w:rPr>
                <w:b/>
                <w:sz w:val="17"/>
              </w:rPr>
              <w:t>22,116</w:t>
            </w:r>
          </w:p>
        </w:tc>
        <w:tc>
          <w:tcPr>
            <w:tcW w:type="dxa" w:w="1440"/>
            <w:shd w:fill="FAFAFA" w:val="clear"/>
          </w:tcPr>
          <w:p>
            <w:r>
              <w:rPr>
                <w:sz w:val="17"/>
              </w:rPr>
              <w:t>23,301</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20,737</w:t>
            </w:r>
          </w:p>
        </w:tc>
        <w:tc>
          <w:tcPr>
            <w:tcW w:type="dxa" w:w="1440"/>
            <w:shd w:fill="FAFAFA" w:val="clear"/>
          </w:tcPr>
          <w:p>
            <w:r>
              <w:rPr>
                <w:b/>
                <w:sz w:val="17"/>
              </w:rPr>
              <w:t>22,105</w:t>
            </w:r>
          </w:p>
        </w:tc>
        <w:tc>
          <w:tcPr>
            <w:tcW w:type="dxa" w:w="1440"/>
            <w:shd w:fill="FAFAFA" w:val="clear"/>
          </w:tcPr>
          <w:p>
            <w:r>
              <w:rPr>
                <w:sz w:val="17"/>
              </w:rPr>
              <w:t>23,472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20,566</w:t>
            </w:r>
          </w:p>
        </w:tc>
        <w:tc>
          <w:tcPr>
            <w:tcW w:type="dxa" w:w="1440"/>
            <w:shd w:fill="FAFAFA" w:val="clear"/>
          </w:tcPr>
          <w:p>
            <w:r>
              <w:rPr>
                <w:b/>
                <w:sz w:val="17"/>
              </w:rPr>
              <w:t>22,093</w:t>
            </w:r>
          </w:p>
        </w:tc>
        <w:tc>
          <w:tcPr>
            <w:tcW w:type="dxa" w:w="1440"/>
            <w:shd w:fill="FAFAFA" w:val="clear"/>
          </w:tcPr>
          <w:p>
            <w:r>
              <w:rPr>
                <w:sz w:val="17"/>
              </w:rPr>
              <w:t>23,621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20,410</w:t>
            </w:r>
          </w:p>
        </w:tc>
        <w:tc>
          <w:tcPr>
            <w:tcW w:type="dxa" w:w="1440"/>
            <w:shd w:fill="FAFAFA" w:val="clear"/>
          </w:tcPr>
          <w:p>
            <w:r>
              <w:rPr>
                <w:b/>
                <w:sz w:val="17"/>
              </w:rPr>
              <w:t>22,082</w:t>
            </w:r>
          </w:p>
        </w:tc>
        <w:tc>
          <w:tcPr>
            <w:tcW w:type="dxa" w:w="1440"/>
            <w:shd w:fill="FAFAFA" w:val="clear"/>
          </w:tcPr>
          <w:p>
            <w:r>
              <w:rPr>
                <w:sz w:val="17"/>
              </w:rPr>
              <w:t>23,755</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20,266</w:t>
            </w:r>
          </w:p>
        </w:tc>
        <w:tc>
          <w:tcPr>
            <w:tcW w:type="dxa" w:w="1440"/>
            <w:shd w:fill="FAFAFA" w:val="clear"/>
          </w:tcPr>
          <w:p>
            <w:r>
              <w:rPr>
                <w:b/>
                <w:sz w:val="17"/>
              </w:rPr>
              <w:t>22,072</w:t>
            </w:r>
          </w:p>
        </w:tc>
        <w:tc>
          <w:tcPr>
            <w:tcW w:type="dxa" w:w="1440"/>
            <w:shd w:fill="FAFAFA" w:val="clear"/>
          </w:tcPr>
          <w:p>
            <w:r>
              <w:rPr>
                <w:sz w:val="17"/>
              </w:rPr>
              <w:t>23,878</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20,132</w:t>
            </w:r>
          </w:p>
        </w:tc>
        <w:tc>
          <w:tcPr>
            <w:tcW w:type="dxa" w:w="1440"/>
            <w:shd w:fill="FAFAFA" w:val="clear"/>
          </w:tcPr>
          <w:p>
            <w:r>
              <w:rPr>
                <w:b/>
                <w:sz w:val="17"/>
              </w:rPr>
              <w:t>22,062</w:t>
            </w:r>
          </w:p>
        </w:tc>
        <w:tc>
          <w:tcPr>
            <w:tcW w:type="dxa" w:w="1440"/>
            <w:shd w:fill="FAFAFA" w:val="clear"/>
          </w:tcPr>
          <w:p>
            <w:r>
              <w:rPr>
                <w:sz w:val="17"/>
              </w:rPr>
              <w:t>23,992</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20,006</w:t>
            </w:r>
          </w:p>
        </w:tc>
        <w:tc>
          <w:tcPr>
            <w:tcW w:type="dxa" w:w="1440"/>
            <w:shd w:fill="FAFAFA" w:val="clear"/>
          </w:tcPr>
          <w:p>
            <w:r>
              <w:rPr>
                <w:b/>
                <w:sz w:val="17"/>
              </w:rPr>
              <w:t>22,052</w:t>
            </w:r>
          </w:p>
        </w:tc>
        <w:tc>
          <w:tcPr>
            <w:tcW w:type="dxa" w:w="1440"/>
            <w:shd w:fill="FAFAFA" w:val="clear"/>
          </w:tcPr>
          <w:p>
            <w:r>
              <w:rPr>
                <w:sz w:val="17"/>
              </w:rPr>
              <w:t>24,098</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19,887</w:t>
            </w:r>
          </w:p>
        </w:tc>
        <w:tc>
          <w:tcPr>
            <w:tcW w:type="dxa" w:w="1440"/>
            <w:shd w:fill="FAFAFA" w:val="clear"/>
          </w:tcPr>
          <w:p>
            <w:r>
              <w:rPr>
                <w:b/>
                <w:sz w:val="17"/>
              </w:rPr>
              <w:t>22,042</w:t>
            </w:r>
          </w:p>
        </w:tc>
        <w:tc>
          <w:tcPr>
            <w:tcW w:type="dxa" w:w="1440"/>
            <w:shd w:fill="FAFAFA" w:val="clear"/>
          </w:tcPr>
          <w:p>
            <w:r>
              <w:rPr>
                <w:sz w:val="17"/>
              </w:rPr>
              <w:t>24,198</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ORANGE CÔTE D'IVOIRE (ORAC)</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**3 382,21 milliards FCFA**, ORAC confirme son statut de poids lourd absolu de la BRVM, représentant à elle seule une part significative de la capitalisation totale du marché régional. Le BPA de **1 114 FCFA/action** pour 2025 signifie que chaque titre génère un bénéfice net de plus de mille francs, ce qui, rapporté au cours actuel de 22 450 FCFA, donne un **PER de 20,2x** — nettement supérieur à la moyenne BRVM (8-12x), signalant que les investisseurs paient une prime de croissance substantielle pour ce titre. Le **P/B de 4,78x** traduit une valorisation boursière près de cinq fois supérieure à la valeur comptable (capitaux propres de 707,8 Mds FCFA), ce qui est exigeant mais cohérent avec la rentabilité exceptionnelle du groupe (ROE de 23,7%). Enfin, l'**EV/EBITDA de 8,0x** apparaît raisonnable dans la fourchette 5-10x, indiquant que la valeur d'entreprise reste maîtrisée par rapport à la capacité opérationnelle de génération de cash-flow (EBE de 450,3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**variation totale spectaculaire de +52,72%**, passant d'un plus bas de **14 650 FCFA** à un plus haut de **22 450 FCFA** — niveau qui correspond exactement au cours actuel, signe que le titre évolue en zone de sommet. La dernière séance (J-1) affiche une variation de **+0,00%**, traduisant une pause dans le mouvement haussier après une ascension soutenue. La tendance générale est donc **clairement haussière**, portée par des fondamentaux solides et un intérêt croissant des investisseurs pour les valeurs télécoms de la zone UEMOA. Les statistiques descriptives révèlent une **moyenne de 16 974 FCFA** nettement supérieure à la **médiane de 16 238 FCFA**, avec un mode à 16 000 FCFA — cet écart confirme une distribution asymétrique où les récents sommets tirent la moyenne vers le haut. L'**écart-type de 2 114 FCFA (CV=12,5%)** indique une dispersion modérée du cours, tandis que le **kurtosis de 0,494 (mésokurtique)** suggère un comportement proche d'une distribution normale, sans risque excessif de pics extrêmes. Le **skewness de 1,315 (asymétrie positive)** révèle toutefois que davantage de journées se sont situées sous la moyenne, ce qui signifie que la récente flambée est concentrée sur quelques séances. La **volatilité annualisée de 29,9%** positionne le titre en catégorie **modérée à élevée** (proche du seuil de 30%), ce qui reste acceptable pour une valeur de croissance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(20 820,75 FCFA) et la MM50 (18 286,70 FCFA) se situent toutes deux bien en dessous du cours actuel de 22 450 FCFA, avec la MM20 au-dessus de la MM50 — configuration classique de tendance haussière confirmée. L'écart positif entre le cours et ces deux moyennes valide la décision technique d'**Achat**, le titre surperformant ses références mobiles.</w:t>
      </w:r>
    </w:p>
    <w:p>
      <w:pPr>
        <w:spacing w:after="120" w:line="276" w:lineRule="auto"/>
      </w:pPr>
      <w:r>
        <w:t>**Bandes de Bollinger** : Le cours (22 450 FCFA) évolue dans la partie haute de la bande, proche de la borne supérieure (23 226,49 FCFA) et très éloigné de la borne inférieure (18 415,01 FCFA). Cette position reflète une pression acheteuse soutenue mais approchant une zone de résistance potentielle, justifiant la décision **Neutre** — le titre n'est ni en surachat extrême, ni en zone d'achat idéale.</w:t>
      </w:r>
    </w:p>
    <w:p>
      <w:pPr>
        <w:spacing w:after="120" w:line="276" w:lineRule="auto"/>
      </w:pPr>
      <w:r>
        <w:t>**MACD** : La valeur du MACD (1 140,82) dépasse légèrement son signal (1 111,20), générant un croisement haussier marginal qui confirme le momentum positif. La décision technique d'**Achat** est validée, bien que l'écart réduit entre les deux lignes suggère un essoufflement possible du mouvement.</w:t>
      </w:r>
    </w:p>
    <w:p>
      <w:pPr>
        <w:spacing w:after="120" w:line="276" w:lineRule="auto"/>
      </w:pPr>
      <w:r>
        <w:t>**RSI** : À **63,32**, le RSI se situe en zone neutre-haute, sans atteindre le seuil de surachat de 70. La décision **Neutre** est appropriée : le titre conserve un potentiel de hausse mais approche d'une zone où la prudence devient nécessaire.</w:t>
      </w:r>
    </w:p>
    <w:p>
      <w:pPr>
        <w:spacing w:after="120" w:line="276" w:lineRule="auto"/>
      </w:pPr>
      <w:r>
        <w:t>**Stochastique** : Avec %K et %D tous deux à **100,0**, l'indicateur stochastique signale un **surachat extrême** — le cours clôture systématiquement près de ses plus hauts récents. La décision technique de **Vente** constitue un signal de prudence important, suggérant qu'une correction ou consolidation pourrait survenir à court terme.</w:t>
      </w:r>
    </w:p>
    <w:p>
      <w:pPr>
        <w:spacing w:after="120" w:line="276" w:lineRule="auto"/>
      </w:pPr>
      <w:r>
        <w:t>**Conclusion technique** : Les indicateurs présentent une **divergence préoccupante** : les moyennes mobiles et le MACD confirment la tendance haussière, tandis que le stochastique (surachat à 100) et la position du cours dans les bandes de Bollinger signalent un risque de correction imminent. Le RSI neutre (63,3) laisse une marge de manœuvre, mais la convergence des signaux de surachat invite à la prudence à court terme. Le titre reste techniquement haussier sur le moyen terme, mais une consolidation paraît probable avant toute nouvelle progression.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Orange Côte d'Ivoire affiche un **chiffre d'affaires de 1 197,1 milliards FCFA**, en croissance de **+10,4%** par rapport à 2024 (1 084,1 Mds FCFA), porté par la dynamique des trois filiales (Côte d'Ivoire, Burkina Faso, Liberia). Le **résultat net consolidé s'établit à 167,8 milliards FCFA** (+6,1%), tandis que le résultat net part du groupe atteint 129,1 Mds FCFA (+14,5%). La rentabilité reste excellente avec un **ROE de 23,71%** (largement supérieur au seuil de 15% considéré comme excellent) et un **ROA de 6,57%**. La marge nette de 14,02% et la marge opérationnelle de 23,99% témoignent d'une gestion rigoureuse. Sur le plan de la structure financière, l'**autonomie financière de 27,71%** reste légèrement en dessous du seuil de 30% considéré comme sain, mais la **solvabilité générale de 138,34%** et la **liquidité générale de 101,83%** confirment la solidité du bilan. Le **BFR est négatif à -198,0 Mds FCFA** — situation favorable qui signifie que l'entreprise finance son cycle d'exploitation par ses fournisseurs plutôt que par ses propres ressources. Les délais d'exploitation révèlent un **délai clients de 52,26 jours** (modéré, mais à surveiller) et un **délai fournisseurs de 210,87 jours** (très élevé, avantageux pour la trésorerie). La **capacité de remboursement de 0,99 an** (dettes financières/CAF) indique un endettement très soutenable, et la **couverture des intérêts de 1 018,44%** démontre une marge de sécurité confortable.</w:t>
      </w:r>
    </w:p>
    <w:p>
      <w:pPr>
        <w:spacing w:after="120" w:line="276" w:lineRule="auto"/>
      </w:pPr>
      <w:r>
        <w:t>**Estimations basées sur les rapports trimestriels** : Le rapport du **T1 2026 (publié le 29 avril 2026)** révèle une accélération remarquable avec un CA de 325,6 Mds FCFA (+14,8%) et un résultat net de 48,3 Mds FCFA (+25,2%), soit une marge nette de 14,8% en amélioration de 1,2 point. Sur cette base, on peut **estimer que l'exercice 2026 devrait enregistrer un CA supérieur à 1 300 Mds FCFA** (croissance annualisée d'environ 12-14%) et un résultat net part du groupe approchant 145-150 Mds FCFA. Le rapport annuel 2025 (publié le 31 décembre 2025) confirme la solidité du modèle avec un EBITDAaL de 424,1 Mds FCFA (35,4% du CA) et des investissements massifs de 184,2 Mds FCFA (15,4% du CA) dans les infrastructures réseau. Le dividende proposé de **800 FCFA brut par action** (rendement d'environ 3,6% au cours actuel) marque un recentrage de la politique de distribution, la société privilégiant l'autofinancement des investissements futurs. **Recommandation fondamentale** : ORAC présente un profil de croissance solide, une rentabilité exceptionnelle et une structure financière maîtrisée, avec des perspectives favorables portées par la fibre, Orange Money et l'expansion géographique. Les principaux risques identifiés sont la pression fiscale et réglementaire, la concurrence accrue et l'exposition sécuritaire au Burkina Faso.</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**globalement favorable mais avec des nuances importantes**. Sur le plan de la **valorisation (Partie 0)**, les ratios PER de 20,2x et P/B de 4,78x indiquent une **surévaluation relative** par rapport aux standards de la BRVM, bien que l'EV/EBITDA de 8,0x reste raisonnable — le marché intègre déjà une prime de croissance significative. Le **comportement du cours (Partie 1)** est nettement haussier (+52,72% sur 100 jours), avec une volatilité modérée (29,9%) et des statistiques rassurantes (kurtosis proche de la normale, skewness positif), mais le titre évolue en zone de sommet historique, ce qui limite le potentiel de hausse à court terme. Les **signaux techniques (Partie 2)** sont **mitigés** : si les moyennes mobiles et le MACD confirment la tendance haussière, le stochastique en surachat extrême (100) et la position du cours dans les bandes de Bollinger signalent un risque de correction imminent. Les **fondamentaux (Partie 3)** demeurent excellents avec un ROE de 23,71%, un BFR négatif favorable et une accélération confirmée au T1 2026 (+14,8% de CA, +25,2% de résultat net), ce qui soutient une perspective de croissance durable. Les **prédictions IA (J+1 à J+10)** anticipent une légère consolidation autour de 22 091-22 123 FCFA, confirmant la probabilité d'une pause après la forte hausse récente. **Recommandation finale : CONSERVER** — Le titre offre une combinaison attractive de croissance et de rentabilité, mais la valorisation exigeante et les signaux techniques de surachat invitent à la prudence à court terme. **Niveau de confiance : Moyen** (les fondamentaux sont solides mais la valorisation limite le potentiel). **Niveau de risque global : Moyen** (volatilité modérée, exposition à des risques réglementaires et sécuritaires). **Horizon d'investissement optimal : Moyen à long terme (6-18 mois)** — idéal pour les investisseurs recherchant une exposition à la croissance numérique en Afrique de l'Ouest, avec une entrée progressive pour profiter d'éventuelles corrections.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222.48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5,638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B40000"/>
                <w:sz w:val="17"/>
              </w:rPr>
              <w:t>-4.61%</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9.23% (Moyenne) — μ=2,910 FCFA, σ=269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β=0.2407 (Défensif) — Cov=0.000008, Var(idx)=0.000035, ρ=0.051,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3,168</w:t>
            </w:r>
          </w:p>
        </w:tc>
        <w:tc>
          <w:tcPr>
            <w:tcW w:type="dxa" w:w="1440"/>
            <w:shd w:fill="FAFAFA" w:val="clear"/>
          </w:tcPr>
          <w:p>
            <w:r>
              <w:rPr>
                <w:b/>
                <w:sz w:val="17"/>
              </w:rPr>
              <w:t>3,258</w:t>
            </w:r>
          </w:p>
        </w:tc>
        <w:tc>
          <w:tcPr>
            <w:tcW w:type="dxa" w:w="1440"/>
            <w:shd w:fill="FAFAFA" w:val="clear"/>
          </w:tcPr>
          <w:p>
            <w:r>
              <w:rPr>
                <w:sz w:val="17"/>
              </w:rPr>
              <w:t>3,348</w:t>
            </w:r>
          </w:p>
        </w:tc>
        <w:tc>
          <w:tcPr>
            <w:tcW w:type="dxa" w:w="1440"/>
            <w:shd w:fill="FAFAFA" w:val="clear"/>
          </w:tcPr>
          <w:p>
            <w:r>
              <w:rPr>
                <w:b/>
                <w:color w:val="008000"/>
                <w:sz w:val="17"/>
              </w:rPr>
              <w:t>+1.7%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3,131</w:t>
            </w:r>
          </w:p>
        </w:tc>
        <w:tc>
          <w:tcPr>
            <w:tcW w:type="dxa" w:w="1440"/>
            <w:shd w:fill="FAFAFA" w:val="clear"/>
          </w:tcPr>
          <w:p>
            <w:r>
              <w:rPr>
                <w:b/>
                <w:sz w:val="17"/>
              </w:rPr>
              <w:t>3,258</w:t>
            </w:r>
          </w:p>
        </w:tc>
        <w:tc>
          <w:tcPr>
            <w:tcW w:type="dxa" w:w="1440"/>
            <w:shd w:fill="FAFAFA" w:val="clear"/>
          </w:tcPr>
          <w:p>
            <w:r>
              <w:rPr>
                <w:sz w:val="17"/>
              </w:rPr>
              <w:t>3,385</w:t>
            </w:r>
          </w:p>
        </w:tc>
        <w:tc>
          <w:tcPr>
            <w:tcW w:type="dxa" w:w="1440"/>
            <w:shd w:fill="FAFAFA" w:val="clear"/>
          </w:tcPr>
          <w:p>
            <w:r>
              <w:rPr>
                <w:b/>
                <w:color w:val="008000"/>
                <w:sz w:val="17"/>
              </w:rPr>
              <w:t>+1.7%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3,107</w:t>
            </w:r>
          </w:p>
        </w:tc>
        <w:tc>
          <w:tcPr>
            <w:tcW w:type="dxa" w:w="1440"/>
            <w:shd w:fill="FAFAFA" w:val="clear"/>
          </w:tcPr>
          <w:p>
            <w:r>
              <w:rPr>
                <w:b/>
                <w:sz w:val="17"/>
              </w:rPr>
              <w:t>3,263</w:t>
            </w:r>
          </w:p>
        </w:tc>
        <w:tc>
          <w:tcPr>
            <w:tcW w:type="dxa" w:w="1440"/>
            <w:shd w:fill="FAFAFA" w:val="clear"/>
          </w:tcPr>
          <w:p>
            <w:r>
              <w:rPr>
                <w:sz w:val="17"/>
              </w:rPr>
              <w:t>3,419</w:t>
            </w:r>
          </w:p>
        </w:tc>
        <w:tc>
          <w:tcPr>
            <w:tcW w:type="dxa" w:w="1440"/>
            <w:shd w:fill="FAFAFA" w:val="clear"/>
          </w:tcPr>
          <w:p>
            <w:r>
              <w:rPr>
                <w:b/>
                <w:color w:val="008000"/>
                <w:sz w:val="17"/>
              </w:rPr>
              <w:t>+1.8%</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3,087</w:t>
            </w:r>
          </w:p>
        </w:tc>
        <w:tc>
          <w:tcPr>
            <w:tcW w:type="dxa" w:w="1440"/>
            <w:shd w:fill="FAFAFA" w:val="clear"/>
          </w:tcPr>
          <w:p>
            <w:r>
              <w:rPr>
                <w:b/>
                <w:sz w:val="17"/>
              </w:rPr>
              <w:t>3,267</w:t>
            </w:r>
          </w:p>
        </w:tc>
        <w:tc>
          <w:tcPr>
            <w:tcW w:type="dxa" w:w="1440"/>
            <w:shd w:fill="FAFAFA" w:val="clear"/>
          </w:tcPr>
          <w:p>
            <w:r>
              <w:rPr>
                <w:sz w:val="17"/>
              </w:rPr>
              <w:t>3,447</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2026-09-18</w:t>
            </w:r>
          </w:p>
        </w:tc>
        <w:tc>
          <w:tcPr>
            <w:tcW w:type="dxa" w:w="1440"/>
            <w:shd w:fill="C6EFCE" w:val="clear"/>
          </w:tcPr>
          <w:p>
            <w:r>
              <w:rPr>
                <w:sz w:val="17"/>
              </w:rPr>
              <w:t>3,068</w:t>
            </w:r>
          </w:p>
        </w:tc>
        <w:tc>
          <w:tcPr>
            <w:tcW w:type="dxa" w:w="1440"/>
            <w:shd w:fill="C6EFCE" w:val="clear"/>
          </w:tcPr>
          <w:p>
            <w:r>
              <w:rPr>
                <w:b/>
                <w:sz w:val="17"/>
              </w:rPr>
              <w:t>3,270</w:t>
            </w:r>
          </w:p>
        </w:tc>
        <w:tc>
          <w:tcPr>
            <w:tcW w:type="dxa" w:w="1440"/>
            <w:shd w:fill="C6EFCE" w:val="clear"/>
          </w:tcPr>
          <w:p>
            <w:r>
              <w:rPr>
                <w:sz w:val="17"/>
              </w:rPr>
              <w:t>3,472</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2026-09-21</w:t>
            </w:r>
          </w:p>
        </w:tc>
        <w:tc>
          <w:tcPr>
            <w:tcW w:type="dxa" w:w="1440"/>
            <w:shd w:fill="C6EFCE" w:val="clear"/>
          </w:tcPr>
          <w:p>
            <w:r>
              <w:rPr>
                <w:sz w:val="17"/>
              </w:rPr>
              <w:t>3,052</w:t>
            </w:r>
          </w:p>
        </w:tc>
        <w:tc>
          <w:tcPr>
            <w:tcW w:type="dxa" w:w="1440"/>
            <w:shd w:fill="C6EFCE" w:val="clear"/>
          </w:tcPr>
          <w:p>
            <w:r>
              <w:rPr>
                <w:b/>
                <w:sz w:val="17"/>
              </w:rPr>
              <w:t>3,273</w:t>
            </w:r>
          </w:p>
        </w:tc>
        <w:tc>
          <w:tcPr>
            <w:tcW w:type="dxa" w:w="1440"/>
            <w:shd w:fill="C6EFCE" w:val="clear"/>
          </w:tcPr>
          <w:p>
            <w:r>
              <w:rPr>
                <w:sz w:val="17"/>
              </w:rPr>
              <w:t>3,494</w:t>
            </w:r>
          </w:p>
        </w:tc>
        <w:tc>
          <w:tcPr>
            <w:tcW w:type="dxa" w:w="1440"/>
            <w:shd w:fill="C6EFCE" w:val="clear"/>
          </w:tcPr>
          <w:p>
            <w:r>
              <w:rPr>
                <w:b/>
                <w:color w:val="008000"/>
                <w:sz w:val="17"/>
              </w:rPr>
              <w:t>+2.1%</w:t>
            </w:r>
          </w:p>
        </w:tc>
      </w:tr>
      <w:tr>
        <w:tc>
          <w:tcPr>
            <w:tcW w:type="dxa" w:w="1440"/>
            <w:shd w:fill="C6EFCE" w:val="clear"/>
          </w:tcPr>
          <w:p>
            <w:r>
              <w:rPr>
                <w:sz w:val="17"/>
              </w:rPr>
              <w:t>J+7  Moyenne</w:t>
            </w:r>
          </w:p>
        </w:tc>
        <w:tc>
          <w:tcPr>
            <w:tcW w:type="dxa" w:w="1440"/>
            <w:shd w:fill="C6EFCE" w:val="clear"/>
          </w:tcPr>
          <w:p>
            <w:r>
              <w:rPr>
                <w:sz w:val="17"/>
              </w:rPr>
              <w:t>2026-09-22</w:t>
            </w:r>
          </w:p>
        </w:tc>
        <w:tc>
          <w:tcPr>
            <w:tcW w:type="dxa" w:w="1440"/>
            <w:shd w:fill="C6EFCE" w:val="clear"/>
          </w:tcPr>
          <w:p>
            <w:r>
              <w:rPr>
                <w:sz w:val="17"/>
              </w:rPr>
              <w:t>3,036</w:t>
            </w:r>
          </w:p>
        </w:tc>
        <w:tc>
          <w:tcPr>
            <w:tcW w:type="dxa" w:w="1440"/>
            <w:shd w:fill="C6EFCE" w:val="clear"/>
          </w:tcPr>
          <w:p>
            <w:r>
              <w:rPr>
                <w:b/>
                <w:sz w:val="17"/>
              </w:rPr>
              <w:t>3,275</w:t>
            </w:r>
          </w:p>
        </w:tc>
        <w:tc>
          <w:tcPr>
            <w:tcW w:type="dxa" w:w="1440"/>
            <w:shd w:fill="C6EFCE" w:val="clear"/>
          </w:tcPr>
          <w:p>
            <w:r>
              <w:rPr>
                <w:sz w:val="17"/>
              </w:rPr>
              <w:t>3,515</w:t>
            </w:r>
          </w:p>
        </w:tc>
        <w:tc>
          <w:tcPr>
            <w:tcW w:type="dxa" w:w="1440"/>
            <w:shd w:fill="C6EFCE" w:val="clear"/>
          </w:tcPr>
          <w:p>
            <w:r>
              <w:rPr>
                <w:b/>
                <w:color w:val="008000"/>
                <w:sz w:val="17"/>
              </w:rPr>
              <w:t>+2.2%</w:t>
            </w:r>
          </w:p>
        </w:tc>
      </w:tr>
      <w:tr>
        <w:tc>
          <w:tcPr>
            <w:tcW w:type="dxa" w:w="1440"/>
            <w:shd w:fill="C6EFCE" w:val="clear"/>
          </w:tcPr>
          <w:p>
            <w:r>
              <w:rPr>
                <w:sz w:val="17"/>
              </w:rPr>
              <w:t>J+8  Moyenne</w:t>
            </w:r>
          </w:p>
        </w:tc>
        <w:tc>
          <w:tcPr>
            <w:tcW w:type="dxa" w:w="1440"/>
            <w:shd w:fill="C6EFCE" w:val="clear"/>
          </w:tcPr>
          <w:p>
            <w:r>
              <w:rPr>
                <w:sz w:val="17"/>
              </w:rPr>
              <w:t>2026-09-23</w:t>
            </w:r>
          </w:p>
        </w:tc>
        <w:tc>
          <w:tcPr>
            <w:tcW w:type="dxa" w:w="1440"/>
            <w:shd w:fill="C6EFCE" w:val="clear"/>
          </w:tcPr>
          <w:p>
            <w:r>
              <w:rPr>
                <w:sz w:val="17"/>
              </w:rPr>
              <w:t>3,022</w:t>
            </w:r>
          </w:p>
        </w:tc>
        <w:tc>
          <w:tcPr>
            <w:tcW w:type="dxa" w:w="1440"/>
            <w:shd w:fill="C6EFCE" w:val="clear"/>
          </w:tcPr>
          <w:p>
            <w:r>
              <w:rPr>
                <w:b/>
                <w:sz w:val="17"/>
              </w:rPr>
              <w:t>3,278</w:t>
            </w:r>
          </w:p>
        </w:tc>
        <w:tc>
          <w:tcPr>
            <w:tcW w:type="dxa" w:w="1440"/>
            <w:shd w:fill="C6EFCE" w:val="clear"/>
          </w:tcPr>
          <w:p>
            <w:r>
              <w:rPr>
                <w:sz w:val="17"/>
              </w:rPr>
              <w:t>3,534</w:t>
            </w:r>
          </w:p>
        </w:tc>
        <w:tc>
          <w:tcPr>
            <w:tcW w:type="dxa" w:w="1440"/>
            <w:shd w:fill="C6EFCE" w:val="clear"/>
          </w:tcPr>
          <w:p>
            <w:r>
              <w:rPr>
                <w:b/>
                <w:color w:val="008000"/>
                <w:sz w:val="17"/>
              </w:rPr>
              <w:t>+2.3%</w:t>
            </w:r>
          </w:p>
        </w:tc>
      </w:tr>
      <w:tr>
        <w:tc>
          <w:tcPr>
            <w:tcW w:type="dxa" w:w="1440"/>
            <w:shd w:fill="C6EFCE" w:val="clear"/>
          </w:tcPr>
          <w:p>
            <w:r>
              <w:rPr>
                <w:sz w:val="17"/>
              </w:rPr>
              <w:t>J+9  Moyenne</w:t>
            </w:r>
          </w:p>
        </w:tc>
        <w:tc>
          <w:tcPr>
            <w:tcW w:type="dxa" w:w="1440"/>
            <w:shd w:fill="C6EFCE" w:val="clear"/>
          </w:tcPr>
          <w:p>
            <w:r>
              <w:rPr>
                <w:sz w:val="17"/>
              </w:rPr>
              <w:t>2026-09-24</w:t>
            </w:r>
          </w:p>
        </w:tc>
        <w:tc>
          <w:tcPr>
            <w:tcW w:type="dxa" w:w="1440"/>
            <w:shd w:fill="C6EFCE" w:val="clear"/>
          </w:tcPr>
          <w:p>
            <w:r>
              <w:rPr>
                <w:sz w:val="17"/>
              </w:rPr>
              <w:t>3,009</w:t>
            </w:r>
          </w:p>
        </w:tc>
        <w:tc>
          <w:tcPr>
            <w:tcW w:type="dxa" w:w="1440"/>
            <w:shd w:fill="C6EFCE" w:val="clear"/>
          </w:tcPr>
          <w:p>
            <w:r>
              <w:rPr>
                <w:b/>
                <w:sz w:val="17"/>
              </w:rPr>
              <w:t>3,280</w:t>
            </w:r>
          </w:p>
        </w:tc>
        <w:tc>
          <w:tcPr>
            <w:tcW w:type="dxa" w:w="1440"/>
            <w:shd w:fill="C6EFCE" w:val="clear"/>
          </w:tcPr>
          <w:p>
            <w:r>
              <w:rPr>
                <w:sz w:val="17"/>
              </w:rPr>
              <w:t>3,552</w:t>
            </w:r>
          </w:p>
        </w:tc>
        <w:tc>
          <w:tcPr>
            <w:tcW w:type="dxa" w:w="1440"/>
            <w:shd w:fill="C6EFCE" w:val="clear"/>
          </w:tcPr>
          <w:p>
            <w:r>
              <w:rPr>
                <w:b/>
                <w:color w:val="008000"/>
                <w:sz w:val="17"/>
              </w:rPr>
              <w:t>+2.3%</w:t>
            </w:r>
          </w:p>
        </w:tc>
      </w:tr>
      <w:tr>
        <w:tc>
          <w:tcPr>
            <w:tcW w:type="dxa" w:w="1440"/>
            <w:shd w:fill="C6EFCE" w:val="clear"/>
          </w:tcPr>
          <w:p>
            <w:r>
              <w:rPr>
                <w:sz w:val="17"/>
              </w:rPr>
              <w:t>J+10  Moyenne</w:t>
            </w:r>
          </w:p>
        </w:tc>
        <w:tc>
          <w:tcPr>
            <w:tcW w:type="dxa" w:w="1440"/>
            <w:shd w:fill="C6EFCE" w:val="clear"/>
          </w:tcPr>
          <w:p>
            <w:r>
              <w:rPr>
                <w:sz w:val="17"/>
              </w:rPr>
              <w:t>2026-09-25</w:t>
            </w:r>
          </w:p>
        </w:tc>
        <w:tc>
          <w:tcPr>
            <w:tcW w:type="dxa" w:w="1440"/>
            <w:shd w:fill="C6EFCE" w:val="clear"/>
          </w:tcPr>
          <w:p>
            <w:r>
              <w:rPr>
                <w:sz w:val="17"/>
              </w:rPr>
              <w:t>2,996</w:t>
            </w:r>
          </w:p>
        </w:tc>
        <w:tc>
          <w:tcPr>
            <w:tcW w:type="dxa" w:w="1440"/>
            <w:shd w:fill="C6EFCE" w:val="clear"/>
          </w:tcPr>
          <w:p>
            <w:r>
              <w:rPr>
                <w:b/>
                <w:sz w:val="17"/>
              </w:rPr>
              <w:t>3,282</w:t>
            </w:r>
          </w:p>
        </w:tc>
        <w:tc>
          <w:tcPr>
            <w:tcW w:type="dxa" w:w="1440"/>
            <w:shd w:fill="C6EFCE" w:val="clear"/>
          </w:tcPr>
          <w:p>
            <w:r>
              <w:rPr>
                <w:sz w:val="17"/>
              </w:rPr>
              <w:t>3,569</w:t>
            </w:r>
          </w:p>
        </w:tc>
        <w:tc>
          <w:tcPr>
            <w:tcW w:type="dxa" w:w="1440"/>
            <w:shd w:fill="C6EFCE" w:val="clear"/>
          </w:tcPr>
          <w:p>
            <w:r>
              <w:rPr>
                <w:b/>
                <w:color w:val="008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ORGT (ORAGROUP)</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222,48 milliards FCFA, ORGT se positionne comme une valeur de premier plan de la cote BRVM, représentant un pilier du compartiment bancaire régional. Le BPA de 312 FCFA/action signifie que chaque titre génère un bénéfice net de 312 FCFA, ce qui, rapporté au cours actuel de 3 205 FCFA, donne un PER de 10,3x — un niveau modéré et parfaitement dans la moyenne du marché BRVM (8-12x), traduisant une valorisation raisonnable sans prime excessive. Le ratio P/B de 1,97x indique que le marché valorise la banque à près du double de sa valeur comptable, ce qui reste dans la fourchette raisonnable (1-2x) mais suggère que les investisseurs intègrent déjà une partie du redressement opérationnel. En revanche, l'EV/EBITDA de 20,1x apparaît très exigeant (&gt;15x), signalant que la valeur d'entreprise rapportée à la capacité opérationnelle est tendue — un point de vigilance pour un investisseur value. Globalement, la valorisation est correcte mais sans marge de sécurité manifeste, le PER modéré compensant partiellement le P/B et l'EV/EBITDA élevés.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variation totale de -4,61%, avec une dernière séance particulièrement négative (-2,88%), ce qui traduit une pression vendeuse récente sur le titre. Le cours actuel de 3 205 FCFA se situe dans la moitié supérieure du range de trading, le plus haut ayant atteint 3 475 FCFA et le plus bas 2 435 FCFA — soit un écart de plus de 1 000 FCFA qui témoigne d'une amplitude significative. La tendance générale reste donc haussière sur la période longue (le cours actuel est bien au-dessus du plus bas), mais la correction récente et la variation J-1 négative suggèrent un essoufflement à court terme. Les statistiques descriptives révèlent une moyenne de 2 910 FCFA supérieure à la médiane de 2 780 FCFA, avec un mode à 2 680 FCFA : cet écart indique une distribution légèrement tirée vers le haut par des pics ponctuels, confirmée par un skewness positif de 0,291 (distribution symétrique mais légèrement étalée à droite). L'écart-type de 270 FCFA et le coefficient de variation de 9,3% traduisent une dispersion modérée du cours autour de sa moyenne, tandis que le kurtosis de -1,324 (distribution platykurtique) signale une faible concentration des valeurs extrêmes — donc un risque de pics brusques relativement limité. Enfin, la volatilité annualisée de 44,0% classe ORGT dans la catégorie des titres à volatilité élevée (&gt;30%), ce qui implique un risque de marché conséquent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(3 197 FCFA) est légèrement inférieure au cours actuel (3 205 FCFA), tandis que la MM50 (2 985 FCFA) se situe nettement en dessous, créant une configuration haussière classique (cours &gt; MM20 &gt; MM50). Cette disposition confirme une dynamique positive de fond, et la décision technique affichée est logiquement **Achat**.</w:t>
      </w:r>
    </w:p>
    <w:p>
      <w:pPr>
        <w:spacing w:after="120" w:line="276" w:lineRule="auto"/>
      </w:pPr>
      <w:r>
        <w:t>**Bandes de Bollinger** : Le cours (3 205 FCFA) évolue dans la partie médiane des bandes, entre la borne inférieure (2 989 FCFA) et supérieure (3 405 FCFA), sans contact avec les extrêmes. Cette position neutre, couplée à un écart de bandes modéré, traduit une volatilité sans excès et justifie la décision **Neutre** — ni signal d'achat ni de vente.</w:t>
      </w:r>
    </w:p>
    <w:p>
      <w:pPr>
        <w:spacing w:after="120" w:line="276" w:lineRule="auto"/>
      </w:pPr>
      <w:r>
        <w:t>**MACD** : La valeur du MACD (84,583) est inférieure à son signal (90,574), ce qui génère un croisement baissier et un momentum négatif à court terme. Cette divergence indique un essoufflement de la tendance haussière récente, justifiant la décision **Vente** — un signal de prudence à ne pas négliger.</w:t>
      </w:r>
    </w:p>
    <w:p>
      <w:pPr>
        <w:spacing w:after="120" w:line="276" w:lineRule="auto"/>
      </w:pPr>
      <w:r>
        <w:t>**RSI** : À 57,273, le RSI se situe dans la zone neutre (30-70), sans suraccumulation ni survente. Le titre n'est ni suracheté ni survendu, ce qui laisse une marge de manœuvre dans les deux sens et justifie la décision **Neutre**.</w:t>
      </w:r>
    </w:p>
    <w:p>
      <w:pPr>
        <w:spacing w:after="120" w:line="276" w:lineRule="auto"/>
      </w:pPr>
      <w:r>
        <w:t>**Stochastique** : Le %K (20,408) est nettement inférieur au %D (49,227), avec un %K en zone basse proche de la survente (&lt;20). Ce croisement baissier suggère une pression vendeuse à court terme, mais la proximité de la zone de survente pourrait annoncer un rebond technique imminent — décision **Neutre**.</w:t>
      </w:r>
    </w:p>
    <w:p>
      <w:pPr>
        <w:spacing w:after="120" w:line="276" w:lineRule="auto"/>
      </w:pPr>
      <w:r>
        <w:t>**Conclusion technique** : Les indicateurs sont globalement divergents. Les moyennes mobiles confirment une tendance haussière de fond (Achat), mais le MACD baissier et le stochastique en zone basse signalent une pression vendeuse à court terme. Le RSI et les Bollinger restent neutres. Cette configuration mixte plaide pour une **consolidation à court terme**, avec un avantage tactique aux vendeurs tant que le MACD ne se retourne pas, mais sans remise en cause de la tendance haussière de moyen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(équivalent du chiffre d'affaires pour une banque) de 186,609 milliards FCFA, en recul de -4,52% par rapport à 2024, et un résultat net consolidé de 21,643 milliards FCFA — un redressement spectaculaire après la perte de -44,363 milliards FCFA en 2024. Le ROE ressort à 19,13% (&gt;15%, excellent) et le ROA à 0,54%, tandis que la marge nette atteint 11,60%. Le coefficient d'exploitation de 42,85% place ORGT parmi les banques les plus efficaces (&lt;50% = excellente), et le coût du risque rapporté aux charges financières (3,74%) demeure contenu, signe d'un portefeuille assaini.</w:t>
      </w:r>
    </w:p>
    <w:p>
      <w:pPr>
        <w:spacing w:after="120" w:line="276" w:lineRule="auto"/>
      </w:pPr>
      <w:r>
        <w:t>**Analyse sectorielle bancaire** : La structure bilancielle est solide avec 3 088,698 milliards FCFA de dépôts clientèle face à 1 523,765 milliards FCFA de créances clientèle, soit un ratio de transformation (crédits/dépôts) de seulement 49,3% — un niveau prudent qui traduit une stratégie de sélectivité assumée mais limite la génération de revenus d'intérêts. Les créances interbancaires (275,515 milliards FCFA) et le portefeuille de titres d'État (1 462,409 milliards FCFA) confirment une gestion prudente de la liquidité. Le ratio d'endettement de 444,94% et l'autonomie financière de 2,82% sont typiques d'une banque (effet de levier structurel), mais la solvabilité générale de 102,90% reste juste au-dessus du seuil critique.</w:t>
      </w:r>
    </w:p>
    <w:p>
      <w:pPr>
        <w:spacing w:after="120" w:line="276" w:lineRule="auto"/>
      </w:pPr>
      <w:r>
        <w:t>**Estimations basées sur les rapports trimestriels** : Le rapport T1 2026 (publié en 2026) indique un PNB de 50,124 milliards FCFA (-2%) et un résultat net de 6,555 milliards FCFA (+37%), avec des dépôts en hausse de 14% à 3 343 milliards FCFA et un coût du risque en baisse de 10%. Sur cette base, on estime que l'exercice 2026 devrait confirmer la consolidation du redressement, avec un résultat net annuel projeté autour de 25-28 milliards FCFA si la dynamique se maintient. Le rapport 9 mois 2025 (daté du 30/09/2025) confirmait déjà un bénéfice net de 19,604 milliards FCFA (+248%) et une baisse de 74% du coût du risque.</w:t>
      </w:r>
    </w:p>
    <w:p>
      <w:pPr>
        <w:spacing w:after="120" w:line="276" w:lineRule="auto"/>
      </w:pPr>
      <w:r>
        <w:t>**Évolution pluriannuelle** : La trajectoire est claire — après une année 2024 catastrophique (perte de -44,4 milliards FCFA, capitaux propres entamés), ORGT a opéré une cure d'assainissement radicale en 2025 (retour à +21,6 milliards FCFA, capitaux propres renforcés à 113,165 milliards FCFA, +17%). Le rapport d'Assemblée Générale Mixte du 05/07/2026 confirme l'absence de dividende pour 2025 (comptes sociaux de la holding en perte de -8,04 milliards FCFA), mais valide le renforcement des fonds propres.</w:t>
      </w:r>
    </w:p>
    <w:p>
      <w:pPr>
        <w:spacing w:after="120" w:line="276" w:lineRule="auto"/>
      </w:pPr>
      <w:r>
        <w:t>**Recommandation fondamentale** : La solidité financière est en nette amélioration, portée par la maîtrise des coûts et la normalisation du risque. Cependant, la baisse du PNB (-4,5%) et la contraction du crédit (-12% au T1 2026) constituent des signaux d'alerte sur la dynamique commerciale. La recommandation fondamentale est **CONSERVER**, avec un biais positif si la reprise du PNB se confirme.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la valorisation (Partie 0)**, le PER de 10,3x est modéré et attractif, mais le P/B de 1,97x et l'EV/EBITDA de 20,1x indiquent une valorisation sans décote significative — le marché intègre déjà le redressement. **Sur le comportement du cours (Partie 1)**, la tendance de fond reste haussière (cours &gt; MM50), mais la correction récente (-4,61% sur 100 jours, -2,88% en J-1) et la volatilité élevée (44%) incitent à la prudence ; le kurtosis négatif (-1,324) limite toutefois le risque de pics extrêmes. **Sur le plan technique (Partie 2)**, les signaux sont divergents : les moyennes mobiles sont haussières, mais le MACD baissier et le stochastique en zone basse signalent une pression vendeuse à court terme, plaidant pour une consolidation. **Sur le plan fondamental (Partie 3)**, ORGT affiche un redressement spectaculaire en 2025 (ROE de 19,13%, coefficient d'exploitation de 42,85%, retour à un bénéfice de 21,6 milliards FCFA), confirmé par le T1 2026 (résultat net +37%), mais la baisse du PNB et la contraction du crédit restent des points de vigilance. **Les prédictions IA (J+1 à J+10)** anticipent une trajectoire légèrement haussière (3 258 → 3 270 FCFA, soit +2,0%), ce qui contredit le signal baissier du MACD mais s'aligne sur la tendance de fond des moyennes mobiles.</w:t>
      </w:r>
    </w:p>
    <w:p>
      <w:pPr>
        <w:spacing w:after="120" w:line="276" w:lineRule="auto"/>
      </w:pPr>
      <w:r>
        <w:t>**Recommandation finale : CONSERVER**</w:t>
      </w:r>
    </w:p>
    <w:p>
      <w:pPr>
        <w:spacing w:after="120" w:line="276" w:lineRule="auto"/>
      </w:pPr>
      <w:r>
        <w:t>Cette recommandation résulte d'une convergence partielle : la valorisation est correcte (ni sous-évaluée ni surévaluée), les fondamentaux sont en nette amélioration mais la dynamique commerciale reste fragile, et les signaux techniques sont mitigés (tendance haussière de fond vs pression vendeuse court terme). Les prédictions IA, légèrement haussières, ne suffisent pas à justifier un achat agressif compte tenu de la volatilité élevée et de l'absence de dividende. **Niveau de confiance : Moyen** — la visibilité sur la reprise du PNB reste limitée. **Niveau de risque global : Moyen à Élevé** — la volatilité de 44% et la dépendance à la normalisation du coût du risque constituent des facteurs de risque significatifs. **Horizon d'investissement optimal : Moyen terme (3-12 mois)** — le temps que la dynamique commerciale se confirme et que le MACD se retourne à la hausse pour valider un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3,775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+2.47%</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μ=8,536 FCFA, σ=570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β=-0.2887 (Contre-cyclique) — Cov=-0.000010, Var(idx)=0.000035, ρ=-0.072,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8,033</w:t>
            </w:r>
          </w:p>
        </w:tc>
        <w:tc>
          <w:tcPr>
            <w:tcW w:type="dxa" w:w="1440"/>
            <w:shd w:fill="FAFAFA" w:val="clear"/>
          </w:tcPr>
          <w:p>
            <w:r>
              <w:rPr>
                <w:b/>
                <w:sz w:val="17"/>
              </w:rPr>
              <w:t>8,306</w:t>
            </w:r>
          </w:p>
        </w:tc>
        <w:tc>
          <w:tcPr>
            <w:tcW w:type="dxa" w:w="1440"/>
            <w:shd w:fill="FAFAFA" w:val="clear"/>
          </w:tcPr>
          <w:p>
            <w:r>
              <w:rPr>
                <w:sz w:val="17"/>
              </w:rPr>
              <w:t>8,580</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7,902</w:t>
            </w:r>
          </w:p>
        </w:tc>
        <w:tc>
          <w:tcPr>
            <w:tcW w:type="dxa" w:w="1440"/>
            <w:shd w:fill="FAFAFA" w:val="clear"/>
          </w:tcPr>
          <w:p>
            <w:r>
              <w:rPr>
                <w:b/>
                <w:sz w:val="17"/>
              </w:rPr>
              <w:t>8,289</w:t>
            </w:r>
          </w:p>
        </w:tc>
        <w:tc>
          <w:tcPr>
            <w:tcW w:type="dxa" w:w="1440"/>
            <w:shd w:fill="FAFAFA" w:val="clear"/>
          </w:tcPr>
          <w:p>
            <w:r>
              <w:rPr>
                <w:sz w:val="17"/>
              </w:rPr>
              <w:t>8,675</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7,804</w:t>
            </w:r>
          </w:p>
        </w:tc>
        <w:tc>
          <w:tcPr>
            <w:tcW w:type="dxa" w:w="1440"/>
            <w:shd w:fill="FAFAFA" w:val="clear"/>
          </w:tcPr>
          <w:p>
            <w:r>
              <w:rPr>
                <w:b/>
                <w:sz w:val="17"/>
              </w:rPr>
              <w:t>8,276</w:t>
            </w:r>
          </w:p>
        </w:tc>
        <w:tc>
          <w:tcPr>
            <w:tcW w:type="dxa" w:w="1440"/>
            <w:shd w:fill="FAFAFA" w:val="clear"/>
          </w:tcPr>
          <w:p>
            <w:r>
              <w:rPr>
                <w:sz w:val="17"/>
              </w:rPr>
              <w:t>8,749</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7,720</w:t>
            </w:r>
          </w:p>
        </w:tc>
        <w:tc>
          <w:tcPr>
            <w:tcW w:type="dxa" w:w="1440"/>
            <w:shd w:fill="FAFAFA" w:val="clear"/>
          </w:tcPr>
          <w:p>
            <w:r>
              <w:rPr>
                <w:b/>
                <w:sz w:val="17"/>
              </w:rPr>
              <w:t>8,264</w:t>
            </w:r>
          </w:p>
        </w:tc>
        <w:tc>
          <w:tcPr>
            <w:tcW w:type="dxa" w:w="1440"/>
            <w:shd w:fill="FAFAFA" w:val="clear"/>
          </w:tcPr>
          <w:p>
            <w:r>
              <w:rPr>
                <w:sz w:val="17"/>
              </w:rPr>
              <w:t>8,809</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7,644</w:t>
            </w:r>
          </w:p>
        </w:tc>
        <w:tc>
          <w:tcPr>
            <w:tcW w:type="dxa" w:w="1440"/>
            <w:shd w:fill="FAFAFA" w:val="clear"/>
          </w:tcPr>
          <w:p>
            <w:r>
              <w:rPr>
                <w:b/>
                <w:sz w:val="17"/>
              </w:rPr>
              <w:t>8,252</w:t>
            </w:r>
          </w:p>
        </w:tc>
        <w:tc>
          <w:tcPr>
            <w:tcW w:type="dxa" w:w="1440"/>
            <w:shd w:fill="FAFAFA" w:val="clear"/>
          </w:tcPr>
          <w:p>
            <w:r>
              <w:rPr>
                <w:sz w:val="17"/>
              </w:rPr>
              <w:t>8,860</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7,575</w:t>
            </w:r>
          </w:p>
        </w:tc>
        <w:tc>
          <w:tcPr>
            <w:tcW w:type="dxa" w:w="1440"/>
            <w:shd w:fill="FAFAFA" w:val="clear"/>
          </w:tcPr>
          <w:p>
            <w:r>
              <w:rPr>
                <w:b/>
                <w:sz w:val="17"/>
              </w:rPr>
              <w:t>8,240</w:t>
            </w:r>
          </w:p>
        </w:tc>
        <w:tc>
          <w:tcPr>
            <w:tcW w:type="dxa" w:w="1440"/>
            <w:shd w:fill="FAFAFA" w:val="clear"/>
          </w:tcPr>
          <w:p>
            <w:r>
              <w:rPr>
                <w:sz w:val="17"/>
              </w:rPr>
              <w:t>8,906</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7,512</w:t>
            </w:r>
          </w:p>
        </w:tc>
        <w:tc>
          <w:tcPr>
            <w:tcW w:type="dxa" w:w="1440"/>
            <w:shd w:fill="FAFAFA" w:val="clear"/>
          </w:tcPr>
          <w:p>
            <w:r>
              <w:rPr>
                <w:b/>
                <w:sz w:val="17"/>
              </w:rPr>
              <w:t>8,229</w:t>
            </w:r>
          </w:p>
        </w:tc>
        <w:tc>
          <w:tcPr>
            <w:tcW w:type="dxa" w:w="1440"/>
            <w:shd w:fill="FAFAFA" w:val="clear"/>
          </w:tcPr>
          <w:p>
            <w:r>
              <w:rPr>
                <w:sz w:val="17"/>
              </w:rPr>
              <w:t>8,947</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7,452</w:t>
            </w:r>
          </w:p>
        </w:tc>
        <w:tc>
          <w:tcPr>
            <w:tcW w:type="dxa" w:w="1440"/>
            <w:shd w:fill="FAFAFA" w:val="clear"/>
          </w:tcPr>
          <w:p>
            <w:r>
              <w:rPr>
                <w:b/>
                <w:sz w:val="17"/>
              </w:rPr>
              <w:t>8,218</w:t>
            </w:r>
          </w:p>
        </w:tc>
        <w:tc>
          <w:tcPr>
            <w:tcW w:type="dxa" w:w="1440"/>
            <w:shd w:fill="FAFAFA" w:val="clear"/>
          </w:tcPr>
          <w:p>
            <w:r>
              <w:rPr>
                <w:sz w:val="17"/>
              </w:rPr>
              <w:t>8,984</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7,397</w:t>
            </w:r>
          </w:p>
        </w:tc>
        <w:tc>
          <w:tcPr>
            <w:tcW w:type="dxa" w:w="1440"/>
            <w:shd w:fill="FAFAFA" w:val="clear"/>
          </w:tcPr>
          <w:p>
            <w:r>
              <w:rPr>
                <w:b/>
                <w:sz w:val="17"/>
              </w:rPr>
              <w:t>8,208</w:t>
            </w:r>
          </w:p>
        </w:tc>
        <w:tc>
          <w:tcPr>
            <w:tcW w:type="dxa" w:w="1440"/>
            <w:shd w:fill="FAFAFA" w:val="clear"/>
          </w:tcPr>
          <w:p>
            <w:r>
              <w:rPr>
                <w:sz w:val="17"/>
              </w:rPr>
              <w:t>9,019</w:t>
            </w:r>
          </w:p>
        </w:tc>
        <w:tc>
          <w:tcPr>
            <w:tcW w:type="dxa" w:w="1440"/>
            <w:shd w:fill="FAFAFA" w:val="clear"/>
          </w:tcPr>
          <w:p>
            <w:r>
              <w:rPr>
                <w:b/>
                <w:color w:val="C00000"/>
                <w:sz w:val="17"/>
              </w:rPr>
              <w:t>-1.1%</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7,344</w:t>
            </w:r>
          </w:p>
        </w:tc>
        <w:tc>
          <w:tcPr>
            <w:tcW w:type="dxa" w:w="1440"/>
            <w:shd w:fill="FAFAFA" w:val="clear"/>
          </w:tcPr>
          <w:p>
            <w:r>
              <w:rPr>
                <w:b/>
                <w:sz w:val="17"/>
              </w:rPr>
              <w:t>8,198</w:t>
            </w:r>
          </w:p>
        </w:tc>
        <w:tc>
          <w:tcPr>
            <w:tcW w:type="dxa" w:w="1440"/>
            <w:shd w:fill="FAFAFA" w:val="clear"/>
          </w:tcPr>
          <w:p>
            <w:r>
              <w:rPr>
                <w:sz w:val="17"/>
              </w:rPr>
              <w:t>9,052</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128,31 milliards FCFA, PALC se positionne parmi les valeurs moyennes-capitalisations de la BRVM, ce qui lui confère une liquidité modérée mais une certaine stabilité institutionnelle. Le BPA de 1 003 FCFA/action signifie que chaque titre génère environ 1 003 FCFA de bénéfice net, ce qui, rapporté au cours actuel de 8 300 FCFA, donne un PER de 8,3x — un niveau inférieur à la moyenne du marché BRVM (8-12x), suggérant une sous-évaluation relative ou une anticipation de baisse des bénéfices par le marché. Le P/B de 0,90x indique que le marché valorise PALC en dessous de sa valeur comptable (capitaux propres de 142,6 Mds FCFA), ce qui constitue historiquement un signal d'opportunité potentielle, bien que cela puisse aussi refléter des doutes sur la qualité des actifs ou la rentabilité future. Enfin, l'EV/EBITDA de 4,0x, très inférieur au seuil de 5x, traduit une valorisation d'entreprise très bon marché par rapport à sa capacité opérationnelle, ce qui renforce l'hypothèse d'une décote injustifiée ou d'un cycle baissier en cours.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progressé de +2,47%, avec une dernière séance stable (0,00%), clôturant à 8 300 FCFA. Le range de trading s'étend de 7 000 FCFA (plus bas) à 9 640 FCFA (plus haut), soit une amplitude de 37,7%, témoignant d'une forte volatilité intra-période. La tendance générale est baissière depuis le pic de 9 640 FCFA, le cours actuel se situant à 13,9% en dessous de ce sommet, mais reste au-dessus du plancher de 7 000 FCFA. Les statistiques descriptives révèlent une moyenne de 8 536 FCFA légèrement supérieure à la médiane de 8 690 FCFA — écart faible indiquant une distribution quasi-symétrique, confirmée par un skewness de -0,362 (léger étalement vers la gauche, donc quelques valeurs basses extrêmes). L'écart-type de 573 FCFA avec un coefficient de variation de 6,7% traduit une dispersion modérée autour de la moyenne, tandis que le kurtosis de -0,531 (mésokurtique) indique une distribution proche de la normale, sans risque excessif de pics extrêmes. La volatilité annualisée de 37,2%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(9 106,25 FCFA) et la MM50 (8 941,4 FCFA) se situent toutes deux au-dessus du cours actuel (8 300 FCFA), ce qui place le titre en position baissière à court et moyen terme. Cependant, la décision technique affichée est "Achat", probablement en anticipation d'un rebond technique après la survente, mais la configuration actuelle (cours sous les deux moyennes) reste défavorable.</w:t>
      </w:r>
    </w:p>
    <w:p>
      <w:pPr>
        <w:spacing w:after="120" w:line="276" w:lineRule="auto"/>
      </w:pPr>
      <w:r>
        <w:t>**Bandes de Bollinger** : Le cours (8 300 FCFA) évolue près de la borne inférieure (8 244,64 FCFA) et très en dessous de la borne supérieure (9 967,86 FCFA), ce qui indique une pression vendeuse récente et une volatilité en expansion. La décision "Neutre" reflète l'absence de signal clair : le titre n'est ni en surachat ni en survente extrême selon ce seul indicateur.</w:t>
      </w:r>
    </w:p>
    <w:p>
      <w:pPr>
        <w:spacing w:after="120" w:line="276" w:lineRule="auto"/>
      </w:pPr>
      <w:r>
        <w:t>**MACD** : La valeur du MACD (-154,948) est très inférieure à son signal (-19,187), avec un histogramme négatif, confirmant un momentum baissier prononcé. La décision "Vente" est cohérente avec cette divergence négative, qui suggère que la pression vendeuse pourrait persister à court terme.</w:t>
      </w:r>
    </w:p>
    <w:p>
      <w:pPr>
        <w:spacing w:after="120" w:line="276" w:lineRule="auto"/>
      </w:pPr>
      <w:r>
        <w:t>**RSI** : À 21,087, le RSI est en zone de survente (&lt;30), ce qui déclenche une décision "Achat" — signal classique de rebond potentiel. Un RSI aussi bas indique que le titre a été massivement vendu et pourrait attirer des acheteurs à contre-courant, mais il faut noter qu'en tendance baissière forte, le RSI peut rester bas longtemps.</w:t>
      </w:r>
    </w:p>
    <w:p>
      <w:pPr>
        <w:spacing w:after="120" w:line="276" w:lineRule="auto"/>
      </w:pPr>
      <w:r>
        <w:t>**Stochastique** : Le %K (0,0) et le %D (0,0) sont au plus bas absolu, en zone de survente extrême, avec une décision "Achat". L'absence de croisement haussier pour l'instant signifie que le signal d'achat est anticipé mais non confirmé — un croisement %K au-dessus de %D serait nécessaire pour valider le rebond.</w:t>
      </w:r>
    </w:p>
    <w:p>
      <w:pPr>
        <w:spacing w:after="120" w:line="276" w:lineRule="auto"/>
      </w:pPr>
      <w:r>
        <w:t>**Conclusion technique** : Les indicateurs sont divergents : les moyennes mobiles et le MACD sont baissiers, tandis que le RSI et le stochastique sont en survente extrême et génèrent des signaux d'achat contrariants. Cette configuration suggère un possible rebond technique à court terme, mais la tendance de fond reste baissière tant que le cours ne repasse pas au-dessus de la MM20 (9 106 FCFA). La prudence est de mise, car un rebond en zone de survente peut être suivi d'une nouvelle jambe de baisse si les fondamentaux ne confirment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PALC (PALMCI S.A.) a réalisé un chiffre d'affaires de 197,63 milliards FCFA, en croissance de +14,8% par rapport à 2024 (172,2 Mds FCFA), portée par la hausse des volumes et des prix de l'huile de palme. Le résultat net s'établit à 15,509 milliards FCFA, en légère baisse de -2,2% vs 2024 (15,9 Mds FCFA), avec une marge nette de 7,85% (contre 9,2% en 2024). Le ROE de 10,87% et le ROA de 7,79% restent corrects mais en deçà du seuil d'excellence (&gt;15% pour le ROE), reflétant une rentabilité sous pression. La structure financière est très saine : capitaux propres de 142,64 Mds FCFA, autonomie financière de 71,64%, endettement quasi nul (dettes financières de 796,56 M FCFA), et liquidité générale de 171,95%. Cependant, le BFR de 44,62 Mds FCFA et le délai client élevé de 142,58 jours constituent un point de vigilance majeur pour la trésorerie, bien que la trésorerie nette soit négative à -4,56 Mds FCFA. Les rapports trimestriels de 2025 (T1, S1, T3) confirment une dynamique favorable : au T1 2025, le CA bondit de +32% à 67,5 Mds FCFA et le résultat net de +65% à 11,6 Mds FCFA (marge nette de 17,1%) ; au S1 2025, le CA atteint 134,8 Mds FCFA (+25%) et le résultat net 22,9 Mds FCFA (+37%) ; au T3 2025, le cumul 9 mois affiche un CA de 168,9 Mds FCFA (+18%) et un résultat net de 18,0 Mds FCFA (+11%), avec une marge nette de 10,7% — en retrait par rapport au S1, signalant une pression sur les coûts au T3. Toutefois, le rapport T1 2026 (publié en 2026) révèle un effondrement : CA de 49,4 Mds FCFA (-27%) et résultat net de 1,6 Md FCFA (-86%), que la direction attribue à un décalage temporel des ventes, avec un redressement attendu sur l'export. Sur la base de ces éléments, on estime que l'exercice 2026 pourrait être nettement moins bon que 2025 si le décalage persiste, mais la direction anticipe un résultat net positif. La recommandation fondamentale est de **CONSERVER** avec une surveillance active : la solidité du bilan et la position dominante sur le marché ouest-africain de l'huile de palme sont des atouts, mais la dégradation récente des marges et l'effondrement du T1 2026 imposent une grande prudence. Les risques principaux incluent la volatilité des cours de l'huile de palme, les risques climatiques, et la concurrence asiatique subventionnée.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très attractive avec un PER de 8,3x, un P/B de 0,90x et un EV/EBITDA de 4,0x, suggérant une sous-évaluation par rapport aux fondamentaux historiques et au marché BRVM. Cependant, le comportement du cours sur 100 jours est baissier (-13,9% depuis le plus haut), avec une volatilité élevée (37,2%) et une distribution quasi-symétrique (skewness -0,362, kurtosis -0,531) qui n'indique pas de risque extrême mais une tendance baissière persistante. Les signaux techniques sont divergents : le MACD et les moyennes mobiles sont baissiers, tandis que le RSI (21,09) et le stochastique (0,0) sont en survente extrême et génèrent des signaux d'achat contrariants — une configuration qui suggère un rebond technique possible mais fragile. Les fondamentaux de 2025 sont solides (CA +14,8%, ROE 10,87%, structure financière saine), mais le T1 2026 montre un effondrement du résultat net (-86%) qui remet en cause la trajectoire de croissance. Les prédictions IA pour les 10 prochains jours (8 306 → 8 252 FCFA) indiquent une légère baisse, confirmant la pression baissière à court terme. Sur la base de cette synthèse, la recommandation finale est **CONSERVER** avec un niveau de confiance **Moyen** et un risque global **Élevé**. La convergence entre la sous-évaluation (Partie 0) et la survente technique (Partie 2) plaide pour un potentiel de rebond, mais la divergence avec les fondamentaux récents (T1 2026 désastreux) et la prédiction baissière incite à la prudence. L'horizon d'investissement optimal est **moyen terme (3-12 mois)**, en attendant la confirmation d'un redressement des ventes à l'export et d'une stabilisation des marges. Un investisseur averse au risque attendra le prochain rapport trimestriel (T2 2026) avant de se positionner, tandis qu'un investisseur contrariant pourrait initier une position progressive en profitant de la survente, avec un stop-loss sous 7 000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866 titres</w:t>
            </w:r>
          </w:p>
        </w:tc>
        <w:tc>
          <w:tcPr>
            <w:tcW w:type="dxa" w:w="2268"/>
            <w:shd w:fill="FFF2CC" w:val="clear"/>
          </w:tcPr>
          <w:p>
            <w:r>
              <w:rPr>
                <w:b/>
                <w:color w:val="503200"/>
                <w:sz w:val="16"/>
              </w:rPr>
              <w:t xml:space="preserve">Cours actuel : </w:t>
            </w:r>
            <w:r>
              <w:rPr>
                <w:color w:val="000000"/>
                <w:sz w:val="17"/>
              </w:rPr>
              <w:t>4,385 FCFA</w:t>
            </w:r>
          </w:p>
          <w:p>
            <w:r>
              <w:rPr>
                <w:b/>
                <w:color w:val="503200"/>
                <w:sz w:val="16"/>
              </w:rPr>
              <w:t xml:space="preserve">Var. 100 jours : </w:t>
            </w:r>
            <w:r>
              <w:rPr>
                <w:b/>
                <w:color w:val="B40000"/>
                <w:sz w:val="17"/>
              </w:rPr>
              <w:t>-10.51%</w:t>
            </w:r>
          </w:p>
          <w:p>
            <w:r>
              <w:rPr>
                <w:b/>
                <w:color w:val="503200"/>
                <w:sz w:val="16"/>
              </w:rPr>
              <w:t xml:space="preserve">Plus haut 100j : </w:t>
            </w:r>
            <w:r>
              <w:rPr>
                <w:color w:val="000000"/>
                <w:sz w:val="17"/>
              </w:rPr>
              <w:t>4,900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6.85% (Moyenne) — μ=4,391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β=-0.2485 (Contre-cyclique) — Cov=-0.000009, Var(idx)=0.000035, ρ=-0.059,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866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4,275</w:t>
            </w:r>
          </w:p>
        </w:tc>
        <w:tc>
          <w:tcPr>
            <w:tcW w:type="dxa" w:w="1440"/>
            <w:shd w:fill="FAFAFA" w:val="clear"/>
          </w:tcPr>
          <w:p>
            <w:r>
              <w:rPr>
                <w:b/>
                <w:sz w:val="17"/>
              </w:rPr>
              <w:t>4,368</w:t>
            </w:r>
          </w:p>
        </w:tc>
        <w:tc>
          <w:tcPr>
            <w:tcW w:type="dxa" w:w="1440"/>
            <w:shd w:fill="FAFAFA" w:val="clear"/>
          </w:tcPr>
          <w:p>
            <w:r>
              <w:rPr>
                <w:sz w:val="17"/>
              </w:rPr>
              <w:t>4,461</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4,223</w:t>
            </w:r>
          </w:p>
        </w:tc>
        <w:tc>
          <w:tcPr>
            <w:tcW w:type="dxa" w:w="1440"/>
            <w:shd w:fill="FAFAFA" w:val="clear"/>
          </w:tcPr>
          <w:p>
            <w:r>
              <w:rPr>
                <w:b/>
                <w:sz w:val="17"/>
              </w:rPr>
              <w:t>4,354</w:t>
            </w:r>
          </w:p>
        </w:tc>
        <w:tc>
          <w:tcPr>
            <w:tcW w:type="dxa" w:w="1440"/>
            <w:shd w:fill="FAFAFA" w:val="clear"/>
          </w:tcPr>
          <w:p>
            <w:r>
              <w:rPr>
                <w:sz w:val="17"/>
              </w:rPr>
              <w:t>4,485</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4,180</w:t>
            </w:r>
          </w:p>
        </w:tc>
        <w:tc>
          <w:tcPr>
            <w:tcW w:type="dxa" w:w="1440"/>
            <w:shd w:fill="FAFAFA" w:val="clear"/>
          </w:tcPr>
          <w:p>
            <w:r>
              <w:rPr>
                <w:b/>
                <w:sz w:val="17"/>
              </w:rPr>
              <w:t>4,340</w:t>
            </w:r>
          </w:p>
        </w:tc>
        <w:tc>
          <w:tcPr>
            <w:tcW w:type="dxa" w:w="1440"/>
            <w:shd w:fill="FAFAFA" w:val="clear"/>
          </w:tcPr>
          <w:p>
            <w:r>
              <w:rPr>
                <w:sz w:val="17"/>
              </w:rPr>
              <w:t>4,500</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4,143</w:t>
            </w:r>
          </w:p>
        </w:tc>
        <w:tc>
          <w:tcPr>
            <w:tcW w:type="dxa" w:w="1440"/>
            <w:shd w:fill="FAFAFA" w:val="clear"/>
          </w:tcPr>
          <w:p>
            <w:r>
              <w:rPr>
                <w:b/>
                <w:sz w:val="17"/>
              </w:rPr>
              <w:t>4,327</w:t>
            </w:r>
          </w:p>
        </w:tc>
        <w:tc>
          <w:tcPr>
            <w:tcW w:type="dxa" w:w="1440"/>
            <w:shd w:fill="FAFAFA" w:val="clear"/>
          </w:tcPr>
          <w:p>
            <w:r>
              <w:rPr>
                <w:sz w:val="17"/>
              </w:rPr>
              <w:t>4,512</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4,109</w:t>
            </w:r>
          </w:p>
        </w:tc>
        <w:tc>
          <w:tcPr>
            <w:tcW w:type="dxa" w:w="1440"/>
            <w:shd w:fill="FAFAFA" w:val="clear"/>
          </w:tcPr>
          <w:p>
            <w:r>
              <w:rPr>
                <w:b/>
                <w:sz w:val="17"/>
              </w:rPr>
              <w:t>4,315</w:t>
            </w:r>
          </w:p>
        </w:tc>
        <w:tc>
          <w:tcPr>
            <w:tcW w:type="dxa" w:w="1440"/>
            <w:shd w:fill="FAFAFA" w:val="clear"/>
          </w:tcPr>
          <w:p>
            <w:r>
              <w:rPr>
                <w:sz w:val="17"/>
              </w:rPr>
              <w:t>4,520</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4,078</w:t>
            </w:r>
          </w:p>
        </w:tc>
        <w:tc>
          <w:tcPr>
            <w:tcW w:type="dxa" w:w="1440"/>
            <w:shd w:fill="FAFAFA" w:val="clear"/>
          </w:tcPr>
          <w:p>
            <w:r>
              <w:rPr>
                <w:b/>
                <w:sz w:val="17"/>
              </w:rPr>
              <w:t>4,303</w:t>
            </w:r>
          </w:p>
        </w:tc>
        <w:tc>
          <w:tcPr>
            <w:tcW w:type="dxa" w:w="1440"/>
            <w:shd w:fill="FAFAFA" w:val="clear"/>
          </w:tcPr>
          <w:p>
            <w:r>
              <w:rPr>
                <w:sz w:val="17"/>
              </w:rPr>
              <w:t>4,527</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4,050</w:t>
            </w:r>
          </w:p>
        </w:tc>
        <w:tc>
          <w:tcPr>
            <w:tcW w:type="dxa" w:w="1440"/>
            <w:shd w:fill="FFDCE0" w:val="clear"/>
          </w:tcPr>
          <w:p>
            <w:r>
              <w:rPr>
                <w:b/>
                <w:sz w:val="17"/>
              </w:rPr>
              <w:t>4,291</w:t>
            </w:r>
          </w:p>
        </w:tc>
        <w:tc>
          <w:tcPr>
            <w:tcW w:type="dxa" w:w="1440"/>
            <w:shd w:fill="FFDCE0" w:val="clear"/>
          </w:tcPr>
          <w:p>
            <w:r>
              <w:rPr>
                <w:sz w:val="17"/>
              </w:rPr>
              <w:t>4,533</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4,022</w:t>
            </w:r>
          </w:p>
        </w:tc>
        <w:tc>
          <w:tcPr>
            <w:tcW w:type="dxa" w:w="1440"/>
            <w:shd w:fill="FFDCE0" w:val="clear"/>
          </w:tcPr>
          <w:p>
            <w:r>
              <w:rPr>
                <w:b/>
                <w:sz w:val="17"/>
              </w:rPr>
              <w:t>4,280</w:t>
            </w:r>
          </w:p>
        </w:tc>
        <w:tc>
          <w:tcPr>
            <w:tcW w:type="dxa" w:w="1440"/>
            <w:shd w:fill="FFDCE0" w:val="clear"/>
          </w:tcPr>
          <w:p>
            <w:r>
              <w:rPr>
                <w:sz w:val="17"/>
              </w:rPr>
              <w:t>4,538</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3,997</w:t>
            </w:r>
          </w:p>
        </w:tc>
        <w:tc>
          <w:tcPr>
            <w:tcW w:type="dxa" w:w="1440"/>
            <w:shd w:fill="FFDCE0" w:val="clear"/>
          </w:tcPr>
          <w:p>
            <w:r>
              <w:rPr>
                <w:b/>
                <w:sz w:val="17"/>
              </w:rPr>
              <w:t>4,269</w:t>
            </w:r>
          </w:p>
        </w:tc>
        <w:tc>
          <w:tcPr>
            <w:tcW w:type="dxa" w:w="1440"/>
            <w:shd w:fill="FFDCE0" w:val="clear"/>
          </w:tcPr>
          <w:p>
            <w:r>
              <w:rPr>
                <w:sz w:val="17"/>
              </w:rPr>
              <w:t>4,542</w:t>
            </w:r>
          </w:p>
        </w:tc>
        <w:tc>
          <w:tcPr>
            <w:tcW w:type="dxa" w:w="1440"/>
            <w:shd w:fill="FFDCE0" w:val="clear"/>
          </w:tcPr>
          <w:p>
            <w:r>
              <w:rPr>
                <w:b/>
                <w:color w:val="C00000"/>
                <w:sz w:val="17"/>
              </w:rPr>
              <w:t>-2.6%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3,972</w:t>
            </w:r>
          </w:p>
        </w:tc>
        <w:tc>
          <w:tcPr>
            <w:tcW w:type="dxa" w:w="1440"/>
            <w:shd w:fill="FFDCE0" w:val="clear"/>
          </w:tcPr>
          <w:p>
            <w:r>
              <w:rPr>
                <w:b/>
                <w:sz w:val="17"/>
              </w:rPr>
              <w:t>4,259</w:t>
            </w:r>
          </w:p>
        </w:tc>
        <w:tc>
          <w:tcPr>
            <w:tcW w:type="dxa" w:w="1440"/>
            <w:shd w:fill="FFDCE0" w:val="clear"/>
          </w:tcPr>
          <w:p>
            <w:r>
              <w:rPr>
                <w:sz w:val="17"/>
              </w:rPr>
              <w:t>4,546</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44,90 milliards FCFA, PRSC se positionne comme une valeur de taille intermédiaire sur le compartiment des sociétés non-financières de la BRVM, ce qui traduit une liquidité limitée mais une certaine stabilité institutionnelle. Le BPA de 231 FCFA/action signifie que chaque titre génère près de 231 FCFA de bénéfice net, un niveau cohérent avec le résultat net de 2,367 milliards FCFA constaté en 2025. Le PER de 19,0x apparaît nettement supérieur à la moyenne BRVM (8-12x), signalant que le marché paie une prime significative pour les bénéfices de PRSC — prime qui se justifie partiellement par la solidité du dividende (209 FCFA/action) mais qui expose le titre à un risque de correction si la croissance ralentit. Le P/B de 3,89x indique que le marché valorise la société à près de quatre fois sa valeur comptable (capitaux propres de 11,531 Mds FCFA), une prime de croissance notable pour un distributeur automobile à marge nette modeste. Enfin, l'EV/EBITDA de 9,7x se situe dans la fourchette raisonnable (5-10x), suggérant que la valeur d'entreprise reste cohérente avec la capacité opérationnelle dégagée (EBE de 5,787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de -10,51%, avec une dernière séance en repli de -0,34% à 4 385 FCFA, confirmant une dynamique baissière persistante. Le range de trading s'étend de 3 620 FCFA (plus bas) à 4 900 FCFA (plus haut), soit une amplitude de 35,4% qui témoigne d'une nervosité réelle malgré un volume moyen quotidien modeste de 866 titres. La moyenne (4 391 FCFA) est légèrement inférieure à la médiane (4 460 FCFA), ce qui signale une asymétrie négative : les journées de baisse tirent la moyenne vers le bas, tandis que le mode à 4 400 FCFA indique une zone d'équilibre fréquemment testée. L'écart-type de 302 FCFA avec un coefficient de variation de 6,9% révèle une dispersion modérée autour de la moyenne, mais la volatilité annualisée de 38,9% classe le titre dans la catégorie des valeurs à volatilité élevée (&gt;30%), ce qui implique un risque de drawdown significatif pour les investisseurs. Le kurtosis de 0,764 (mésokurtique) suggère une distribution proche de la normale, sans risque extrême de pics, tandis que le skewness de -1,041 confirme une asymétrie négative avec davantage de journées au-dessus de la moyenne — paradoxalement, cela signifie que les baisses, bien que moins fréquentes, sont plus amples que les hausses.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(4 443 FCFA) et la MM50 (4 464,8 FCFA) se situent toutes deux au-dessus du cours actuel (4 385 FCFA), avec la MM20 sous la MM50, configurant un croisement baissier classique. Cette configuration confirme la pression vendeuse et justifie la décision technique de **Vente** : le titre évolue sous ses deux moyennes de référence, sans signe de retournement immédiat.</w:t>
      </w:r>
    </w:p>
    <w:p>
      <w:pPr>
        <w:spacing w:after="120" w:line="276" w:lineRule="auto"/>
      </w:pPr>
      <w:r>
        <w:t>**Bandes de Bollinger** : Le cours (4 385 FCFA) se situe dans la partie basse de la bande, entre la borne inférieure (4 325,82 FCFA) et la borne supérieure (4 560,18 FCFA), sans franchissement des limites. Cette position neutre indique une absence de signal extrême, mais la proximité de la borne inférieure suggère une pression baissière latente. La décision **Neutre** reflète l'absence de survente technique caractérisée.</w:t>
      </w:r>
    </w:p>
    <w:p>
      <w:pPr>
        <w:spacing w:after="120" w:line="276" w:lineRule="auto"/>
      </w:pPr>
      <w:r>
        <w:t>**MACD** : La valeur du MACD (-20,78) est inférieure à son signal (-14,988), avec un histogramme négatif qui traduit un momentum baissier toujours actif. La divergence entre les deux lignes, bien que non croissante, confirme la prédominance des vendeurs. La décision **Vente** est cohérente avec cette configuration.</w:t>
      </w:r>
    </w:p>
    <w:p>
      <w:pPr>
        <w:spacing w:after="120" w:line="276" w:lineRule="auto"/>
      </w:pPr>
      <w:r>
        <w:t>**RSI** : À 43,411, le RSI se situe dans la zone neutre (30-70), sans signal de surachat (&gt;70) ni de survente (&lt;30). Cette position médiane indique que le titre n'est ni surévalué ni sous-évalué à court terme, ce qui justifie la décision **Neutre** et suggère qu'un rebond technique reste possible sans être imminent.</w:t>
      </w:r>
    </w:p>
    <w:p>
      <w:pPr>
        <w:spacing w:after="120" w:line="276" w:lineRule="auto"/>
      </w:pPr>
      <w:r>
        <w:t>**Stochastique** : Le %K (17,5) est inférieur au %D (22,5), avec les deux indicateurs en zone de survente (&lt;20 pour le %K). Cette configuration est typique d'un signal d'achat potentiel, bien que le croisement des lignes ne soit pas encore confirmé. La décision **Achat** reflète cette opportunité contrarienne, mais elle contredit les autres indicateurs baissiers.</w:t>
      </w:r>
    </w:p>
    <w:p>
      <w:pPr>
        <w:spacing w:after="120" w:line="276" w:lineRule="auto"/>
      </w:pPr>
      <w:r>
        <w:t>**Conclusion technique** : Les indicateurs techniques présentent une divergence notable : les moyennes mobiles et le MACD confirment une tendance baissière, tandis que le stochastique suggère une opportunité d'achat en survente. Le RSI et les bandes de Bollinger restent neutres, sans signal directionnel fort. Dans l'ensemble, la configuration technique est baissière à court terme, avec un potentiel rebond technique limité tant que le cours reste sous la MM20 (4 443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PRSC (Tractafric Motors Côte d'Ivoire) a réalisé un chiffre d'affaires de 81,127 milliards FCFA, en croissance de 9,5% par rapport à 2024 (74,451 milliards FCFA selon le rapport Mistral du 30/03/2026), portée par les ventes de véhicules industriels (+41,2%) et les pneumatiques Michelin (+62,6%). Le résultat net s'établit à 2,367 milliards FCFA, stable par rapport aux 2,35 milliards de 2024, avec une marge nette de 2,92% — un niveau faible mais en légère amélioration (2,63% en 2023, 2,92% en 2024). Le ROE de 20,53% est excellent (&gt;15%), témoignant d'une rentabilité des fonds propres solide malgré la modestie de la marge, tandis que le ROA de 4,95% reste modéré, reflétant l'intensité capitalistique du modèle de distribution. La structure financière présente des signaux contrastés : l'autonomie financière de 24,10% est inférieure au seuil de 30% considéré comme sain, et le ratio d'endettement de 314,86% (dettes totales/capitaux propres) est élevé, bien que la solvabilité générale (131,76%) reste satisfaisante. Le BFR de 11,267 milliards FCFA est positif (défavorable), avec un délai clients de 46 jours (risque de trésorerie modéré) et un délai fournisseurs de 102,65 jours (favorable à la trésorerie), mais une durée de stockage de 150,51 jours qui immobilise du capital. La trésorerie nette est négative à -4,092 milliards FCFA, et le Free Cash Flow de -2,616 milliards FCFA traduit une consommation de cash préoccupante. Sur la base du rapport S1 2025 (CA +15,1% à 39,968 milliards FCFA, résultat net ×28 à 1,436 milliard FCFA), on estime que l'exercice 2025 devrait confirmer cette dynamique, avec un résultat net annuel de 2,367 milliards FCFA (déjà réalisé) et un dividende de 209 FCFA/action (rendement de 4,77% au cours actuel). La recommandation fondamentale est **CONSERVER** : la société affiche une croissance solide et un ROE attractif, mais les risques liés à l'endettement, au BFR et à la trésorerie négative nécessitent une surveillance étroite.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(Partie 0) présente un profil mitigé : le PER de 19,0x est supérieur à la moyenne BRVM, suggérant une surévaluation relative, tandis que le P/B de 3,89x et l'EV/EBITDA de 9,7x restent dans des fourchettes acceptables. Le comportement du cours (Partie 1) est préoccupant : la tendance baissière (-10,51% sur 100 jours), la volatilité élevée (38,9%) et l'asymétrie négative (skewness -1,041) indiquent un risque de poursuite de la baisse à court terme. Les signaux techniques (Partie 2) sont majoritairement baissiers (MM, MACD), avec une divergence haussière du stochastique qui reste isolée et non confirmée. Les fondamentaux (Partie 3) sont solides mais entachés de faiblesses structurelles : croissance du CA (+9,5%), ROE excellent (20,53%), mais endettement élevé (314,86%), trésorerie nette négative (-4,092 Mds FCFA) et FCF négatif (-2,616 Mds FCFA). Les prédictions IA (J+1 à J+10) anticipent une poursuite de la baisse jusqu'à 4 315 FCFA, confirmant la tendance baissière à court terme. Sur la base de cette synthèse, la recommandation finale est **CONSERVER** avec un niveau de confiance **Moyen** et un risque global **Élevé**. La convergence entre technique baissière, prédictions IA négatives et fondamentaux mitigés justifie une approche prudente, tandis que la valorisation raisonnable et le dividende attractif (4,77%) plaident pour une conservation du titre. L'horizon d'investissement optimal est **moyen terme (3-12 mois)**, en attendant une clarification de la tendance technique et une amélioration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8,730 titres</w:t>
            </w:r>
          </w:p>
        </w:tc>
        <w:tc>
          <w:tcPr>
            <w:tcW w:type="dxa" w:w="2268"/>
            <w:shd w:fill="FFF2CC" w:val="clear"/>
          </w:tcPr>
          <w:p>
            <w:r>
              <w:rPr>
                <w:b/>
                <w:color w:val="503200"/>
                <w:sz w:val="16"/>
              </w:rPr>
              <w:t xml:space="preserve">Cours actuel : </w:t>
            </w:r>
            <w:r>
              <w:rPr>
                <w:color w:val="000000"/>
                <w:sz w:val="17"/>
              </w:rPr>
              <w:t>5,400 FCFA</w:t>
            </w:r>
          </w:p>
          <w:p>
            <w:r>
              <w:rPr>
                <w:b/>
                <w:color w:val="503200"/>
                <w:sz w:val="16"/>
              </w:rPr>
              <w:t xml:space="preserve">Var. 100 jours : </w:t>
            </w:r>
            <w:r>
              <w:rPr>
                <w:b/>
                <w:color w:val="B40000"/>
                <w:sz w:val="17"/>
              </w:rPr>
              <w:t>-0.46%</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17.64% (Élevée) — μ=4,614 FCFA, σ=814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β=0.0444 (Défensif) — Cov=0.000002, Var(idx)=0.000035, ρ=0.005,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σ_j=5.10%/j (Instable) — Vol. annualisée≈81.0%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5,125</w:t>
            </w:r>
          </w:p>
        </w:tc>
        <w:tc>
          <w:tcPr>
            <w:tcW w:type="dxa" w:w="1440"/>
            <w:shd w:fill="FAFAFA" w:val="clear"/>
          </w:tcPr>
          <w:p>
            <w:r>
              <w:rPr>
                <w:b/>
                <w:sz w:val="17"/>
              </w:rPr>
              <w:t>5,478</w:t>
            </w:r>
          </w:p>
        </w:tc>
        <w:tc>
          <w:tcPr>
            <w:tcW w:type="dxa" w:w="1440"/>
            <w:shd w:fill="FAFAFA" w:val="clear"/>
          </w:tcPr>
          <w:p>
            <w:r>
              <w:rPr>
                <w:sz w:val="17"/>
              </w:rPr>
              <w:t>5,832</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4,929</w:t>
            </w:r>
          </w:p>
        </w:tc>
        <w:tc>
          <w:tcPr>
            <w:tcW w:type="dxa" w:w="1440"/>
            <w:shd w:fill="FAFAFA" w:val="clear"/>
          </w:tcPr>
          <w:p>
            <w:r>
              <w:rPr>
                <w:b/>
                <w:sz w:val="17"/>
              </w:rPr>
              <w:t>5,423</w:t>
            </w:r>
          </w:p>
        </w:tc>
        <w:tc>
          <w:tcPr>
            <w:tcW w:type="dxa" w:w="1440"/>
            <w:shd w:fill="FAFAFA" w:val="clear"/>
          </w:tcPr>
          <w:p>
            <w:r>
              <w:rPr>
                <w:sz w:val="17"/>
              </w:rPr>
              <w:t>5,918</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4,769</w:t>
            </w:r>
          </w:p>
        </w:tc>
        <w:tc>
          <w:tcPr>
            <w:tcW w:type="dxa" w:w="1440"/>
            <w:shd w:fill="FAFAFA" w:val="clear"/>
          </w:tcPr>
          <w:p>
            <w:r>
              <w:rPr>
                <w:b/>
                <w:sz w:val="17"/>
              </w:rPr>
              <w:t>5,368</w:t>
            </w:r>
          </w:p>
        </w:tc>
        <w:tc>
          <w:tcPr>
            <w:tcW w:type="dxa" w:w="1440"/>
            <w:shd w:fill="FAFAFA" w:val="clear"/>
          </w:tcPr>
          <w:p>
            <w:r>
              <w:rPr>
                <w:sz w:val="17"/>
              </w:rPr>
              <w:t>5,968</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4,636</w:t>
            </w:r>
          </w:p>
        </w:tc>
        <w:tc>
          <w:tcPr>
            <w:tcW w:type="dxa" w:w="1440"/>
            <w:shd w:fill="FAFAFA" w:val="clear"/>
          </w:tcPr>
          <w:p>
            <w:r>
              <w:rPr>
                <w:b/>
                <w:sz w:val="17"/>
              </w:rPr>
              <w:t>5,322</w:t>
            </w:r>
          </w:p>
        </w:tc>
        <w:tc>
          <w:tcPr>
            <w:tcW w:type="dxa" w:w="1440"/>
            <w:shd w:fill="FAFAFA" w:val="clear"/>
          </w:tcPr>
          <w:p>
            <w:r>
              <w:rPr>
                <w:sz w:val="17"/>
              </w:rPr>
              <w:t>6,008</w:t>
            </w:r>
          </w:p>
        </w:tc>
        <w:tc>
          <w:tcPr>
            <w:tcW w:type="dxa" w:w="1440"/>
            <w:shd w:fill="FAFAFA" w:val="clear"/>
          </w:tcPr>
          <w:p>
            <w:r>
              <w:rPr>
                <w:b/>
                <w:color w:val="C00000"/>
                <w:sz w:val="17"/>
              </w:rPr>
              <w:t>-1.4%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4,522</w:t>
            </w:r>
          </w:p>
        </w:tc>
        <w:tc>
          <w:tcPr>
            <w:tcW w:type="dxa" w:w="1440"/>
            <w:shd w:fill="FFDCE0" w:val="clear"/>
          </w:tcPr>
          <w:p>
            <w:r>
              <w:rPr>
                <w:b/>
                <w:sz w:val="17"/>
              </w:rPr>
              <w:t>5,284</w:t>
            </w:r>
          </w:p>
        </w:tc>
        <w:tc>
          <w:tcPr>
            <w:tcW w:type="dxa" w:w="1440"/>
            <w:shd w:fill="FFDCE0" w:val="clear"/>
          </w:tcPr>
          <w:p>
            <w:r>
              <w:rPr>
                <w:sz w:val="17"/>
              </w:rPr>
              <w:t>6,046</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4,424</w:t>
            </w:r>
          </w:p>
        </w:tc>
        <w:tc>
          <w:tcPr>
            <w:tcW w:type="dxa" w:w="1440"/>
            <w:shd w:fill="FFDCE0" w:val="clear"/>
          </w:tcPr>
          <w:p>
            <w:r>
              <w:rPr>
                <w:b/>
                <w:sz w:val="17"/>
              </w:rPr>
              <w:t>5,254</w:t>
            </w:r>
          </w:p>
        </w:tc>
        <w:tc>
          <w:tcPr>
            <w:tcW w:type="dxa" w:w="1440"/>
            <w:shd w:fill="FFDCE0" w:val="clear"/>
          </w:tcPr>
          <w:p>
            <w:r>
              <w:rPr>
                <w:sz w:val="17"/>
              </w:rPr>
              <w:t>6,083</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4,338</w:t>
            </w:r>
          </w:p>
        </w:tc>
        <w:tc>
          <w:tcPr>
            <w:tcW w:type="dxa" w:w="1440"/>
            <w:shd w:fill="FFDCE0" w:val="clear"/>
          </w:tcPr>
          <w:p>
            <w:r>
              <w:rPr>
                <w:b/>
                <w:sz w:val="17"/>
              </w:rPr>
              <w:t>5,230</w:t>
            </w:r>
          </w:p>
        </w:tc>
        <w:tc>
          <w:tcPr>
            <w:tcW w:type="dxa" w:w="1440"/>
            <w:shd w:fill="FFDCE0" w:val="clear"/>
          </w:tcPr>
          <w:p>
            <w:r>
              <w:rPr>
                <w:sz w:val="17"/>
              </w:rPr>
              <w:t>6,122</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4,261</w:t>
            </w:r>
          </w:p>
        </w:tc>
        <w:tc>
          <w:tcPr>
            <w:tcW w:type="dxa" w:w="1440"/>
            <w:shd w:fill="FFDCE0" w:val="clear"/>
          </w:tcPr>
          <w:p>
            <w:r>
              <w:rPr>
                <w:b/>
                <w:sz w:val="17"/>
              </w:rPr>
              <w:t>5,211</w:t>
            </w:r>
          </w:p>
        </w:tc>
        <w:tc>
          <w:tcPr>
            <w:tcW w:type="dxa" w:w="1440"/>
            <w:shd w:fill="FFDCE0" w:val="clear"/>
          </w:tcPr>
          <w:p>
            <w:r>
              <w:rPr>
                <w:sz w:val="17"/>
              </w:rPr>
              <w:t>6,161</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4,191</w:t>
            </w:r>
          </w:p>
        </w:tc>
        <w:tc>
          <w:tcPr>
            <w:tcW w:type="dxa" w:w="1440"/>
            <w:shd w:fill="FFDCE0" w:val="clear"/>
          </w:tcPr>
          <w:p>
            <w:r>
              <w:rPr>
                <w:b/>
                <w:sz w:val="17"/>
              </w:rPr>
              <w:t>5,196</w:t>
            </w:r>
          </w:p>
        </w:tc>
        <w:tc>
          <w:tcPr>
            <w:tcW w:type="dxa" w:w="1440"/>
            <w:shd w:fill="FFDCE0" w:val="clear"/>
          </w:tcPr>
          <w:p>
            <w:r>
              <w:rPr>
                <w:sz w:val="17"/>
              </w:rPr>
              <w:t>6,201</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4,127</w:t>
            </w:r>
          </w:p>
        </w:tc>
        <w:tc>
          <w:tcPr>
            <w:tcW w:type="dxa" w:w="1440"/>
            <w:shd w:fill="FFDCE0" w:val="clear"/>
          </w:tcPr>
          <w:p>
            <w:r>
              <w:rPr>
                <w:b/>
                <w:sz w:val="17"/>
              </w:rPr>
              <w:t>5,184</w:t>
            </w:r>
          </w:p>
        </w:tc>
        <w:tc>
          <w:tcPr>
            <w:tcW w:type="dxa" w:w="1440"/>
            <w:shd w:fill="FFDCE0" w:val="clear"/>
          </w:tcPr>
          <w:p>
            <w:r>
              <w:rPr>
                <w:sz w:val="17"/>
              </w:rPr>
              <w:t>6,241</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43,85 milliards FCFA, SAFC se positionne comme une valeur de taille moyenne sur la cote BRVM, loin des mastodontes bancaires régionaux mais suffisamment liquide pour intéresser les investisseurs. Le BPA de 86 FCFA/action signifie que chaque titre génère moins de cent francs de bénéfice net, un niveau modeste qui, rapporté au cours actuel de 5 400 FCFA, aboutit à un PER de 62,5x — soit un multiple cinq à huit fois supérieur à la moyenne du marché BRVM (8-12x), signalant que les investisseurs paient très cher la promesse de redressement plutôt que les bénéfices actuels. Le P/B de 7,41x confirme cette prime excessive : le marché valorise SAFC à plus de sept fois sa valeur comptable, alors qu'une banque saine se négocie généralement entre 1x et 2x ses fonds propres. Enfin, l'EV/EBITDA de 79,6x, très au-delà du seuil d'alerte de 15x, traduit une valorisation d'entreprise totalement déconnectée de la capacité opérationnelle actuelle, ce qui rend le titre vulnérable à toute déception sur les résultats futurs.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SAFC affiche une variation quasi nulle de -0,46%, mais la dernière séance (J-1) enregistre un repli marqué de -1,64%, signe d'une pression vendeuse récente. Le titre a évolué dans un range très large, entre un plus bas de 3 340 FCFA et un plus haut de 6 200 FCFA, soit un écart de 86% qui témoigne d'une forte agitation spéculative, probablement liée à l'annonce de l'augmentation de capital et à l'entrée de CREDAF Group. La tendance générale est difficile à qualifier : après un rallye vers 6 200 FCFA, le cours s'est replié vers 5 400 FCFA, suggérant une phase de consolidation baissière. Les statistiques descriptives révèlent une moyenne (4 614 FCFA) supérieure à la médiane (4 505 FCFA), indiquant une légère asymétrie positive tirée par les pics hauts, tandis que le mode à 3 700 FCFA rappelle que le cours a longtemps stagné à des niveaux inférieurs. L'écart-type de 818 FCFA avec un coefficient de variation de 17,7% traduit une dispersion modérée mais réelle, et le kurtosis négatif (-1,139, distribution platykurtique) indique une distribution aplatie avec des extrêmes moins fréquents qu'une loi normale — donc pas de pics de volatilité brutaux, mais une tendance à l'étalement. Le skewness de 0,336, proche de la symétrie, suggère un équilibre relatif entre hausses et baisses. Avec une volatilité annualisée de 81,0%, le titre se classe dans la catégorie des valeurs à volatilité très élevée (&gt;30%), ce qui implique un risque important pour tout investisseur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(5 768,5 FCFA) est nettement supérieure au cours actuel (5 400 FCFA), tandis que la MM50 (5 144,3 FCFA) se situe en dessous. Cette configuration — cours coincé entre les deux moyennes — traduit une phase de transition : le titre a perdu sa dynamique haussière de court terme (sous MM20) mais reste soutenu par la tendance de moyen terme (au-dessus de MM50). La décision « Achat » fournie par l'algorithme repose sur le croisement haussier MM20 &gt; MM50, mais la position du cours sous la MM20 incite à la prudence.</w:t>
      </w:r>
    </w:p>
    <w:p>
      <w:pPr>
        <w:spacing w:after="120" w:line="276" w:lineRule="auto"/>
      </w:pPr>
      <w:r>
        <w:t>**Bandes de Bollinger** : La borne supérieure est à 6 248,0 FCFA et la borne inférieure à 5 289,0 FCFA, avec un cours actuel de 5 400 FCFA qui se situe dans la partie basse du canal, à seulement 2% au-dessus de la borne inférieure. Cette proximité de la borne basse indique une pression vendeuse récente et un potentiel de rebond technique, mais aussi un risque de cassure baissière si le support ne tient pas. La décision « Neutre » est cohérente : le cours n'est ni en surachat ni en survente selon ce seul indicateur.</w:t>
      </w:r>
    </w:p>
    <w:p>
      <w:pPr>
        <w:spacing w:after="120" w:line="276" w:lineRule="auto"/>
      </w:pPr>
      <w:r>
        <w:t>**MACD** : La valeur du MACD (105,98) est inférieure à son signal (212,36), ce qui constitue un croisement baissier classique. Le momentum est clairement négatif, avec un écart de plus de 100 points entre les deux lignes, suggérant que la pression baissière pourrait se poursuivre à court terme. La décision « Vente » est justifiée par cette divergence négative.</w:t>
      </w:r>
    </w:p>
    <w:p>
      <w:pPr>
        <w:spacing w:after="120" w:line="276" w:lineRule="auto"/>
      </w:pPr>
      <w:r>
        <w:t>**RSI** : À 44,14, le RSI se situe dans la zone neutre (30-70), sans signal de surachat ni de survente. Cette valeur légèrement sous 50 indique une légère faiblesse relative, mais pas de signal extrême. La décision « Neutre » est appropriée : le titre n'est ni à acheter agressivement ni à vendre en urgence sur la base du RSI.</w:t>
      </w:r>
    </w:p>
    <w:p>
      <w:pPr>
        <w:spacing w:after="120" w:line="276" w:lineRule="auto"/>
      </w:pPr>
      <w:r>
        <w:t>**Stochastique** : Le %K (21,57) et le %D (17,32) sont tous deux en zone de survente (&lt;20 pour le %D), avec un %K légèrement supérieur au %D, ce qui pourrait préfigurer un croisement haussier imminent. Cependant, la décision « Neutre » reflète que le signal n'est pas encore confirmé et que la survente peut persister dans un contexte baissier.</w:t>
      </w:r>
    </w:p>
    <w:p>
      <w:pPr>
        <w:spacing w:after="120" w:line="276" w:lineRule="auto"/>
      </w:pPr>
      <w:r>
        <w:t>**Conclusion technique** : Les indicateurs sont majoritairement baissiers (MACD en vente, cours sous MM20, proximité de la borne basse de Bollinger), avec seulement le stochastique qui suggère un possible rebond à court terme. Le RSI neutre et la décision « Achat » des moyennes mobiles créent une divergence qui traduit une phase d'incertitude. Globalement, le titre est en consolidation baissière avec un potentiel de rebond technique fragile, mais la tendance de fond reste fragile tant que le cours ne repasse pas au-dessus de la MM20 (5 768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SAFC a réalisé un Produit Net Bancaire (PNB, équivalent du chiffre d'affaires pour une banque) de 5 735 millions FCFA, en hausse spectaculaire de 44,1% par rapport à 2024 (3 980 millions FCFA). Le résultat net s'établit à 701 millions FCFA, marquant un retournement historique après une perte de 165 millions FCFA en 2024 et huit années consécutives de déficit. Le ROE (rentabilité des fonds propres) ressort à 11,85%, en dessous du seuil d'excellence de 15% mais nettement positif, tandis que le ROA (rentabilité des actifs) est faible à 0,88%, reflétant la structure très endettée du bilan. Le coefficient d'exploitation, indicateur clé pour une banque, s'élève à 77,6% — bien au-dessus du seuil de 60% qui définit une banque efficace — ce qui signifie que les charges absorbent plus des trois quarts du PNB et laissent peu de marge opérationnelle. Le coût du risque, à 6,57% des charges financières, reste élevé et traduit un portefeuille de crédits encore fragile, avec des créances en souffrance représentant environ 20% des encours selon les rapports antérieurs. La structure financière est préoccupante : l'autonomie financière n'est que de 7,44% (capitaux propres / total bilan), très loin du seuil sain de 30%, et le ratio d'endettement de 856% montre une dépendance extrême aux dettes, notamment interbancaires (35 747 millions FCFA, +45%). Le report à nouveau reste négatif à -4 123 millions FCFA, ce qui grève les fonds propres et empêche toute distribution de dividende.</w:t>
      </w:r>
    </w:p>
    <w:p>
      <w:pPr>
        <w:spacing w:after="120" w:line="276" w:lineRule="auto"/>
      </w:pPr>
      <w:r>
        <w:t>**Estimations basées sur les rapports trimestriels** : Le rapport du T1 2026 (publié le 12 mai 2026) indique un PNB de 1 395 millions FCFA (+29%) et un résultat net de 151 millions FCFA (+1 062%), avec un coût du risque en baisse de 75%. Le rapport du S1 2026 (publié le 4 septembre 2026) confirme cette dynamique avec un PNB de 2 907 millions FCFA (+37%) et un résultat net de 731 millions FCFA (+231%), dépassant déjà le résultat net annuel 2025. La marge nette bondit à 25,1% au S1 2026 contre 10,4% un an plus tôt, et le coût du risque devient une reprise nette de 261 millions FCFA, signe d'une amélioration de la qualité du portefeuille. Sur la base de ces tendances, on peut estimer que l'exercice 2026 devrait afficher un résultat net supérieur à 1,2 milliard FCFA, avec un PNB annualisé proche de 5,8 milliards FCFA, confirmant la trajectoire de redressement. Les capitaux propres ont été renforcés à 6 647 millions FCFA au S1 2026 (+22%), et le ratio CET1 est passé à 11,49%, au-dessus du seuil réglementaire de 7,5%, mais le ratio de solvabilité globale (12,93%) reste proche du minimum de 11,5%.</w:t>
      </w:r>
    </w:p>
    <w:p>
      <w:pPr>
        <w:spacing w:after="120" w:line="276" w:lineRule="auto"/>
      </w:pPr>
      <w:r>
        <w:t>**Recommandation fondamentale** : La dynamique opérationnelle est indéniablement positive, portée par l'entrée de CREDAF Group et une meilleure maîtrise du risque. Cependant, la structure financière reste fragile (fonds propres modestes, dépendance aux dettes interbancaires, report à nouveau négatif) et la valorisation boursière (PER 62,5x, P/B 7,41x) intègre déjà une grande partie du redressement. Le titre est donc un pari sur la poursuite de l'amélioration, avec un risque élevé si la qualité du portefeuille se dégradait à nouveau.</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avec un PER de 62,5x, un P/B de 7,41x et un EV/EBITDA de 79,6x, le marché paie très cher une société dont les fonds propres ne représentent que 7,4% du bilan et dont le report à nouveau est négatif. Le comportement du cours (Partie 1) révèle une volatilité extrême (81% annualisée), un range de trading très large (3 340-6 200 FCFA) et une distribution platykurtique sans pics extrêmes mais avec une légère asymétrie positive — des statistiques qui traduisent une spéculation active mais pas de panique. Les signaux techniques (Partie 2) sont majoritairement baissiers à court terme (MACD en vente, cours sous MM20, proximité de la borne basse de Bollinger), avec un stochastique en survente qui pourrait offrir un rebond technique fragile. Les fondamentaux (Partie 3) montrent un redressement spectaculaire en 2025 (PNB +44%, résultat net de 701 millions FCFA) et confirmé au S1 2026 (résultat net de 731 millions FCFA, +231%), mais la structure financière reste précaire et la valorisation intègre déjà ces bonnes nouvelles. Les prédictions IA (J+1 à J+10) anticipent une baisse progressive de 5 478 FCFA à 5 284 FCFA, confirmant la pression baissière de court terme identifiée par les indicateurs techniques. **En synthèse, la convergence entre une valorisation surévaluée, des signaux techniques baissiers et des prédictions IA à la baisse l'emporte sur la dynamique fondamentale positive, qui est déjà largement priced-in.** La recommandation finale est **CONSERVER** avec un biais baissier à court terme : les investisseurs déjà positionnés peuvent conserver en attendant la confirmation des résultats annuels 2026, mais les nouveaux entrants devraient attendre un repli vers 4 800-5 000 FCFA pour améliorer leur point d'entrée. Le niveau de confiance est **Moyen** (les fondamentaux s'améliorent mais la valorisation est un frein majeur), le risque global est **Élevé** (volatilité de 81%, structure financière fragile, dépendance aux dettes interbancaires), et l'horizon optimal est **moyen terme (3-12 mois)** pour laisser le temps au redressement de se matérialiser dans les comptes annuels 2026 et au cours de se stabiliser.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64.48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10,763 titres</w:t>
            </w:r>
          </w:p>
        </w:tc>
        <w:tc>
          <w:tcPr>
            <w:tcW w:type="dxa" w:w="2268"/>
            <w:shd w:fill="FFF2CC" w:val="clear"/>
          </w:tcPr>
          <w:p>
            <w:r>
              <w:rPr>
                <w:b/>
                <w:color w:val="503200"/>
                <w:sz w:val="16"/>
              </w:rPr>
              <w:t xml:space="preserve">Cours actuel : </w:t>
            </w:r>
            <w:r>
              <w:rPr>
                <w:color w:val="000000"/>
                <w:sz w:val="17"/>
              </w:rPr>
              <w:t>3,290 FCFA</w:t>
            </w:r>
          </w:p>
          <w:p>
            <w:r>
              <w:rPr>
                <w:b/>
                <w:color w:val="503200"/>
                <w:sz w:val="16"/>
              </w:rPr>
              <w:t xml:space="preserve">Var. 100 jours : </w:t>
            </w:r>
            <w:r>
              <w:rPr>
                <w:b/>
                <w:color w:val="007800"/>
                <w:sz w:val="17"/>
              </w:rPr>
              <w:t>+61.27%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18.79% (Élevée) — μ=3,078 FCFA, σ=578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β=0.3573 (Défensif) — Cov=0.000013, Var(idx)=0.000035, ρ=0.062,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3,186</w:t>
            </w:r>
          </w:p>
        </w:tc>
        <w:tc>
          <w:tcPr>
            <w:tcW w:type="dxa" w:w="1440"/>
            <w:shd w:fill="FAFAFA" w:val="clear"/>
          </w:tcPr>
          <w:p>
            <w:r>
              <w:rPr>
                <w:b/>
                <w:sz w:val="17"/>
              </w:rPr>
              <w:t>3,303</w:t>
            </w:r>
          </w:p>
        </w:tc>
        <w:tc>
          <w:tcPr>
            <w:tcW w:type="dxa" w:w="1440"/>
            <w:shd w:fill="FAFAFA" w:val="clear"/>
          </w:tcPr>
          <w:p>
            <w:r>
              <w:rPr>
                <w:sz w:val="17"/>
              </w:rPr>
              <w:t>3,420</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3,167</w:t>
            </w:r>
          </w:p>
        </w:tc>
        <w:tc>
          <w:tcPr>
            <w:tcW w:type="dxa" w:w="1440"/>
            <w:shd w:fill="FAFAFA" w:val="clear"/>
          </w:tcPr>
          <w:p>
            <w:r>
              <w:rPr>
                <w:b/>
                <w:sz w:val="17"/>
              </w:rPr>
              <w:t>3,334</w:t>
            </w:r>
          </w:p>
        </w:tc>
        <w:tc>
          <w:tcPr>
            <w:tcW w:type="dxa" w:w="1440"/>
            <w:shd w:fill="FAFAFA" w:val="clear"/>
          </w:tcPr>
          <w:p>
            <w:r>
              <w:rPr>
                <w:sz w:val="17"/>
              </w:rPr>
              <w:t>3,501</w:t>
            </w:r>
          </w:p>
        </w:tc>
        <w:tc>
          <w:tcPr>
            <w:tcW w:type="dxa" w:w="1440"/>
            <w:shd w:fill="FAFAFA" w:val="clear"/>
          </w:tcPr>
          <w:p>
            <w:r>
              <w:rPr>
                <w:b/>
                <w:color w:val="008000"/>
                <w:sz w:val="17"/>
              </w:rPr>
              <w:t>+1.3%</w:t>
            </w:r>
          </w:p>
        </w:tc>
      </w:tr>
      <w:tr>
        <w:tc>
          <w:tcPr>
            <w:tcW w:type="dxa" w:w="1440"/>
            <w:shd w:fill="C6EFCE" w:val="clear"/>
          </w:tcPr>
          <w:p>
            <w:r>
              <w:rPr>
                <w:sz w:val="17"/>
              </w:rPr>
              <w:t>J+3  Moyenne</w:t>
            </w:r>
          </w:p>
        </w:tc>
        <w:tc>
          <w:tcPr>
            <w:tcW w:type="dxa" w:w="1440"/>
            <w:shd w:fill="C6EFCE" w:val="clear"/>
          </w:tcPr>
          <w:p>
            <w:r>
              <w:rPr>
                <w:sz w:val="17"/>
              </w:rPr>
              <w:t>2026-09-16</w:t>
            </w:r>
          </w:p>
        </w:tc>
        <w:tc>
          <w:tcPr>
            <w:tcW w:type="dxa" w:w="1440"/>
            <w:shd w:fill="C6EFCE" w:val="clear"/>
          </w:tcPr>
          <w:p>
            <w:r>
              <w:rPr>
                <w:sz w:val="17"/>
              </w:rPr>
              <w:t>3,166</w:t>
            </w:r>
          </w:p>
        </w:tc>
        <w:tc>
          <w:tcPr>
            <w:tcW w:type="dxa" w:w="1440"/>
            <w:shd w:fill="C6EFCE" w:val="clear"/>
          </w:tcPr>
          <w:p>
            <w:r>
              <w:rPr>
                <w:b/>
                <w:sz w:val="17"/>
              </w:rPr>
              <w:t>3,373</w:t>
            </w:r>
          </w:p>
        </w:tc>
        <w:tc>
          <w:tcPr>
            <w:tcW w:type="dxa" w:w="1440"/>
            <w:shd w:fill="C6EFCE" w:val="clear"/>
          </w:tcPr>
          <w:p>
            <w:r>
              <w:rPr>
                <w:sz w:val="17"/>
              </w:rPr>
              <w:t>3,581</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2026-09-17</w:t>
            </w:r>
          </w:p>
        </w:tc>
        <w:tc>
          <w:tcPr>
            <w:tcW w:type="dxa" w:w="1440"/>
            <w:shd w:fill="C6EFCE" w:val="clear"/>
          </w:tcPr>
          <w:p>
            <w:r>
              <w:rPr>
                <w:sz w:val="17"/>
              </w:rPr>
              <w:t>3,162</w:t>
            </w:r>
          </w:p>
        </w:tc>
        <w:tc>
          <w:tcPr>
            <w:tcW w:type="dxa" w:w="1440"/>
            <w:shd w:fill="C6EFCE" w:val="clear"/>
          </w:tcPr>
          <w:p>
            <w:r>
              <w:rPr>
                <w:b/>
                <w:sz w:val="17"/>
              </w:rPr>
              <w:t>3,404</w:t>
            </w:r>
          </w:p>
        </w:tc>
        <w:tc>
          <w:tcPr>
            <w:tcW w:type="dxa" w:w="1440"/>
            <w:shd w:fill="C6EFCE" w:val="clear"/>
          </w:tcPr>
          <w:p>
            <w:r>
              <w:rPr>
                <w:sz w:val="17"/>
              </w:rPr>
              <w:t>3,645</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3,151</w:t>
            </w:r>
          </w:p>
        </w:tc>
        <w:tc>
          <w:tcPr>
            <w:tcW w:type="dxa" w:w="1440"/>
            <w:shd w:fill="C6EFCE" w:val="clear"/>
          </w:tcPr>
          <w:p>
            <w:r>
              <w:rPr>
                <w:b/>
                <w:sz w:val="17"/>
              </w:rPr>
              <w:t>3,422</w:t>
            </w:r>
          </w:p>
        </w:tc>
        <w:tc>
          <w:tcPr>
            <w:tcW w:type="dxa" w:w="1440"/>
            <w:shd w:fill="C6EFCE" w:val="clear"/>
          </w:tcPr>
          <w:p>
            <w:r>
              <w:rPr>
                <w:sz w:val="17"/>
              </w:rPr>
              <w:t>3,694</w:t>
            </w:r>
          </w:p>
        </w:tc>
        <w:tc>
          <w:tcPr>
            <w:tcW w:type="dxa" w:w="1440"/>
            <w:shd w:fill="C6EFCE" w:val="clear"/>
          </w:tcPr>
          <w:p>
            <w:r>
              <w:rPr>
                <w:b/>
                <w:color w:val="008000"/>
                <w:sz w:val="17"/>
              </w:rPr>
              <w:t>+4.0%</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3,135</w:t>
            </w:r>
          </w:p>
        </w:tc>
        <w:tc>
          <w:tcPr>
            <w:tcW w:type="dxa" w:w="1440"/>
            <w:shd w:fill="C6EFCE" w:val="clear"/>
          </w:tcPr>
          <w:p>
            <w:r>
              <w:rPr>
                <w:b/>
                <w:sz w:val="17"/>
              </w:rPr>
              <w:t>3,433</w:t>
            </w:r>
          </w:p>
        </w:tc>
        <w:tc>
          <w:tcPr>
            <w:tcW w:type="dxa" w:w="1440"/>
            <w:shd w:fill="C6EFCE" w:val="clear"/>
          </w:tcPr>
          <w:p>
            <w:r>
              <w:rPr>
                <w:sz w:val="17"/>
              </w:rPr>
              <w:t>3,731</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3,116</w:t>
            </w:r>
          </w:p>
        </w:tc>
        <w:tc>
          <w:tcPr>
            <w:tcW w:type="dxa" w:w="1440"/>
            <w:shd w:fill="C6EFCE" w:val="clear"/>
          </w:tcPr>
          <w:p>
            <w:r>
              <w:rPr>
                <w:b/>
                <w:sz w:val="17"/>
              </w:rPr>
              <w:t>3,438</w:t>
            </w:r>
          </w:p>
        </w:tc>
        <w:tc>
          <w:tcPr>
            <w:tcW w:type="dxa" w:w="1440"/>
            <w:shd w:fill="C6EFCE" w:val="clear"/>
          </w:tcPr>
          <w:p>
            <w:r>
              <w:rPr>
                <w:sz w:val="17"/>
              </w:rPr>
              <w:t>3,760</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3,096</w:t>
            </w:r>
          </w:p>
        </w:tc>
        <w:tc>
          <w:tcPr>
            <w:tcW w:type="dxa" w:w="1440"/>
            <w:shd w:fill="C6EFCE" w:val="clear"/>
          </w:tcPr>
          <w:p>
            <w:r>
              <w:rPr>
                <w:b/>
                <w:sz w:val="17"/>
              </w:rPr>
              <w:t>3,441</w:t>
            </w:r>
          </w:p>
        </w:tc>
        <w:tc>
          <w:tcPr>
            <w:tcW w:type="dxa" w:w="1440"/>
            <w:shd w:fill="C6EFCE" w:val="clear"/>
          </w:tcPr>
          <w:p>
            <w:r>
              <w:rPr>
                <w:sz w:val="17"/>
              </w:rPr>
              <w:t>3,786</w:t>
            </w:r>
          </w:p>
        </w:tc>
        <w:tc>
          <w:tcPr>
            <w:tcW w:type="dxa" w:w="1440"/>
            <w:shd w:fill="C6EFCE" w:val="clear"/>
          </w:tcPr>
          <w:p>
            <w:r>
              <w:rPr>
                <w:b/>
                <w:color w:val="008000"/>
                <w:sz w:val="17"/>
              </w:rPr>
              <w:t>+4.6%</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3,078</w:t>
            </w:r>
          </w:p>
        </w:tc>
        <w:tc>
          <w:tcPr>
            <w:tcW w:type="dxa" w:w="1440"/>
            <w:shd w:fill="C6EFCE" w:val="clear"/>
          </w:tcPr>
          <w:p>
            <w:r>
              <w:rPr>
                <w:b/>
                <w:sz w:val="17"/>
              </w:rPr>
              <w:t>3,444</w:t>
            </w:r>
          </w:p>
        </w:tc>
        <w:tc>
          <w:tcPr>
            <w:tcW w:type="dxa" w:w="1440"/>
            <w:shd w:fill="C6EFCE" w:val="clear"/>
          </w:tcPr>
          <w:p>
            <w:r>
              <w:rPr>
                <w:sz w:val="17"/>
              </w:rPr>
              <w:t>3,810</w:t>
            </w:r>
          </w:p>
        </w:tc>
        <w:tc>
          <w:tcPr>
            <w:tcW w:type="dxa" w:w="1440"/>
            <w:shd w:fill="C6EFCE" w:val="clear"/>
          </w:tcPr>
          <w:p>
            <w:r>
              <w:rPr>
                <w:b/>
                <w:color w:val="008000"/>
                <w:sz w:val="17"/>
              </w:rPr>
              <w:t>+4.7%</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3,060</w:t>
            </w:r>
          </w:p>
        </w:tc>
        <w:tc>
          <w:tcPr>
            <w:tcW w:type="dxa" w:w="1440"/>
            <w:shd w:fill="C6EFCE" w:val="clear"/>
          </w:tcPr>
          <w:p>
            <w:r>
              <w:rPr>
                <w:b/>
                <w:sz w:val="17"/>
              </w:rPr>
              <w:t>3,446</w:t>
            </w:r>
          </w:p>
        </w:tc>
        <w:tc>
          <w:tcPr>
            <w:tcW w:type="dxa" w:w="1440"/>
            <w:shd w:fill="C6EFCE" w:val="clear"/>
          </w:tcPr>
          <w:p>
            <w:r>
              <w:rPr>
                <w:sz w:val="17"/>
              </w:rPr>
              <w:t>3,832</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Côte d'Ivoire*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64,48 milliards FCFA, SCRC se positionne comme une valeur de moyenne capitalisation sur le marché BRVM, représentant un poids modéré dans l'indice composite. Le BPA ressort à -406 FCFA/action, traduisant une société en perte nette par action, ce qui rend le PER négatif (-8,1x) et donc non significatif pour une comparaison classique avec la moyenne BRVM (~8-12x) — les investisseurs ne paient donc pas pour des bénéfices inexistants, mais spéculent sur un redressement futur. Le P/B de 3,74x indique que le marché valorise SCRC à près de 4 fois sa valeur comptable, une prime de croissance significative qui contraste fortement avec la fragilité des capitaux propres (17,24 Mds FCFA) et l'érosion récente de ceux-ci. Enfin, l'EV/EBITDA de 10,5x situe la valeur d'entreprise à un niveau élevé (10-15x) par rapport à la capacité opérationnelle, suggérant que le marché intègre déjà une amélioration future des marges, alors que l'EBITDA de 14,85 Mds FCFA est en recul.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+61,27%, passant d'un plus bas de 1 990 FCFA à un plus haut de 3 920 FCFA, avant de se replier à 3 290 FCFA (soit -1,79% sur la dernière séance). Ce range de trading de près de 2 000 FCFA témoigne d'une tendance générale haussière, mais avec une correction récente qui ramène le cours sous sa moyenne (3 078 FCFA) et sa médiane (3 298 FCFA), signalant une distribution asymétrique négative (skewness = -0,668) — plus de journées ont été passées au-dessus de la moyenne, mais les récents replis pèsent sur le sentiment. L'écart-type de 581 FCFA (CV = 18,9%) indique une dispersion modérée du cours, tandis que le kurtosis de -0,945 (mésokurtique) suggère une distribution proche de la normale, sans pics extrêmes fréquents. La volatilité annualisée de 53,8% classe le titre dans la catégorie des valeurs à volatilité élevée (&gt;30%), ce qui implique un risque de marché important pour les investisseurs. Le mode à 3 500 FCFA, supérieur au cours actuel, suggère que le titre évolue actuellement en dessous de sa zone de fréquence la plus élevée, ce qui pourrait indiquer une opportunité de rebond ou une poursuite de la correction.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(3 475,75 FCFA) et la MM50 (3 554,0 FCFA) sont toutes deux supérieures au cours actuel (3 290 FCFA), confirmant une configuration baissière de court et moyen terme. Le cours évolue sous ses moyennes, ce qui justifie la décision technique de **Vente** — la pression vendeuse domine et la tendance n'est pas encore inversée.</w:t>
      </w:r>
    </w:p>
    <w:p>
      <w:pPr>
        <w:spacing w:after="120" w:line="276" w:lineRule="auto"/>
      </w:pPr>
      <w:r>
        <w:t>**Bandes de Bollinger** : Le cours (3 290 FCFA) se situe juste au-dessus de la borne inférieure (3 245,85 FCFA) et loin de la borne supérieure (3 705,65 FCFA), indiquant une volatilité modérée avec un cours proche de la zone de survente. La décision est **Neutre** car le cours n'a pas encore cassé la borne inférieure, mais la position basse dans le canal suggère une possible réaction haussière à court terme.</w:t>
      </w:r>
    </w:p>
    <w:p>
      <w:pPr>
        <w:spacing w:after="120" w:line="276" w:lineRule="auto"/>
      </w:pPr>
      <w:r>
        <w:t>**MACD** : La valeur du MACD (-35,166) est inférieure à son signal (-12,99), avec un histogramme négatif, confirmant un momentum baissier. La divergence négative entre MACD et signal justifie la décision de **Vente** — la dynamique de court terme reste défavorable malgré la progression sur 100 jours.</w:t>
      </w:r>
    </w:p>
    <w:p>
      <w:pPr>
        <w:spacing w:after="120" w:line="276" w:lineRule="auto"/>
      </w:pPr>
      <w:r>
        <w:t>**RSI** : À 43,077, le RSI se situe en zone neutre (30-70), sans signal de surachat ni de survente. La décision est **Neutre** — le marché n'est ni suracheté ni survendu, ce qui laisse place à une consolidation avant un éventuel rebond ou une poursuite de la baisse.</w:t>
      </w:r>
    </w:p>
    <w:p>
      <w:pPr>
        <w:spacing w:after="120" w:line="276" w:lineRule="auto"/>
      </w:pPr>
      <w:r>
        <w:t>**Stochastique** : Le %K (0,0) est en dessous du %D (5,455), avec un croisement en zone de survente extrême. La décision est **Achat** — le stochastique signale une possible réaction haussière imminente, bien que le signal soit faible compte tenu de la tendance baissière globale.</w:t>
      </w:r>
    </w:p>
    <w:p>
      <w:pPr>
        <w:spacing w:after="120" w:line="276" w:lineRule="auto"/>
      </w:pPr>
      <w:r>
        <w:t>**Conclusion technique** : Les indicateurs sont majoritairement baissiers (MM, MACD) avec quelques signaux neutres (Bollinger, RSI) et un signal d'achat contrarien (Stochastique). La convergence des MM et du MACD vers une tendance baissière domine, mais la position basse du cours dans les bandes de Bollinger et le stochastique en survente suggèrent qu'un rebond technique est possible à court terme. La prudence reste de mise tant que le cours ne repasse pas au-dessus de la MM20 (3 475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SCRC a enregistré un chiffre d'affaires de 80,57 milliards FCFA, en baisse de 7,6% par rapport à 2024 (87,22 Mds FCFA), et un résultat net déficitaire de -7,95 milliards FCFA (IFRS) contre un bénéfice de 2,47 milliards FCFA en 2024, soit une dégradation de 421%. Le ROE ressort à -46,13% et le ROA à -5,08%, confirmant une destruction de valeur pour les actionnaires. La marge brute reste solide à 45,8%, mais la marge nette s'effondre à -9,87% et la marge opérationnelle à -0,68%, grevée par l'explosion des charges financières (+262% à 6,79 Mds FCFA) et un endettement massif (dettes financières totales de 84,87 Mds FCFA, ratio d'endettement de 88,98%). Le BFR est positif à 6,53 Mds FCFA, avec un délai clients très court (12,28 jours) mais un délai fournisseurs élevé (366,07 jours) et une durée de stockage de 360,73 jours, ce qui immobilise du capital. La trésorerie nette est négative à -6,51 Mds FCFA, signe de tensions de liquidité. Les rapports trimestriels de 2025 (T1 et S1) confirment la détérioration : au S1 2025, le résultat net était déjà négatif à -6,71 Mds FCFA, avec une production de sucre en baisse de 18%. On estime que l'exercice 2026 devrait rester sous pression, avec un retour à la rentabilité conditionné à la réussite du plan de restructuration financière et à la normalisation de la campagne sucrière 2025/26 (production attendue de 90 000 à 95 000 tonnes, +14% à +20%). La recommandation fondamentale est de **Conserver** avec vigilance, en attendant les résultats du S1 2026 pour confirmer la soutenabilité du redressement.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SCRC (Partie 0) est paradoxale : le PER négatif et le P/B élevé (3,74x) indiquent que le marché paie une prime pour une société en perte, ce qui suggère une surévaluation relative par rapport aux fondamentaux actuels, bien que l'EV/EBITDA (10,5x) reste dans une fourchette élevée mais non extrême. Le comportement du cours (Partie 1) est haussier sur 100 jours (+61,27%) mais avec une correction récente et une volatilité élevée (53,8%), ce qui est préoccupant pour les investisseurs averses au risque. Les signaux techniques (Partie 2) sont majoritairement baissiers (MM, MACD) avec un signal d'achat contrarien (Stochastique), suggérant une possible divergence entre la tendance de fond et le momentum de court terme. Les fondamentaux (Partie 3) sont fragiles : perte nette de -7,95 Mds FCFA en 2025, endettement critique (84,87 Mds FCFA), trésorerie nette négative, et une dépendance aux éléments financiers et exceptionnels pour le redressement. Les prédictions IA (J+1 à J+10) anticipent une trajectoire haussière modérée (3 303 FCFA à 3 422 FCFA), ce qui contredit les signaux techniques baissiers mais s'aligne sur le potentiel de rebond technique identifié par le stochastique. Sur la base de cette synthèse, la recommandation finale est **CONSERVER** avec un niveau de confiance **Moyen** et un risque global **Élevé**. La convergence entre la prédiction IA haussière et le signal d'achat du stochastique suggère un possible rebond à court terme, mais la divergence avec les fondamentaux dégradés et les MM baissières incite à la prudence. L'horizon d'investissement optimal est le **moyen terme (3-12 mois)**, en attendant la confirmation d'un retournement opérationnel et financier lors des prochains rapports semestriels.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120.60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1,311 titres</w:t>
            </w:r>
          </w:p>
        </w:tc>
        <w:tc>
          <w:tcPr>
            <w:tcW w:type="dxa" w:w="2268"/>
            <w:shd w:fill="FFF2CC" w:val="clear"/>
          </w:tcPr>
          <w:p>
            <w:r>
              <w:rPr>
                <w:b/>
                <w:color w:val="503200"/>
                <w:sz w:val="16"/>
              </w:rPr>
              <w:t xml:space="preserve">Cours actuel : </w:t>
            </w:r>
            <w:r>
              <w:rPr>
                <w:color w:val="000000"/>
                <w:sz w:val="17"/>
              </w:rPr>
              <w:t>13,400 FCFA</w:t>
            </w:r>
          </w:p>
          <w:p>
            <w:r>
              <w:rPr>
                <w:b/>
                <w:color w:val="503200"/>
                <w:sz w:val="16"/>
              </w:rPr>
              <w:t xml:space="preserve">Var. 100 jours : </w:t>
            </w:r>
            <w:r>
              <w:rPr>
                <w:b/>
                <w:color w:val="007800"/>
                <w:sz w:val="17"/>
              </w:rPr>
              <w:t>+87.68%</w:t>
            </w:r>
          </w:p>
          <w:p>
            <w:r>
              <w:rPr>
                <w:b/>
                <w:color w:val="503200"/>
                <w:sz w:val="16"/>
              </w:rPr>
              <w:t xml:space="preserve">Plus haut 100j : </w:t>
            </w:r>
            <w:r>
              <w:rPr>
                <w:color w:val="000000"/>
                <w:sz w:val="17"/>
              </w:rPr>
              <w:t>13,710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13.96% (Moyenne) — μ=11,275 FCFA, σ=1,574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β=0.0596 (Défensif) — Cov=0.000002, Var(idx)=0.000035, ρ=0.015,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13,116</w:t>
            </w:r>
          </w:p>
        </w:tc>
        <w:tc>
          <w:tcPr>
            <w:tcW w:type="dxa" w:w="1440"/>
            <w:shd w:fill="FAFAFA" w:val="clear"/>
          </w:tcPr>
          <w:p>
            <w:r>
              <w:rPr>
                <w:b/>
                <w:sz w:val="17"/>
              </w:rPr>
              <w:t>13,557</w:t>
            </w:r>
          </w:p>
        </w:tc>
        <w:tc>
          <w:tcPr>
            <w:tcW w:type="dxa" w:w="1440"/>
            <w:shd w:fill="FAFAFA" w:val="clear"/>
          </w:tcPr>
          <w:p>
            <w:r>
              <w:rPr>
                <w:sz w:val="17"/>
              </w:rPr>
              <w:t>13,999</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13,000</w:t>
            </w:r>
          </w:p>
        </w:tc>
        <w:tc>
          <w:tcPr>
            <w:tcW w:type="dxa" w:w="1440"/>
            <w:shd w:fill="FAFAFA" w:val="clear"/>
          </w:tcPr>
          <w:p>
            <w:r>
              <w:rPr>
                <w:b/>
                <w:sz w:val="17"/>
              </w:rPr>
              <w:t>13,628</w:t>
            </w:r>
          </w:p>
        </w:tc>
        <w:tc>
          <w:tcPr>
            <w:tcW w:type="dxa" w:w="1440"/>
            <w:shd w:fill="FAFAFA" w:val="clear"/>
          </w:tcPr>
          <w:p>
            <w:r>
              <w:rPr>
                <w:sz w:val="17"/>
              </w:rPr>
              <w:t>14,256</w:t>
            </w:r>
          </w:p>
        </w:tc>
        <w:tc>
          <w:tcPr>
            <w:tcW w:type="dxa" w:w="1440"/>
            <w:shd w:fill="FAFAFA" w:val="clear"/>
          </w:tcPr>
          <w:p>
            <w:r>
              <w:rPr>
                <w:b/>
                <w:color w:val="008000"/>
                <w:sz w:val="17"/>
              </w:rPr>
              <w:t>+1.7%</w:t>
            </w:r>
          </w:p>
        </w:tc>
      </w:tr>
      <w:tr>
        <w:tc>
          <w:tcPr>
            <w:tcW w:type="dxa" w:w="1440"/>
            <w:shd w:fill="C6EFCE" w:val="clear"/>
          </w:tcPr>
          <w:p>
            <w:r>
              <w:rPr>
                <w:sz w:val="17"/>
              </w:rPr>
              <w:t>J+3  ⭐</w:t>
            </w:r>
          </w:p>
        </w:tc>
        <w:tc>
          <w:tcPr>
            <w:tcW w:type="dxa" w:w="1440"/>
            <w:shd w:fill="C6EFCE" w:val="clear"/>
          </w:tcPr>
          <w:p>
            <w:r>
              <w:rPr>
                <w:sz w:val="17"/>
              </w:rPr>
              <w:t>2026-09-16</w:t>
            </w:r>
          </w:p>
        </w:tc>
        <w:tc>
          <w:tcPr>
            <w:tcW w:type="dxa" w:w="1440"/>
            <w:shd w:fill="C6EFCE" w:val="clear"/>
          </w:tcPr>
          <w:p>
            <w:r>
              <w:rPr>
                <w:sz w:val="17"/>
              </w:rPr>
              <w:t>12,920</w:t>
            </w:r>
          </w:p>
        </w:tc>
        <w:tc>
          <w:tcPr>
            <w:tcW w:type="dxa" w:w="1440"/>
            <w:shd w:fill="C6EFCE" w:val="clear"/>
          </w:tcPr>
          <w:p>
            <w:r>
              <w:rPr>
                <w:b/>
                <w:sz w:val="17"/>
              </w:rPr>
              <w:t>13,693</w:t>
            </w:r>
          </w:p>
        </w:tc>
        <w:tc>
          <w:tcPr>
            <w:tcW w:type="dxa" w:w="1440"/>
            <w:shd w:fill="C6EFCE" w:val="clear"/>
          </w:tcPr>
          <w:p>
            <w:r>
              <w:rPr>
                <w:sz w:val="17"/>
              </w:rPr>
              <w:t>14,465</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2026-09-17</w:t>
            </w:r>
          </w:p>
        </w:tc>
        <w:tc>
          <w:tcPr>
            <w:tcW w:type="dxa" w:w="1440"/>
            <w:shd w:fill="C6EFCE" w:val="clear"/>
          </w:tcPr>
          <w:p>
            <w:r>
              <w:rPr>
                <w:sz w:val="17"/>
              </w:rPr>
              <w:t>12,857</w:t>
            </w:r>
          </w:p>
        </w:tc>
        <w:tc>
          <w:tcPr>
            <w:tcW w:type="dxa" w:w="1440"/>
            <w:shd w:fill="C6EFCE" w:val="clear"/>
          </w:tcPr>
          <w:p>
            <w:r>
              <w:rPr>
                <w:b/>
                <w:sz w:val="17"/>
              </w:rPr>
              <w:t>13,752</w:t>
            </w:r>
          </w:p>
        </w:tc>
        <w:tc>
          <w:tcPr>
            <w:tcW w:type="dxa" w:w="1440"/>
            <w:shd w:fill="C6EFCE" w:val="clear"/>
          </w:tcPr>
          <w:p>
            <w:r>
              <w:rPr>
                <w:sz w:val="17"/>
              </w:rPr>
              <w:t>14,648</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12,796</w:t>
            </w:r>
          </w:p>
        </w:tc>
        <w:tc>
          <w:tcPr>
            <w:tcW w:type="dxa" w:w="1440"/>
            <w:shd w:fill="C6EFCE" w:val="clear"/>
          </w:tcPr>
          <w:p>
            <w:r>
              <w:rPr>
                <w:b/>
                <w:sz w:val="17"/>
              </w:rPr>
              <w:t>13,801</w:t>
            </w:r>
          </w:p>
        </w:tc>
        <w:tc>
          <w:tcPr>
            <w:tcW w:type="dxa" w:w="1440"/>
            <w:shd w:fill="C6EFCE" w:val="clear"/>
          </w:tcPr>
          <w:p>
            <w:r>
              <w:rPr>
                <w:sz w:val="17"/>
              </w:rPr>
              <w:t>14,806</w:t>
            </w:r>
          </w:p>
        </w:tc>
        <w:tc>
          <w:tcPr>
            <w:tcW w:type="dxa" w:w="1440"/>
            <w:shd w:fill="C6EFCE" w:val="clear"/>
          </w:tcPr>
          <w:p>
            <w:r>
              <w:rPr>
                <w:b/>
                <w:color w:val="008000"/>
                <w:sz w:val="17"/>
              </w:rPr>
              <w:t>+3.0%</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12,737</w:t>
            </w:r>
          </w:p>
        </w:tc>
        <w:tc>
          <w:tcPr>
            <w:tcW w:type="dxa" w:w="1440"/>
            <w:shd w:fill="C6EFCE" w:val="clear"/>
          </w:tcPr>
          <w:p>
            <w:r>
              <w:rPr>
                <w:b/>
                <w:sz w:val="17"/>
              </w:rPr>
              <w:t>13,841</w:t>
            </w:r>
          </w:p>
        </w:tc>
        <w:tc>
          <w:tcPr>
            <w:tcW w:type="dxa" w:w="1440"/>
            <w:shd w:fill="C6EFCE" w:val="clear"/>
          </w:tcPr>
          <w:p>
            <w:r>
              <w:rPr>
                <w:sz w:val="17"/>
              </w:rPr>
              <w:t>14,945</w:t>
            </w:r>
          </w:p>
        </w:tc>
        <w:tc>
          <w:tcPr>
            <w:tcW w:type="dxa" w:w="1440"/>
            <w:shd w:fill="C6EFCE" w:val="clear"/>
          </w:tcPr>
          <w:p>
            <w:r>
              <w:rPr>
                <w:b/>
                <w:color w:val="008000"/>
                <w:sz w:val="17"/>
              </w:rPr>
              <w:t>+3.3%</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12,683</w:t>
            </w:r>
          </w:p>
        </w:tc>
        <w:tc>
          <w:tcPr>
            <w:tcW w:type="dxa" w:w="1440"/>
            <w:shd w:fill="C6EFCE" w:val="clear"/>
          </w:tcPr>
          <w:p>
            <w:r>
              <w:rPr>
                <w:b/>
                <w:sz w:val="17"/>
              </w:rPr>
              <w:t>13,879</w:t>
            </w:r>
          </w:p>
        </w:tc>
        <w:tc>
          <w:tcPr>
            <w:tcW w:type="dxa" w:w="1440"/>
            <w:shd w:fill="C6EFCE" w:val="clear"/>
          </w:tcPr>
          <w:p>
            <w:r>
              <w:rPr>
                <w:sz w:val="17"/>
              </w:rPr>
              <w:t>15,074</w:t>
            </w:r>
          </w:p>
        </w:tc>
        <w:tc>
          <w:tcPr>
            <w:tcW w:type="dxa" w:w="1440"/>
            <w:shd w:fill="C6EFCE" w:val="clear"/>
          </w:tcPr>
          <w:p>
            <w:r>
              <w:rPr>
                <w:b/>
                <w:color w:val="008000"/>
                <w:sz w:val="17"/>
              </w:rPr>
              <w:t>+3.6%</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12,634</w:t>
            </w:r>
          </w:p>
        </w:tc>
        <w:tc>
          <w:tcPr>
            <w:tcW w:type="dxa" w:w="1440"/>
            <w:shd w:fill="C6EFCE" w:val="clear"/>
          </w:tcPr>
          <w:p>
            <w:r>
              <w:rPr>
                <w:b/>
                <w:sz w:val="17"/>
              </w:rPr>
              <w:t>13,916</w:t>
            </w:r>
          </w:p>
        </w:tc>
        <w:tc>
          <w:tcPr>
            <w:tcW w:type="dxa" w:w="1440"/>
            <w:shd w:fill="C6EFCE" w:val="clear"/>
          </w:tcPr>
          <w:p>
            <w:r>
              <w:rPr>
                <w:sz w:val="17"/>
              </w:rPr>
              <w:t>15,197</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12,585</w:t>
            </w:r>
          </w:p>
        </w:tc>
        <w:tc>
          <w:tcPr>
            <w:tcW w:type="dxa" w:w="1440"/>
            <w:shd w:fill="C6EFCE" w:val="clear"/>
          </w:tcPr>
          <w:p>
            <w:r>
              <w:rPr>
                <w:b/>
                <w:sz w:val="17"/>
              </w:rPr>
              <w:t>13,947</w:t>
            </w:r>
          </w:p>
        </w:tc>
        <w:tc>
          <w:tcPr>
            <w:tcW w:type="dxa" w:w="1440"/>
            <w:shd w:fill="C6EFCE" w:val="clear"/>
          </w:tcPr>
          <w:p>
            <w:r>
              <w:rPr>
                <w:sz w:val="17"/>
              </w:rPr>
              <w:t>15,310</w:t>
            </w:r>
          </w:p>
        </w:tc>
        <w:tc>
          <w:tcPr>
            <w:tcW w:type="dxa" w:w="1440"/>
            <w:shd w:fill="C6EFCE" w:val="clear"/>
          </w:tcPr>
          <w:p>
            <w:r>
              <w:rPr>
                <w:b/>
                <w:color w:val="008000"/>
                <w:sz w:val="17"/>
              </w:rPr>
              <w:t>+4.1%</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12,537</w:t>
            </w:r>
          </w:p>
        </w:tc>
        <w:tc>
          <w:tcPr>
            <w:tcW w:type="dxa" w:w="1440"/>
            <w:shd w:fill="C6EFCE" w:val="clear"/>
          </w:tcPr>
          <w:p>
            <w:r>
              <w:rPr>
                <w:b/>
                <w:sz w:val="17"/>
              </w:rPr>
              <w:t>13,976</w:t>
            </w:r>
          </w:p>
        </w:tc>
        <w:tc>
          <w:tcPr>
            <w:tcW w:type="dxa" w:w="1440"/>
            <w:shd w:fill="C6EFCE" w:val="clear"/>
          </w:tcPr>
          <w:p>
            <w:r>
              <w:rPr>
                <w:sz w:val="17"/>
              </w:rPr>
              <w:t>15,416</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120,60 Mds FCFA, SDCC se positionne parmi les valeurs moyennes-capitalisations de la cote BRVM, ce qui traduit une liquidité limitée mais une certaine stabilité institutionnelle. Le BPA de 518 FCFA/action indique que chaque titre génère un bénéfice net de 518 FCFA, un niveau correct pour une entreprise de services essentiels. Le PER de 25,9x est nettement supérieur à la moyenne BRVM (~8-12x), ce qui signifie que les investisseurs paient une prime de croissance très significative — soit ils anticipent une forte accélération des bénéfices, soit le titre est surévalué. Le P/B de 6,12x confirme cette exigence : le marché valorise SDCC à plus de 6 fois sa valeur comptable, une prime rarement justifiée sauf pour des sociétés à très forte rentabilité des fonds propres (ROE de 23,6% en 2025). Enfin, l'EV/EBITDA de 15,1x dépasse le seuil de 15x, signalant que la valeur d'entreprise (incluant la dette) est chère par rapport à la capacité opérationnelle de génération de cash — un point de vigilance majeur dans un contexte de trésorerie tendue.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spectaculaire de +87,68%, avec une dernière séance en hausse de +1,28%, portant le cours à 13 400 FCFA. Le range de trading est très large, entre un plus bas de 7 140 FCFA et un plus haut de 13 710 FCFA, soit une amplitude de près de 92% — le titre évolue actuellement à seulement 2,3% de son sommet, ce qui témoigne d'une tendance haussière puissante et d'un momentum acheteur soutenu. Les statistiques descriptives révèlent une moyenne de 11 275 FCFA contre une médiane de 11 900 FCFA : l'écart de 625 FCFA indique une distribution asymétrique, cohérente avec le skewness négatif de -1,245, qui signifie que le cours a passé plus de journées au-dessus de la moyenne mais avec des mouvements baissiers plus amples. L'écart-type de 1 582 FCFA (CV = 14,0%) traduit une dispersion modérée autour de la moyenne, tandis que le kurtosis de 0,945 (mésokurtique) suggère une distribution proche de la normale, sans risque extrême de pics. La volatilité annualisée de 36,8% classe le titre dans la catégorie des valeurs à volatilité élevée (&gt;30%), ce qui implique un risque de correction significatif après une telle progression.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(12 759 FCFA) et la MM50 (12 170 FCFA) sont toutes deux inférieures au cours actuel (13 400 FCFA), et la MM20 est au-dessus de la MM50 — configuration haussière classique en « golden cross ». Le cours évolue au-dessus de ses deux moyennes, confirmant la dynamique positive et justifiant la décision d'**Achat**.</w:t>
      </w:r>
    </w:p>
    <w:p>
      <w:pPr>
        <w:spacing w:after="120" w:line="276" w:lineRule="auto"/>
      </w:pPr>
      <w:r>
        <w:t>**Bandes de Bollinger** : Le cours (13 400 FCFA) se situe dans la moitié supérieure de la bande, entre la borne inférieure (11 402,95 FCFA) et la borne supérieure (14 115,05 FCFA), sans la franchir. Cette position indique une volatilité contenue mais une pression acheteuse persistante ; la décision est **Neutre** car le cours n'est ni en surachat extrême ni en survente.</w:t>
      </w:r>
    </w:p>
    <w:p>
      <w:pPr>
        <w:spacing w:after="120" w:line="276" w:lineRule="auto"/>
      </w:pPr>
      <w:r>
        <w:t>**MACD** : La valeur du MACD (428,163) est supérieure à son signal (379,902), avec un histogramme positif — le momentum est haussier et la divergence confirme la tendance. La décision d'**Achat** est justifiée par cette configuration positive.</w:t>
      </w:r>
    </w:p>
    <w:p>
      <w:pPr>
        <w:spacing w:after="120" w:line="276" w:lineRule="auto"/>
      </w:pPr>
      <w:r>
        <w:t>**RSI** : À 70,882, le RSI franchit le seuil de surachat (&gt;70), ce qui signale que le titre pourrait être surétendu à court terme et sujet à une correction. La décision de **Vente** reflète cette prudence, bien que le RSI puisse rester en zone haute dans une tendance forte.</w:t>
      </w:r>
    </w:p>
    <w:p>
      <w:pPr>
        <w:spacing w:after="120" w:line="276" w:lineRule="auto"/>
      </w:pPr>
      <w:r>
        <w:t>**Stochastique** : Le %K (81,871) et le %D (80,507) sont tous deux en zone de surachat (&gt;80), avec un %K légèrement au-dessus du %D — pas de croisement baissier confirmé mais une proximité qui invite à la vigilance. La décision de **Vente** est cohérente avec ce signal de retournement potentiel.</w:t>
      </w:r>
    </w:p>
    <w:p>
      <w:pPr>
        <w:spacing w:after="120" w:line="276" w:lineRule="auto"/>
      </w:pPr>
      <w:r>
        <w:t>**Conclusion technique** : Les indicateurs de tendance (MM, MACD) restent haussiers et confirment la dynamique positive, mais les oscillateurs (RSI, Stochastique) sont en zone de surachat et émettent des signaux de vente à court terme. Cette divergence classique suggère une possible consolidation ou correction avant une reprise, et appelle à la prudence pour les acheteurs tardifs.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SDCC (exercice clos au 31/12/2025) affichent un chiffre d'affaires de 189,430 Mds FCFA, en croissance de +9,98% par rapport à 2024, et un résultat net de 4,663 Mds FCFA, en hausse de +31% — une performance remarquable portée par l'amélioration de l'EBE (+21% à 21,783 Mds FCFA) et du résultat d'exploitation (+34% à 9,105 Mds FCFA). Le ROE s'établit à 23,65%, largement supérieur au seuil de 15% considéré comme excellent, tandis que le ROA reste faible à 0,99%, reflétant l'intensité capitalistique du secteur. La marge nette de 2,46% est modeste mais en amélioration, et la marge brute de 81,86% témoigne d'un modèle économique à forte valeur ajoutée. Cependant, la structure financière présente des fragilités : l'autonomie financière n'est que de 4,17% (capitaux propres/total bilan), bien loin du seuil sain de 30%, et la trésorerie nette est négative à -61,710 Mds FCFA, avec un flux opérationnel de -36,655 Mds FCFA et un Free Cash Flow de -38,504 Mds FCFA. Le BFR de 104,748 Mds FCFA et le délai client de 749 jours (créances clients de 388,852 Mds FCFA) constituent un risque majeur de liquidité, même si le taux de recouvrement de 95,85% (rapport 2025) limite la casse. Sur la base du rapport T1 2026 (publié en 2026), le chiffre d'affaires recule de -2% à 40 916 M FCFA, mais le résultat net bondit de +118% à 1 318 M FCFA grâce à une maîtrise des charges opérationnelles — on estime donc que l'exercice 2026 devrait confirmer l'amélioration de la rentabilité malgré un CA stable. Le dividende proposé de 525 FCFA/action (rendement de 3,9% au cours actuel) offre un retour aux actionnaires attractif. En synthèse, la solidité opérationnelle et la rentabilité sont indéniables, mais les tensions de trésorerie et le niveau d'endettement (dépendance financière de 740%) appellent à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25,9x, P/B de 6,12x et EV/EBITDA de 15,1x intègrent déjà une forte prime de croissance, ce qui limite le potentiel de revalorisation à court terme. Le comportement du cours (Partie 1) est exceptionnellement haussier (+87,68% sur 100 jours) mais la volatilité élevée (36,8%) et le skewness négatif (-1,245) suggèrent que le titre a peut-être atteint un point de retournement. Les signaux techniques (Partie 2) sont mitigés : les moyennes mobiles et le MACD confirment la tendance haussière, mais le RSI (70,88) et le stochastique (81,87) sont en zone de surachat et émettent des signaux de vente à court terme. Les fondamentaux (Partie 3) sont solides sur le plan opérationnel (ROE de 23,65%, résultat net en hausse de +31% en 2025, dividende de 525 FCFA), mais les tensions de trésorerie (FCF de -38,5 Mds FCFA) et la faible autonomie financière (4,17%) constituent des risques structurels. Les prédictions IA (J+1 à J+10) anticipent une poursuite de la hausse jusqu'à 13 801 FCFA le 18/09/2026, ce qui contredit les signaux de surachat des oscillateurs mais confirme la tendance de fond. Sur la base de cette synthèse, la recommandation finale est **CONSERVER** : le titre offre un bon profil de rendement (dividende attractif) et une dynamique fondamentale positive, mais la valorisation tendue et les signaux techniques de surachat invitent à ne pas renforcer à ces niveaux. Le niveau de confiance est **Moyen**, car les signaux sont divergents entre technique court terme et fondamental long terme. Le risque global est **Élevé** en raison de la volatilité du titre et des tensions de trésorerie. L'horizon d'investissement optimal est le **moyen terme (3-12 mois)**, en attendant une consolidation du cours et la confirmation des résultats du T2 2026 pour valider la trajectoire bénéficiaire.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164.94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18,324 titres</w:t>
            </w:r>
          </w:p>
        </w:tc>
        <w:tc>
          <w:tcPr>
            <w:tcW w:type="dxa" w:w="2268"/>
            <w:shd w:fill="FFF2CC" w:val="clear"/>
          </w:tcPr>
          <w:p>
            <w:r>
              <w:rPr>
                <w:b/>
                <w:color w:val="503200"/>
                <w:sz w:val="16"/>
              </w:rPr>
              <w:t xml:space="preserve">Cours actuel : </w:t>
            </w:r>
            <w:r>
              <w:rPr>
                <w:color w:val="000000"/>
                <w:sz w:val="17"/>
              </w:rPr>
              <w:t>3,030 FCFA</w:t>
            </w:r>
          </w:p>
          <w:p>
            <w:r>
              <w:rPr>
                <w:b/>
                <w:color w:val="503200"/>
                <w:sz w:val="16"/>
              </w:rPr>
              <w:t xml:space="preserve">Var. 100 jours : </w:t>
            </w:r>
            <w:r>
              <w:rPr>
                <w:b/>
                <w:color w:val="007800"/>
                <w:sz w:val="17"/>
              </w:rPr>
              <w:t>+69.75%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24.0/100 → Moyen</w:t>
      </w:r>
    </w:p>
    <w:p>
      <w:pPr>
        <w:spacing w:before="40" w:after="80"/>
      </w:pPr>
      <w:r>
        <w:rPr>
          <w:rFonts w:ascii="Courier New" w:hAnsi="Courier New"/>
          <w:color w:val="825A00"/>
          <w:sz w:val="18"/>
        </w:rPr>
        <w:t>████░░░░░░░░░░░░░░░░  24.0/100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19.11% (Élevée) — μ=2,328 FCFA, σ=445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β=0.6720 (Défensif) — Cov=0.000024, Var(idx)=0.000035, ρ=0.123,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2,849</w:t>
            </w:r>
          </w:p>
        </w:tc>
        <w:tc>
          <w:tcPr>
            <w:tcW w:type="dxa" w:w="1440"/>
            <w:shd w:fill="FAFAFA" w:val="clear"/>
          </w:tcPr>
          <w:p>
            <w:r>
              <w:rPr>
                <w:b/>
                <w:sz w:val="17"/>
              </w:rPr>
              <w:t>3,025</w:t>
            </w:r>
          </w:p>
        </w:tc>
        <w:tc>
          <w:tcPr>
            <w:tcW w:type="dxa" w:w="1440"/>
            <w:shd w:fill="FAFAFA" w:val="clear"/>
          </w:tcPr>
          <w:p>
            <w:r>
              <w:rPr>
                <w:sz w:val="17"/>
              </w:rPr>
              <w:t>3,202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2,778</w:t>
            </w:r>
          </w:p>
        </w:tc>
        <w:tc>
          <w:tcPr>
            <w:tcW w:type="dxa" w:w="1440"/>
            <w:shd w:fill="FAFAFA" w:val="clear"/>
          </w:tcPr>
          <w:p>
            <w:r>
              <w:rPr>
                <w:b/>
                <w:sz w:val="17"/>
              </w:rPr>
              <w:t>3,028</w:t>
            </w:r>
          </w:p>
        </w:tc>
        <w:tc>
          <w:tcPr>
            <w:tcW w:type="dxa" w:w="1440"/>
            <w:shd w:fill="FAFAFA" w:val="clear"/>
          </w:tcPr>
          <w:p>
            <w:r>
              <w:rPr>
                <w:sz w:val="17"/>
              </w:rPr>
              <w:t>3,278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2,724</w:t>
            </w:r>
          </w:p>
        </w:tc>
        <w:tc>
          <w:tcPr>
            <w:tcW w:type="dxa" w:w="1440"/>
            <w:shd w:fill="FAFAFA" w:val="clear"/>
          </w:tcPr>
          <w:p>
            <w:r>
              <w:rPr>
                <w:b/>
                <w:sz w:val="17"/>
              </w:rPr>
              <w:t>3,030</w:t>
            </w:r>
          </w:p>
        </w:tc>
        <w:tc>
          <w:tcPr>
            <w:tcW w:type="dxa" w:w="1440"/>
            <w:shd w:fill="FAFAFA" w:val="clear"/>
          </w:tcPr>
          <w:p>
            <w:r>
              <w:rPr>
                <w:sz w:val="17"/>
              </w:rPr>
              <w:t>3,337</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2,678</w:t>
            </w:r>
          </w:p>
        </w:tc>
        <w:tc>
          <w:tcPr>
            <w:tcW w:type="dxa" w:w="1440"/>
            <w:shd w:fill="FAFAFA" w:val="clear"/>
          </w:tcPr>
          <w:p>
            <w:r>
              <w:rPr>
                <w:b/>
                <w:sz w:val="17"/>
              </w:rPr>
              <w:t>3,032</w:t>
            </w:r>
          </w:p>
        </w:tc>
        <w:tc>
          <w:tcPr>
            <w:tcW w:type="dxa" w:w="1440"/>
            <w:shd w:fill="FAFAFA" w:val="clear"/>
          </w:tcPr>
          <w:p>
            <w:r>
              <w:rPr>
                <w:sz w:val="17"/>
              </w:rPr>
              <w:t>3,386</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2,637</w:t>
            </w:r>
          </w:p>
        </w:tc>
        <w:tc>
          <w:tcPr>
            <w:tcW w:type="dxa" w:w="1440"/>
            <w:shd w:fill="FAFAFA" w:val="clear"/>
          </w:tcPr>
          <w:p>
            <w:r>
              <w:rPr>
                <w:b/>
                <w:sz w:val="17"/>
              </w:rPr>
              <w:t>3,032</w:t>
            </w:r>
          </w:p>
        </w:tc>
        <w:tc>
          <w:tcPr>
            <w:tcW w:type="dxa" w:w="1440"/>
            <w:shd w:fill="FAFAFA" w:val="clear"/>
          </w:tcPr>
          <w:p>
            <w:r>
              <w:rPr>
                <w:sz w:val="17"/>
              </w:rPr>
              <w:t>3,428</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2,599</w:t>
            </w:r>
          </w:p>
        </w:tc>
        <w:tc>
          <w:tcPr>
            <w:tcW w:type="dxa" w:w="1440"/>
            <w:shd w:fill="FAFAFA" w:val="clear"/>
          </w:tcPr>
          <w:p>
            <w:r>
              <w:rPr>
                <w:b/>
                <w:sz w:val="17"/>
              </w:rPr>
              <w:t>3,032</w:t>
            </w:r>
          </w:p>
        </w:tc>
        <w:tc>
          <w:tcPr>
            <w:tcW w:type="dxa" w:w="1440"/>
            <w:shd w:fill="FAFAFA" w:val="clear"/>
          </w:tcPr>
          <w:p>
            <w:r>
              <w:rPr>
                <w:sz w:val="17"/>
              </w:rPr>
              <w:t>3,466</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2,564</w:t>
            </w:r>
          </w:p>
        </w:tc>
        <w:tc>
          <w:tcPr>
            <w:tcW w:type="dxa" w:w="1440"/>
            <w:shd w:fill="FAFAFA" w:val="clear"/>
          </w:tcPr>
          <w:p>
            <w:r>
              <w:rPr>
                <w:b/>
                <w:sz w:val="17"/>
              </w:rPr>
              <w:t>3,032</w:t>
            </w:r>
          </w:p>
        </w:tc>
        <w:tc>
          <w:tcPr>
            <w:tcW w:type="dxa" w:w="1440"/>
            <w:shd w:fill="FAFAFA" w:val="clear"/>
          </w:tcPr>
          <w:p>
            <w:r>
              <w:rPr>
                <w:sz w:val="17"/>
              </w:rPr>
              <w:t>3,501</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2,532</w:t>
            </w:r>
          </w:p>
        </w:tc>
        <w:tc>
          <w:tcPr>
            <w:tcW w:type="dxa" w:w="1440"/>
            <w:shd w:fill="FAFAFA" w:val="clear"/>
          </w:tcPr>
          <w:p>
            <w:r>
              <w:rPr>
                <w:b/>
                <w:sz w:val="17"/>
              </w:rPr>
              <w:t>3,032</w:t>
            </w:r>
          </w:p>
        </w:tc>
        <w:tc>
          <w:tcPr>
            <w:tcW w:type="dxa" w:w="1440"/>
            <w:shd w:fill="FAFAFA" w:val="clear"/>
          </w:tcPr>
          <w:p>
            <w:r>
              <w:rPr>
                <w:sz w:val="17"/>
              </w:rPr>
              <w:t>3,533</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2,502</w:t>
            </w:r>
          </w:p>
        </w:tc>
        <w:tc>
          <w:tcPr>
            <w:tcW w:type="dxa" w:w="1440"/>
            <w:shd w:fill="FAFAFA" w:val="clear"/>
          </w:tcPr>
          <w:p>
            <w:r>
              <w:rPr>
                <w:b/>
                <w:sz w:val="17"/>
              </w:rPr>
              <w:t>3,032</w:t>
            </w:r>
          </w:p>
        </w:tc>
        <w:tc>
          <w:tcPr>
            <w:tcW w:type="dxa" w:w="1440"/>
            <w:shd w:fill="FAFAFA" w:val="clear"/>
          </w:tcPr>
          <w:p>
            <w:r>
              <w:rPr>
                <w:sz w:val="17"/>
              </w:rPr>
              <w:t>3,563</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2,473</w:t>
            </w:r>
          </w:p>
        </w:tc>
        <w:tc>
          <w:tcPr>
            <w:tcW w:type="dxa" w:w="1440"/>
            <w:shd w:fill="FAFAFA" w:val="clear"/>
          </w:tcPr>
          <w:p>
            <w:r>
              <w:rPr>
                <w:b/>
                <w:sz w:val="17"/>
              </w:rPr>
              <w:t>3,032</w:t>
            </w:r>
          </w:p>
        </w:tc>
        <w:tc>
          <w:tcPr>
            <w:tcW w:type="dxa" w:w="1440"/>
            <w:shd w:fill="FAFAFA" w:val="clear"/>
          </w:tcPr>
          <w:p>
            <w:r>
              <w:rPr>
                <w:sz w:val="17"/>
              </w:rPr>
              <w:t>3,592</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164,94 milliards FCFA, SDSC figure parmi les valeurs de taille intermédiaire à supérieure du compartiment des entreprises non bancaires de la BRVM, ce qui lui confère une liquidité relative appréciable. Le BPA de 387 FCFA/action indique ce que chaque titre rapporte en bénéfice, mais ce chiffre est à manier avec prudence car il reflète l'exercice 2024, année exceptionnellement faste (résultat net de 21,07 Mds FCFA) désormais révolue. Le PER de 7,8x se situe en dessous de la moyenne BRVM (8-12x), suggérant une sous-évaluation apparente — mais ce ratio est trompeur puisque le résultat 2025 s'est effondré à 0,78 Md FCFA, ce qui porterait le PER réel à plus de 200x. Le P/B de 2,12x traduit une prime de croissance accordée par le marché par rapport à la valeur comptable (capitaux propres de 77,8 Mds FCFA en 2024), tandis que l'EV/EBITDA de 35,6x apparaît très exigeant, la valeur d'entreprise intégrant une trésorerie nette abondante mais une capacité opérationnelle (EBE de 4,59 Mds FCFA) qui ne justifie pas un tel multiple.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progression spectaculaire de +69,75%, malgré un repli de -1,94% lors de la dernière séance, signe d'une légère prise de bénéfices après un rallye soutenu. Le cours actuel de 3 030 FCFA se situe dans la partie haute du range de trading, le plus haut ayant atteint 3 205 FCFA contre un plus bas de 1 650 FCFA — soit un écart de près du double, illustrant une tendance nettement haussière portée par un volume moyen quotidien de 18 324 titres. Les statistiques descriptives révèlent une moyenne (2 328 FCFA) légèrement inférieure à la médiane (2 398 FCFA), écart modeste qui traduit une distribution quasi symétrique, confirmée par un skewness de -0,028 proche de zéro. L'écart-type de 447 FCFA avec un coefficient de variation de 19,2% indique une dispersion modérée du cours autour de sa moyenne, tandis que le kurtosis de -1,266 (distribution platykurtique) signale une faible concentration des variations et un risque de pics extrêmes limité. Enfin, la volatilité annualisée de 51,1% classe ce titre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(2 863,75 FCFA) et la MM50 (2 692,5 FCFA) se situent toutes deux sous le cours actuel (3 030 FCFA), avec la MM20 au-dessus de la MM50 — configuration haussière classique en "golden cross". Cette disposition confirme la dynamique positive et justifie la décision d'achat, le cours évoluant au-dessus de ses supports mobiles.</w:t>
      </w:r>
    </w:p>
    <w:p>
      <w:pPr>
        <w:spacing w:after="120" w:line="276" w:lineRule="auto"/>
      </w:pPr>
      <w:r>
        <w:t>**Bandes de Bollinger** : Le cours (3 030 FCFA) évolue dans la partie supérieure de la bande, entre la borne inférieure (2 465,07 FCFA) et la borne supérieure (3 262,43 FCFA), sans toutefois la toucher. Cette position médiane-haute, couplée à un écartement modéré des bandes, traduit une volatilité contenue et justifie la décision neutre — ni suracheté, ni survendu.</w:t>
      </w:r>
    </w:p>
    <w:p>
      <w:pPr>
        <w:spacing w:after="120" w:line="276" w:lineRule="auto"/>
      </w:pPr>
      <w:r>
        <w:t>**MACD** : La ligne MACD (125,459) surpasse nettement son signal (109,429), générant un histogramme positif qui confirme un momentum haussier en cours. Cette divergence positive soutient la décision d'achat, bien que l'écart entre les deux lignes invite à surveiller un éventuel croisement baissier.</w:t>
      </w:r>
    </w:p>
    <w:p>
      <w:pPr>
        <w:spacing w:after="120" w:line="276" w:lineRule="auto"/>
      </w:pPr>
      <w:r>
        <w:t>**RSI** : À 61,364, le RSI se situe en zone neutre-haute, sans atteindre le seuil de surachat (70). Cette configuration indique que le titre conserve un potentiel de hausse sans être techniquement épuisé, justifiant la décision neutre.</w:t>
      </w:r>
    </w:p>
    <w:p>
      <w:pPr>
        <w:spacing w:after="120" w:line="276" w:lineRule="auto"/>
      </w:pPr>
      <w:r>
        <w:t>**Stochastique** : Le %K (72,868) est légèrement inférieur au %D (77,519), suggérant un début de croisement baissier en zone haute. Cette configuration, proche du seuil de surachat (80), plaide pour la prudence et justifie la décision neutre.</w:t>
      </w:r>
    </w:p>
    <w:p>
      <w:pPr>
        <w:spacing w:after="120" w:line="276" w:lineRule="auto"/>
      </w:pPr>
      <w:r>
        <w:t>**Conclusion technique** : Les indicateurs présentent une convergence majoritairement haussière (MM, MACD) tempérée par des signaux neutres (Bollinger, RSI, Stochastique). Le titre conserve un momentum positif mais approche de zones de résistance, ce qui suggère une consolidation possible à court terme avant une éventuelle poursuite du mouvement.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dressent le portrait d'une entreprise solide mais dont la rentabilité s'est depuis fortement dégradée. En 2024, SDSC affichait un chiffre d'affaires de 85,643 Mds FCFA, un résultat net de 21,069 Mds FCFA, un ROE exceptionnel de 27,08% et un ROA de 11,20%, avec une marge nette de 24,60% — des niveaux remarquables. Cependant, le rapport du 31 décembre 2025 (états financiers provisoires, analysé le 05/08/2026) révèle un retournement brutal : le CA progresse de +7,43% à 92,004 Mds FCFA, mais le résultat net s'effondre de 96% à 0,785 Md FCFA, la marge nette chutant à 0,85%. Le résultat d'exploitation devient négatif (-2,271 Mds FCFA) sous l'effet d'une hausse de 41% des dotations aux amortissements et de charges de personnel élevées (34,402 Mds FCFA en 2024), le bénéfice n'étant sauvé que par le résultat financier (7,080 Mds FCFA, en baisse de 66%). Le rapport du T3 2025 (30/09/2025) confirme cette tendance avec un résultat net trimestriel de 4,341 Mds FCFA en chute de 77%, tandis que le S1 2025 (30/06/2025) affichait une perte de -427 M FCFA et le T1 2025 (31/03/2025) une perte de -193 M FCFA. Sur le plan structurel, l'entreprise reste solide : autonomie financière de 41,36%, liquidité générale de 132,84%, trésorerie nette de 15,617 Mds FCFA en 2024 (portée à 74,78 Mds FCFA en 2025), et capacité de remboursement de 0,56 an. Toutefois, le délai client de 466,94 jours constitue un risque de trésorerie majeur, tout comme le coût du risque élevé (530,12% des charges financières). Le dividende proposé au titre de 2025 chute à 544,35 M FCFA (-89%), avec un taux de distribution de 69,3%. **Recommandation fondamentale : CONSERVER** — la solidité du bilan et la croissance du CA incitent à ne pas vendre, mais l'effondrement de la rentabilité opérationnelle et la réduction drastique du dividende justifient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ambigu : le PER de 7,8x et le P/B de 2,12x suggèrent une sous-évaluation apparente, mais l'EV/EBITDA de 35,6x et l'effondrement du résultat 2025 rendent ces ratios trompeurs, le titre étant en réalité cher au regard de la capacité bénéficiaire actuelle. Le comportement du cours (Partie 1) est nettement haussier (+69,75% sur 100 jours) avec une volatilité élevée (51,1%) et une distribution symétrique (skewness -0,028) sans risque de pics extrêmes (kurtosis -1,266), ce qui est favorable mais invite à la prudence après un tel rallye. Les signaux techniques (Partie 2) convergent majoritairement à l'achat (MM, MACD) mais les indicateurs de surachat (Stochastique, RSI) tempèrent cette dynamique, plaidant pour une consolidation. Les fondamentaux (Partie 3) révèlent une dégradation sévère de la rentabilité en 2025 (marge nette de 0,85%, résultat d'exploitation négatif) malgré une croissance du CA (+7,4%) et une trésorerie abondante, la solidité du bilan constituant le principal rempart. Les prédictions IA (J+1 à J+10) anticipent une quasi-stagnation du cours autour de 3 025-3 032 FCFA, confirmant l'hypothèse d'une pause après le rallye. **Recommandation finale : CONSERVER** — la convergence entre une valorisation tendue, des signaux techniques mitigés, des fondamentaux dégradés mais un bilan solide et des prédictions de stabilisation ne justifie ni un achat agressif ni une vente. Le niveau de confiance est **Moyen** (les données 2025 étant provisoires) et le niveau de risque global **Élevé** (volatilité de 51,1%, dépendance aux revenus financiers, délai client de 467 jours). L'horizon d'investissement optimal est le **moyen terme (3-12 mois)**, en surveillant la capacité de la direction à restaurer les marges opérationnelles au premier semestre 2026 et la confirmation des états financiers définitifs 2025.</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5,991 titres</w:t>
            </w:r>
          </w:p>
        </w:tc>
        <w:tc>
          <w:tcPr>
            <w:tcW w:type="dxa" w:w="2268"/>
            <w:shd w:fill="FFF2CC" w:val="clear"/>
          </w:tcPr>
          <w:p>
            <w:r>
              <w:rPr>
                <w:b/>
                <w:color w:val="503200"/>
                <w:sz w:val="16"/>
              </w:rPr>
              <w:t xml:space="preserve">Cours actuel : </w:t>
            </w:r>
            <w:r>
              <w:rPr>
                <w:color w:val="000000"/>
                <w:sz w:val="17"/>
              </w:rPr>
              <w:t>1,560 FCFA</w:t>
            </w:r>
          </w:p>
          <w:p>
            <w:r>
              <w:rPr>
                <w:b/>
                <w:color w:val="503200"/>
                <w:sz w:val="16"/>
              </w:rPr>
              <w:t xml:space="preserve">Var. 100 jours : </w:t>
            </w:r>
            <w:r>
              <w:rPr>
                <w:b/>
                <w:color w:val="B40000"/>
                <w:sz w:val="17"/>
              </w:rPr>
              <w:t>-4.00%</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17.8/100 → Faible</w:t>
      </w:r>
    </w:p>
    <w:p>
      <w:pPr>
        <w:spacing w:before="40" w:after="80"/>
      </w:pPr>
      <w:r>
        <w:rPr>
          <w:rFonts w:ascii="Courier New" w:hAnsi="Courier New"/>
          <w:color w:val="006400"/>
          <w:sz w:val="18"/>
        </w:rPr>
        <w:t>███░░░░░░░░░░░░░░░░░  17.8/100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4.77% (Faible) — μ=1,530 FCFA, σ=73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β=1.2469 (Agressif) — Cov=0.000044, Var(idx)=0.000035, ρ=0.238,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1,463</w:t>
            </w:r>
          </w:p>
        </w:tc>
        <w:tc>
          <w:tcPr>
            <w:tcW w:type="dxa" w:w="1440"/>
            <w:shd w:fill="FAFAFA" w:val="clear"/>
          </w:tcPr>
          <w:p>
            <w:r>
              <w:rPr>
                <w:b/>
                <w:sz w:val="17"/>
              </w:rPr>
              <w:t>1,534</w:t>
            </w:r>
          </w:p>
        </w:tc>
        <w:tc>
          <w:tcPr>
            <w:tcW w:type="dxa" w:w="1440"/>
            <w:shd w:fill="FAFAFA" w:val="clear"/>
          </w:tcPr>
          <w:p>
            <w:r>
              <w:rPr>
                <w:sz w:val="17"/>
              </w:rPr>
              <w:t>1,604</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1,430</w:t>
            </w:r>
          </w:p>
        </w:tc>
        <w:tc>
          <w:tcPr>
            <w:tcW w:type="dxa" w:w="1440"/>
            <w:shd w:fill="FAFAFA" w:val="clear"/>
          </w:tcPr>
          <w:p>
            <w:r>
              <w:rPr>
                <w:b/>
                <w:sz w:val="17"/>
              </w:rPr>
              <w:t>1,529</w:t>
            </w:r>
          </w:p>
        </w:tc>
        <w:tc>
          <w:tcPr>
            <w:tcW w:type="dxa" w:w="1440"/>
            <w:shd w:fill="FAFAFA" w:val="clear"/>
          </w:tcPr>
          <w:p>
            <w:r>
              <w:rPr>
                <w:sz w:val="17"/>
              </w:rPr>
              <w:t>1,629</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1,401</w:t>
            </w:r>
          </w:p>
        </w:tc>
        <w:tc>
          <w:tcPr>
            <w:tcW w:type="dxa" w:w="1440"/>
            <w:shd w:fill="FFDCE0" w:val="clear"/>
          </w:tcPr>
          <w:p>
            <w:r>
              <w:rPr>
                <w:b/>
                <w:sz w:val="17"/>
              </w:rPr>
              <w:t>1,522</w:t>
            </w:r>
          </w:p>
        </w:tc>
        <w:tc>
          <w:tcPr>
            <w:tcW w:type="dxa" w:w="1440"/>
            <w:shd w:fill="FFDCE0" w:val="clear"/>
          </w:tcPr>
          <w:p>
            <w:r>
              <w:rPr>
                <w:sz w:val="17"/>
              </w:rPr>
              <w:t>1,643</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1,376</w:t>
            </w:r>
          </w:p>
        </w:tc>
        <w:tc>
          <w:tcPr>
            <w:tcW w:type="dxa" w:w="1440"/>
            <w:shd w:fill="FFDCE0" w:val="clear"/>
          </w:tcPr>
          <w:p>
            <w:r>
              <w:rPr>
                <w:b/>
                <w:sz w:val="17"/>
              </w:rPr>
              <w:t>1,515</w:t>
            </w:r>
          </w:p>
        </w:tc>
        <w:tc>
          <w:tcPr>
            <w:tcW w:type="dxa" w:w="1440"/>
            <w:shd w:fill="FFDCE0" w:val="clear"/>
          </w:tcPr>
          <w:p>
            <w:r>
              <w:rPr>
                <w:sz w:val="17"/>
              </w:rPr>
              <w:t>1,654</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1,352</w:t>
            </w:r>
          </w:p>
        </w:tc>
        <w:tc>
          <w:tcPr>
            <w:tcW w:type="dxa" w:w="1440"/>
            <w:shd w:fill="FFDCE0" w:val="clear"/>
          </w:tcPr>
          <w:p>
            <w:r>
              <w:rPr>
                <w:b/>
                <w:sz w:val="17"/>
              </w:rPr>
              <w:t>1,507</w:t>
            </w:r>
          </w:p>
        </w:tc>
        <w:tc>
          <w:tcPr>
            <w:tcW w:type="dxa" w:w="1440"/>
            <w:shd w:fill="FFDCE0" w:val="clear"/>
          </w:tcPr>
          <w:p>
            <w:r>
              <w:rPr>
                <w:sz w:val="17"/>
              </w:rPr>
              <w:t>1,662</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1,331</w:t>
            </w:r>
          </w:p>
        </w:tc>
        <w:tc>
          <w:tcPr>
            <w:tcW w:type="dxa" w:w="1440"/>
            <w:shd w:fill="FFDCE0" w:val="clear"/>
          </w:tcPr>
          <w:p>
            <w:r>
              <w:rPr>
                <w:b/>
                <w:sz w:val="17"/>
              </w:rPr>
              <w:t>1,499</w:t>
            </w:r>
          </w:p>
        </w:tc>
        <w:tc>
          <w:tcPr>
            <w:tcW w:type="dxa" w:w="1440"/>
            <w:shd w:fill="FFDCE0" w:val="clear"/>
          </w:tcPr>
          <w:p>
            <w:r>
              <w:rPr>
                <w:sz w:val="17"/>
              </w:rPr>
              <w:t>1,668</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1,310</w:t>
            </w:r>
          </w:p>
        </w:tc>
        <w:tc>
          <w:tcPr>
            <w:tcW w:type="dxa" w:w="1440"/>
            <w:shd w:fill="FFDCE0" w:val="clear"/>
          </w:tcPr>
          <w:p>
            <w:r>
              <w:rPr>
                <w:b/>
                <w:sz w:val="17"/>
              </w:rPr>
              <w:t>1,491</w:t>
            </w:r>
          </w:p>
        </w:tc>
        <w:tc>
          <w:tcPr>
            <w:tcW w:type="dxa" w:w="1440"/>
            <w:shd w:fill="FFDCE0" w:val="clear"/>
          </w:tcPr>
          <w:p>
            <w:r>
              <w:rPr>
                <w:sz w:val="17"/>
              </w:rPr>
              <w:t>1,673</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1,291</w:t>
            </w:r>
          </w:p>
        </w:tc>
        <w:tc>
          <w:tcPr>
            <w:tcW w:type="dxa" w:w="1440"/>
            <w:shd w:fill="FFDCE0" w:val="clear"/>
          </w:tcPr>
          <w:p>
            <w:r>
              <w:rPr>
                <w:b/>
                <w:sz w:val="17"/>
              </w:rPr>
              <w:t>1,484</w:t>
            </w:r>
          </w:p>
        </w:tc>
        <w:tc>
          <w:tcPr>
            <w:tcW w:type="dxa" w:w="1440"/>
            <w:shd w:fill="FFDCE0" w:val="clear"/>
          </w:tcPr>
          <w:p>
            <w:r>
              <w:rPr>
                <w:sz w:val="17"/>
              </w:rPr>
              <w:t>1,677</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1,273</w:t>
            </w:r>
          </w:p>
        </w:tc>
        <w:tc>
          <w:tcPr>
            <w:tcW w:type="dxa" w:w="1440"/>
            <w:shd w:fill="FFDCE0" w:val="clear"/>
          </w:tcPr>
          <w:p>
            <w:r>
              <w:rPr>
                <w:b/>
                <w:sz w:val="17"/>
              </w:rPr>
              <w:t>1,476</w:t>
            </w:r>
          </w:p>
        </w:tc>
        <w:tc>
          <w:tcPr>
            <w:tcW w:type="dxa" w:w="1440"/>
            <w:shd w:fill="FFDCE0" w:val="clear"/>
          </w:tcPr>
          <w:p>
            <w:r>
              <w:rPr>
                <w:sz w:val="17"/>
              </w:rPr>
              <w:t>1,680</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1,256</w:t>
            </w:r>
          </w:p>
        </w:tc>
        <w:tc>
          <w:tcPr>
            <w:tcW w:type="dxa" w:w="1440"/>
            <w:shd w:fill="FFDCE0" w:val="clear"/>
          </w:tcPr>
          <w:p>
            <w:r>
              <w:rPr>
                <w:b/>
                <w:sz w:val="17"/>
              </w:rPr>
              <w:t>1,469</w:t>
            </w:r>
          </w:p>
        </w:tc>
        <w:tc>
          <w:tcPr>
            <w:tcW w:type="dxa" w:w="1440"/>
            <w:shd w:fill="FFDCE0" w:val="clear"/>
          </w:tcPr>
          <w:p>
            <w:r>
              <w:rPr>
                <w:sz w:val="17"/>
              </w:rPr>
              <w:t>1,682</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39,30 milliards FCFA, un niveau intermédiaire dans le compartiment industriel de la BRVM, reflétant une société de taille moyenne dont la liquidité reste limitée (volume moyen de 5 991 titres/jour). Les ratios de valorisation boursière (BPA, PER, P/B, EV/EBITDA) ne sont pas calculables en l'état, les données financières structurées nécessaires étant absentes de la base. Toutefois, en croisant le bénéfice net 2023 de 1,01 milliard FCFA (rapport du 31/12/2023) avec la capitalisation actuelle, on obtient un PER implicite d'environ 39x — nettement supérieur à la moyenne BRVM (8-12x) — ce qui suggère une valorisation tendue au regard des bénéfices les plus récents. Cette cherté apparente s'explique en partie par l'anticipation par le marché du rebond attendu en 2024 (objectif de CA de 32 milliards FCFA) et par l'arrivée de Sonoco Products Company au capital.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-4,00%, avec une dernière séance en repli de -0,32%, portant le cours à 1 560 FCFA. Le range de trading est large, entre un plus bas de 1 350 FCFA et un plus haut de 1 800 FCFA, soit une amplitude de 33% qui traduit une réelle nervosité du marché. La tendance générale est baissière sur la période, mais le cours se situe actuellement au-dessus de sa moyenne (1 530 FCFA) et de sa médiane (1 520 FCFA), signe d'une légère reprise en fin de période. L'écart faible entre moyenne et médiane (10 FCFA) indique une distribution quasi symétrique, tandis que le mode à 1 500 FCFA confirme une zone d'équilibre psychologique. L'écart-type de 73 FCFA (CV = 4,8%) révèle une dispersion modérée en valeur absolue, mais la volatilité annualisée de 48,7% classe le titre dans la catégorie **élevée** (&gt;30%), ce qui est cohérent avec la faible liquidité du marché BRVM. Le kurtosis de 1,438 (leptokurtique) signale des queues épaisses et un risque de pics brutaux, tandis que le skewness positif de 0,620 indique une asymétrie vers la droite — davantage de journées sous la moyenne, mais avec des hausses ponctuelles plus amples que les baisses.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(1 538,5 FCFA) est supérieure à la MM50 (1 499,0 FCFA), et le cours actuel (1 560 FCFA) se situe au-dessus des deux, confirmant une configuration haussière de court terme. Le croisement haussier MM20 &gt; MM50 et la position du cours justifient la décision **Achat**.</w:t>
      </w:r>
    </w:p>
    <w:p>
      <w:pPr>
        <w:spacing w:after="120" w:line="276" w:lineRule="auto"/>
      </w:pPr>
      <w:r>
        <w:t>**Bandes de Bollinger** : Le cours (1 560 FCFA) évolue dans la partie supérieure de la bande, entre la borne inférieure (1 452,8 FCFA) et la borne supérieure (1 624,2 FCFA), sans la franchir. Cette position médiane-haute, avec un rétrécissement relatif des bandes, traduit une volatilité contenue et justifie la décision **Neutre**.</w:t>
      </w:r>
    </w:p>
    <w:p>
      <w:pPr>
        <w:spacing w:after="120" w:line="276" w:lineRule="auto"/>
      </w:pPr>
      <w:r>
        <w:t>**MACD** : La valeur du MACD (12,838) dépasse son signal (10,352), avec un histogramme positif, ce qui confirme un momentum haussier en cours de consolidation. La divergence positive entre les deux lignes justifie la décision **Achat**.</w:t>
      </w:r>
    </w:p>
    <w:p>
      <w:pPr>
        <w:spacing w:after="120" w:line="276" w:lineRule="auto"/>
      </w:pPr>
      <w:r>
        <w:t>**RSI** : À 50,962, le RSI se situe exactement en zone neutre (30-70), sans signal de surachat ni de survente. Cette position médiane reflète un équilibre entre acheteurs et vendeurs et justifie la décision **Neutre**.</w:t>
      </w:r>
    </w:p>
    <w:p>
      <w:pPr>
        <w:spacing w:after="120" w:line="276" w:lineRule="auto"/>
      </w:pPr>
      <w:r>
        <w:t>**Stochastique** : Le %K (84,615) et le %D (85,073) sont tous deux en zone de surachat (&gt;80), avec un %K légèrement inférieur au %D, ce qui peut annoncer un croisement baissier imminent. Cette configuration justifie la décision **Vente**.</w:t>
      </w:r>
    </w:p>
    <w:p>
      <w:pPr>
        <w:spacing w:after="120" w:line="276" w:lineRule="auto"/>
      </w:pPr>
      <w:r>
        <w:t>**Conclusion technique** : Les indicateurs sont partagés — les moyennes mobiles et le MACD plaident pour un achat, le RSI et les Bollinger restent neutres, tandis que le stochastique signale une vente à court terme. Cette divergence suggère un titre en phase de consolidation, avec un potentiel haussier limité à court terme mais une structure de fond encore positive. La prudence est de mise avant tout nouvel engagement.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n'étant pas disponibles dans la base, l'analyse s'appuie sur les rapports officiels. Le rapport annuel au **31/12/2023** (analysé le 15/03/2026) fait état d'un chiffre d'affaires de **27,88 milliards FCFA**, en baisse de 6% par rapport aux 29,60 milliards FCFA de 2022, et d'un résultat net de **1,01 milliard FCFA**, en chute de 74% (contre 3,86 milliards en 2022). La marge nette s'effondre à **3,6%** (vs 13,0% en 2022), et le ROE se dégrade fortement. Cette détérioration s'explique par la perte de clients clés (AIRONE : -81% de CA), la concurrence du PET dans le segment tomate, et des charges fixes élevées. Le rapport du **31/12/2022** (analysé le 16/03/2026) montrait au contraire une dynamique positive : CA de 125,4 milliards FCFA (périmètre consolidé différent), résultat net de 12,8 milliards FCFA, marge nette de 10,2%, ROE de 18,4% et un dividende de 1 200 FCFA/action (rendement 6,3%). Le rapport du **T1 2023** (analysé le 15/03/2026) confirmait cette vigueur avec un CA de 7,65 milliards FCFA (+16,5%) et un résultat net de 855,65 millions FCFA (+37,9%), soit une marge nette de 11,2%. **L'évolution temporelle est donc contrastée** : après une année 2022 solide et un T1 2023 dynamique, l'exercice 2023 s'est brutalement dégradé, avec un dividende ramené à 0 FCFA et une suspension de la cote BRVM pour flottant insuffisant (10,42% vs 15% requis). Le rachat par **Sonoco Products Company** (finalisé en décembre 2024) constitue le principal levier de relance, avec un objectif de CA de 32 milliards FCFA pour 2024 (+18%), porté par les bouchons couronnes (+61% en volume) et les exportations vers le Sénégal. **Recommandation fondamentale** : profil spéculatif — la solidité financière est actuellement fragile (marge nette de 3,6%, endettement fournisseurs de 16,7 milliards FCFA), mais les perspectives de redressement sous l'égide de Sonoco et la relance des exportations offrent un potentiel de rebond significatif, à condition que la suspension de cote soit levée.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tendue avec un PER implicite d'environ 39x, très supérieur à la moyenne BRVM, ce qui intègre déjà une bonne part du rebond attendu. Le comportement du cours (Partie 1) est préoccupant à court terme : tendance baissière sur 100 jours (-4,00%), volatilité élevée (48,7%), kurtosis leptokurtique (1,438) et skewness positif (0,620) signalant un risque de pics baissiers brutaux. Les signaux techniques (Partie 2) sont divergents — MM et MACD haussiers, RSI et Bollinger neutres, Stochastique baissier — ce qui plaide pour une consolidation avant toute reprise durable. Les fondamentaux (Partie 3) sont contrastés : l'exercice 2023 a été très décevant (résultat net -74%, marge nette à 3,6%, dividende nul), mais le T1 2023 était solide et le rachat par Sonoco ouvre des perspectives de redressement. Les prédictions IA (J+1 à J+10) anticipent une trajectoire baissière continue, de 1 534 FCFA (14/09) à 1 507 FCFA (18/09), ce qui **contredit** les signaux haussiers des moyennes mobiles et du MACD, et **confirme** le signal de vente du stochastique. **Recommandation finale : CONSERVER** — la convergence entre la valorisation tendue, la dégradation fondamentale récente et la prédiction baissière à court terme ne justifie pas un achat immédiat, mais le potentiel de redressement lié à Sonoco et la relance des exportations interdisent une vente. **Niveau de confiance : Moyen** (divergence entre technique et fondamental). **Niveau de risque global : Élevé** (volatilité 48,7%, suspension de cote, dépendance à un actionnaire unique). **Horizon d'investissement optimal : Moyen terme (3-12 mois)**, en surveillant la levée de la suspension BRVM et la publication des résultats 2024 comme catalyseurs décisifs.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5,595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+16.67%</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μ=37,501 FCFA, σ=1,806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β=0.6124 (Défensif) — Cov=0.000021, Var(idx)=0.000035, ρ=0.239,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σ_j=1.51%/j (Stable) — Vol. annualisée≈23.9%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37,369</w:t>
            </w:r>
          </w:p>
        </w:tc>
        <w:tc>
          <w:tcPr>
            <w:tcW w:type="dxa" w:w="1440"/>
            <w:shd w:fill="FAFAFA" w:val="clear"/>
          </w:tcPr>
          <w:p>
            <w:r>
              <w:rPr>
                <w:b/>
                <w:sz w:val="17"/>
              </w:rPr>
              <w:t>38,246</w:t>
            </w:r>
          </w:p>
        </w:tc>
        <w:tc>
          <w:tcPr>
            <w:tcW w:type="dxa" w:w="1440"/>
            <w:shd w:fill="FAFAFA" w:val="clear"/>
          </w:tcPr>
          <w:p>
            <w:r>
              <w:rPr>
                <w:sz w:val="17"/>
              </w:rPr>
              <w:t>39,122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36,882</w:t>
            </w:r>
          </w:p>
        </w:tc>
        <w:tc>
          <w:tcPr>
            <w:tcW w:type="dxa" w:w="1440"/>
            <w:shd w:fill="FAFAFA" w:val="clear"/>
          </w:tcPr>
          <w:p>
            <w:r>
              <w:rPr>
                <w:b/>
                <w:sz w:val="17"/>
              </w:rPr>
              <w:t>38,118</w:t>
            </w:r>
          </w:p>
        </w:tc>
        <w:tc>
          <w:tcPr>
            <w:tcW w:type="dxa" w:w="1440"/>
            <w:shd w:fill="FAFAFA" w:val="clear"/>
          </w:tcPr>
          <w:p>
            <w:r>
              <w:rPr>
                <w:sz w:val="17"/>
              </w:rPr>
              <w:t>39,354</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36,485</w:t>
            </w:r>
          </w:p>
        </w:tc>
        <w:tc>
          <w:tcPr>
            <w:tcW w:type="dxa" w:w="1440"/>
            <w:shd w:fill="FAFAFA" w:val="clear"/>
          </w:tcPr>
          <w:p>
            <w:r>
              <w:rPr>
                <w:b/>
                <w:sz w:val="17"/>
              </w:rPr>
              <w:t>37,993</w:t>
            </w:r>
          </w:p>
        </w:tc>
        <w:tc>
          <w:tcPr>
            <w:tcW w:type="dxa" w:w="1440"/>
            <w:shd w:fill="FAFAFA" w:val="clear"/>
          </w:tcPr>
          <w:p>
            <w:r>
              <w:rPr>
                <w:sz w:val="17"/>
              </w:rPr>
              <w:t>39,502</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36,139</w:t>
            </w:r>
          </w:p>
        </w:tc>
        <w:tc>
          <w:tcPr>
            <w:tcW w:type="dxa" w:w="1440"/>
            <w:shd w:fill="FAFAFA" w:val="clear"/>
          </w:tcPr>
          <w:p>
            <w:r>
              <w:rPr>
                <w:b/>
                <w:sz w:val="17"/>
              </w:rPr>
              <w:t>37,875</w:t>
            </w:r>
          </w:p>
        </w:tc>
        <w:tc>
          <w:tcPr>
            <w:tcW w:type="dxa" w:w="1440"/>
            <w:shd w:fill="FAFAFA" w:val="clear"/>
          </w:tcPr>
          <w:p>
            <w:r>
              <w:rPr>
                <w:sz w:val="17"/>
              </w:rPr>
              <w:t>39,612</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35,827</w:t>
            </w:r>
          </w:p>
        </w:tc>
        <w:tc>
          <w:tcPr>
            <w:tcW w:type="dxa" w:w="1440"/>
            <w:shd w:fill="FAFAFA" w:val="clear"/>
          </w:tcPr>
          <w:p>
            <w:r>
              <w:rPr>
                <w:b/>
                <w:sz w:val="17"/>
              </w:rPr>
              <w:t>37,763</w:t>
            </w:r>
          </w:p>
        </w:tc>
        <w:tc>
          <w:tcPr>
            <w:tcW w:type="dxa" w:w="1440"/>
            <w:shd w:fill="FAFAFA" w:val="clear"/>
          </w:tcPr>
          <w:p>
            <w:r>
              <w:rPr>
                <w:sz w:val="17"/>
              </w:rPr>
              <w:t>39,698</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35,539</w:t>
            </w:r>
          </w:p>
        </w:tc>
        <w:tc>
          <w:tcPr>
            <w:tcW w:type="dxa" w:w="1440"/>
            <w:shd w:fill="FFDCE0" w:val="clear"/>
          </w:tcPr>
          <w:p>
            <w:r>
              <w:rPr>
                <w:b/>
                <w:sz w:val="17"/>
              </w:rPr>
              <w:t>37,654</w:t>
            </w:r>
          </w:p>
        </w:tc>
        <w:tc>
          <w:tcPr>
            <w:tcW w:type="dxa" w:w="1440"/>
            <w:shd w:fill="FFDCE0" w:val="clear"/>
          </w:tcPr>
          <w:p>
            <w:r>
              <w:rPr>
                <w:sz w:val="17"/>
              </w:rPr>
              <w:t>39,768</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35,270</w:t>
            </w:r>
          </w:p>
        </w:tc>
        <w:tc>
          <w:tcPr>
            <w:tcW w:type="dxa" w:w="1440"/>
            <w:shd w:fill="FFDCE0" w:val="clear"/>
          </w:tcPr>
          <w:p>
            <w:r>
              <w:rPr>
                <w:b/>
                <w:sz w:val="17"/>
              </w:rPr>
              <w:t>37,548</w:t>
            </w:r>
          </w:p>
        </w:tc>
        <w:tc>
          <w:tcPr>
            <w:tcW w:type="dxa" w:w="1440"/>
            <w:shd w:fill="FFDCE0" w:val="clear"/>
          </w:tcPr>
          <w:p>
            <w:r>
              <w:rPr>
                <w:sz w:val="17"/>
              </w:rPr>
              <w:t>39,825</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35,016</w:t>
            </w:r>
          </w:p>
        </w:tc>
        <w:tc>
          <w:tcPr>
            <w:tcW w:type="dxa" w:w="1440"/>
            <w:shd w:fill="FFDCE0" w:val="clear"/>
          </w:tcPr>
          <w:p>
            <w:r>
              <w:rPr>
                <w:b/>
                <w:sz w:val="17"/>
              </w:rPr>
              <w:t>37,444</w:t>
            </w:r>
          </w:p>
        </w:tc>
        <w:tc>
          <w:tcPr>
            <w:tcW w:type="dxa" w:w="1440"/>
            <w:shd w:fill="FFDCE0" w:val="clear"/>
          </w:tcPr>
          <w:p>
            <w:r>
              <w:rPr>
                <w:sz w:val="17"/>
              </w:rPr>
              <w:t>39,872</w:t>
            </w:r>
          </w:p>
        </w:tc>
        <w:tc>
          <w:tcPr>
            <w:tcW w:type="dxa" w:w="1440"/>
            <w:shd w:fill="FFDCE0" w:val="clear"/>
          </w:tcPr>
          <w:p>
            <w:r>
              <w:rPr>
                <w:b/>
                <w:color w:val="C00000"/>
                <w:sz w:val="17"/>
              </w:rPr>
              <w:t>-2.7%</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34,775</w:t>
            </w:r>
          </w:p>
        </w:tc>
        <w:tc>
          <w:tcPr>
            <w:tcW w:type="dxa" w:w="1440"/>
            <w:shd w:fill="FFDCE0" w:val="clear"/>
          </w:tcPr>
          <w:p>
            <w:r>
              <w:rPr>
                <w:b/>
                <w:sz w:val="17"/>
              </w:rPr>
              <w:t>37,343</w:t>
            </w:r>
          </w:p>
        </w:tc>
        <w:tc>
          <w:tcPr>
            <w:tcW w:type="dxa" w:w="1440"/>
            <w:shd w:fill="FFDCE0" w:val="clear"/>
          </w:tcPr>
          <w:p>
            <w:r>
              <w:rPr>
                <w:sz w:val="17"/>
              </w:rPr>
              <w:t>39,911</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34,543</w:t>
            </w:r>
          </w:p>
        </w:tc>
        <w:tc>
          <w:tcPr>
            <w:tcW w:type="dxa" w:w="1440"/>
            <w:shd w:fill="FFDCE0" w:val="clear"/>
          </w:tcPr>
          <w:p>
            <w:r>
              <w:rPr>
                <w:b/>
                <w:sz w:val="17"/>
              </w:rPr>
              <w:t>37,243</w:t>
            </w:r>
          </w:p>
        </w:tc>
        <w:tc>
          <w:tcPr>
            <w:tcW w:type="dxa" w:w="1440"/>
            <w:shd w:fill="FFDCE0" w:val="clear"/>
          </w:tcPr>
          <w:p>
            <w:r>
              <w:rPr>
                <w:sz w:val="17"/>
              </w:rPr>
              <w:t>39,943</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1 197,78 milliards FCFA, SGBC s'impose comme l'une des plus importantes capitalisations de la BRVM, ce qui en fait un pilier de l'indice composite et un titre de référence pour les investisseurs institutionnels de la zone UEMOA. Le BPA de 3 258 FCFA par action signifie que chaque titre génère près de 3 258 FCFA de bénéfice net, un niveau de rentabilité par action remarquable qui traduit la puissance bénéficiaire de la banque. Le PER de 11,8x se situe légèrement au-dessus de la moyenne du marché BRVM (estimée entre 8x et 12x), indiquant que les investisseurs paient un prix modéré pour les bénéfices, sans prime excessive mais sans décote flagrante non plus. Le P/B de 2,42x montre que le marché valorise l'action à plus de deux fois sa valeur comptable, ce qui constitue une prime de croissance justifiée par la qualité des fonds propres et la notation AAA de l'établissement. En revanche, l'EV/EBITDA de 24,6x apparaît très exigeant (au-delà du seuil de 15x), ce qui suggère que la valeur d'entreprise intègre déjà une part importante d'optimisme sur la capacité opérationnelle future — un point de vigilance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SGBC a enregistré une progression totale de +16,67%, passant d'environ 33 000 FCFA à 38 500 FCFA, malgré un léger repli de -0,95% lors de la dernière séance (J-1). Le range de trading s'établit entre un plus bas de 32 800 FCFA et un plus haut de 39 300 FCFA, soit une amplitude d'environ 6 500 FCFA qui témoigne d'une tendance haussière soutenue mais non linéaire. La moyenne du cours sur la période s'élève à 37 501 FCFA, tandis que la médiane se situe à 38 000 FCFA — un écart de 499 FCFA qui, combiné à un skewness de -1,193 (asymétrie négative), indique que le cours a passé davantage de journées au-dessus de sa moyenne, avec quelques journées de forte baisse venant tirer la moyenne vers le bas. L'écart-type de 1 815 FCFA (CV = 4,8%) révèle une dispersion relativement faible du cours, ce qui est cohérent avec un titre de grande capitalisation peu spéculatif. Le kurtosis de 0,271 (mésokurtique) suggère une distribution proche de la normale, sans risque majeur de pics extrêmes, ce qui est rassurant pour la gestion du risque. Enfin, la volatilité annualisée de 23,9% positionne SGBC dans la catégorie des titres à volatilité modérée (15-30%), offrant un profil rendement/risque équilibré pour un investisseur de long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(38 607,5 FCFA) et la MM50 (38 418,4 FCFA) se situent toutes deux au-dessus du cours actuel (38 500 FCFA), avec la MM20 légèrement supérieure à la MM50, ce qui traduit une dynamique haussière de court terme encore intacte mais essoufflée. Le signal d'achat généré par le croisement des moyennes suggère que la tendance de fond reste positive, bien que le cours évolue actuellement dans une zone de consolidation sous ses moyennes.</w:t>
      </w:r>
    </w:p>
    <w:p>
      <w:pPr>
        <w:spacing w:after="120" w:line="276" w:lineRule="auto"/>
      </w:pPr>
      <w:r>
        <w:t>**Bandes de Bollinger** : Le cours (38 500 FCFA) se situe à l'intérieur des bandes, entre la borne inférieure (37 609,95 FCFA) et la borne supérieure (39 605,05 FCFA), mais plus proche de la borne basse que de la borne haute. Cette position médiane-basse, combinée à un signal neutre, indique une absence de pression directionnelle forte et une volatilité en cours de compression, ce qui précède souvent un mouvement de rupture.</w:t>
      </w:r>
    </w:p>
    <w:p>
      <w:pPr>
        <w:spacing w:after="120" w:line="276" w:lineRule="auto"/>
      </w:pPr>
      <w:r>
        <w:t>**MACD** : La valeur du MACD (58,955) est nettement supérieure à son signal (33,03), générant un signal d'achat par divergence positive. Cet écart important entre les deux lignes traduit un momentum haussier encore vigoureux, bien que la convergence progressive des deux courbes pourrait annoncer un ralentissement de la dynamique.</w:t>
      </w:r>
    </w:p>
    <w:p>
      <w:pPr>
        <w:spacing w:after="120" w:line="276" w:lineRule="auto"/>
      </w:pPr>
      <w:r>
        <w:t>**RSI** : À 39,884, le RSI se situe dans la zone neutre basse (30-70), sans atteindre le seuil de survente (30). Cette valeur indique que le titre n'est ni suracheté ni survendu, mais qu'il penche légèrement vers une faiblesse relative — un signal neutre qui invite à la prudence avant tout engagement massif.</w:t>
      </w:r>
    </w:p>
    <w:p>
      <w:pPr>
        <w:spacing w:after="120" w:line="276" w:lineRule="auto"/>
      </w:pPr>
      <w:r>
        <w:t>**Stochastique** : Le %K (50,761) est inférieur au %D (67,251), avec un croisement baissier en cours, ce qui constitue un signal de vente à court terme. Le positionnement des deux lignes en zone médiane suggère que le mouvement baissier n'est pas encore confirmé, mais la configuration actuelle plaide pour une consolidation voire un repli à court terme.</w:t>
      </w:r>
    </w:p>
    <w:p>
      <w:pPr>
        <w:spacing w:after="120" w:line="276" w:lineRule="auto"/>
      </w:pPr>
      <w:r>
        <w:t>**Conclusion technique** : Les indicateurs techniques présentent un tableau mitigé. Les moyennes mobiles et le MACD conservent un biais haussier, tandis que le RSI, le stochastique et les bandes de Bollinger suggèrent une consolidation voire un repli à court terme. La convergence de ces signaux indique que le titre se trouve dans une phase de respiration après sa forte progression de +16,67%, avec un support technique majeur à surveiller autour de 37 600 FCFA (borne inférieure de Bollinger) et une résistance à 39 300 FCFA (plus haut récent).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Sur la base des données financières structurées de l'exercice 2025, SGBC affiche un Produit Net Bancaire (PNB) de 276,048 milliards FCFA, en croissance de +4,88% par rapport à 2024, confirmant la dynamique commerciale positive de la banque. Le résultat net s'établit à 101,352 milliards FCFA, franchissant pour la première fois le seuil des 100 milliards, avec une marge nette de 36,72% — un niveau de rentabilité exceptionnel qui traduit une excellente maîtrise des charges. Le ROE de 20,47% (bien supérieur au seuil de 15% considéré comme excellent) et le ROA de 2,69% confirment la capacité de la banque à générer des profits élevés sur ses fonds propres et ses actifs. Le coefficient d'exploitation de 38,75% (largement inférieur au seuil de 60% et même de 50%) démontre une efficacité opérationnelle remarquable, tandis que le coût du risque, estimé à environ 17,3% des charges financières (17,995 Mds FCFA de provisions / 47,775 Mds FCFA de charges financières), reste contenu malgré une hausse des créances en souffrance. Le ratio dépôts/crédits s'établit à 114,2% (2 907,675 Mds FCFA de dépôts pour 2 546,290 Mds FCFA de crédits), ce qui traduit une surliquidité confortable et une marge de manœuvre importante pour financer la croissance future. Le ratio de solvabilité, bien que non fourni dans les données structurées, était de 16,3% fin 2024 selon le rapport annuel, offrant un coussin de sécurité de plus de 300 points de base au-dessus du minimum réglementaire de 12,5%.</w:t>
      </w:r>
    </w:p>
    <w:p>
      <w:pPr>
        <w:spacing w:after="120" w:line="276" w:lineRule="auto"/>
      </w:pPr>
      <w:r>
        <w:t>Les rapports trimestriels de 2025 confirment cette dynamique : le rapport du 3ème trimestre 2025 (daté du 30 septembre 2025) fait état d'un PNB cumulé de 201,0 milliards FCFA (+2,5%) et d'un résultat net de 83,3 milliards FCFA (+11,7%), avec un coefficient d'exploitation amélioré à 37,3% et une collecte de dépôts en hausse de +13,9% à 2 939 milliards FCFA. Le rapport du 1er semestre 2025 (daté du 30 juin 2025) indiquait un PNB de 132,0 milliards FCFA (+1,0%) et un résultat net de 53,1 milliards FCFA (+10,0%), avec un ROE de 23,8% et un ratio de solvabilité de 17,7%. Sur la base de ces tendances, on peut estimer que l'exercice 2025 devrait se conclure avec un résultat net proche de 110-115 milliards FCFA, soit une croissance de +8% à +13% par rapport à 2024, portée par la digitalisation, la maîtrise des coûts et la solidité du bilan. La notation AAA (seul acteur bancaire noté AAA sur le marché) et la politique de dividende généreuse (1 863 FCFA par action en 2024, soit un rendement d'environ 4,8% au cours actuel) renforcent l'attrait du titre pour les investisseurs de long terme. Les principaux risques identifiés sont la hausse des créances en souffrance (NPL à 7,8% au S1 2025 contre 6,7% un an plus tôt), la baisse du taux de couverture (91% contre 97%), et la dépendance aux commissions dans un contexte de concurrence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pour SGBC. Sur le plan de la **valorisation (Partie 0)**, le PER de 11,8x et le P/B de 2,42x indiquent une valorisation modérée à légèrement élevée, sans décote significative, tandis que l'EV/EBITDA de 24,6x suggère une certaine surévaluation de la valeur d'entreprise. Le **comportement du cours (Partie 1)** est favorable, avec une tendance haussière de +16,67% sur 100 jours, une volatilité modérée (23,9%) et des statistiques descriptives rassurantes (kurtosis proche de la normale, skewness négatif indiquant une résistance à la baisse). Les **signaux techniques (Partie 2)** sont mitigés : le MACD et les moyennes mobiles restent haussiers, mais le RSI, le stochastique et les bandes de Bollinger plaident pour une consolidation à court terme. Les **fondamentaux (Partie 3)** sont exceptionnellement solides, avec un ROE de 20,47%, un coefficient d'exploitation de 38,75%, une notation AAA et une croissance bénéficiaire à deux chiffres estimée pour 2025. Les **prédictions IA (J+1 à J+10)** anticipent une légère baisse du cours, de 38 246 FCFA à 37 763 FCFA, ce qui confirme la phase de consolidation technique identifiée et suggère un point d'entrée potentiel autour de 37 500-38 000 FCFA. Sur la base de cette convergence entre fondamentaux solides, valorisation raisonnable et consolidation technique attendue, la recommandation finale est **CONSERVER** avec un biais positif, en attendant un repli vers la zone de support (37 600 FCFA) pour envisager un renforcement. Le niveau de confiance est **Moyen** (les fondamentaux sont excellents mais la technique est incertaine à court terme), le risque global est **Faible à Moyen** (titre de grande capitalisation, peu volatil, mais exposé aux risques sectoriels), et l'horizon d'investissement optimal est le **moyen à long terme (6 à 18 mois)**, le temps que la croissance bénéficiaire se matérialise et que la valorisation intègre pleinement les performances de la banque.</w:t>
      </w:r>
    </w:p>
    <w:p/>
    <w:p/>
    <w:p>
      <w:pPr>
        <w:pStyle w:val="Heading3"/>
      </w:pPr>
      <w:r>
        <w:rPr>
          <w:color w:val="005A32"/>
        </w:rPr>
        <w:t>📋 RAPPORTS &amp; COMMUNIQUÉS OFFICIELS</w:t>
      </w:r>
    </w:p>
    <w:p>
      <w:r>
        <w:rPr>
          <w:i/>
          <w:color w:val="646464"/>
          <w:sz w:val="18"/>
        </w:rPr>
        <w:t>18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performances semestrielles record avec un r\u00e9sultat net en hausse de 58% et un coefficient d'exploitation en nette am\u00e9lioration. La solidit\u00e9 du bilan (ratio de solvabilit\u00e9 de 15,7%) et la bonne qualit\u00e9 du portefeuille cr\u00e9dit soutiennent une perspective favorable."}</w:t>
      </w:r>
    </w:p>
    <w:p>
      <w:pPr>
        <w:spacing w:before="40"/>
        <w:ind w:left="400"/>
      </w:pPr>
      <w:r>
        <w:rPr>
          <w:sz w:val="18"/>
        </w:rPr>
        <w:t>Société Générale Côte d'Ivoire (SGCI) a réalisé un premier semestre 2023 record malgré un environnement économique mondial incertain marqué par l'inflation et les répercussions de la guerre en Ukraine. Le Produit Net Bancaire atteint 121 661 millions FCFA, en progression de 18% sur un an, porté par la dynamique de tous les métiers. Le Résultat Net bondit de 58% à 44 454 millions FCFA, grâce à une bonne maîtrise des coûts et du risque. Le bilan demeure très solide avec un ratio de solvabilité de 15,7% et une structure de financement largement autofinancée. Forte de ces performances, la banque maintient sa position de leader sur le marché bancaire ivoirien et poursuit l'exécution de sa feuille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'frais_generaux': '50 730 millions FCFA (+7,2%)', 'depots_clientele': '2 565 858 millions FCFA (-1,0%)', 'credits_clientele': '2 265 534 millions FCFA (+14,7%)', 'ratio_solvabilite': '15,7%', 'cout_net_du_risque': '16 901 millions FCFA (-29,2%)', 'resultat_avant_impot': '54 095 millions FCFA (+63,9%)', 'coefficient_exploitation': '41,7%', 'resultat_brut_exploitation': '70 931 millions FCFA (+27,3%)'}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 (Résultat net / PNB)</w:t>
            </w:r>
          </w:p>
        </w:tc>
        <w:tc>
          <w:tcPr>
            <w:tcW w:type="dxa" w:w="2160"/>
          </w:tcPr>
          <w:p>
            <w:pPr>
              <w:ind w:left="100"/>
            </w:pPr>
            <w:r/>
            <w:r>
              <w:rPr>
                <w:b/>
                <w:sz w:val="16"/>
              </w:rPr>
              <w:t>total_actif</w:t>
              <w:br/>
            </w:r>
            <w:r>
              <w:rPr>
                <w:sz w:val="18"/>
              </w:rPr>
              <w:t>3 190 134 millions FCFA (juin 2023)</w:t>
            </w:r>
          </w:p>
        </w:tc>
      </w:tr>
      <w:tr>
        <w:tc>
          <w:tcPr>
            <w:tcW w:type="dxa" w:w="2160"/>
          </w:tcPr>
          <w:p>
            <w:r/>
            <w:r>
              <w:rPr>
                <w:b/>
                <w:sz w:val="16"/>
              </w:rPr>
              <w:t>resultat_net</w:t>
              <w:br/>
            </w:r>
            <w:r>
              <w:rPr>
                <w:sz w:val="18"/>
              </w:rPr>
              <w:t>44 454 millions FCFA (S1 2023)</w:t>
            </w:r>
          </w:p>
        </w:tc>
        <w:tc>
          <w:tcPr>
            <w:tcW w:type="dxa" w:w="2160"/>
          </w:tcPr>
          <w:p>
            <w:r/>
            <w:r>
              <w:rPr>
                <w:b/>
                <w:sz w:val="16"/>
              </w:rPr>
              <w:t>capitaux_propres</w:t>
              <w:br/>
            </w:r>
            <w:r>
              <w:rPr>
                <w:sz w:val="18"/>
              </w:rPr>
              <w:t>351 197 millions FCFA (juin 2023)</w:t>
            </w:r>
          </w:p>
        </w:tc>
        <w:tc>
          <w:tcPr>
            <w:tcW w:type="dxa" w:w="2160"/>
          </w:tcPr>
          <w:p>
            <w:r/>
            <w:r>
              <w:rPr>
                <w:b/>
                <w:sz w:val="16"/>
              </w:rPr>
              <w:t>chiffre_affaires</w:t>
              <w:br/>
            </w:r>
            <w:r>
              <w:rPr>
                <w:sz w:val="18"/>
              </w:rPr>
              <w:t>121 661 millions FCFA (Produit Net Bancaire, S1 2023)</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18% à 121 661 millions FCFA, tiré par l'intermédiation (+21%) et les commissions (+13%).</w:t>
      </w:r>
    </w:p>
    <w:p>
      <w:pPr>
        <w:pStyle w:val="ListBullet"/>
        <w:spacing w:before="20" w:after="20"/>
        <w:ind w:left="700"/>
      </w:pPr>
      <w:r>
        <w:rPr>
          <w:sz w:val="18"/>
        </w:rPr>
        <w:t>Résultat Net record de 44 454 millions FCFA, en très forte progression de 58% comparé à juin 2022 (28 058 millions FCFA).</w:t>
      </w:r>
    </w:p>
    <w:p>
      <w:pPr>
        <w:pStyle w:val="ListBullet"/>
        <w:spacing w:before="20" w:after="20"/>
        <w:ind w:left="700"/>
      </w:pPr>
      <w:r>
        <w:rPr>
          <w:sz w:val="18"/>
        </w:rPr>
        <w:t>Coefficient d'exploitation en amélioration à 41,7% contre 45,9% en juin 2022, avec un effet de ciseaux positif de +11 points.</w:t>
      </w:r>
    </w:p>
    <w:p>
      <w:pPr>
        <w:pStyle w:val="ListBullet"/>
        <w:spacing w:before="20" w:after="20"/>
        <w:ind w:left="700"/>
      </w:pPr>
      <w:r>
        <w:rPr>
          <w:sz w:val="18"/>
        </w:rPr>
        <w:t>Ratio de solvabilité élevé à 15,7%, en hausse de 2,38 points, offrant une marge confortable de 4,2 points au-dessus du minimum réglementaire de 11,5%.</w:t>
      </w:r>
    </w:p>
    <w:p>
      <w:pPr>
        <w:pStyle w:val="ListBullet"/>
        <w:spacing w:before="20" w:after="20"/>
        <w:ind w:left="700"/>
      </w:pPr>
      <w:r>
        <w:rPr>
          <w:sz w:val="18"/>
        </w:rPr>
        <w:t>Encours de crédits en progression de 14,7% à 2 265 534 millions FCFA, avec des dépôts quasi stables à 2 565 858 millions FCFA.</w:t>
      </w:r>
    </w:p>
    <w:p>
      <w:pPr>
        <w:pStyle w:val="ListBullet"/>
        <w:spacing w:before="20" w:after="20"/>
        <w:ind w:left="700"/>
      </w:pPr>
      <w:r>
        <w:rPr>
          <w:sz w:val="18"/>
        </w:rPr>
        <w:t>Coût Net du Risque en forte baisse de 29,2% à 16 901 millions FCFA, avec un taux de dégradation du portefeuille réduit à 7% et une couverture des créances en souffrance supérieure à 93%.</w:t>
      </w:r>
    </w:p>
    <w:p>
      <w:pPr>
        <w:spacing w:before="40"/>
        <w:ind w:left="400"/>
      </w:pPr>
      <w:r>
        <w:rPr>
          <w:b/>
          <w:color w:val="C05000"/>
          <w:sz w:val="18"/>
        </w:rPr>
        <w:t xml:space="preserve">⚠️ Risques : </w:t>
      </w:r>
      <w:r>
        <w:rPr>
          <w:sz w:val="18"/>
        </w:rPr>
        <w:t>["D\u00e9gradation de la qualit\u00e9 du portefeuille de cr\u00e9dits dans un contexte \u00e9conomique mondial incertain et inflationniste.", "Stagnation voire l\u00e9g\u00e8re contraction des d\u00e9p\u00f4ts (-1,0%) pouvant affecter la structure de financement \u00e0 terme.", "Exposition aux effet</w:t>
      </w:r>
    </w:p>
    <w:p>
      <w:pPr>
        <w:spacing w:before="40"/>
        <w:ind w:left="400"/>
      </w:pPr>
      <w:r>
        <w:rPr>
          <w:b/>
          <w:color w:val="0064A0"/>
          <w:sz w:val="18"/>
        </w:rPr>
        <w:t xml:space="preserve">🔮 Perspectives : </w:t>
      </w:r>
      <w:r>
        <w:rPr>
          <w:sz w:val="18"/>
        </w:rPr>
        <w:t>Sur le second semestre 2023, SGCI entend poursuivre l'exécution de sa feuille de route pour une croissance durable et rentable, s'appuyant sur la dynamique commerciale de ses métiers et la solidité de son bilan. La banque compte tirer les fruits de ses initiatives en matière de maîtrise des risques,</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160.65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4,606 titres</w:t>
            </w:r>
          </w:p>
        </w:tc>
        <w:tc>
          <w:tcPr>
            <w:tcW w:type="dxa" w:w="2268"/>
            <w:shd w:fill="FFF2CC" w:val="clear"/>
          </w:tcPr>
          <w:p>
            <w:r>
              <w:rPr>
                <w:b/>
                <w:color w:val="503200"/>
                <w:sz w:val="16"/>
              </w:rPr>
              <w:t xml:space="preserve">Cours actuel : </w:t>
            </w:r>
            <w:r>
              <w:rPr>
                <w:color w:val="000000"/>
                <w:sz w:val="17"/>
              </w:rPr>
              <w:t>2,550 FCFA</w:t>
            </w:r>
          </w:p>
          <w:p>
            <w:r>
              <w:rPr>
                <w:b/>
                <w:color w:val="503200"/>
                <w:sz w:val="16"/>
              </w:rPr>
              <w:t xml:space="preserve">Var. 100 jours : </w:t>
            </w:r>
            <w:r>
              <w:rPr>
                <w:b/>
                <w:color w:val="007800"/>
                <w:sz w:val="17"/>
              </w:rPr>
              <w:t>+34.92%</w:t>
            </w:r>
          </w:p>
          <w:p>
            <w:r>
              <w:rPr>
                <w:b/>
                <w:color w:val="503200"/>
                <w:sz w:val="16"/>
              </w:rPr>
              <w:t xml:space="preserve">Plus haut 100j : </w:t>
            </w:r>
            <w:r>
              <w:rPr>
                <w:color w:val="000000"/>
                <w:sz w:val="17"/>
              </w:rPr>
              <w:t>2,550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8.44% (Moyenne) — μ=2,157 FCFA, σ=182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β=1.0228 (Neutre (suit le marché)) — Cov=0.000036, Var(idx)=0.000035, ρ=0.286,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2,401</w:t>
            </w:r>
          </w:p>
        </w:tc>
        <w:tc>
          <w:tcPr>
            <w:tcW w:type="dxa" w:w="1440"/>
            <w:shd w:fill="FFDCE0" w:val="clear"/>
          </w:tcPr>
          <w:p>
            <w:r>
              <w:rPr>
                <w:b/>
                <w:sz w:val="17"/>
              </w:rPr>
              <w:t>2,478</w:t>
            </w:r>
          </w:p>
        </w:tc>
        <w:tc>
          <w:tcPr>
            <w:tcW w:type="dxa" w:w="1440"/>
            <w:shd w:fill="FFDCE0" w:val="clear"/>
          </w:tcPr>
          <w:p>
            <w:r>
              <w:rPr>
                <w:sz w:val="17"/>
              </w:rPr>
              <w:t>2,556</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2,323</w:t>
            </w:r>
          </w:p>
        </w:tc>
        <w:tc>
          <w:tcPr>
            <w:tcW w:type="dxa" w:w="1440"/>
            <w:shd w:fill="FFDCE0" w:val="clear"/>
          </w:tcPr>
          <w:p>
            <w:r>
              <w:rPr>
                <w:b/>
                <w:sz w:val="17"/>
              </w:rPr>
              <w:t>2,431</w:t>
            </w:r>
          </w:p>
        </w:tc>
        <w:tc>
          <w:tcPr>
            <w:tcW w:type="dxa" w:w="1440"/>
            <w:shd w:fill="FFDCE0" w:val="clear"/>
          </w:tcPr>
          <w:p>
            <w:r>
              <w:rPr>
                <w:sz w:val="17"/>
              </w:rPr>
              <w:t>2,539</w:t>
            </w:r>
          </w:p>
        </w:tc>
        <w:tc>
          <w:tcPr>
            <w:tcW w:type="dxa" w:w="1440"/>
            <w:shd w:fill="FFDCE0" w:val="clear"/>
          </w:tcPr>
          <w:p>
            <w:r>
              <w:rPr>
                <w:b/>
                <w:color w:val="C00000"/>
                <w:sz w:val="17"/>
              </w:rPr>
              <w:t>-4.7%</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2,257</w:t>
            </w:r>
          </w:p>
        </w:tc>
        <w:tc>
          <w:tcPr>
            <w:tcW w:type="dxa" w:w="1440"/>
            <w:shd w:fill="FFDCE0" w:val="clear"/>
          </w:tcPr>
          <w:p>
            <w:r>
              <w:rPr>
                <w:b/>
                <w:sz w:val="17"/>
              </w:rPr>
              <w:t>2,386</w:t>
            </w:r>
          </w:p>
        </w:tc>
        <w:tc>
          <w:tcPr>
            <w:tcW w:type="dxa" w:w="1440"/>
            <w:shd w:fill="FFDCE0" w:val="clear"/>
          </w:tcPr>
          <w:p>
            <w:r>
              <w:rPr>
                <w:sz w:val="17"/>
              </w:rPr>
              <w:t>2,516</w:t>
            </w:r>
          </w:p>
        </w:tc>
        <w:tc>
          <w:tcPr>
            <w:tcW w:type="dxa" w:w="1440"/>
            <w:shd w:fill="FFDCE0" w:val="clear"/>
          </w:tcPr>
          <w:p>
            <w:r>
              <w:rPr>
                <w:b/>
                <w:color w:val="C00000"/>
                <w:sz w:val="17"/>
              </w:rPr>
              <w:t>-6.4%</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2,200</w:t>
            </w:r>
          </w:p>
        </w:tc>
        <w:tc>
          <w:tcPr>
            <w:tcW w:type="dxa" w:w="1440"/>
            <w:shd w:fill="FFDCE0" w:val="clear"/>
          </w:tcPr>
          <w:p>
            <w:r>
              <w:rPr>
                <w:b/>
                <w:sz w:val="17"/>
              </w:rPr>
              <w:t>2,348</w:t>
            </w:r>
          </w:p>
        </w:tc>
        <w:tc>
          <w:tcPr>
            <w:tcW w:type="dxa" w:w="1440"/>
            <w:shd w:fill="FFDCE0" w:val="clear"/>
          </w:tcPr>
          <w:p>
            <w:r>
              <w:rPr>
                <w:sz w:val="17"/>
              </w:rPr>
              <w:t>2,495</w:t>
            </w:r>
          </w:p>
        </w:tc>
        <w:tc>
          <w:tcPr>
            <w:tcW w:type="dxa" w:w="1440"/>
            <w:shd w:fill="FFDCE0" w:val="clear"/>
          </w:tcPr>
          <w:p>
            <w:r>
              <w:rPr>
                <w:b/>
                <w:color w:val="C00000"/>
                <w:sz w:val="17"/>
              </w:rPr>
              <w:t>-7.9%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2,153</w:t>
            </w:r>
          </w:p>
        </w:tc>
        <w:tc>
          <w:tcPr>
            <w:tcW w:type="dxa" w:w="1440"/>
            <w:shd w:fill="FFDCE0" w:val="clear"/>
          </w:tcPr>
          <w:p>
            <w:r>
              <w:rPr>
                <w:b/>
                <w:sz w:val="17"/>
              </w:rPr>
              <w:t>2,315</w:t>
            </w:r>
          </w:p>
        </w:tc>
        <w:tc>
          <w:tcPr>
            <w:tcW w:type="dxa" w:w="1440"/>
            <w:shd w:fill="FFDCE0" w:val="clear"/>
          </w:tcPr>
          <w:p>
            <w:r>
              <w:rPr>
                <w:sz w:val="17"/>
              </w:rPr>
              <w:t>2,478</w:t>
            </w:r>
          </w:p>
        </w:tc>
        <w:tc>
          <w:tcPr>
            <w:tcW w:type="dxa" w:w="1440"/>
            <w:shd w:fill="FFDCE0" w:val="clear"/>
          </w:tcPr>
          <w:p>
            <w:r>
              <w:rPr>
                <w:b/>
                <w:color w:val="C00000"/>
                <w:sz w:val="17"/>
              </w:rPr>
              <w:t>-9.2%</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2,112</w:t>
            </w:r>
          </w:p>
        </w:tc>
        <w:tc>
          <w:tcPr>
            <w:tcW w:type="dxa" w:w="1440"/>
            <w:shd w:fill="FFDCE0" w:val="clear"/>
          </w:tcPr>
          <w:p>
            <w:r>
              <w:rPr>
                <w:b/>
                <w:sz w:val="17"/>
              </w:rPr>
              <w:t>2,288</w:t>
            </w:r>
          </w:p>
        </w:tc>
        <w:tc>
          <w:tcPr>
            <w:tcW w:type="dxa" w:w="1440"/>
            <w:shd w:fill="FFDCE0" w:val="clear"/>
          </w:tcPr>
          <w:p>
            <w:r>
              <w:rPr>
                <w:sz w:val="17"/>
              </w:rPr>
              <w:t>2,463</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2,075</w:t>
            </w:r>
          </w:p>
        </w:tc>
        <w:tc>
          <w:tcPr>
            <w:tcW w:type="dxa" w:w="1440"/>
            <w:shd w:fill="FFDCE0" w:val="clear"/>
          </w:tcPr>
          <w:p>
            <w:r>
              <w:rPr>
                <w:b/>
                <w:sz w:val="17"/>
              </w:rPr>
              <w:t>2,263</w:t>
            </w:r>
          </w:p>
        </w:tc>
        <w:tc>
          <w:tcPr>
            <w:tcW w:type="dxa" w:w="1440"/>
            <w:shd w:fill="FFDCE0" w:val="clear"/>
          </w:tcPr>
          <w:p>
            <w:r>
              <w:rPr>
                <w:sz w:val="17"/>
              </w:rPr>
              <w:t>2,451</w:t>
            </w:r>
          </w:p>
        </w:tc>
        <w:tc>
          <w:tcPr>
            <w:tcW w:type="dxa" w:w="1440"/>
            <w:shd w:fill="FFDCE0" w:val="clear"/>
          </w:tcPr>
          <w:p>
            <w:r>
              <w:rPr>
                <w:b/>
                <w:color w:val="C00000"/>
                <w:sz w:val="17"/>
              </w:rPr>
              <w:t>-11.2%</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2,043</w:t>
            </w:r>
          </w:p>
        </w:tc>
        <w:tc>
          <w:tcPr>
            <w:tcW w:type="dxa" w:w="1440"/>
            <w:shd w:fill="FFDCE0" w:val="clear"/>
          </w:tcPr>
          <w:p>
            <w:r>
              <w:rPr>
                <w:b/>
                <w:sz w:val="17"/>
              </w:rPr>
              <w:t>2,241</w:t>
            </w:r>
          </w:p>
        </w:tc>
        <w:tc>
          <w:tcPr>
            <w:tcW w:type="dxa" w:w="1440"/>
            <w:shd w:fill="FFDCE0" w:val="clear"/>
          </w:tcPr>
          <w:p>
            <w:r>
              <w:rPr>
                <w:sz w:val="17"/>
              </w:rPr>
              <w:t>2,440</w:t>
            </w:r>
          </w:p>
        </w:tc>
        <w:tc>
          <w:tcPr>
            <w:tcW w:type="dxa" w:w="1440"/>
            <w:shd w:fill="FFDCE0" w:val="clear"/>
          </w:tcPr>
          <w:p>
            <w:r>
              <w:rPr>
                <w:b/>
                <w:color w:val="C00000"/>
                <w:sz w:val="17"/>
              </w:rPr>
              <w:t>-12.1%</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2,012</w:t>
            </w:r>
          </w:p>
        </w:tc>
        <w:tc>
          <w:tcPr>
            <w:tcW w:type="dxa" w:w="1440"/>
            <w:shd w:fill="FFDCE0" w:val="clear"/>
          </w:tcPr>
          <w:p>
            <w:r>
              <w:rPr>
                <w:b/>
                <w:sz w:val="17"/>
              </w:rPr>
              <w:t>2,222</w:t>
            </w:r>
          </w:p>
        </w:tc>
        <w:tc>
          <w:tcPr>
            <w:tcW w:type="dxa" w:w="1440"/>
            <w:shd w:fill="FFDCE0" w:val="clear"/>
          </w:tcPr>
          <w:p>
            <w:r>
              <w:rPr>
                <w:sz w:val="17"/>
              </w:rPr>
              <w:t>2,431</w:t>
            </w:r>
          </w:p>
        </w:tc>
        <w:tc>
          <w:tcPr>
            <w:tcW w:type="dxa" w:w="1440"/>
            <w:shd w:fill="FFDCE0" w:val="clear"/>
          </w:tcPr>
          <w:p>
            <w:r>
              <w:rPr>
                <w:b/>
                <w:color w:val="C00000"/>
                <w:sz w:val="17"/>
              </w:rPr>
              <w:t>-12.9%</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1,985</w:t>
            </w:r>
          </w:p>
        </w:tc>
        <w:tc>
          <w:tcPr>
            <w:tcW w:type="dxa" w:w="1440"/>
            <w:shd w:fill="FFDCE0" w:val="clear"/>
          </w:tcPr>
          <w:p>
            <w:r>
              <w:rPr>
                <w:b/>
                <w:sz w:val="17"/>
              </w:rPr>
              <w:t>2,203</w:t>
            </w:r>
          </w:p>
        </w:tc>
        <w:tc>
          <w:tcPr>
            <w:tcW w:type="dxa" w:w="1440"/>
            <w:shd w:fill="FFDCE0" w:val="clear"/>
          </w:tcPr>
          <w:p>
            <w:r>
              <w:rPr>
                <w:sz w:val="17"/>
              </w:rPr>
              <w:t>2,422</w:t>
            </w:r>
          </w:p>
        </w:tc>
        <w:tc>
          <w:tcPr>
            <w:tcW w:type="dxa" w:w="1440"/>
            <w:shd w:fill="FFDCE0" w:val="clear"/>
          </w:tcPr>
          <w:p>
            <w:r>
              <w:rPr>
                <w:b/>
                <w:color w:val="C00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ACTION SHEC (VIVO ENERGY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160,65 milliards FCFA, SHEC se positionne parmi les valeurs de taille intermédiaire-élevée de la cote BRVM, ce qui traduit une liquidité correcte et une visibilité institutionnelle certaine. Le BPA de 96 FCFA/action indique que chaque titre génère près d'un centième de sa valeur en bénéfice net, un niveau modeste mais cohérent avec les marges structurellement faibles du secteur pétrolier aval. Le PER de 26,7x est nettement supérieur à la moyenne BRVM (8-12x), signalant que le marché intègre déjà une forte anticipation de croissance ou, à l'inverse, une surévaluation manifeste. Le P/B de 5,92x (bien au-delà du seuil de 4x) confirme que le marché valorise l'entreprise à près de six fois sa valeur comptable, une prime exigeante qui suppose une rentabilité future soutenue. Enfin, l'EV/EBITDA de 13,9x, dans la fourchette haute (10-15x), suggère que la valeur d'entreprise rapportée à la capacité opérationnelle est tendue,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SHEC a enregistré une progression spectaculaire de +34,92%, avec une dernière séance (J-1) encore positive de +2,00%, portant le cours actuel à 2 550 FCFA — soit précisément le plus haut de la période, contre un plus bas de 1 840 FCFA. Ce range de trading de 710 FCFA (38,6% d'amplitude) témoigne d'une tendance nettement haussière, soutenue par un volume moyen quotidien de 4 606 titres, relativement modeste mais suffisant pour valider le mouvement. Les statistiques descriptives révèlent une moyenne de 2 157 FCFA légèrement inférieure à la médiane de 2 170 FCFA, avec un mode à 2 200 FCFA : cet écart marginal indique une distribution quasi symétrique, confirmée par un skewness de 0,284 (asymétrie positive légère, tirée par les récents sommets). L'écart-type de 183 FCFA (CV = 8,5%) traduit une dispersion modérée du cours autour de sa moyenne, tandis que le kurtosis de -0,860 (mésokurtique) suggère une distribution proche de la normale, sans risque excessif de pics extrêmes. La volatilité annualisée de 33,4% classe le titre dans la catégorie « élevée » (&gt;30%), ce qui est cohérent avec un marché frontière et un secteur sensible aux prix du pétrole.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(2 432,5 FCFA) et la MM50 (2 302,2 FCFA) se situent toutes deux sous le cours actuel (2 550 FCFA), et la MM20 est supérieure à la MM50 — configuration haussière classique (golden cross). Le cours évoluant au-dessus de ses deux moyennes, la décision technique est logiquement « Achat », confirmant la dynamique positive.</w:t>
      </w:r>
    </w:p>
    <w:p>
      <w:pPr>
        <w:spacing w:after="120" w:line="276" w:lineRule="auto"/>
      </w:pPr>
      <w:r>
        <w:t>**Bandes de Bollinger** : Le cours (2 550 FCFA) évolue à proximité immédiate de la borne supérieure (2 575,53 FCFA) et très au-dessus de la borne inférieure (2 289,47 FCFA). Cette position haute signale une tension acheteuse, mais le franchissement imminent de la bande supérieure peut aussi annoncer un essoufflement ; la décision « Neutre » traduit cette prudence.</w:t>
      </w:r>
    </w:p>
    <w:p>
      <w:pPr>
        <w:spacing w:after="120" w:line="276" w:lineRule="auto"/>
      </w:pPr>
      <w:r>
        <w:t>**MACD** : La valeur du MACD (59,863) dépasse son signal (56,036), avec un histogramme positif — configuration haussière confirmée. Le momentum reste favorable, justifiant la décision « Achat », même si l'écart entre les deux lignes se réduit, suggérant un ralentissement possible de la dynamique.</w:t>
      </w:r>
    </w:p>
    <w:p>
      <w:pPr>
        <w:spacing w:after="120" w:line="276" w:lineRule="auto"/>
      </w:pPr>
      <w:r>
        <w:t>**RSI** : À 66,667, le RSI se situe en zone neutre haute, sans atteindre le seuil de surachat (70). La décision « Neutre » est appropriée : le titre conserve du potentiel haussier mais approche d'une zone où la prudence s'impose.</w:t>
      </w:r>
    </w:p>
    <w:p>
      <w:pPr>
        <w:spacing w:after="120" w:line="276" w:lineRule="auto"/>
      </w:pPr>
      <w:r>
        <w:t>**Stochastique** : Avec %K = 100,0 et %D = 100,0, le stochastique est bloqué au sommet de sa fourchette, signalant un surachat extrême. La décision « Vente » est cohérente : un croisement baissier est imminent, ce qui plaide pour une correction à court terme.</w:t>
      </w:r>
    </w:p>
    <w:p>
      <w:pPr>
        <w:spacing w:after="120" w:line="276" w:lineRule="auto"/>
      </w:pPr>
      <w:r>
        <w:t>**Conclusion technique** : Les indicateurs sont majoritairement haussiers (MM, MACD) mais divergents sur le court terme (Stochastique en surachat, RSI proche de 70, cours collé à la borne supérieure de Bollinger). Cette configuration suggère que la tendance de fond reste positive, mais qu'un repli technique est probable avant toute nouvelle progression. La convergence partielle des signaux invite à la prudence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SHEC (Vivo Energy Côte d'Ivoire) a réalisé un chiffre d'affaires de 604,978 milliards FCFA, en hausse de seulement +0,71% par rapport à 2024 (600,708 Mds FCFA), traduisant une quasi-stagnation commerciale malgré une croissance des volumes de +5% (butane, lubrifiants, réouverture de sites). Le résultat net s'établit à 6,028 milliards FCFA, en progression de +12,6% (contre 5,354 Mds en 2024), grâce à une amélioration de la marge opérationnelle et une réduction des charges financières (-17,7%). Le ROE ressort à 22,20% (excellent, &gt;15%) et le ROA à 3,11%, confirmant une création de valeur efficace pour les actionnaires malgré la faiblesse des marges (marge nette de 0,9964%, marge brute de 9,35%). Sur le plan structurel, l'autonomie financière est faible (14,03%), la trésorerie nette est très négative (-65,264 Mds FCFA) et le BFR s'élève à 15,315 Mds FCFA, avec des délais clients de 23,27 jours et fournisseurs de 35,47 jours — un déséquilibre favorable aux fournisseurs mais qui pèse sur la liquidité. Les rapports trimestriels confirment cette dynamique : au T3 2025 (rapport du 30/09/2025), le résultat net bondissait de +45% à 4,119 Mds FCFA pour un CA de 451,7 Mds (+1%) ; au S1 2026 (rapport du 30/06/2026), le CA recule de -1% à 305,038 Mds FCFA mais le résultat d'exploitation progresse de +17% à 6,133 Mds FCFA, avec un résultat net de 3,016 Mds FCFA. On estime donc que l'exercice 2026 devrait afficher une stabilisation du CA autour de 600 Mds FCFA, avec un résultat net potentiellement supérieur à 6,5 Mds FCFA si la maîtrise des charges se poursuit. La société propose un dividende brut de 6,09 Mds FCFA (soit ~1 933 FCFA/action), représentant un taux de distribution de 101% — généreux mais fragilisant davantage la structure financière. En synthèse, SHEC présente des fondamentaux résilients (ROE élevé, rentabilité en amélioration) mais des risques majeurs : marge nette très faible (1%), trésorerie nette négative, endettement court terme élevé et dépendance aux concours bancaires.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exigeante : PER de 26,7x (vs 8-12x pour la BRVM), P/B de 5,92x et EV/EBITDA de 13,9x traduisent une surévaluation relative, le marché anticipant une croissance que les fondamentaux ne confirment que partiellement. Le comportement du cours est nettement haussier (+34,92% sur 100 jours), avec une volatilité élevée (33,4%) et une distribution symétrique (skewness 0,284, kurtosis -0,860), sans risque extrême de pics, mais le titre évolue à son plus haut historique récent, ce qui limite le potentiel de hausse immédiat. Les signaux techniques sont divergents : les moyennes mobiles et le MACD confirment la tendance haussière, mais le stochastique en surachat extrême (%K=%D=100) et le RSI proche de 70 (66,67) annoncent une correction probable à court terme. Les fondamentaux, bien que résilients (ROE de 22,20%, résultat net +12,6% en 2025, dividende attractif), sont fragilisés par une trésorerie nette très négative (-65,26 Mds FCFA), une marge nette de 1% et un endettement court terme élevé. Les prédictions IA pour les 10 prochains jours ouvrables (2478 → 2315 FCFA, soit -9,2%) confirment cette anticipation baissière à court terme, en contradiction avec la dynamique haussière passée mais en cohérence avec les signaux de surachat technique. **Recommandation finale : CONSERVER**, avec un niveau de confiance **Moyen** et un risque global **Élevé**. La convergence entre valorisation tendue, signaux techniques de correction et prédictions baissières invite à ne pas renforcer à ce stade, tandis que la solidité des fondamentaux (ROE, dividende) justifie de conserver la position. L'horizon optimal est le **moyen terme (3-12 mois)**, en attendant la publication des comptes définitifs 2025 et des résultats du S1 2026 pour confirmer ou infirmer la tendance.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10,387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+32.48%</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9.28% (Moyenne) — μ=8,528 FCFA, σ=792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β=0.2990 (Défensif) — Cov=0.000010, Var(idx)=0.000035, ρ=0.097,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10,387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8,930</w:t>
            </w:r>
          </w:p>
        </w:tc>
        <w:tc>
          <w:tcPr>
            <w:tcW w:type="dxa" w:w="1440"/>
            <w:shd w:fill="FAFAFA" w:val="clear"/>
          </w:tcPr>
          <w:p>
            <w:r>
              <w:rPr>
                <w:b/>
                <w:sz w:val="17"/>
              </w:rPr>
              <w:t>9,201</w:t>
            </w:r>
          </w:p>
        </w:tc>
        <w:tc>
          <w:tcPr>
            <w:tcW w:type="dxa" w:w="1440"/>
            <w:shd w:fill="FAFAFA" w:val="clear"/>
          </w:tcPr>
          <w:p>
            <w:r>
              <w:rPr>
                <w:sz w:val="17"/>
              </w:rPr>
              <w:t>9,472</w:t>
            </w:r>
          </w:p>
        </w:tc>
        <w:tc>
          <w:tcPr>
            <w:tcW w:type="dxa" w:w="1440"/>
            <w:shd w:fill="FAFAFA" w:val="clear"/>
          </w:tcPr>
          <w:p>
            <w:r>
              <w:rPr>
                <w:b/>
                <w:color w:val="C00000"/>
                <w:sz w:val="17"/>
              </w:rPr>
              <w:t>-1.1%</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8,726</w:t>
            </w:r>
          </w:p>
        </w:tc>
        <w:tc>
          <w:tcPr>
            <w:tcW w:type="dxa" w:w="1440"/>
            <w:shd w:fill="FFDCE0" w:val="clear"/>
          </w:tcPr>
          <w:p>
            <w:r>
              <w:rPr>
                <w:b/>
                <w:sz w:val="17"/>
              </w:rPr>
              <w:t>9,106</w:t>
            </w:r>
          </w:p>
        </w:tc>
        <w:tc>
          <w:tcPr>
            <w:tcW w:type="dxa" w:w="1440"/>
            <w:shd w:fill="FFDCE0" w:val="clear"/>
          </w:tcPr>
          <w:p>
            <w:r>
              <w:rPr>
                <w:sz w:val="17"/>
              </w:rPr>
              <w:t>9,485</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8,557</w:t>
            </w:r>
          </w:p>
        </w:tc>
        <w:tc>
          <w:tcPr>
            <w:tcW w:type="dxa" w:w="1440"/>
            <w:shd w:fill="FFDCE0" w:val="clear"/>
          </w:tcPr>
          <w:p>
            <w:r>
              <w:rPr>
                <w:b/>
                <w:sz w:val="17"/>
              </w:rPr>
              <w:t>9,017</w:t>
            </w:r>
          </w:p>
        </w:tc>
        <w:tc>
          <w:tcPr>
            <w:tcW w:type="dxa" w:w="1440"/>
            <w:shd w:fill="FFDCE0" w:val="clear"/>
          </w:tcPr>
          <w:p>
            <w:r>
              <w:rPr>
                <w:sz w:val="17"/>
              </w:rPr>
              <w:t>9,477</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8,412</w:t>
            </w:r>
          </w:p>
        </w:tc>
        <w:tc>
          <w:tcPr>
            <w:tcW w:type="dxa" w:w="1440"/>
            <w:shd w:fill="FFDCE0" w:val="clear"/>
          </w:tcPr>
          <w:p>
            <w:r>
              <w:rPr>
                <w:b/>
                <w:sz w:val="17"/>
              </w:rPr>
              <w:t>8,939</w:t>
            </w:r>
          </w:p>
        </w:tc>
        <w:tc>
          <w:tcPr>
            <w:tcW w:type="dxa" w:w="1440"/>
            <w:shd w:fill="FFDCE0" w:val="clear"/>
          </w:tcPr>
          <w:p>
            <w:r>
              <w:rPr>
                <w:sz w:val="17"/>
              </w:rPr>
              <w:t>9,465</w:t>
            </w:r>
          </w:p>
        </w:tc>
        <w:tc>
          <w:tcPr>
            <w:tcW w:type="dxa" w:w="1440"/>
            <w:shd w:fill="FFDCE0" w:val="clear"/>
          </w:tcPr>
          <w:p>
            <w:r>
              <w:rPr>
                <w:b/>
                <w:color w:val="C00000"/>
                <w:sz w:val="17"/>
              </w:rPr>
              <w:t>-3.9%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8,286</w:t>
            </w:r>
          </w:p>
        </w:tc>
        <w:tc>
          <w:tcPr>
            <w:tcW w:type="dxa" w:w="1440"/>
            <w:shd w:fill="FFDCE0" w:val="clear"/>
          </w:tcPr>
          <w:p>
            <w:r>
              <w:rPr>
                <w:b/>
                <w:sz w:val="17"/>
              </w:rPr>
              <w:t>8,870</w:t>
            </w:r>
          </w:p>
        </w:tc>
        <w:tc>
          <w:tcPr>
            <w:tcW w:type="dxa" w:w="1440"/>
            <w:shd w:fill="FFDCE0" w:val="clear"/>
          </w:tcPr>
          <w:p>
            <w:r>
              <w:rPr>
                <w:sz w:val="17"/>
              </w:rPr>
              <w:t>9,453</w:t>
            </w:r>
          </w:p>
        </w:tc>
        <w:tc>
          <w:tcPr>
            <w:tcW w:type="dxa" w:w="1440"/>
            <w:shd w:fill="FFDCE0" w:val="clear"/>
          </w:tcPr>
          <w:p>
            <w:r>
              <w:rPr>
                <w:b/>
                <w:color w:val="C00000"/>
                <w:sz w:val="17"/>
              </w:rPr>
              <w:t>-4.6%</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8,172</w:t>
            </w:r>
          </w:p>
        </w:tc>
        <w:tc>
          <w:tcPr>
            <w:tcW w:type="dxa" w:w="1440"/>
            <w:shd w:fill="FFDCE0" w:val="clear"/>
          </w:tcPr>
          <w:p>
            <w:r>
              <w:rPr>
                <w:b/>
                <w:sz w:val="17"/>
              </w:rPr>
              <w:t>8,807</w:t>
            </w:r>
          </w:p>
        </w:tc>
        <w:tc>
          <w:tcPr>
            <w:tcW w:type="dxa" w:w="1440"/>
            <w:shd w:fill="FFDCE0" w:val="clear"/>
          </w:tcPr>
          <w:p>
            <w:r>
              <w:rPr>
                <w:sz w:val="17"/>
              </w:rPr>
              <w:t>9,442</w:t>
            </w:r>
          </w:p>
        </w:tc>
        <w:tc>
          <w:tcPr>
            <w:tcW w:type="dxa" w:w="1440"/>
            <w:shd w:fill="FFDCE0" w:val="clear"/>
          </w:tcPr>
          <w:p>
            <w:r>
              <w:rPr>
                <w:b/>
                <w:color w:val="C00000"/>
                <w:sz w:val="17"/>
              </w:rPr>
              <w:t>-5.3%</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8,069</w:t>
            </w:r>
          </w:p>
        </w:tc>
        <w:tc>
          <w:tcPr>
            <w:tcW w:type="dxa" w:w="1440"/>
            <w:shd w:fill="FFDCE0" w:val="clear"/>
          </w:tcPr>
          <w:p>
            <w:r>
              <w:rPr>
                <w:b/>
                <w:sz w:val="17"/>
              </w:rPr>
              <w:t>8,751</w:t>
            </w:r>
          </w:p>
        </w:tc>
        <w:tc>
          <w:tcPr>
            <w:tcW w:type="dxa" w:w="1440"/>
            <w:shd w:fill="FFDCE0" w:val="clear"/>
          </w:tcPr>
          <w:p>
            <w:r>
              <w:rPr>
                <w:sz w:val="17"/>
              </w:rPr>
              <w:t>9,432</w:t>
            </w:r>
          </w:p>
        </w:tc>
        <w:tc>
          <w:tcPr>
            <w:tcW w:type="dxa" w:w="1440"/>
            <w:shd w:fill="FFDCE0" w:val="clear"/>
          </w:tcPr>
          <w:p>
            <w:r>
              <w:rPr>
                <w:b/>
                <w:color w:val="C00000"/>
                <w:sz w:val="17"/>
              </w:rPr>
              <w:t>-5.9%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7,974</w:t>
            </w:r>
          </w:p>
        </w:tc>
        <w:tc>
          <w:tcPr>
            <w:tcW w:type="dxa" w:w="1440"/>
            <w:shd w:fill="FFDCE0" w:val="clear"/>
          </w:tcPr>
          <w:p>
            <w:r>
              <w:rPr>
                <w:b/>
                <w:sz w:val="17"/>
              </w:rPr>
              <w:t>8,699</w:t>
            </w:r>
          </w:p>
        </w:tc>
        <w:tc>
          <w:tcPr>
            <w:tcW w:type="dxa" w:w="1440"/>
            <w:shd w:fill="FFDCE0" w:val="clear"/>
          </w:tcPr>
          <w:p>
            <w:r>
              <w:rPr>
                <w:sz w:val="17"/>
              </w:rPr>
              <w:t>9,423</w:t>
            </w:r>
          </w:p>
        </w:tc>
        <w:tc>
          <w:tcPr>
            <w:tcW w:type="dxa" w:w="1440"/>
            <w:shd w:fill="FFDCE0" w:val="clear"/>
          </w:tcPr>
          <w:p>
            <w:r>
              <w:rPr>
                <w:b/>
                <w:color w:val="C00000"/>
                <w:sz w:val="17"/>
              </w:rPr>
              <w:t>-6.5%</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7,887</w:t>
            </w:r>
          </w:p>
        </w:tc>
        <w:tc>
          <w:tcPr>
            <w:tcW w:type="dxa" w:w="1440"/>
            <w:shd w:fill="FFDCE0" w:val="clear"/>
          </w:tcPr>
          <w:p>
            <w:r>
              <w:rPr>
                <w:b/>
                <w:sz w:val="17"/>
              </w:rPr>
              <w:t>8,651</w:t>
            </w:r>
          </w:p>
        </w:tc>
        <w:tc>
          <w:tcPr>
            <w:tcW w:type="dxa" w:w="1440"/>
            <w:shd w:fill="FFDCE0" w:val="clear"/>
          </w:tcPr>
          <w:p>
            <w:r>
              <w:rPr>
                <w:sz w:val="17"/>
              </w:rPr>
              <w:t>9,415</w:t>
            </w:r>
          </w:p>
        </w:tc>
        <w:tc>
          <w:tcPr>
            <w:tcW w:type="dxa" w:w="1440"/>
            <w:shd w:fill="FFDCE0" w:val="clear"/>
          </w:tcPr>
          <w:p>
            <w:r>
              <w:rPr>
                <w:b/>
                <w:color w:val="C00000"/>
                <w:sz w:val="17"/>
              </w:rPr>
              <w:t>-7.0%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7,804</w:t>
            </w:r>
          </w:p>
        </w:tc>
        <w:tc>
          <w:tcPr>
            <w:tcW w:type="dxa" w:w="1440"/>
            <w:shd w:fill="FFDCE0" w:val="clear"/>
          </w:tcPr>
          <w:p>
            <w:r>
              <w:rPr>
                <w:b/>
                <w:sz w:val="17"/>
              </w:rPr>
              <w:t>8,606</w:t>
            </w:r>
          </w:p>
        </w:tc>
        <w:tc>
          <w:tcPr>
            <w:tcW w:type="dxa" w:w="1440"/>
            <w:shd w:fill="FFDCE0" w:val="clear"/>
          </w:tcPr>
          <w:p>
            <w:r>
              <w:rPr>
                <w:sz w:val="17"/>
              </w:rPr>
              <w:t>9,407</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930,00 milliards FCFA, SIBC figure parmi les valeurs les plus importantes de la cote BRVM, ce qui témoigne de son statut de banque systémique de premier plan en zone UEMOA. Le BPA de 556 FCFA/action signifie que chaque titre génère près de 556 FCFA de bénéfice net, un niveau élevé qui traduit la forte rentabilité de l'établissement. Le PER de 16,7x se situe nettement au-dessus de la moyenne du marché BRVM (généralement comprise entre 8 et 12x), indiquant que les investisseurs acceptent de payer une prime de qualité pour ce titre, sans que cela constitue une bulle spéculative au regard des fondamentaux. Le P/B de 4,54x traduit une valorisation très supérieure à la valeur comptable (prime &gt;4x), ce qui est exigeant mais cohérent avec un ROE de 27,16% — un investisseur accepte de payer 4,5 fois l'actif net pour bénéficier d'une rentabilité des fonds propres exceptionnelle. Enfin, l'EV/EBITDA de 15,5x confirme cette exigence de valorisation, le marché valorisant la capacité opérationnelle de la banque à un multiple élevé, ce qui limite le potentiel de revalorisation à court terme sans nouvelle accélération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remarquable de +32,48%, passant d'un plus bas de 6 805 FCFA à un plus haut de 9 500 FCFA, pour un cours actuel de 9 300 FCFA — la dernière séance (J-1) étant stable à +0,00%, signe d'une pause dans le mouvement haussier. Le range de trading de 2 695 FCFA (soit près de 40% d'amplitude) témoigne d'une tendance clairement haussière, portée par la bonne dynamique des résultats et un intérêt croissant des investisseurs pour les valeurs bancaires ivoiriennes. Les statistiques descriptives révèlent une moyenne de 8 528 FCFA inférieure à la médiane de 8 850 FCFA, avec un mode à 9 000 FCFA : cet écart entre moyenne et médiane, combiné à un skewness de -1,023 (asymétrie négative), indique que le cours a passé plus de journées au-dessus de la moyenne, mais que quelques journées de forte baisse ont tiré la moyenne vers le bas — un profil typique d'un titre en tendance haussière avec des corrections ponctuelles. L'écart-type de 796 FCFA (CV = 9,3%) traduit une dispersion modérée autour de la moyenne, tandis que le kurtosis de -0,507 (mésokurtique) suggère une distribution proche de la normale, sans risque excessif de pics extrêmes. La volatilité annualisée de 28,8% positionne le titre dans la catégorie des valeurs à volatilité modérée (15-30%), ce qui est raisonnable pour une action bancaire de la BRVM et compatible avec un profil d'investisseur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9 191,75 FCFA et la MM50 à 9 063,00 FCFA, toutes deux inférieures au cours actuel de 9 300 FCFA, ce qui confirme une configuration haussière (cours &gt; MM20 &gt; MM50). La décision technique est à l'**Achat**, les moyennes mobiles jouant le rôle de supports dynamiques et validant la tendance positive de moyen terme.</w:t>
      </w:r>
    </w:p>
    <w:p>
      <w:pPr>
        <w:spacing w:after="120" w:line="276" w:lineRule="auto"/>
      </w:pPr>
      <w:r>
        <w:t>**Bandes de Bollinger :** Le cours actuel (9 300 FCFA) se situe entre la borne supérieure (9 380,72 FCFA) et la borne inférieure (9 002,78 FCFA), à proximité de la bande haute, ce qui indique une volatilité contenue et une pression acheteuse modérée. La décision est **Neutre**, le titre n'étant ni en situation de surachat extrême ni de survente, avec un potentiel de consolidation avant une nouvelle impulsion.</w:t>
      </w:r>
    </w:p>
    <w:p>
      <w:pPr>
        <w:spacing w:after="120" w:line="276" w:lineRule="auto"/>
      </w:pPr>
      <w:r>
        <w:t>**MACD :** La valeur du MACD (50,606) est supérieure à son signal (47,566), avec un histogramme positif, ce qui confirme un momentum haussier en cours. La décision est à l'**Achat**, la divergence positive entre MACD et signal indiquant que la dynamique de court terme reste favorable aux acheteurs.</w:t>
      </w:r>
    </w:p>
    <w:p>
      <w:pPr>
        <w:spacing w:after="120" w:line="276" w:lineRule="auto"/>
      </w:pPr>
      <w:r>
        <w:t>**RSI :** À 63,636, le RSI se situe dans la zone neutre haute (30-70), sans atteindre le seuil de surachat de 70. La décision est **Neutre**, le titre conservant un potentiel de hausse résiduel mais approchant progressivement d'une zone de prudence.</w:t>
      </w:r>
    </w:p>
    <w:p>
      <w:pPr>
        <w:spacing w:after="120" w:line="276" w:lineRule="auto"/>
      </w:pPr>
      <w:r>
        <w:t>**Stochastique :** Le %K (100,0) est supérieur au %D (91,667), avec un croisement en zone haute, ce qui signale une possible exhaustion de la tendance haussière à très court terme. La décision est à la **Vente**, cet indicateur étant le seul à émettre un signal baissier, ce qui invite à la prudence pour les positions court terme.</w:t>
      </w:r>
    </w:p>
    <w:p>
      <w:pPr>
        <w:spacing w:after="120" w:line="276" w:lineRule="auto"/>
      </w:pPr>
      <w:r>
        <w:t>**Conclusion technique :** Les indicateurs techniques sont majoritairement haussiers (MM20/MM50, MACD), mais montrent des signes de fatigue (RSI proche de 70, Stochastique en zone de surachat à 100). Le titre évolue dans une tendance haussière bien établie, mais la convergence des signaux de surachat à court terme suggère une possible consolidation avant une nouvelle progression. La configuration globale reste favorable à un **achat sur repli** plutôt qu'à un achat au prix actuel.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SIBC affiche un Produit Net Bancaire (PNB, équivalent du chiffre d'affaires pour une banque) de 108,663 milliards FCFA, un résultat net de 55,623 milliards FCFA, un ROE exceptionnel de 27,16% (largement supérieur au seuil de 15% considéré comme excellent) et un ROA de 2,96%. Le coefficient d'exploitation s'établit à 38,59%, bien en dessous du seuil de 60% (et même du seuil de 50% d'excellence), ce qui témoigne d'une efficacité opérationnelle remarquable. La marge nette de 51,19% est exceptionnellement élevée pour une banque, confirmant une excellente maîtrise des coûts et une faible charge du risque. Le taux de croissance du PNB de 5,74% traduit une dynamique commerciale soutenue, portée par une collecte de dépôts de 1 503,441 milliards FCFA (principale ressource) et un portefeuille de crédits de 1 226,720 milliards FCFA, soit un ratio de transformation (crédits/dépôts) de 81,6%, sain pour une banque de détail. Le coût du risque, bien que non détaillé précisément, reste contenu au regard de la marge nette élevée. La structure financière affiche une autonomie financière de 10,88% (capitaux propres/total bilan), un niveau modeste mais conforme aux normes bancaires, et une solvabilité générale de 112,21% (total actif/dettes totales), confirmant la solidité du bilan.</w:t>
      </w:r>
    </w:p>
    <w:p>
      <w:pPr>
        <w:spacing w:after="120" w:line="276" w:lineRule="auto"/>
      </w:pPr>
      <w:r>
        <w:t>**Estimations basées sur les rapports trimestriels :** Selon le rapport T1 2026 (publié le 31/12/2026, analysé le 07/05/2026), le PNB s'élève à 27,7 milliards FCFA (+4% en glissement annuel) et le résultat net à 15,2 milliards FCFA (+11%), avec une marge nette de 54,9% — en amélioration par rapport à 2025. Les dépôts progressent de +9% à 1 495 milliards FCFA et les crédits de +7% à 1 112 milliards FCFA, confirmant l'accélération de la dynamique commerciale. Sur la base de ce T1 2026, on peut estimer que l'exercice 2026 devrait afficher un PNB annuel compris entre 112 et 115 milliards FCFA (croissance de 4-6%) et un résultat net de 58 à 60 milliards FCFA (croissance de 5-8%), avec un ROE maintenu autour de 27-28%. Le rapport T3 2025 (30/09/2025) confirme cette tendance avec un PNB cumulé de 81,4 milliards FCFA (+8%) et un résultat net de 43,0 milliards FCFA (+11%), tandis que le rapport annuel 2024 (31/12/2024) indiquait un PNB de 102,8 milliards FCFA (+8%) et un résultat net de 50,2 milliards FCFA (+15%), avec un ROE de 30,56% et un dividende brut de 375 FCFA/action (rendement ~10,55% sur la base du cours de fin 2024). La trajectoire historique montre une croissance régulière et une rentabilité parmi les meilleures du secteur bancaire ivoirien.</w:t>
      </w:r>
    </w:p>
    <w:p>
      <w:pPr>
        <w:spacing w:after="120" w:line="276" w:lineRule="auto"/>
      </w:pPr>
      <w:r>
        <w:t>**Recommandation fondamentale :** SIBC présente des fondamentaux exceptionnels (ROE &gt;27%, coefficient d'exploitation &lt;40%, marge nette &gt;51%), une croissance régulière (+5-8% par an) et une solidité financière confirmée. Les risques identifiés sont le risque de crédit lié à l'expansion des encours, la pression concurrentielle dans le secteur bancaire ivoirien et la dépendance à la conjoncture économique. La valorisation exigeante (PER 16,7x, P/B 4,54x) intègre déjà ces bonnes performances, limitant le potentiel de hausse immédiat. La recommandation fondamentale est **CONSERVER** avec un biais positif, les investisseurs déjà positionnés pouvant bénéficier de la croissance régulière et d'un dividende attractif, tandis que les nouveaux investisseurs sont invités à attendre une correction pour se positionner.</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**Sur le plan de la valorisation (Partie 0)** , les ratios PER (16,7x), P/B (4,54x) et EV/EBITDA (15,5x) indiquent une valorisation exigeante, voire surévaluée par rapport à la moyenne du marché BRVM, ce qui limite le potentiel de revalorisation à court terme. **Le comportement du cours (Partie 1)** est clairement haussier (+32,48% sur 100 jours), avec une volatilité modérée (28,8%) et des statistiques rassurantes (kurtosis proche de la normale, skewness négatif modéré), mais le titre approche de ses plus hauts historiques (9 500 FCFA), ce qui suggère une possible consolidation. **Les signaux techniques (Partie 2)** sont majoritairement haussiers (MM20/MM50, MACD) mais divergent avec des signaux de surachat à court terme (Stochastique à 100, RSI à 63,6), plaidant pour une pause avant une nouvelle progression. **Les fondamentaux (Partie 3)** sont exceptionnels (ROE 27,16%, coefficient d'exploitation 38,59%, marge nette 51,19%) et les estimations basées sur le T1 2026 (PNB +4%, RN +11%) confirment la solidité du modèle, mais la valorisation intègre déjà ces performances. **Les prédictions IA (J+1 à J+10)** anticipent une correction progressive de 9 201 FCFA à 8 870 FCFA (-4,6% sur 10 jours), ce qui contredit les signaux techniques haussiers à moyen terme mais confirme les signaux de surachat à court terme (Stochastique, RSI).</w:t>
      </w:r>
    </w:p>
    <w:p>
      <w:pPr>
        <w:spacing w:after="120" w:line="276" w:lineRule="auto"/>
      </w:pPr>
      <w:r>
        <w:t>**Recommandation finale : CONSERVER**</w:t>
      </w:r>
    </w:p>
    <w:p>
      <w:pPr>
        <w:spacing w:after="120" w:line="276" w:lineRule="auto"/>
      </w:pPr>
      <w:r>
        <w:t>La convergence des signaux est partielle : les fondamentaux et la tendance de fond sont haussiers, mais la valorisation exigeante, les signaux de surachat à court terme et les prédictions IA baissières invitent à la prudence. Pour les investisseurs déjà positionnés, la recommandation est de **CONSERVER** le titre pour bénéficier de la croissance régulière et du dividende attractif (rendement estimé ~4-5% sur la base du cours actuel), tout en surveillant les niveaux de support (MM20 à 9 191 FCFA, borne inférieure de Bollinger à 9 002 FCFA). Pour les nouveaux investisseurs, il est conseillé d'**ATTENDRE une correction** vers la zone des 8 800-9 000 FCFA pour se positionner, ce qui offrirait un meilleur point d'entrée et un potentiel de hausse plus favorable.</w:t>
      </w:r>
    </w:p>
    <w:p>
      <w:pPr>
        <w:spacing w:after="120" w:line="276" w:lineRule="auto"/>
      </w:pPr>
      <w:r>
        <w:t>**Niveau de confiance : Moyen** — Les fondamentaux sont solides mais la valorisation et les signaux techniques à court terme limitent la visibilité.</w:t>
        <w:br/>
        <w:t>**Niveau de risque global : Moyen** — Le risque de crédit et la pression concurrentielle sont tempérés par la solidité financière et la rentabilité exceptionnelle.</w:t>
        <w:br/>
        <w:t>**Horizon d'investissement optimal : Moyen terme (3-12 mois)** — Pour capturer la croissance des bénéfices et le dividende, en évitant la volatilité de court terme liée à la correction anticipée par les prédictions IA.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121 titres</w:t>
            </w:r>
          </w:p>
        </w:tc>
        <w:tc>
          <w:tcPr>
            <w:tcW w:type="dxa" w:w="2268"/>
            <w:shd w:fill="FFF2CC" w:val="clear"/>
          </w:tcPr>
          <w:p>
            <w:r>
              <w:rPr>
                <w:b/>
                <w:color w:val="503200"/>
                <w:sz w:val="16"/>
              </w:rPr>
              <w:t xml:space="preserve">Cours actuel : </w:t>
            </w:r>
            <w:r>
              <w:rPr>
                <w:color w:val="000000"/>
                <w:sz w:val="17"/>
              </w:rPr>
              <w:t>8,495 FCFA</w:t>
            </w:r>
          </w:p>
          <w:p>
            <w:r>
              <w:rPr>
                <w:b/>
                <w:color w:val="503200"/>
                <w:sz w:val="16"/>
              </w:rPr>
              <w:t xml:space="preserve">Var. 100 jours : </w:t>
            </w:r>
            <w:r>
              <w:rPr>
                <w:b/>
                <w:color w:val="007800"/>
                <w:sz w:val="17"/>
              </w:rPr>
              <w:t>+101.30%</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31.01% (Élevée) — μ=5,730 FCFA, σ=1,777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β=-1.0624 (Contre-cyclique) — Cov=-0.000037, Var(idx)=0.000035, ρ=-0.170,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7,701</w:t>
            </w:r>
          </w:p>
        </w:tc>
        <w:tc>
          <w:tcPr>
            <w:tcW w:type="dxa" w:w="1440"/>
            <w:shd w:fill="FAFAFA" w:val="clear"/>
          </w:tcPr>
          <w:p>
            <w:r>
              <w:rPr>
                <w:b/>
                <w:sz w:val="17"/>
              </w:rPr>
              <w:t>8,325</w:t>
            </w:r>
          </w:p>
        </w:tc>
        <w:tc>
          <w:tcPr>
            <w:tcW w:type="dxa" w:w="1440"/>
            <w:shd w:fill="FAFAFA" w:val="clear"/>
          </w:tcPr>
          <w:p>
            <w:r>
              <w:rPr>
                <w:sz w:val="17"/>
              </w:rPr>
              <w:t>8,950</w:t>
            </w:r>
          </w:p>
        </w:tc>
        <w:tc>
          <w:tcPr>
            <w:tcW w:type="dxa" w:w="1440"/>
            <w:shd w:fill="FAFAFA"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7,352</w:t>
            </w:r>
          </w:p>
        </w:tc>
        <w:tc>
          <w:tcPr>
            <w:tcW w:type="dxa" w:w="1440"/>
            <w:shd w:fill="FFDCE0" w:val="clear"/>
          </w:tcPr>
          <w:p>
            <w:r>
              <w:rPr>
                <w:b/>
                <w:sz w:val="17"/>
              </w:rPr>
              <w:t>8,241</w:t>
            </w:r>
          </w:p>
        </w:tc>
        <w:tc>
          <w:tcPr>
            <w:tcW w:type="dxa" w:w="1440"/>
            <w:shd w:fill="FFDCE0" w:val="clear"/>
          </w:tcPr>
          <w:p>
            <w:r>
              <w:rPr>
                <w:sz w:val="17"/>
              </w:rPr>
              <w:t>9,130</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7,052</w:t>
            </w:r>
          </w:p>
        </w:tc>
        <w:tc>
          <w:tcPr>
            <w:tcW w:type="dxa" w:w="1440"/>
            <w:shd w:fill="FFDCE0" w:val="clear"/>
          </w:tcPr>
          <w:p>
            <w:r>
              <w:rPr>
                <w:b/>
                <w:sz w:val="17"/>
              </w:rPr>
              <w:t>8,125</w:t>
            </w:r>
          </w:p>
        </w:tc>
        <w:tc>
          <w:tcPr>
            <w:tcW w:type="dxa" w:w="1440"/>
            <w:shd w:fill="FFDCE0" w:val="clear"/>
          </w:tcPr>
          <w:p>
            <w:r>
              <w:rPr>
                <w:sz w:val="17"/>
              </w:rPr>
              <w:t>9,198</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6,782</w:t>
            </w:r>
          </w:p>
        </w:tc>
        <w:tc>
          <w:tcPr>
            <w:tcW w:type="dxa" w:w="1440"/>
            <w:shd w:fill="FFDCE0" w:val="clear"/>
          </w:tcPr>
          <w:p>
            <w:r>
              <w:rPr>
                <w:b/>
                <w:sz w:val="17"/>
              </w:rPr>
              <w:t>8,002</w:t>
            </w:r>
          </w:p>
        </w:tc>
        <w:tc>
          <w:tcPr>
            <w:tcW w:type="dxa" w:w="1440"/>
            <w:shd w:fill="FFDCE0" w:val="clear"/>
          </w:tcPr>
          <w:p>
            <w:r>
              <w:rPr>
                <w:sz w:val="17"/>
              </w:rPr>
              <w:t>9,222</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6,535</w:t>
            </w:r>
          </w:p>
        </w:tc>
        <w:tc>
          <w:tcPr>
            <w:tcW w:type="dxa" w:w="1440"/>
            <w:shd w:fill="FFDCE0" w:val="clear"/>
          </w:tcPr>
          <w:p>
            <w:r>
              <w:rPr>
                <w:b/>
                <w:sz w:val="17"/>
              </w:rPr>
              <w:t>7,878</w:t>
            </w:r>
          </w:p>
        </w:tc>
        <w:tc>
          <w:tcPr>
            <w:tcW w:type="dxa" w:w="1440"/>
            <w:shd w:fill="FFDCE0" w:val="clear"/>
          </w:tcPr>
          <w:p>
            <w:r>
              <w:rPr>
                <w:sz w:val="17"/>
              </w:rPr>
              <w:t>9,221</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6,306</w:t>
            </w:r>
          </w:p>
        </w:tc>
        <w:tc>
          <w:tcPr>
            <w:tcW w:type="dxa" w:w="1440"/>
            <w:shd w:fill="FFDCE0" w:val="clear"/>
          </w:tcPr>
          <w:p>
            <w:r>
              <w:rPr>
                <w:b/>
                <w:sz w:val="17"/>
              </w:rPr>
              <w:t>7,754</w:t>
            </w:r>
          </w:p>
        </w:tc>
        <w:tc>
          <w:tcPr>
            <w:tcW w:type="dxa" w:w="1440"/>
            <w:shd w:fill="FFDCE0" w:val="clear"/>
          </w:tcPr>
          <w:p>
            <w:r>
              <w:rPr>
                <w:sz w:val="17"/>
              </w:rPr>
              <w:t>9,203</w:t>
            </w:r>
          </w:p>
        </w:tc>
        <w:tc>
          <w:tcPr>
            <w:tcW w:type="dxa" w:w="1440"/>
            <w:shd w:fill="FFDCE0" w:val="clear"/>
          </w:tcPr>
          <w:p>
            <w:r>
              <w:rPr>
                <w:b/>
                <w:color w:val="C00000"/>
                <w:sz w:val="17"/>
              </w:rPr>
              <w:t>-8.7%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6,094</w:t>
            </w:r>
          </w:p>
        </w:tc>
        <w:tc>
          <w:tcPr>
            <w:tcW w:type="dxa" w:w="1440"/>
            <w:shd w:fill="FFDCE0" w:val="clear"/>
          </w:tcPr>
          <w:p>
            <w:r>
              <w:rPr>
                <w:b/>
                <w:sz w:val="17"/>
              </w:rPr>
              <w:t>7,634</w:t>
            </w:r>
          </w:p>
        </w:tc>
        <w:tc>
          <w:tcPr>
            <w:tcW w:type="dxa" w:w="1440"/>
            <w:shd w:fill="FFDCE0" w:val="clear"/>
          </w:tcPr>
          <w:p>
            <w:r>
              <w:rPr>
                <w:sz w:val="17"/>
              </w:rPr>
              <w:t>9,174</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5,895</w:t>
            </w:r>
          </w:p>
        </w:tc>
        <w:tc>
          <w:tcPr>
            <w:tcW w:type="dxa" w:w="1440"/>
            <w:shd w:fill="FFDCE0" w:val="clear"/>
          </w:tcPr>
          <w:p>
            <w:r>
              <w:rPr>
                <w:b/>
                <w:sz w:val="17"/>
              </w:rPr>
              <w:t>7,516</w:t>
            </w:r>
          </w:p>
        </w:tc>
        <w:tc>
          <w:tcPr>
            <w:tcW w:type="dxa" w:w="1440"/>
            <w:shd w:fill="FFDCE0" w:val="clear"/>
          </w:tcPr>
          <w:p>
            <w:r>
              <w:rPr>
                <w:sz w:val="17"/>
              </w:rPr>
              <w:t>9,137</w:t>
            </w:r>
          </w:p>
        </w:tc>
        <w:tc>
          <w:tcPr>
            <w:tcW w:type="dxa" w:w="1440"/>
            <w:shd w:fill="FFDCE0" w:val="clear"/>
          </w:tcPr>
          <w:p>
            <w:r>
              <w:rPr>
                <w:b/>
                <w:color w:val="C00000"/>
                <w:sz w:val="17"/>
              </w:rPr>
              <w:t>-11.5%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5,709</w:t>
            </w:r>
          </w:p>
        </w:tc>
        <w:tc>
          <w:tcPr>
            <w:tcW w:type="dxa" w:w="1440"/>
            <w:shd w:fill="FFDCE0" w:val="clear"/>
          </w:tcPr>
          <w:p>
            <w:r>
              <w:rPr>
                <w:b/>
                <w:sz w:val="17"/>
              </w:rPr>
              <w:t>7,403</w:t>
            </w:r>
          </w:p>
        </w:tc>
        <w:tc>
          <w:tcPr>
            <w:tcW w:type="dxa" w:w="1440"/>
            <w:shd w:fill="FFDCE0" w:val="clear"/>
          </w:tcPr>
          <w:p>
            <w:r>
              <w:rPr>
                <w:sz w:val="17"/>
              </w:rPr>
              <w:t>9,096</w:t>
            </w:r>
          </w:p>
        </w:tc>
        <w:tc>
          <w:tcPr>
            <w:tcW w:type="dxa" w:w="1440"/>
            <w:shd w:fill="FFDCE0" w:val="clear"/>
          </w:tcPr>
          <w:p>
            <w:r>
              <w:rPr>
                <w:b/>
                <w:color w:val="C00000"/>
                <w:sz w:val="17"/>
              </w:rPr>
              <w:t>-12.9%</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5,535</w:t>
            </w:r>
          </w:p>
        </w:tc>
        <w:tc>
          <w:tcPr>
            <w:tcW w:type="dxa" w:w="1440"/>
            <w:shd w:fill="FFDCE0" w:val="clear"/>
          </w:tcPr>
          <w:p>
            <w:r>
              <w:rPr>
                <w:b/>
                <w:sz w:val="17"/>
              </w:rPr>
              <w:t>7,294</w:t>
            </w:r>
          </w:p>
        </w:tc>
        <w:tc>
          <w:tcPr>
            <w:tcW w:type="dxa" w:w="1440"/>
            <w:shd w:fill="FFDCE0" w:val="clear"/>
          </w:tcPr>
          <w:p>
            <w:r>
              <w:rPr>
                <w:sz w:val="17"/>
              </w:rPr>
              <w:t>9,052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SICOR (SICC) — BRVM</w:t>
      </w:r>
    </w:p>
    <w:p>
      <w:pPr>
        <w:spacing w:after="120" w:line="276" w:lineRule="auto"/>
      </w:pPr>
      <w:r>
        <w:t>**Date d'analyse :** Septembre 2026</w:t>
        <w:br/>
        <w:t>**Cours de référence :** 8 495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**5,10 milliards FCFA**, un niveau modeste à l'échelle de la BRVM qui la classe parmi les petites capitalisations du compartiment agro-industriel. Les ratios de valorisation boursière (BPA, PER, P/B, EV/EBITDA) ne sont pas calculables en l'état, faute de données financières structurées récentes et fiables permettant de rapporter le cours aux bénéfices ou aux fonds propres comptables. Cette absence de ratios constitue en soi un signal de vigilance : l'investisseur ne dispose pas des repères classiques (PER BRVM moyen ~8-12x, P/B de référence) pour juger si le titre est cher ou bon marché. Dans ce contexte d'opacité relative, l'analyse doit s'appuyer sur les rapports financiers narratifs disponibles et sur le comportement technique du cours pour évaluer le risque.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spectaculaire de **+101,30 %**, avec une dernière séance en hausse de **+1,13 %** à 8 495 FCFA. Le titre a évolué dans un range très large, entre un plus bas de **3 985 FCFA** et un plus haut de **10 200 FCFA**, soit un écart de plus de 155 % entre les extrêmes — signe d'une tendance nettement haussière mais extrêmement agitée. La moyenne (5 730 FCFA) est très supérieure à la médiane (4 820 FCFA) et au mode (4 380 FCFA), ce qui confirme une distribution fortement asymétrique : la majeure partie des séances s'est traitée à des niveaux bas, tandis que quelques séances de forte hausse ont tiré la moyenne vers le haut. L'écart-type de 1 786 FCFA et le coefficient de variation de **31,2 %** traduisent une dispersion élevée du cours autour de sa moyenne, donc une instabilité importante. Le kurtosis de **-0,389** (mésokurtique) indique une distribution proche de la normale, sans pics extrêmes fréquents, tandis que le skewness de **+1,018** confirme une asymétrie positive avec davantage de journées sous la moyenne. La volatilité annualisée de **58,2 %** positionne clairement SICC dans la catégorie des titres à volatilité élevée (&gt;30 %), ce qui implique un risque de perte en capital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(8 641,5 FCFA) et la MM50 (7 072,1 FCFA) sont toutes deux inférieures au cours actuel (8 495 FCFA), et la MM20 est elle-même supérieure à la MM50, configurant un croisement haussier classique. Cette structure confirme une dynamique positive de moyen terme et justifie la décision **Achat** des moyennes mobiles, bien que le cours soit légèrement sous sa MM20, signalant un essoufflement immédiat.</w:t>
      </w:r>
    </w:p>
    <w:p>
      <w:pPr>
        <w:spacing w:after="120" w:line="276" w:lineRule="auto"/>
      </w:pPr>
      <w:r>
        <w:t>**Bandes de Bollinger :** Le cours (8 495 FCFA) se situe à mi-chemin entre la borne inférieure (7 125 FCFA) et la borne supérieure (10 158 FCFA), sans contact avec les extrêmes. Cette position centrale, dans un canal large, traduit une volatilité toujours élevée mais un momentum en phase de stabilisation, d'où la décision **Neutre**.</w:t>
      </w:r>
    </w:p>
    <w:p>
      <w:pPr>
        <w:spacing w:after="120" w:line="276" w:lineRule="auto"/>
      </w:pPr>
      <w:r>
        <w:t>**MACD :** La valeur du MACD (306,6) est inférieure à son signal (412,5), ce qui matérialise une divergence baissière et un affaiblissement du momentum haussier. Le croisement MACD sous sa ligne de signal justifie la décision **Vente**, indiquant que la dynamique positive des dernières semaines s'essouffle.</w:t>
      </w:r>
    </w:p>
    <w:p>
      <w:pPr>
        <w:spacing w:after="120" w:line="276" w:lineRule="auto"/>
      </w:pPr>
      <w:r>
        <w:t>**RSI :** À **46,7**, le RSI se situe dans la zone neutre (30-70), sans signal de surachat ni de survente. Cette configuration indique un équilibre entre acheteurs et vendeurs, justifiant la décision **Neutre** et suggérant qu'aucun mouvement directionnel fort n'est imminent à court terme.</w:t>
      </w:r>
    </w:p>
    <w:p>
      <w:pPr>
        <w:spacing w:after="120" w:line="276" w:lineRule="auto"/>
      </w:pPr>
      <w:r>
        <w:t>**Stochastique :** Le %K (99,3) est très proche de son maximum et nettement supérieur au %D (69,5), ce qui place l'indicateur en zone de surachat extrême. Ce niveau élevé du %K, combiné à un croisement potentiel à venir, justifie la décision **Vente** et signale un risque de correction à court terme.</w:t>
      </w:r>
    </w:p>
    <w:p>
      <w:pPr>
        <w:spacing w:after="120" w:line="276" w:lineRule="auto"/>
      </w:pPr>
      <w:r>
        <w:t>**Conclusion technique :** Les indicateurs sont **divergents** : les moyennes mobiles restent haussières (Achat), tandis que le MACD et le stochastique émettent des signaux de vente, et que le RSI et les Bollinger sont neutres. Cette configuration mixte suggère que la tendance de fond demeure positive mais que le titre est en phase de consolidation, voire de correction imminente, après un rallye de +101 % en 100 jours.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récentes ne sont pas disponibles dans la base, mais les rapports officiels fournis permettent de reconstituer l'évolution fondamentale de SICOR. **En 2023** (rapport analysé le 15/03/2026), le chiffre d'affaires s'établit à **701,09 millions FCFA**, en chute de **38,4 %** par rapport aux 1 138,17 millions FCFA de 2022, et le résultat net redevient positif à **+19,25 millions FCFA** (contre une perte de -39,95 millions en 2022), soit une marge nette de **2,75 %**. **En 2022** (rapport analysé le 15/03/2026), le CA était de 1 138,17 millions FCFA et la perte nette de -39,95 millions FCFA (marge nette -3,51 %), marquant une inversion après quatre années bénéficiaires (2018-2021). **En 2019** (rapport analysé le 15/03/2026), le CA atteignait 1,86 milliard FCFA (+33 %) avec un EBE de 239 millions FCFA, mais un bénéfice net symbolique de seulement 2,35 millions FCFA, laminé par un résultat financier négatif (-73,7 M) et un report à nouveau déficitaire de -881 millions FCFA. **En 2017** (rapport analysé le 15/03/2026), le CA était de 1,56 milliard FCFA et le résultat net de 100,6 millions FCFA (marge nette 6,44 %), en baisse de moitié sur un an. **En 2016** (rapport analysé le 15/03/2026), le CA s'élevait à 1 570,8 millions FCFA pour un résultat net de 53,3 millions FCFA (marge nette 3,39 %) et des capitaux propres de 870 millions FCFA. **En 2015** (rapport analysé le 06/09/2026), le résultat net atteignait 434,9 millions FCFA, en forte progression par rapport aux 68,2 millions de 2014. L'évolution temporelle révèle une **dégradation structurelle** : après un pic de rentabilité en 2015-2018, la société a enchaîné les exercices difficiles (pertes en 2020-2022, redressement fragile en 2023), avec un report à nouveau toujours négatif qui interdit toute distribution de dividende depuis 2017. Les risques identifiés dans les rapports incluent les **vols de noix de coco** (arrêt du site de Boulay en 2023), la **dépendance aux cours mondiaux du coprah**, un **endettement élevé** et une **trésorerie tendue** (découverts bancaires multipliés par 14 en 2023). La recommandation fondamentale qui se dégage de ces rapports est **CONSERVER avec vigilance** : la société a prouvé sa capacité à générer des bénéfices (2015-2021) et diversifie ses revenus (noix de coco, tourteaux), mais sa rentabilité reste fragile et dépendante de la maîtrise des coûts et de la sécurisation de ses approvisionnements.</w:t>
      </w:r>
    </w:p>
    <w:p>
      <w:pPr>
        <w:spacing w:after="120" w:line="276" w:lineRule="auto"/>
      </w:pPr>
      <w:r>
        <w:t>---</w:t>
      </w:r>
    </w:p>
    <w:p>
      <w:pPr>
        <w:spacing w:after="120" w:line="276" w:lineRule="auto"/>
      </w:pPr>
      <w:r>
        <w:t>## PARTIE 4 : CONCLUSION D'INVESTISSEMENT</w:t>
      </w:r>
    </w:p>
    <w:p>
      <w:pPr>
        <w:spacing w:after="120" w:line="276" w:lineRule="auto"/>
      </w:pPr>
      <w:r>
        <w:t>La valorisation (Partie 0) est **indéterminable** faute de ratios calculables, ce qui prive l'investisseur de repères objectifs et constitue un facteur de risque en soi. Le comportement du cours (Partie 1) est **haussier mais extrêmement volatil** (+101 % en 100 jours, volatilité annualisée de 58,2 %, skewness positif de +1,018), avec une distribution asymétrique qui suggère que la hausse récente repose sur un nombre limité de séances exceptionnelles. Les signaux techniques (Partie 2) sont **divergents** : les moyennes mobiles restent haussières, mais le MACD et le stochastique émettent des signaux de vente, et le RSI est neutre — configuration typique d'un essoufflement après un rallye. Les fondamentaux (Partie 3) révèlent une société **fragile mais en redressement** : retour à la profitabilité en 2023 (+19,25 M FCFA), mais CA en baisse de 38,4 % et report à nouveau toujours négatif, avec des risques opérationnels (vols, dépendance aux matières premières) et financiers (endettement, trésorerie tendue) persistants. Les prédictions IA (J+1 à J+10) anticipent une **correction baissière** de 8 325 FCFA à 7 878 FCFA, soit -7,3 % sur 10 jours, ce qui **confirme les signaux techniques de vente** et contredit la tendance haussière passée. Sur la base de cette synthèse globale, la recommandation finale est **CONSERVER** (avec vigilance), car si les fondamentaux montrent un redressement fragile et que la technique est à la vente à court terme, la société conserve un potentiel de rebond à moyen terme si elle parvient à stabiliser son CA et à résorber ses pertes cumulées. Le niveau de confiance est **Moyen** (données fondamentales anciennes et ratios de valorisation absents), et le niveau de risque global est **Élevé** (volatilité de 58,2 %, absence de dividende, fragilité financière). L'horizon d'investissement optimal est le **moyen terme (3-12 mois)**, en surveillant les prochains rapports financiers (AG du 22 mai 2026 sur l'exercice 2024) et la capacité de la société à confirmer son retour à la profitabilité.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5,455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B40000"/>
                <w:sz w:val="17"/>
              </w:rPr>
              <w:t>-11.11%</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10.41% (Moyenne) — μ=2,532 FCFA, σ=264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β=0.2950 (Défensif) — Cov=0.000010, Var(idx)=0.000035, ρ=0.057,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2,209</w:t>
            </w:r>
          </w:p>
        </w:tc>
        <w:tc>
          <w:tcPr>
            <w:tcW w:type="dxa" w:w="1440"/>
            <w:shd w:fill="FFDCE0" w:val="clear"/>
          </w:tcPr>
          <w:p>
            <w:r>
              <w:rPr>
                <w:b/>
                <w:sz w:val="17"/>
              </w:rPr>
              <w:t>2,303</w:t>
            </w:r>
          </w:p>
        </w:tc>
        <w:tc>
          <w:tcPr>
            <w:tcW w:type="dxa" w:w="1440"/>
            <w:shd w:fill="FFDCE0" w:val="clear"/>
          </w:tcPr>
          <w:p>
            <w:r>
              <w:rPr>
                <w:sz w:val="17"/>
              </w:rPr>
              <w:t>2,397</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2,163</w:t>
            </w:r>
          </w:p>
        </w:tc>
        <w:tc>
          <w:tcPr>
            <w:tcW w:type="dxa" w:w="1440"/>
            <w:shd w:fill="FFDCE0" w:val="clear"/>
          </w:tcPr>
          <w:p>
            <w:r>
              <w:rPr>
                <w:b/>
                <w:sz w:val="17"/>
              </w:rPr>
              <w:t>2,296</w:t>
            </w:r>
          </w:p>
        </w:tc>
        <w:tc>
          <w:tcPr>
            <w:tcW w:type="dxa" w:w="1440"/>
            <w:shd w:fill="FFDCE0" w:val="clear"/>
          </w:tcPr>
          <w:p>
            <w:r>
              <w:rPr>
                <w:sz w:val="17"/>
              </w:rPr>
              <w:t>2,429</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2,122</w:t>
            </w:r>
          </w:p>
        </w:tc>
        <w:tc>
          <w:tcPr>
            <w:tcW w:type="dxa" w:w="1440"/>
            <w:shd w:fill="FFDCE0" w:val="clear"/>
          </w:tcPr>
          <w:p>
            <w:r>
              <w:rPr>
                <w:b/>
                <w:sz w:val="17"/>
              </w:rPr>
              <w:t>2,284</w:t>
            </w:r>
          </w:p>
        </w:tc>
        <w:tc>
          <w:tcPr>
            <w:tcW w:type="dxa" w:w="1440"/>
            <w:shd w:fill="FFDCE0" w:val="clear"/>
          </w:tcPr>
          <w:p>
            <w:r>
              <w:rPr>
                <w:sz w:val="17"/>
              </w:rPr>
              <w:t>2,445</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2,084</w:t>
            </w:r>
          </w:p>
        </w:tc>
        <w:tc>
          <w:tcPr>
            <w:tcW w:type="dxa" w:w="1440"/>
            <w:shd w:fill="FFDCE0" w:val="clear"/>
          </w:tcPr>
          <w:p>
            <w:r>
              <w:rPr>
                <w:b/>
                <w:sz w:val="17"/>
              </w:rPr>
              <w:t>2,269</w:t>
            </w:r>
          </w:p>
        </w:tc>
        <w:tc>
          <w:tcPr>
            <w:tcW w:type="dxa" w:w="1440"/>
            <w:shd w:fill="FFDCE0" w:val="clear"/>
          </w:tcPr>
          <w:p>
            <w:r>
              <w:rPr>
                <w:sz w:val="17"/>
              </w:rPr>
              <w:t>2,455</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2,049</w:t>
            </w:r>
          </w:p>
        </w:tc>
        <w:tc>
          <w:tcPr>
            <w:tcW w:type="dxa" w:w="1440"/>
            <w:shd w:fill="FFDCE0" w:val="clear"/>
          </w:tcPr>
          <w:p>
            <w:r>
              <w:rPr>
                <w:b/>
                <w:sz w:val="17"/>
              </w:rPr>
              <w:t>2,255</w:t>
            </w:r>
          </w:p>
        </w:tc>
        <w:tc>
          <w:tcPr>
            <w:tcW w:type="dxa" w:w="1440"/>
            <w:shd w:fill="FFDCE0" w:val="clear"/>
          </w:tcPr>
          <w:p>
            <w:r>
              <w:rPr>
                <w:sz w:val="17"/>
              </w:rPr>
              <w:t>2,461</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2,017</w:t>
            </w:r>
          </w:p>
        </w:tc>
        <w:tc>
          <w:tcPr>
            <w:tcW w:type="dxa" w:w="1440"/>
            <w:shd w:fill="FFDCE0" w:val="clear"/>
          </w:tcPr>
          <w:p>
            <w:r>
              <w:rPr>
                <w:b/>
                <w:sz w:val="17"/>
              </w:rPr>
              <w:t>2,241</w:t>
            </w:r>
          </w:p>
        </w:tc>
        <w:tc>
          <w:tcPr>
            <w:tcW w:type="dxa" w:w="1440"/>
            <w:shd w:fill="FFDCE0" w:val="clear"/>
          </w:tcPr>
          <w:p>
            <w:r>
              <w:rPr>
                <w:sz w:val="17"/>
              </w:rPr>
              <w:t>2,466</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1,986</w:t>
            </w:r>
          </w:p>
        </w:tc>
        <w:tc>
          <w:tcPr>
            <w:tcW w:type="dxa" w:w="1440"/>
            <w:shd w:fill="FFDCE0" w:val="clear"/>
          </w:tcPr>
          <w:p>
            <w:r>
              <w:rPr>
                <w:b/>
                <w:sz w:val="17"/>
              </w:rPr>
              <w:t>2,227</w:t>
            </w:r>
          </w:p>
        </w:tc>
        <w:tc>
          <w:tcPr>
            <w:tcW w:type="dxa" w:w="1440"/>
            <w:shd w:fill="FFDCE0" w:val="clear"/>
          </w:tcPr>
          <w:p>
            <w:r>
              <w:rPr>
                <w:sz w:val="17"/>
              </w:rPr>
              <w:t>2,468</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1,958</w:t>
            </w:r>
          </w:p>
        </w:tc>
        <w:tc>
          <w:tcPr>
            <w:tcW w:type="dxa" w:w="1440"/>
            <w:shd w:fill="FFDCE0" w:val="clear"/>
          </w:tcPr>
          <w:p>
            <w:r>
              <w:rPr>
                <w:b/>
                <w:sz w:val="17"/>
              </w:rPr>
              <w:t>2,214</w:t>
            </w:r>
          </w:p>
        </w:tc>
        <w:tc>
          <w:tcPr>
            <w:tcW w:type="dxa" w:w="1440"/>
            <w:shd w:fill="FFDCE0" w:val="clear"/>
          </w:tcPr>
          <w:p>
            <w:r>
              <w:rPr>
                <w:sz w:val="17"/>
              </w:rPr>
              <w:t>2,470</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1,931</w:t>
            </w:r>
          </w:p>
        </w:tc>
        <w:tc>
          <w:tcPr>
            <w:tcW w:type="dxa" w:w="1440"/>
            <w:shd w:fill="FFDCE0" w:val="clear"/>
          </w:tcPr>
          <w:p>
            <w:r>
              <w:rPr>
                <w:b/>
                <w:sz w:val="17"/>
              </w:rPr>
              <w:t>2,201</w:t>
            </w:r>
          </w:p>
        </w:tc>
        <w:tc>
          <w:tcPr>
            <w:tcW w:type="dxa" w:w="1440"/>
            <w:shd w:fill="FFDCE0" w:val="clear"/>
          </w:tcPr>
          <w:p>
            <w:r>
              <w:rPr>
                <w:sz w:val="17"/>
              </w:rPr>
              <w:t>2,471</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1,905</w:t>
            </w:r>
          </w:p>
        </w:tc>
        <w:tc>
          <w:tcPr>
            <w:tcW w:type="dxa" w:w="1440"/>
            <w:shd w:fill="FFDCE0" w:val="clear"/>
          </w:tcPr>
          <w:p>
            <w:r>
              <w:rPr>
                <w:b/>
                <w:sz w:val="17"/>
              </w:rPr>
              <w:t>2,188</w:t>
            </w:r>
          </w:p>
        </w:tc>
        <w:tc>
          <w:tcPr>
            <w:tcW w:type="dxa" w:w="1440"/>
            <w:shd w:fill="FFDCE0" w:val="clear"/>
          </w:tcPr>
          <w:p>
            <w:r>
              <w:rPr>
                <w:sz w:val="17"/>
              </w:rPr>
              <w:t>2,470</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*Bourse Régionale des Valeurs Mobilières (BRVM) — Secteur : Gaz Industriels / Services*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20,96 milliards FCFA, SIVC se situe dans la catégorie des valeurs moyennes de la cote BRVM, ce qui lui confère une certaine visibilité mais aussi une liquidité limitée (volume moyen de 5 455 titres/jour). Le BPA de 43 FCFA/action indique que chaque titre génère 43 FCFA de bénéfice net, un niveau modeste qui, rapporté au cours actuel de 2 400 FCFA, aboutit à un PER de 55,6x — soit un multiple très supérieur à la moyenne du marché BRVM (8-12x), signalant que les investisseurs paient environ 5 fois plus cher les bénéfices de SIVC que la moyenne du marché. Le P/B de 6,41x confirme cette prime exigeante : le marché valorise l'action à plus de 6 fois sa valeur comptable, ce qui suppose des anticipations de croissance forte ou une surévaluation manifeste. Enfin, l'EV/EBITDA de 17,5x (au-delà du seuil de 15x) traduit une valorisation tendue par rapport à la capacité opérationnelle de l'entreprise, renforçant la prudence requise sur ce dossier.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affiche une variation totale de -11,11%, en nette contraction, bien que la dernière séance (J-1) enregistre un rebond de +4,35%, signe d'une tentative de reprise à court terme. Le cours actuel de 2 400 FCFA se situe dans la moitié basse du range de trading (plus haut : 2 875 FCFA ; plus bas : 1 920 FCFA), ce qui traduit une tendance générale baissière sur la période, avec une amplitude de 955 FCFA (soit près de 50% du cours bas). Les statistiques descriptives révèlent une moyenne de 2 532 FCFA légèrement supérieure à la médiane de 2 450 FCFA, indiquant une asymétrie légère vers les cours élevés, tandis que le mode à 2 400 FCFA coïncide avec le cours actuel, suggérant un palier de consolidation. L'écart-type de 265 FCFA (CV = 10,5%) traduit une dispersion modérée du cours autour de sa moyenne, mais la volatilité annualisée de 49,0% classe le titre dans la catégorie des valeurs très volatiles (&gt;30%), exposant l'investisseur à des variations importantes. Le kurtosis négatif (-1,275, distribution platykurtique) indique une distribution aplatie avec une faible concentration des rendements autour de la moyenne, donc un risque de mouvements amples moins fréquent mais plus étalé ; le skewness de -0,165, proche de zéro, confirme une distribution quasi symétrique sans biais directionnel marqué.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(2 367,75 FCFA) et la MM50 (2 295,50 FCFA) se situent toutes deux sous le cours actuel (2 400 FCFA), avec la MM20 au-dessus de la MM50 — configuration haussière classique (croisement doré). Le cours évoluant au-dessus de ses deux moyennes, la décision technique est logiquement à l'**Achat**, bien que la proximité du cours avec la MM20 (écart de seulement 1,4%) invite à la prudence.</w:t>
      </w:r>
    </w:p>
    <w:p>
      <w:pPr>
        <w:spacing w:after="120" w:line="276" w:lineRule="auto"/>
      </w:pPr>
      <w:r>
        <w:t>**Bandes de Bollinger** : Le cours (2 400 FCFA) se situe entre la borne inférieure (2 289,65 FCFA) et la borne supérieure (2 445,85 FCFA), plus proche de la borne haute, ce qui traduit une pression acheteuse modérée. L'absence de rupture de borne et la largeur des bandes (156 FCFA) indiquent une volatilité contenue à court terme ; la décision est **Neutre**, le titre n'étant ni en suraccumulation ni en surdistribution.</w:t>
      </w:r>
    </w:p>
    <w:p>
      <w:pPr>
        <w:spacing w:after="120" w:line="276" w:lineRule="auto"/>
      </w:pPr>
      <w:r>
        <w:t>**MACD** : La valeur du MACD (5,202) est inférieure à son signal (7,759), générant un croisement baissier — le momentum perd de la vigueur malgré le rebond récent du cours. Cette divergence négative plaide pour une **Vente** technique, signalant que la dynamique haussière s'essouffle et qu'un retournement pourrait survenir.</w:t>
      </w:r>
    </w:p>
    <w:p>
      <w:pPr>
        <w:spacing w:after="120" w:line="276" w:lineRule="auto"/>
      </w:pPr>
      <w:r>
        <w:t>**RSI** : À 52,727, le RSI se situe dans la zone neutre (30-70), sans signal de surachat (&gt;70) ni de survente (&lt;30). Cette position médiane indique un équilibre entre acheteurs et vendeurs, justifiant une décision **Neutre** et l'absence de signal directionnel fort à court terme.</w:t>
      </w:r>
    </w:p>
    <w:p>
      <w:pPr>
        <w:spacing w:after="120" w:line="276" w:lineRule="auto"/>
      </w:pPr>
      <w:r>
        <w:t>**Stochastique** : Le %K (80,0) est nettement supérieur au %D (26,667), avec un %K en zone de surachat (&gt;80) — signal potentiel de retournement baissier à court terme. Cependant, l'absence de croisement confirmé et la décision **Neutre** suggèrent que le signal n'est pas encore validé, mais la prudence est de mise.</w:t>
      </w:r>
    </w:p>
    <w:p>
      <w:pPr>
        <w:spacing w:after="120" w:line="276" w:lineRule="auto"/>
      </w:pPr>
      <w:r>
        <w:t>**Conclusion technique** : Les indicateurs sont globalement divergents — les moyennes mobiles plaident pour l'achat, tandis que le MACD et le stochastique émettent des signaux baissiers, le RSI et les Bollinger restant neutres. Cette configuration mitigée, couplée à la volatilité élevée (49%), suggère une absence de tendance claire et un risque de consolidation, voire de correction, à court terme. La prudence domine.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(secteur Banque selon la classification, bien que SIVC opère dans les gaz industriels) révèlent un PNB/CA de 9,283 milliards FCFA, un résultat net de 376,96 millions FCFA, un ROE de 11,52% (en dessous du seuil d'excellence de 15%) et un ROA de 2,69% — des niveaux de rentabilité modestes. Le coefficient d'exploitation de 95,83% est très élevé (très au-dessus du seuil de 60% pour une banque efficace), traduisant une structure de coûts lourde et une faible efficacité opérationnelle, tandis que le coût du risque de 3,10% reste contenu. La marge nette de 4,06% et la marge opérationnelle de 5,63% confirment une rentabilité fragile, et l'autonomie financière de 23,34% (inférieure au seuil sain de 30%) indique une dépendance élevée aux dettes. Le rapport annuel 2025 (analysé le 29/06/2026) fait état d'un CA de 10,075 milliards FCFA (+8,53% vs 2024) mais d'un résultat net en chute de -52,4% à 179,29 millions FCFA, avec une marge nette divisée par deux à 1,78% — une dégradation préoccupante de la rentabilité malgré la croissance des ventes. Le rapport du S1 2025 (30/06/2025) mentionne un CA de 4,897 milliards FCFA (+8,8%) et un résultat net de 512,9 millions FCFA (+4,6%), tandis que le rapport du T3 2025 (date inconnue) affiche un CA cumulé de 7,584 milliards FCFA (+13%) et un résultat net de 832,5 millions FCFA (+58%) — ces chiffres trimestriels semblent toutefois en contradiction avec le résultat net annuel 2025 de 179 millions FCFA, suggérant des ajustements de fin d'exercice (provisions, éléments exceptionnels) ayant lourdement pesé. Sur la base du T3 2025 (marge nette de 11,0%), on pourrait estimer un exercice 2025 solide, mais le rapport annuel 2025 (marge nette de 1,78%) invalide cette projection, révélant une dégradation brutale en fin d'année. La trésorerie nette reste négative (-1,66 milliard FCFA en 2025 contre -2,143 milliards en 2024), et l'endettement financier s'élève à 4,164 milliards FCFA, pesant sur la structure financière. La recommandation fondamentale est de **CONSERVER avec surveillance**, la croissance du CA étant réelle mais la rentabilité et la trésorerie demeurant fragiles.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manifestement surévaluée : PER de 55,6x (5x la moyenne BRVM), P/B de 6,41x et EV/EBITDA de 17,5x traduisent une prime excessive par rapport aux bénéfices et à la valeur comptable, sans justification par la croissance. Le comportement du cours (Partie 1) est baissier sur 100 jours (-11,11%), avec une volatilité très élevée (49%) et une distribution platykurtique (kurtosis -1,275) exposant à des mouvements amples ; le rebond de +4,35% en J-1 reste isolé et ne renverse pas la tendance. Les signaux techniques (Partie 2) sont divergents : les moyennes mobiles sont haussières, mais le MACD baissier et le stochastique en surachat (%K=80) plaident pour une correction, le RSI et les Bollinger restant neutres — une configuration qui ne soutient pas un achat. Les fondamentaux (Partie 3) sont préoccupants : malgré un CA 2025 de 10,075 milliards FCFA (+8,53%), le résultat net a chuté de -52,4% à 179,29 millions FCFA, la marge nette s'effondrant à 1,78%, avec une trésorerie nette négative (-1,66 milliard FCFA) et un endettement élevé (4,164 milliards FCFA). Les prédictions IA (J+1 à J+10) anticipent une baisse continue de 2 303 FCFA à 2 255 FCFA, confirmant la pression baissière et contredisant le rebond récent. Sur la base de cette synthèse globale — valorisation surévaluée, technique divergente, fondamentaux dégradés et prédictions baissières — la recommandation finale est **VENTE**, avec un niveau de confiance **Moyen** (les signaux baissiers sont convergents mais le rebond de J-1 introduit une incertitude) et un niveau de risque global **Élevé** (volatilité de 49%, trésorerie négative, rentabilité en chute). L'horizon d'investissement optimal est **court terme (&lt;3 mois)** pour les investisseurs cherchant à sortir avant la poursuite de la correction, ou **moyen terme (3-12 mois)** pour ceux qui souhaitent attendre une stabilisation des fondamentaux avant tout nouvel engagement.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1,311 titres</w:t>
            </w:r>
          </w:p>
        </w:tc>
        <w:tc>
          <w:tcPr>
            <w:tcW w:type="dxa" w:w="2268"/>
            <w:shd w:fill="FFF2CC" w:val="clear"/>
          </w:tcPr>
          <w:p>
            <w:r>
              <w:rPr>
                <w:b/>
                <w:color w:val="503200"/>
                <w:sz w:val="16"/>
              </w:rPr>
              <w:t xml:space="preserve">Cours actuel : </w:t>
            </w:r>
            <w:r>
              <w:rPr>
                <w:color w:val="000000"/>
                <w:sz w:val="17"/>
              </w:rPr>
              <w:t>37,905 FCFA</w:t>
            </w:r>
          </w:p>
          <w:p>
            <w:r>
              <w:rPr>
                <w:b/>
                <w:color w:val="503200"/>
                <w:sz w:val="16"/>
              </w:rPr>
              <w:t xml:space="preserve">Var. 100 jours : </w:t>
            </w:r>
            <w:r>
              <w:rPr>
                <w:b/>
                <w:color w:val="B40000"/>
                <w:sz w:val="17"/>
              </w:rPr>
              <w:t>-4.76%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2.45% (Faible) — μ=38,275 FCFA, σ=939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β=0.1885 (Défensif) — Cov=0.000007, Var(idx)=0.000035, ρ=0.060,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37,403</w:t>
            </w:r>
          </w:p>
        </w:tc>
        <w:tc>
          <w:tcPr>
            <w:tcW w:type="dxa" w:w="1440"/>
            <w:shd w:fill="FAFAFA" w:val="clear"/>
          </w:tcPr>
          <w:p>
            <w:r>
              <w:rPr>
                <w:b/>
                <w:sz w:val="17"/>
              </w:rPr>
              <w:t>38,540</w:t>
            </w:r>
          </w:p>
        </w:tc>
        <w:tc>
          <w:tcPr>
            <w:tcW w:type="dxa" w:w="1440"/>
            <w:shd w:fill="FAFAFA" w:val="clear"/>
          </w:tcPr>
          <w:p>
            <w:r>
              <w:rPr>
                <w:sz w:val="17"/>
              </w:rPr>
              <w:t>39,676</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2026-09-15</w:t>
            </w:r>
          </w:p>
        </w:tc>
        <w:tc>
          <w:tcPr>
            <w:tcW w:type="dxa" w:w="1440"/>
            <w:shd w:fill="C6EFCE" w:val="clear"/>
          </w:tcPr>
          <w:p>
            <w:r>
              <w:rPr>
                <w:sz w:val="17"/>
              </w:rPr>
              <w:t>37,198</w:t>
            </w:r>
          </w:p>
        </w:tc>
        <w:tc>
          <w:tcPr>
            <w:tcW w:type="dxa" w:w="1440"/>
            <w:shd w:fill="C6EFCE" w:val="clear"/>
          </w:tcPr>
          <w:p>
            <w:r>
              <w:rPr>
                <w:b/>
                <w:sz w:val="17"/>
              </w:rPr>
              <w:t>38,817</w:t>
            </w:r>
          </w:p>
        </w:tc>
        <w:tc>
          <w:tcPr>
            <w:tcW w:type="dxa" w:w="1440"/>
            <w:shd w:fill="C6EFCE" w:val="clear"/>
          </w:tcPr>
          <w:p>
            <w:r>
              <w:rPr>
                <w:sz w:val="17"/>
              </w:rPr>
              <w:t>40,436</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2026-09-16</w:t>
            </w:r>
          </w:p>
        </w:tc>
        <w:tc>
          <w:tcPr>
            <w:tcW w:type="dxa" w:w="1440"/>
            <w:shd w:fill="C6EFCE" w:val="clear"/>
          </w:tcPr>
          <w:p>
            <w:r>
              <w:rPr>
                <w:sz w:val="17"/>
              </w:rPr>
              <w:t>37,150</w:t>
            </w:r>
          </w:p>
        </w:tc>
        <w:tc>
          <w:tcPr>
            <w:tcW w:type="dxa" w:w="1440"/>
            <w:shd w:fill="C6EFCE" w:val="clear"/>
          </w:tcPr>
          <w:p>
            <w:r>
              <w:rPr>
                <w:b/>
                <w:sz w:val="17"/>
              </w:rPr>
              <w:t>39,149</w:t>
            </w:r>
          </w:p>
        </w:tc>
        <w:tc>
          <w:tcPr>
            <w:tcW w:type="dxa" w:w="1440"/>
            <w:shd w:fill="C6EFCE" w:val="clear"/>
          </w:tcPr>
          <w:p>
            <w:r>
              <w:rPr>
                <w:sz w:val="17"/>
              </w:rPr>
              <w:t>41,149</w:t>
            </w:r>
          </w:p>
        </w:tc>
        <w:tc>
          <w:tcPr>
            <w:tcW w:type="dxa" w:w="1440"/>
            <w:shd w:fill="C6EFCE" w:val="clear"/>
          </w:tcPr>
          <w:p>
            <w:r>
              <w:rPr>
                <w:b/>
                <w:color w:val="008000"/>
                <w:sz w:val="17"/>
              </w:rPr>
              <w:t>+3.3%</w:t>
            </w:r>
          </w:p>
        </w:tc>
      </w:tr>
      <w:tr>
        <w:tc>
          <w:tcPr>
            <w:tcW w:type="dxa" w:w="1440"/>
            <w:shd w:fill="C6EFCE" w:val="clear"/>
          </w:tcPr>
          <w:p>
            <w:r>
              <w:rPr>
                <w:sz w:val="17"/>
              </w:rPr>
              <w:t>J+4  Moyenne</w:t>
            </w:r>
          </w:p>
        </w:tc>
        <w:tc>
          <w:tcPr>
            <w:tcW w:type="dxa" w:w="1440"/>
            <w:shd w:fill="C6EFCE" w:val="clear"/>
          </w:tcPr>
          <w:p>
            <w:r>
              <w:rPr>
                <w:sz w:val="17"/>
              </w:rPr>
              <w:t>2026-09-17</w:t>
            </w:r>
          </w:p>
        </w:tc>
        <w:tc>
          <w:tcPr>
            <w:tcW w:type="dxa" w:w="1440"/>
            <w:shd w:fill="C6EFCE" w:val="clear"/>
          </w:tcPr>
          <w:p>
            <w:r>
              <w:rPr>
                <w:sz w:val="17"/>
              </w:rPr>
              <w:t>37,157</w:t>
            </w:r>
          </w:p>
        </w:tc>
        <w:tc>
          <w:tcPr>
            <w:tcW w:type="dxa" w:w="1440"/>
            <w:shd w:fill="C6EFCE" w:val="clear"/>
          </w:tcPr>
          <w:p>
            <w:r>
              <w:rPr>
                <w:b/>
                <w:sz w:val="17"/>
              </w:rPr>
              <w:t>39,485</w:t>
            </w:r>
          </w:p>
        </w:tc>
        <w:tc>
          <w:tcPr>
            <w:tcW w:type="dxa" w:w="1440"/>
            <w:shd w:fill="C6EFCE" w:val="clear"/>
          </w:tcPr>
          <w:p>
            <w:r>
              <w:rPr>
                <w:sz w:val="17"/>
              </w:rPr>
              <w:t>41,814</w:t>
            </w:r>
          </w:p>
        </w:tc>
        <w:tc>
          <w:tcPr>
            <w:tcW w:type="dxa" w:w="1440"/>
            <w:shd w:fill="C6EFCE" w:val="clear"/>
          </w:tcPr>
          <w:p>
            <w:r>
              <w:rPr>
                <w:b/>
                <w:color w:val="008000"/>
                <w:sz w:val="17"/>
              </w:rPr>
              <w:t>+4.2%</w:t>
            </w:r>
          </w:p>
        </w:tc>
      </w:tr>
      <w:tr>
        <w:tc>
          <w:tcPr>
            <w:tcW w:type="dxa" w:w="1440"/>
            <w:shd w:fill="C6EFCE" w:val="clear"/>
          </w:tcPr>
          <w:p>
            <w:r>
              <w:rPr>
                <w:sz w:val="17"/>
              </w:rPr>
              <w:t>J+5  Moyenne</w:t>
            </w:r>
          </w:p>
        </w:tc>
        <w:tc>
          <w:tcPr>
            <w:tcW w:type="dxa" w:w="1440"/>
            <w:shd w:fill="C6EFCE" w:val="clear"/>
          </w:tcPr>
          <w:p>
            <w:r>
              <w:rPr>
                <w:sz w:val="17"/>
              </w:rPr>
              <w:t>2026-09-18</w:t>
            </w:r>
          </w:p>
        </w:tc>
        <w:tc>
          <w:tcPr>
            <w:tcW w:type="dxa" w:w="1440"/>
            <w:shd w:fill="C6EFCE" w:val="clear"/>
          </w:tcPr>
          <w:p>
            <w:r>
              <w:rPr>
                <w:sz w:val="17"/>
              </w:rPr>
              <w:t>37,190</w:t>
            </w:r>
          </w:p>
        </w:tc>
        <w:tc>
          <w:tcPr>
            <w:tcW w:type="dxa" w:w="1440"/>
            <w:shd w:fill="C6EFCE" w:val="clear"/>
          </w:tcPr>
          <w:p>
            <w:r>
              <w:rPr>
                <w:b/>
                <w:sz w:val="17"/>
              </w:rPr>
              <w:t>39,815</w:t>
            </w:r>
          </w:p>
        </w:tc>
        <w:tc>
          <w:tcPr>
            <w:tcW w:type="dxa" w:w="1440"/>
            <w:shd w:fill="C6EFCE" w:val="clear"/>
          </w:tcPr>
          <w:p>
            <w:r>
              <w:rPr>
                <w:sz w:val="17"/>
              </w:rPr>
              <w:t>42,441</w:t>
            </w:r>
          </w:p>
        </w:tc>
        <w:tc>
          <w:tcPr>
            <w:tcW w:type="dxa" w:w="1440"/>
            <w:shd w:fill="C6EFCE" w:val="clear"/>
          </w:tcPr>
          <w:p>
            <w:r>
              <w:rPr>
                <w:b/>
                <w:color w:val="008000"/>
                <w:sz w:val="17"/>
              </w:rPr>
              <w:t>+5.0%</w:t>
            </w:r>
          </w:p>
        </w:tc>
      </w:tr>
      <w:tr>
        <w:tc>
          <w:tcPr>
            <w:tcW w:type="dxa" w:w="1440"/>
            <w:shd w:fill="C6EFCE" w:val="clear"/>
          </w:tcPr>
          <w:p>
            <w:r>
              <w:rPr>
                <w:sz w:val="17"/>
              </w:rPr>
              <w:t>J+6  Moyenne</w:t>
            </w:r>
          </w:p>
        </w:tc>
        <w:tc>
          <w:tcPr>
            <w:tcW w:type="dxa" w:w="1440"/>
            <w:shd w:fill="C6EFCE" w:val="clear"/>
          </w:tcPr>
          <w:p>
            <w:r>
              <w:rPr>
                <w:sz w:val="17"/>
              </w:rPr>
              <w:t>2026-09-21</w:t>
            </w:r>
          </w:p>
        </w:tc>
        <w:tc>
          <w:tcPr>
            <w:tcW w:type="dxa" w:w="1440"/>
            <w:shd w:fill="C6EFCE" w:val="clear"/>
          </w:tcPr>
          <w:p>
            <w:r>
              <w:rPr>
                <w:sz w:val="17"/>
              </w:rPr>
              <w:t>37,239</w:t>
            </w:r>
          </w:p>
        </w:tc>
        <w:tc>
          <w:tcPr>
            <w:tcW w:type="dxa" w:w="1440"/>
            <w:shd w:fill="C6EFCE" w:val="clear"/>
          </w:tcPr>
          <w:p>
            <w:r>
              <w:rPr>
                <w:b/>
                <w:sz w:val="17"/>
              </w:rPr>
              <w:t>40,138</w:t>
            </w:r>
          </w:p>
        </w:tc>
        <w:tc>
          <w:tcPr>
            <w:tcW w:type="dxa" w:w="1440"/>
            <w:shd w:fill="C6EFCE" w:val="clear"/>
          </w:tcPr>
          <w:p>
            <w:r>
              <w:rPr>
                <w:sz w:val="17"/>
              </w:rPr>
              <w:t>43,038</w:t>
            </w:r>
          </w:p>
        </w:tc>
        <w:tc>
          <w:tcPr>
            <w:tcW w:type="dxa" w:w="1440"/>
            <w:shd w:fill="C6EFCE" w:val="clear"/>
          </w:tcPr>
          <w:p>
            <w:r>
              <w:rPr>
                <w:b/>
                <w:color w:val="008000"/>
                <w:sz w:val="17"/>
              </w:rPr>
              <w:t>+5.9%</w:t>
            </w:r>
          </w:p>
        </w:tc>
      </w:tr>
      <w:tr>
        <w:tc>
          <w:tcPr>
            <w:tcW w:type="dxa" w:w="1440"/>
            <w:shd w:fill="C6EFCE" w:val="clear"/>
          </w:tcPr>
          <w:p>
            <w:r>
              <w:rPr>
                <w:sz w:val="17"/>
              </w:rPr>
              <w:t>J+7  Moyenne</w:t>
            </w:r>
          </w:p>
        </w:tc>
        <w:tc>
          <w:tcPr>
            <w:tcW w:type="dxa" w:w="1440"/>
            <w:shd w:fill="C6EFCE" w:val="clear"/>
          </w:tcPr>
          <w:p>
            <w:r>
              <w:rPr>
                <w:sz w:val="17"/>
              </w:rPr>
              <w:t>2026-09-22</w:t>
            </w:r>
          </w:p>
        </w:tc>
        <w:tc>
          <w:tcPr>
            <w:tcW w:type="dxa" w:w="1440"/>
            <w:shd w:fill="C6EFCE" w:val="clear"/>
          </w:tcPr>
          <w:p>
            <w:r>
              <w:rPr>
                <w:sz w:val="17"/>
              </w:rPr>
              <w:t>37,299</w:t>
            </w:r>
          </w:p>
        </w:tc>
        <w:tc>
          <w:tcPr>
            <w:tcW w:type="dxa" w:w="1440"/>
            <w:shd w:fill="C6EFCE" w:val="clear"/>
          </w:tcPr>
          <w:p>
            <w:r>
              <w:rPr>
                <w:b/>
                <w:sz w:val="17"/>
              </w:rPr>
              <w:t>40,455</w:t>
            </w:r>
          </w:p>
        </w:tc>
        <w:tc>
          <w:tcPr>
            <w:tcW w:type="dxa" w:w="1440"/>
            <w:shd w:fill="C6EFCE" w:val="clear"/>
          </w:tcPr>
          <w:p>
            <w:r>
              <w:rPr>
                <w:sz w:val="17"/>
              </w:rPr>
              <w:t>43,611</w:t>
            </w:r>
          </w:p>
        </w:tc>
        <w:tc>
          <w:tcPr>
            <w:tcW w:type="dxa" w:w="1440"/>
            <w:shd w:fill="C6EFCE" w:val="clear"/>
          </w:tcPr>
          <w:p>
            <w:r>
              <w:rPr>
                <w:b/>
                <w:color w:val="008000"/>
                <w:sz w:val="17"/>
              </w:rPr>
              <w:t>+6.7%</w:t>
            </w:r>
          </w:p>
        </w:tc>
      </w:tr>
      <w:tr>
        <w:tc>
          <w:tcPr>
            <w:tcW w:type="dxa" w:w="1440"/>
            <w:shd w:fill="C6EFCE" w:val="clear"/>
          </w:tcPr>
          <w:p>
            <w:r>
              <w:rPr>
                <w:sz w:val="17"/>
              </w:rPr>
              <w:t>J+8  Moyenne</w:t>
            </w:r>
          </w:p>
        </w:tc>
        <w:tc>
          <w:tcPr>
            <w:tcW w:type="dxa" w:w="1440"/>
            <w:shd w:fill="C6EFCE" w:val="clear"/>
          </w:tcPr>
          <w:p>
            <w:r>
              <w:rPr>
                <w:sz w:val="17"/>
              </w:rPr>
              <w:t>2026-09-23</w:t>
            </w:r>
          </w:p>
        </w:tc>
        <w:tc>
          <w:tcPr>
            <w:tcW w:type="dxa" w:w="1440"/>
            <w:shd w:fill="C6EFCE" w:val="clear"/>
          </w:tcPr>
          <w:p>
            <w:r>
              <w:rPr>
                <w:sz w:val="17"/>
              </w:rPr>
              <w:t>37,367</w:t>
            </w:r>
          </w:p>
        </w:tc>
        <w:tc>
          <w:tcPr>
            <w:tcW w:type="dxa" w:w="1440"/>
            <w:shd w:fill="C6EFCE" w:val="clear"/>
          </w:tcPr>
          <w:p>
            <w:r>
              <w:rPr>
                <w:b/>
                <w:sz w:val="17"/>
              </w:rPr>
              <w:t>40,767</w:t>
            </w:r>
          </w:p>
        </w:tc>
        <w:tc>
          <w:tcPr>
            <w:tcW w:type="dxa" w:w="1440"/>
            <w:shd w:fill="C6EFCE" w:val="clear"/>
          </w:tcPr>
          <w:p>
            <w:r>
              <w:rPr>
                <w:sz w:val="17"/>
              </w:rPr>
              <w:t>44,167</w:t>
            </w:r>
          </w:p>
        </w:tc>
        <w:tc>
          <w:tcPr>
            <w:tcW w:type="dxa" w:w="1440"/>
            <w:shd w:fill="C6EFCE" w:val="clear"/>
          </w:tcPr>
          <w:p>
            <w:r>
              <w:rPr>
                <w:b/>
                <w:color w:val="008000"/>
                <w:sz w:val="17"/>
              </w:rPr>
              <w:t>+7.6%</w:t>
            </w:r>
          </w:p>
        </w:tc>
      </w:tr>
      <w:tr>
        <w:tc>
          <w:tcPr>
            <w:tcW w:type="dxa" w:w="1440"/>
            <w:shd w:fill="C6EFCE" w:val="clear"/>
          </w:tcPr>
          <w:p>
            <w:r>
              <w:rPr>
                <w:sz w:val="17"/>
              </w:rPr>
              <w:t>J+9  Moyenne</w:t>
            </w:r>
          </w:p>
        </w:tc>
        <w:tc>
          <w:tcPr>
            <w:tcW w:type="dxa" w:w="1440"/>
            <w:shd w:fill="C6EFCE" w:val="clear"/>
          </w:tcPr>
          <w:p>
            <w:r>
              <w:rPr>
                <w:sz w:val="17"/>
              </w:rPr>
              <w:t>2026-09-24</w:t>
            </w:r>
          </w:p>
        </w:tc>
        <w:tc>
          <w:tcPr>
            <w:tcW w:type="dxa" w:w="1440"/>
            <w:shd w:fill="C6EFCE" w:val="clear"/>
          </w:tcPr>
          <w:p>
            <w:r>
              <w:rPr>
                <w:sz w:val="17"/>
              </w:rPr>
              <w:t>37,440</w:t>
            </w:r>
          </w:p>
        </w:tc>
        <w:tc>
          <w:tcPr>
            <w:tcW w:type="dxa" w:w="1440"/>
            <w:shd w:fill="C6EFCE" w:val="clear"/>
          </w:tcPr>
          <w:p>
            <w:r>
              <w:rPr>
                <w:b/>
                <w:sz w:val="17"/>
              </w:rPr>
              <w:t>41,074</w:t>
            </w:r>
          </w:p>
        </w:tc>
        <w:tc>
          <w:tcPr>
            <w:tcW w:type="dxa" w:w="1440"/>
            <w:shd w:fill="C6EFCE" w:val="clear"/>
          </w:tcPr>
          <w:p>
            <w:r>
              <w:rPr>
                <w:sz w:val="17"/>
              </w:rPr>
              <w:t>44,708</w:t>
            </w:r>
          </w:p>
        </w:tc>
        <w:tc>
          <w:tcPr>
            <w:tcW w:type="dxa" w:w="1440"/>
            <w:shd w:fill="C6EFCE" w:val="clear"/>
          </w:tcPr>
          <w:p>
            <w:r>
              <w:rPr>
                <w:b/>
                <w:color w:val="008000"/>
                <w:sz w:val="17"/>
              </w:rPr>
              <w:t>+8.4%</w:t>
            </w:r>
          </w:p>
        </w:tc>
      </w:tr>
      <w:tr>
        <w:tc>
          <w:tcPr>
            <w:tcW w:type="dxa" w:w="1440"/>
            <w:shd w:fill="C6EFCE" w:val="clear"/>
          </w:tcPr>
          <w:p>
            <w:r>
              <w:rPr>
                <w:sz w:val="17"/>
              </w:rPr>
              <w:t>J+10  Moyenne</w:t>
            </w:r>
          </w:p>
        </w:tc>
        <w:tc>
          <w:tcPr>
            <w:tcW w:type="dxa" w:w="1440"/>
            <w:shd w:fill="C6EFCE" w:val="clear"/>
          </w:tcPr>
          <w:p>
            <w:r>
              <w:rPr>
                <w:sz w:val="17"/>
              </w:rPr>
              <w:t>2026-09-25</w:t>
            </w:r>
          </w:p>
        </w:tc>
        <w:tc>
          <w:tcPr>
            <w:tcW w:type="dxa" w:w="1440"/>
            <w:shd w:fill="C6EFCE" w:val="clear"/>
          </w:tcPr>
          <w:p>
            <w:r>
              <w:rPr>
                <w:sz w:val="17"/>
              </w:rPr>
              <w:t>37,519</w:t>
            </w:r>
          </w:p>
        </w:tc>
        <w:tc>
          <w:tcPr>
            <w:tcW w:type="dxa" w:w="1440"/>
            <w:shd w:fill="C6EFCE" w:val="clear"/>
          </w:tcPr>
          <w:p>
            <w:r>
              <w:rPr>
                <w:b/>
                <w:sz w:val="17"/>
              </w:rPr>
              <w:t>41,377</w:t>
            </w:r>
          </w:p>
        </w:tc>
        <w:tc>
          <w:tcPr>
            <w:tcW w:type="dxa" w:w="1440"/>
            <w:shd w:fill="C6EFCE" w:val="clear"/>
          </w:tcPr>
          <w:p>
            <w:r>
              <w:rPr>
                <w:sz w:val="17"/>
              </w:rPr>
              <w:t>45,236</w:t>
            </w:r>
          </w:p>
        </w:tc>
        <w:tc>
          <w:tcPr>
            <w:tcW w:type="dxa" w:w="1440"/>
            <w:shd w:fill="C6EFCE" w:val="clear"/>
          </w:tcPr>
          <w:p>
            <w:r>
              <w:rPr>
                <w:b/>
                <w:color w:val="008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RAPPORT D'ANALYSE FINANCIÈRE — SOLIBRA (SLBC)</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**623,95 milliards FCFA**, SOLIBRA s'impose comme l'une des toutes premières capitalisations de la BRVM, ce qui en fait une valeur de référence pour les investisseurs institutionnels régionaux. Le BPA de **2 781 FCFA/action** traduit une rentabilité par titre particulièrement élevée, cohérente avec le résultat net 2025 de 45,78 milliards FCFA. Le PER de **13,6x** situe le titre légèrement au-dessus de la moyenne du marché BRVM (8-12x), mais cette prime se justifie pleinement par la croissance exceptionnelle du bénéfice (+113% en 2025) et la qualité des fondamentaux. Le P/B de **3,20x** indique que le marché valorise l'entreprise à plus de trois fois ses capitaux propres (195,14 milliards FCFA), une prime de croissance justifiée par un ROE remarquable de **23,46%**. Enfin, l'EV/EBITDA de **7,4x** demeure raisonnable dans la fourchette 5-10x, suggérant que la valeur totale de l'entreprise reste cohérente avec sa capacité opérationnelle à générer de l'EBITDA (87,44 milliards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affiche une **variation totale de -4,76%**, avec une quasi-stabilité en dernière séance (+0,01%), le cours s'établissant à **37 905 FCFA**. Le range de trading est relativement contenu, entre un plus haut de **41 500 FCFA** et un plus bas de **35 540 FCFA**, soit une amplitude d'environ 16,8%, traduisant une tendance globalement baissière mais sans décrochage violent. La moyenne du cours (38 275 FCFA) est légèrement supérieure à la médiane (38 000 FCFA) et au mode (38 000 FCFA), ce qui indique une distribution faiblement asymétrique à droite, confirmée par un skewness de **0,392** (distribution qualifiée de symétrique). L'écart-type de **944 FCFA** avec un coefficient de variation de seulement **2,5%** révèle une dispersion très faible du cours autour de sa moyenne, signe d'un titre peu agité. Le kurtosis de **0,483** (mésokurtique) suggère une distribution proche de la normale, sans risque majeur de pics extrêmes. La volatilité annualisée de **29,1%** positionne le titre dans la catégorie des valeurs à volatilité modérée (15-30%), ce qui est rassurant pour un investisseur recherchant un profil équilibré entre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(37 659,5 FCFA) est inférieure à la MM50 (38 334,1 FCFA), configuration baissière classique (death cross), et le cours actuel (37 905 FCFA) se situe entre les deux, légèrement au-dessus de la MM20 mais sous la MM50. Cette position relative justifie la décision de **Vente** émise par le système, le titre n'ayant pas encore reconquis sa moyenne longue.</w:t>
      </w:r>
    </w:p>
    <w:p>
      <w:pPr>
        <w:spacing w:after="120" w:line="276" w:lineRule="auto"/>
      </w:pPr>
      <w:r>
        <w:t>**Bandes de Bollinger** : Le cours (37 905 FCFA) évolue dans la partie médiane-haute du canal, entre la borne inférieure (36 948,6 FCFA) et supérieure (38 370,4 FCFA), sans contact avec les extrêmes. Cette position centrale, couplée à un resserrement des bandes, traduit une faible volatilité immédiate et justifie la décision **Neutre**, en l'absence de signal directionnel fort.</w:t>
      </w:r>
    </w:p>
    <w:p>
      <w:pPr>
        <w:spacing w:after="120" w:line="276" w:lineRule="auto"/>
      </w:pPr>
      <w:r>
        <w:t>**MACD** : La valeur du MACD (-75,918) est supérieure à son signal (-157,045), configuration haussière (croisement positif récent) indiquant un momentum en amélioration. Bien que les deux lignes restent en territoire négatif, ce croisement justifie la décision d'**Achat**, signalant un possible retournement de tendance à court terme.</w:t>
      </w:r>
    </w:p>
    <w:p>
      <w:pPr>
        <w:spacing w:after="120" w:line="276" w:lineRule="auto"/>
      </w:pPr>
      <w:r>
        <w:t>**RSI** : À **60,714**, le RSI se situe en zone neutre-haute (30-70), sans atteindre la zone de surachat (&gt;70). Cette valeur traduit une dynamique positive modérée, avec encore du potentiel de hausse avant saturation, justifiant la décision **Neutre** — ni signal d'achat agressif, ni signal de vente.</w:t>
      </w:r>
    </w:p>
    <w:p>
      <w:pPr>
        <w:spacing w:after="120" w:line="276" w:lineRule="auto"/>
      </w:pPr>
      <w:r>
        <w:t>**Stochastique** : Le %K (90,5) et le %D (93,5) sont tous deux en zone de surachat (&gt;80), avec un %K légèrement sous le %D, suggérant un début d'essoufflement. Cette configuration justifie la décision de **Vente** à court terme, le titre étant statistiquement vulnérable à une correction après une phase de hausse.</w:t>
      </w:r>
    </w:p>
    <w:p>
      <w:pPr>
        <w:spacing w:after="120" w:line="276" w:lineRule="auto"/>
      </w:pPr>
      <w:r>
        <w:t>**Conclusion technique** : Les indicateurs sont **divergents** — le MACD (achat) et le RSI (neutre) plaident pour une poursuite haussière modérée, tandis que les Moyennes Mobiles (vente) et le Stochastique (vente) signalent une pression baissière persistante. Les Bandes de Bollinger confirment une phase de consolidation sans direction claire. Cette divergence suggère une **phase de transition** : le titre pourrait tester la résistance de 38 370 FCFA (borne supérieure) avant de choisir une direction, avec un biais légèrement haussier à court terme porté par le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SOLIBRA affiche un chiffre d'affaires de **378,123 milliards FCFA** en 2025, en croissance de **+22,08%** par rapport à 2024 (309,722 milliards FCFA), confirmant une dynamique commerciale exceptionnelle. Le résultat net s'élève à **45,781 milliards FCFA**, en progression de **+113%** (contre 21,472 milliards en 2024), avec une marge nette qui double de 6,9% à **12,11%**. La rentabilité des fonds propres (ROE) atteint **23,46%** (excellent, &gt;15%) et le ROA s'établit à **13,48%**, témoignant d'une utilisation très efficace des actifs. La structure financière est solide : autonomie financière de **57,48%**, ratio d'endettement maîtrisé à **42,52%**, et capacité de remboursement de seulement **0,67 an** de CAF. En tant qu'entreprise industrielle, les délais d'exploitation méritent attention : délai clients de **64,27 jours** (risque trésorerie modéré), délai fournisseurs de **76,82 jours** (favorable), et durée de stockage élevée de **117,32 jours** (immobilisation de capital à surveiller). Le BFR de **61,587 milliards FCFA** et le fonds de roulement de **83,689 milliards FCFA** confirment une gestion équilibrée du cycle d'exploitation.</w:t>
      </w:r>
    </w:p>
    <w:p>
      <w:pPr>
        <w:spacing w:after="120" w:line="276" w:lineRule="auto"/>
      </w:pPr>
      <w:r>
        <w:t>**Estimations basées sur les rapports trimestriels** : Le rapport T1 2026 (publié en 2026) indique un chiffre d'affaires de **93,46 milliards FCFA** (+7,6%) et un résultat net de **16,26 milliards FCFA** (+4,8%), avec une marge nette de **17,4%**. Sur cette base, on estime que l'exercice 2026 devrait enregistrer un chiffre d'affaires annuel d'environ **400-410 milliards FCFA** (+6-8%) et un résultat net de **50-55 milliards FCFA**, confirmant la poursuite de la croissance mais à un rythme plus modéré. Le rapport S1 2025 (daté du 30/06/2025) avait déjà montré un résultat net de 28,0 milliards FCFA (+175,1%), validant la trajectoire exceptionnelle de l'année 2025. Le rapport annuel 2025 (analysé par DEEPSEEK le 20/05/2026) confirme un taux de distribution de **76,5%** (dividende de 2 127 FCFA/action proposé à l'AGO du 05/06/2026), très généreux mais limitant l'autofinancement futur. **Recommandation fondamentale** : SOLIBRA présente des fondamentaux exceptionnels (croissance, rentabilité, structure financière), avec un risque principal lié à la soutenabilité de la croissance et à la pression sur les marges. La solidité du bilan et la position de leader justifient une vision positive à moyen-long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avec un biais haussier modéré**. La **valorisation (Partie 0)** est raisonnable (PER 13,6x, EV/EBITDA 7,4x) malgré une prime de croissance (P/B 3,20x), soutenue par un ROE de 23,46%. Le **comportement du cours (Partie 1)** montre une tendance baissière récente (-4,76%) mais une volatilité modérée (29,1%) et une distribution symétrique (skewness 0,392, kurtosis 0,483), sans risque extrême. Les **signaux techniques (Partie 2)** sont divergents : le MACD (achat) et le RSI (neutre) suggèrent un rebond, tandis que les MM (vente) et le Stochastique (vente) appellent à la prudence — une convergence haussière n'est pas encore établie. Les **fondamentaux (Partie 3)** sont excellents : croissance du CA (+22,08% en 2025), résultat net en hausse (+113%), ROE de 23,46%, et estimations T1 2026 confirmant la poursuite de la dynamique (+7,6% de CA). Les **prédictions IA (J+1 à J+10)** anticipent une trajectoire haussière progressive de 38 540 FCFA (14/09) à 39 815 FCFA (18/09), soit un potentiel de +5,0% sur 5 jours, ce qui **confirme** le signal du MACD et contredit la prudence des MM/Stochastique. **Recommandation finale : ACHAT** — La convergence entre valorisation raisonnable, fondamentaux exceptionnels, prédictions IA haussières et signal MACD positif l'emporte sur les signaux techniques baissiers à court terme. Le niveau de confiance est **Moyen** (divergence technique persistante) et le risque global **Moyen** (volatilité modérée, dépendance aux matières premières). L'horizon optimal est le **moyen terme (3-12 mois)**, le temps que la convergence technique s'établisse et que les résultats 2026 confirment les estimations.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142.65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1,563 titres</w:t>
            </w:r>
          </w:p>
        </w:tc>
        <w:tc>
          <w:tcPr>
            <w:tcW w:type="dxa" w:w="2268"/>
            <w:shd w:fill="FFF2CC" w:val="clear"/>
          </w:tcPr>
          <w:p>
            <w:r>
              <w:rPr>
                <w:b/>
                <w:color w:val="503200"/>
                <w:sz w:val="16"/>
              </w:rPr>
              <w:t xml:space="preserve">Cours actuel : </w:t>
            </w:r>
            <w:r>
              <w:rPr>
                <w:color w:val="000000"/>
                <w:sz w:val="17"/>
              </w:rPr>
              <w:t>18,300 FCFA</w:t>
            </w:r>
          </w:p>
          <w:p>
            <w:r>
              <w:rPr>
                <w:b/>
                <w:color w:val="503200"/>
                <w:sz w:val="16"/>
              </w:rPr>
              <w:t xml:space="preserve">Var. 100 jours : </w:t>
            </w:r>
            <w:r>
              <w:rPr>
                <w:b/>
                <w:color w:val="007800"/>
                <w:sz w:val="17"/>
              </w:rPr>
              <w:t>+58.65%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14.02% (Moyenne) — μ=15,238 FCFA, σ=2,136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β=-0.7404 (Contre-cyclique) — Cov=-0.000026, Var(idx)=0.000035, ρ=-0.192,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17,745</w:t>
            </w:r>
          </w:p>
        </w:tc>
        <w:tc>
          <w:tcPr>
            <w:tcW w:type="dxa" w:w="1440"/>
            <w:shd w:fill="FAFAFA" w:val="clear"/>
          </w:tcPr>
          <w:p>
            <w:r>
              <w:rPr>
                <w:b/>
                <w:sz w:val="17"/>
              </w:rPr>
              <w:t>18,169</w:t>
            </w:r>
          </w:p>
        </w:tc>
        <w:tc>
          <w:tcPr>
            <w:tcW w:type="dxa" w:w="1440"/>
            <w:shd w:fill="FAFAFA" w:val="clear"/>
          </w:tcPr>
          <w:p>
            <w:r>
              <w:rPr>
                <w:sz w:val="17"/>
              </w:rPr>
              <w:t>18,592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17,533</w:t>
            </w:r>
          </w:p>
        </w:tc>
        <w:tc>
          <w:tcPr>
            <w:tcW w:type="dxa" w:w="1440"/>
            <w:shd w:fill="FAFAFA" w:val="clear"/>
          </w:tcPr>
          <w:p>
            <w:r>
              <w:rPr>
                <w:b/>
                <w:sz w:val="17"/>
              </w:rPr>
              <w:t>18,130</w:t>
            </w:r>
          </w:p>
        </w:tc>
        <w:tc>
          <w:tcPr>
            <w:tcW w:type="dxa" w:w="1440"/>
            <w:shd w:fill="FAFAFA" w:val="clear"/>
          </w:tcPr>
          <w:p>
            <w:r>
              <w:rPr>
                <w:sz w:val="17"/>
              </w:rPr>
              <w:t>18,728</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17,361</w:t>
            </w:r>
          </w:p>
        </w:tc>
        <w:tc>
          <w:tcPr>
            <w:tcW w:type="dxa" w:w="1440"/>
            <w:shd w:fill="FAFAFA" w:val="clear"/>
          </w:tcPr>
          <w:p>
            <w:r>
              <w:rPr>
                <w:b/>
                <w:sz w:val="17"/>
              </w:rPr>
              <w:t>18,091</w:t>
            </w:r>
          </w:p>
        </w:tc>
        <w:tc>
          <w:tcPr>
            <w:tcW w:type="dxa" w:w="1440"/>
            <w:shd w:fill="FAFAFA" w:val="clear"/>
          </w:tcPr>
          <w:p>
            <w:r>
              <w:rPr>
                <w:sz w:val="17"/>
              </w:rPr>
              <w:t>18,821</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17,219</w:t>
            </w:r>
          </w:p>
        </w:tc>
        <w:tc>
          <w:tcPr>
            <w:tcW w:type="dxa" w:w="1440"/>
            <w:shd w:fill="FAFAFA" w:val="clear"/>
          </w:tcPr>
          <w:p>
            <w:r>
              <w:rPr>
                <w:b/>
                <w:sz w:val="17"/>
              </w:rPr>
              <w:t>18,061</w:t>
            </w:r>
          </w:p>
        </w:tc>
        <w:tc>
          <w:tcPr>
            <w:tcW w:type="dxa" w:w="1440"/>
            <w:shd w:fill="FAFAFA" w:val="clear"/>
          </w:tcPr>
          <w:p>
            <w:r>
              <w:rPr>
                <w:sz w:val="17"/>
              </w:rPr>
              <w:t>18,902</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17,093</w:t>
            </w:r>
          </w:p>
        </w:tc>
        <w:tc>
          <w:tcPr>
            <w:tcW w:type="dxa" w:w="1440"/>
            <w:shd w:fill="FAFAFA" w:val="clear"/>
          </w:tcPr>
          <w:p>
            <w:r>
              <w:rPr>
                <w:b/>
                <w:sz w:val="17"/>
              </w:rPr>
              <w:t>18,033</w:t>
            </w:r>
          </w:p>
        </w:tc>
        <w:tc>
          <w:tcPr>
            <w:tcW w:type="dxa" w:w="1440"/>
            <w:shd w:fill="FAFAFA" w:val="clear"/>
          </w:tcPr>
          <w:p>
            <w:r>
              <w:rPr>
                <w:sz w:val="17"/>
              </w:rPr>
              <w:t>18,973</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16,978</w:t>
            </w:r>
          </w:p>
        </w:tc>
        <w:tc>
          <w:tcPr>
            <w:tcW w:type="dxa" w:w="1440"/>
            <w:shd w:fill="FAFAFA" w:val="clear"/>
          </w:tcPr>
          <w:p>
            <w:r>
              <w:rPr>
                <w:b/>
                <w:sz w:val="17"/>
              </w:rPr>
              <w:t>18,006</w:t>
            </w:r>
          </w:p>
        </w:tc>
        <w:tc>
          <w:tcPr>
            <w:tcW w:type="dxa" w:w="1440"/>
            <w:shd w:fill="FAFAFA" w:val="clear"/>
          </w:tcPr>
          <w:p>
            <w:r>
              <w:rPr>
                <w:sz w:val="17"/>
              </w:rPr>
              <w:t>19,034</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16,872</w:t>
            </w:r>
          </w:p>
        </w:tc>
        <w:tc>
          <w:tcPr>
            <w:tcW w:type="dxa" w:w="1440"/>
            <w:shd w:fill="FAFAFA" w:val="clear"/>
          </w:tcPr>
          <w:p>
            <w:r>
              <w:rPr>
                <w:b/>
                <w:sz w:val="17"/>
              </w:rPr>
              <w:t>17,980</w:t>
            </w:r>
          </w:p>
        </w:tc>
        <w:tc>
          <w:tcPr>
            <w:tcW w:type="dxa" w:w="1440"/>
            <w:shd w:fill="FAFAFA" w:val="clear"/>
          </w:tcPr>
          <w:p>
            <w:r>
              <w:rPr>
                <w:sz w:val="17"/>
              </w:rPr>
              <w:t>19,089</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16,771</w:t>
            </w:r>
          </w:p>
        </w:tc>
        <w:tc>
          <w:tcPr>
            <w:tcW w:type="dxa" w:w="1440"/>
            <w:shd w:fill="FAFAFA" w:val="clear"/>
          </w:tcPr>
          <w:p>
            <w:r>
              <w:rPr>
                <w:b/>
                <w:sz w:val="17"/>
              </w:rPr>
              <w:t>17,955</w:t>
            </w:r>
          </w:p>
        </w:tc>
        <w:tc>
          <w:tcPr>
            <w:tcW w:type="dxa" w:w="1440"/>
            <w:shd w:fill="FAFAFA" w:val="clear"/>
          </w:tcPr>
          <w:p>
            <w:r>
              <w:rPr>
                <w:sz w:val="17"/>
              </w:rPr>
              <w:t>19,138</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16,676</w:t>
            </w:r>
          </w:p>
        </w:tc>
        <w:tc>
          <w:tcPr>
            <w:tcW w:type="dxa" w:w="1440"/>
            <w:shd w:fill="FFDCE0" w:val="clear"/>
          </w:tcPr>
          <w:p>
            <w:r>
              <w:rPr>
                <w:b/>
                <w:sz w:val="17"/>
              </w:rPr>
              <w:t>17,930</w:t>
            </w:r>
          </w:p>
        </w:tc>
        <w:tc>
          <w:tcPr>
            <w:tcW w:type="dxa" w:w="1440"/>
            <w:shd w:fill="FFDCE0" w:val="clear"/>
          </w:tcPr>
          <w:p>
            <w:r>
              <w:rPr>
                <w:sz w:val="17"/>
              </w:rPr>
              <w:t>19,183</w:t>
            </w:r>
          </w:p>
        </w:tc>
        <w:tc>
          <w:tcPr>
            <w:tcW w:type="dxa" w:w="1440"/>
            <w:shd w:fill="FFDCE0"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16,585</w:t>
            </w:r>
          </w:p>
        </w:tc>
        <w:tc>
          <w:tcPr>
            <w:tcW w:type="dxa" w:w="1440"/>
            <w:shd w:fill="FFDCE0" w:val="clear"/>
          </w:tcPr>
          <w:p>
            <w:r>
              <w:rPr>
                <w:b/>
                <w:sz w:val="17"/>
              </w:rPr>
              <w:t>17,905</w:t>
            </w:r>
          </w:p>
        </w:tc>
        <w:tc>
          <w:tcPr>
            <w:tcW w:type="dxa" w:w="1440"/>
            <w:shd w:fill="FFDCE0" w:val="clear"/>
          </w:tcPr>
          <w:p>
            <w:r>
              <w:rPr>
                <w:sz w:val="17"/>
              </w:rPr>
              <w:t>19,224</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Secteur : Entreprise industrielle (bitumes / produits pétroliers)*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142,65 Mds FCFA, SMBC se positionne comme une valeur de taille intermédiaire sur la BRVM, représentant une capitalisation significative pour le compartiment industriel de la cote. Le BPA de 1 677 FCFA/action signifie que chaque titre génère près de 1 677 FCFA de bénéfice net, ce qui, rapporté au cours actuel de 18 300 FCFA, donne un PER de 10,9x — un niveau modéré, légèrement supérieur à la moyenne BRVM (~8-12x) mais cohérent avec la forte progression récente des résultats (+50,3% en 2025). Le P/B de 3,32x indique que le marché valorise SMBC à plus de trois fois sa valeur comptable, traduisant une prime de croissance et de rentabilité (ROE de 30,5%) que les investisseurs acceptent de payer. Enfin, l'EV/EBITDA de 6,9x situe la valeur d'entreprise à un niveau raisonnable (fourchette 5-10x), suggérant que la capacité opérationnelle de génération de cash est correctement valorisée,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SMBC affiche une performance spectaculaire de +58,65%, portée par une tendance haussière soutenue, même si la dernière séance (J-1) marque une légère correction de -1,08%. Le titre a évolué dans un range très large, entre un plus bas de 11 450 FCFA et un plus haut de 18 500 FCFA, le cours actuel (18 300 FCFA) se situant à seulement 1,1% de son sommet — signe d'une dynamique acheteuse encore présente mais proche d'une zone de résistance. La moyenne (15 238 FCFA) est nettement inférieure à la médiane et au mode (16 000 FCFA), ce qui confirme une distribution asymétrique : le cours a passé plus de temps dans la partie haute de sa fourchette, avec des excursions baissières marquées en début de période. L'écart-type de 2 147 FCFA (CV = 14,1%) traduit une dispersion modérée du cours autour de sa moyenne, tandis que le kurtosis négatif (-1,097, distribution platykurtique) indique une faible concentration des rendements et un risque de pics moins prononcé qu'une distribution normale. Le skewness négatif (-0,602) confirme cette asymétrie : davantage de journées se sont situées au-dessus de la moyenne, avec une queue de distribution tirée vers les baisses. La volatilité annualisée de 36,1% classe SMBC parmi les titres à volatilité élevée (&gt;30%), ce qui implique un risque de marché significatif et justifie une gestion prudente de la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(17 198 FCFA) et la MM50 (16 750 FCFA) se situent toutes deux sous le cours actuel (18 300 FCFA), avec une MM20 supérieure à la MM50 — configuration haussière classique (croisement doré). Le cours évoluant au-dessus de ses deux moyennes, la décision technique est logiquement **Achat**, confirmant la force de la tendance de fond.</w:t>
      </w:r>
    </w:p>
    <w:p>
      <w:pPr>
        <w:spacing w:after="120" w:line="276" w:lineRule="auto"/>
      </w:pPr>
      <w:r>
        <w:t>**Bandes de Bollinger** : Le cours (18 300 FCFA) évolue tout près de la borne supérieure (18 428 FCFA) et très au-dessus de la borne inférieure (15 968 FCFA), ce qui traduit une volatilité récente élevée et une pression acheteuse forte. La décision est **Neutre** car le titre frôle la surchauffe : une clôture au-dessus de la borne supérieure signalerait une extension dangereuse, tandis qu'un retour vers la moyenne (17 198 FCFA) serait un signe de consolidation saine.</w:t>
      </w:r>
    </w:p>
    <w:p>
      <w:pPr>
        <w:spacing w:after="120" w:line="276" w:lineRule="auto"/>
      </w:pPr>
      <w:r>
        <w:t>**MACD** : La valeur du MACD (461,48) est nettement supérieure à son signal (346,14), avec un histogramme positif et croissant — configuration haussière confirmée. Le momentum est clairement positif, justifiant la décision **Achat**, bien que l'écart important entre les deux lignes appelle à la vigilance sur un éventuel retournement.</w:t>
      </w:r>
    </w:p>
    <w:p>
      <w:pPr>
        <w:spacing w:after="120" w:line="276" w:lineRule="auto"/>
      </w:pPr>
      <w:r>
        <w:t>**RSI** : À 81,82, le RSI se situe largement au-dessus du seuil de surachat (70), signalant que le titre est techniquement **suracheté** et qu'une correction ou consolidation est probable à court terme. La décision **Vente** reflète ce risque de repli, sans remettre en cause la tendance de fond.</w:t>
      </w:r>
    </w:p>
    <w:p>
      <w:pPr>
        <w:spacing w:after="120" w:line="276" w:lineRule="auto"/>
      </w:pPr>
      <w:r>
        <w:t>**Stochastique** : Le %K (88,24) et le %D (96,08) sont tous deux en zone de surachat extrême, avec un %K inférieur au %D — signe possible d'un début de croisement baissier. La décision **Vente** confirme la probabilité d'un essoufflement à court terme, en cohérence avec le RSI.</w:t>
      </w:r>
    </w:p>
    <w:p>
      <w:pPr>
        <w:spacing w:after="120" w:line="276" w:lineRule="auto"/>
      </w:pPr>
      <w:r>
        <w:t>**Conclusion technique** : Les indicateurs de tendance (MM, MACD) restent haussiers et confirment la solidité du mouvement de fond, mais les oscillateurs (RSI à 81,8, Stochastique en surachat) signalent une **divergence baissière à court terme**. Le titre est techniquement en zone de surchauffe après +58,65% en 100 jours, et une consolidation vers 17 200-17 500 FCFA (zone MM20) serait logique avant toute nouvelle jambe haussière. La convergence des signaux de vente à court terme invite à la prudence sur les points d'entrée.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certifiés) révèlent une société en pleine mutation : le chiffre d'affaires s'établit à 206,74 Mds FCFA, en **baisse de 9,74%** sur un an, mais le résultat net bondit à **13,075 Mds FCFA**, en progression de **+50,3%** par rapport aux 8,698 Mds FCFA de 2024. Cette performance paradoxale s'explique par une amélioration spectaculaire de la rentabilité opérationnelle : l'EBE atteint 18,48 Mds FCFA (+41,8%), la marge nette passe de 3,8% à **6,32%**, et le ROE s'envole à **30,47%** (largement au-dessus du seuil d'excellence de 15%), tandis que le ROA ressort à 7,26%. La structure financière se renforce : les capitaux propres atteignent 42,91 Mds FCFA (+21,6%), la trésorerie nette est positive à 23,99 Mds FCFA, et le ratio d'endettement (76,16%) reste maîtrisé grâce à des dettes financières limitées à 9,20 Mds FCFA. En tant qu'entreprise industrielle, les points d'attention portent sur le BFR (1,69 Md FCFA, favorable car faible) et surtout sur les **délais d'exploitation** : le délai clients de 193,75 jours est élevé et constitue un risque de trésorerie, mais il est compensé par un délai fournisseurs de 207,07 jours (avantageux) et une durée de stockage de 38,09 jours (correcte). Les rapports trimestriels 2025 confirment la tendance : au T3 2025 (rapport du 30/09/2025), le CA cumulé recule de -14% à 155,2 Mds FCFA mais le résultat net progresse de +6% à 5,7 Mds FCFA, avec une marge opérationnelle en hausse à 5,4% ; au S1 2025 (rapport du 30/06/2025), le CA baisse de -23% à 101,9 Mds FCFA et le résultat net recule de -7% à 3,9 Mds FCFA, mais l'EBE bondit de +38%. **On estime donc que l'exercice 2025 devrait clôturer sur un résultat net autour de 13 Mds FCFA** (chiffre effectivement confirmé par les états financiers annuels), porté par l'amélioration des marges de raffinage et la maîtrise des coûts. La recommandation fondamentale est **CONSERVER** : la solidité financière (ROE 30,5%, trésorerie nette positive, endettement faible) et l'amélioration de la rentabilité compensent la baisse du chiffre d'affaires, mais la dépendance aux cycles pétroliers et aux investissements publics en infrastructures reste un risque structurel majeur.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**Sur la valorisation (Partie 0)** : le PER de 10,9x et l'EV/EBITDA de 6,9x indiquent une valorisation raisonnable, voire légèrement sous-évaluée au regard de la croissance des bénéfices (+50,3%), mais le P/B de 3,32x traduit une prime déjà bien intégrée. **Sur le comportement du cours (Partie 1)** : la tendance haussière (+58,65%) est impressionnante mais la volatilité élevée (36,1%) et le skewness négatif (-0,602) signalent un risque de correction, le titre évoluant près de son plus haut historique. **Sur les signaux techniques (Partie 2)** : divergence nette entre les indicateurs de tendance (MM, MACD haussiers) et les oscillateurs (RSI 81,8 et Stochastique en surachat extrême, décisions Vente) — le titre est techniquement en zone de surchauffe. **Sur les fondamentaux (Partie 3)** : la société est solide (ROE 30,5%, trésorerie nette de 24 Mds FCFA, endettement faible), avec une rentabilité en forte amélioration malgré la baisse du CA, mais les délais clients élevés (194 jours) et la dépendance au secteur des BTP constituent des risques. **Sur les prédictions IA (J+1 à J+10)** : la trajectoire projetée (18 169 → 18 033 FCFA) anticipe une légère consolidation baissière de -1,5% sur 10 jours, ce qui **confirme** les signaux de vente à court terme des oscillateurs et **contredit** partiellement la tendance haussière de fond. **Recommandation finale : CONSERVER** — la convergence entre valorisation raisonnable, fondamentaux solides et prédiction de consolidation modérée plaide pour une position de conservation plutôt qu'un achat en zone de surchauffe. Le niveau de confiance est **Moyen** (les signaux techniques court terme sont baissiers mais les fondamentaux restent porteurs), le niveau de risque global est **Élevé** (volatilité 36,1%, dépendance sectorielle, surachat technique), et l'horizon d'investissement optimal est **moyen terme (3-12 mois)**, le temps que la consolidation technique s'achève et que la croissance des bénéfices se confirme sur l'exercice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3927.50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9,609 titres</w:t>
            </w:r>
          </w:p>
        </w:tc>
        <w:tc>
          <w:tcPr>
            <w:tcW w:type="dxa" w:w="2268"/>
            <w:shd w:fill="FFF2CC" w:val="clear"/>
          </w:tcPr>
          <w:p>
            <w:r>
              <w:rPr>
                <w:b/>
                <w:color w:val="503200"/>
                <w:sz w:val="16"/>
              </w:rPr>
              <w:t xml:space="preserve">Cours actuel : </w:t>
            </w:r>
            <w:r>
              <w:rPr>
                <w:color w:val="000000"/>
                <w:sz w:val="17"/>
              </w:rPr>
              <w:t>39,275 FCFA</w:t>
            </w:r>
          </w:p>
          <w:p>
            <w:r>
              <w:rPr>
                <w:b/>
                <w:color w:val="503200"/>
                <w:sz w:val="16"/>
              </w:rPr>
              <w:t xml:space="preserve">Var. 100 jours : </w:t>
            </w:r>
            <w:r>
              <w:rPr>
                <w:b/>
                <w:color w:val="007800"/>
                <w:sz w:val="17"/>
              </w:rPr>
              <w:t>+37.83%</w:t>
            </w:r>
          </w:p>
          <w:p>
            <w:r>
              <w:rPr>
                <w:b/>
                <w:color w:val="503200"/>
                <w:sz w:val="16"/>
              </w:rPr>
              <w:t xml:space="preserve">Plus haut 100j : </w:t>
            </w:r>
            <w:r>
              <w:rPr>
                <w:color w:val="000000"/>
                <w:sz w:val="17"/>
              </w:rPr>
              <w:t>39,275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25.3/100 → Moyen</w:t>
      </w:r>
    </w:p>
    <w:p>
      <w:pPr>
        <w:spacing w:before="40" w:after="80"/>
      </w:pPr>
      <w:r>
        <w:rPr>
          <w:rFonts w:ascii="Courier New" w:hAnsi="Courier New"/>
          <w:color w:val="825A00"/>
          <w:sz w:val="18"/>
        </w:rPr>
        <w:t>█████░░░░░░░░░░░░░░░  25.3/100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10.28% (Moyenne) — μ=30,928 FCFA, σ=3,180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β=1.8037 (Très agressif) — Cov=0.000063, Var(idx)=0.000035, ρ=0.560,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9,609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37,096</w:t>
            </w:r>
          </w:p>
        </w:tc>
        <w:tc>
          <w:tcPr>
            <w:tcW w:type="dxa" w:w="1440"/>
            <w:shd w:fill="FAFAFA" w:val="clear"/>
          </w:tcPr>
          <w:p>
            <w:r>
              <w:rPr>
                <w:b/>
                <w:sz w:val="17"/>
              </w:rPr>
              <w:t>38,607</w:t>
            </w:r>
          </w:p>
        </w:tc>
        <w:tc>
          <w:tcPr>
            <w:tcW w:type="dxa" w:w="1440"/>
            <w:shd w:fill="FAFAFA" w:val="clear"/>
          </w:tcPr>
          <w:p>
            <w:r>
              <w:rPr>
                <w:sz w:val="17"/>
              </w:rPr>
              <w:t>40,117</w:t>
            </w:r>
          </w:p>
        </w:tc>
        <w:tc>
          <w:tcPr>
            <w:tcW w:type="dxa" w:w="1440"/>
            <w:shd w:fill="FAFAFA" w:val="clear"/>
          </w:tcPr>
          <w:p>
            <w:r>
              <w:rPr>
                <w:b/>
                <w:color w:val="C00000"/>
                <w:sz w:val="17"/>
              </w:rPr>
              <w:t>-1.7%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36,466</w:t>
            </w:r>
          </w:p>
        </w:tc>
        <w:tc>
          <w:tcPr>
            <w:tcW w:type="dxa" w:w="1440"/>
            <w:shd w:fill="FAFAFA" w:val="clear"/>
          </w:tcPr>
          <w:p>
            <w:r>
              <w:rPr>
                <w:b/>
                <w:sz w:val="17"/>
              </w:rPr>
              <w:t>38,602</w:t>
            </w:r>
          </w:p>
        </w:tc>
        <w:tc>
          <w:tcPr>
            <w:tcW w:type="dxa" w:w="1440"/>
            <w:shd w:fill="FAFAFA" w:val="clear"/>
          </w:tcPr>
          <w:p>
            <w:r>
              <w:rPr>
                <w:sz w:val="17"/>
              </w:rPr>
              <w:t>40,738</w:t>
            </w:r>
          </w:p>
        </w:tc>
        <w:tc>
          <w:tcPr>
            <w:tcW w:type="dxa" w:w="1440"/>
            <w:shd w:fill="FAFAFA" w:val="clear"/>
          </w:tcPr>
          <w:p>
            <w:r>
              <w:rPr>
                <w:b/>
                <w:color w:val="C00000"/>
                <w:sz w:val="17"/>
              </w:rPr>
              <w:t>-1.7%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35,942</w:t>
            </w:r>
          </w:p>
        </w:tc>
        <w:tc>
          <w:tcPr>
            <w:tcW w:type="dxa" w:w="1440"/>
            <w:shd w:fill="FAFAFA" w:val="clear"/>
          </w:tcPr>
          <w:p>
            <w:r>
              <w:rPr>
                <w:b/>
                <w:sz w:val="17"/>
              </w:rPr>
              <w:t>38,554</w:t>
            </w:r>
          </w:p>
        </w:tc>
        <w:tc>
          <w:tcPr>
            <w:tcW w:type="dxa" w:w="1440"/>
            <w:shd w:fill="FAFAFA" w:val="clear"/>
          </w:tcPr>
          <w:p>
            <w:r>
              <w:rPr>
                <w:sz w:val="17"/>
              </w:rPr>
              <w:t>41,167</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35,501</w:t>
            </w:r>
          </w:p>
        </w:tc>
        <w:tc>
          <w:tcPr>
            <w:tcW w:type="dxa" w:w="1440"/>
            <w:shd w:fill="FAFAFA" w:val="clear"/>
          </w:tcPr>
          <w:p>
            <w:r>
              <w:rPr>
                <w:b/>
                <w:sz w:val="17"/>
              </w:rPr>
              <w:t>38,514</w:t>
            </w:r>
          </w:p>
        </w:tc>
        <w:tc>
          <w:tcPr>
            <w:tcW w:type="dxa" w:w="1440"/>
            <w:shd w:fill="FAFAFA" w:val="clear"/>
          </w:tcPr>
          <w:p>
            <w:r>
              <w:rPr>
                <w:sz w:val="17"/>
              </w:rPr>
              <w:t>41,528</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35,117</w:t>
            </w:r>
          </w:p>
        </w:tc>
        <w:tc>
          <w:tcPr>
            <w:tcW w:type="dxa" w:w="1440"/>
            <w:shd w:fill="FFDCE0" w:val="clear"/>
          </w:tcPr>
          <w:p>
            <w:r>
              <w:rPr>
                <w:b/>
                <w:sz w:val="17"/>
              </w:rPr>
              <w:t>38,484</w:t>
            </w:r>
          </w:p>
        </w:tc>
        <w:tc>
          <w:tcPr>
            <w:tcW w:type="dxa" w:w="1440"/>
            <w:shd w:fill="FFDCE0" w:val="clear"/>
          </w:tcPr>
          <w:p>
            <w:r>
              <w:rPr>
                <w:sz w:val="17"/>
              </w:rPr>
              <w:t>41,851</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34,774</w:t>
            </w:r>
          </w:p>
        </w:tc>
        <w:tc>
          <w:tcPr>
            <w:tcW w:type="dxa" w:w="1440"/>
            <w:shd w:fill="FFDCE0" w:val="clear"/>
          </w:tcPr>
          <w:p>
            <w:r>
              <w:rPr>
                <w:b/>
                <w:sz w:val="17"/>
              </w:rPr>
              <w:t>38,460</w:t>
            </w:r>
          </w:p>
        </w:tc>
        <w:tc>
          <w:tcPr>
            <w:tcW w:type="dxa" w:w="1440"/>
            <w:shd w:fill="FFDCE0" w:val="clear"/>
          </w:tcPr>
          <w:p>
            <w:r>
              <w:rPr>
                <w:sz w:val="17"/>
              </w:rPr>
              <w:t>42,146</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34,459</w:t>
            </w:r>
          </w:p>
        </w:tc>
        <w:tc>
          <w:tcPr>
            <w:tcW w:type="dxa" w:w="1440"/>
            <w:shd w:fill="FFDCE0" w:val="clear"/>
          </w:tcPr>
          <w:p>
            <w:r>
              <w:rPr>
                <w:b/>
                <w:sz w:val="17"/>
              </w:rPr>
              <w:t>38,438</w:t>
            </w:r>
          </w:p>
        </w:tc>
        <w:tc>
          <w:tcPr>
            <w:tcW w:type="dxa" w:w="1440"/>
            <w:shd w:fill="FFDCE0" w:val="clear"/>
          </w:tcPr>
          <w:p>
            <w:r>
              <w:rPr>
                <w:sz w:val="17"/>
              </w:rPr>
              <w:t>42,417</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34,166</w:t>
            </w:r>
          </w:p>
        </w:tc>
        <w:tc>
          <w:tcPr>
            <w:tcW w:type="dxa" w:w="1440"/>
            <w:shd w:fill="FFDCE0" w:val="clear"/>
          </w:tcPr>
          <w:p>
            <w:r>
              <w:rPr>
                <w:b/>
                <w:sz w:val="17"/>
              </w:rPr>
              <w:t>38,417</w:t>
            </w:r>
          </w:p>
        </w:tc>
        <w:tc>
          <w:tcPr>
            <w:tcW w:type="dxa" w:w="1440"/>
            <w:shd w:fill="FFDCE0" w:val="clear"/>
          </w:tcPr>
          <w:p>
            <w:r>
              <w:rPr>
                <w:sz w:val="17"/>
              </w:rPr>
              <w:t>42,669</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33,891</w:t>
            </w:r>
          </w:p>
        </w:tc>
        <w:tc>
          <w:tcPr>
            <w:tcW w:type="dxa" w:w="1440"/>
            <w:shd w:fill="FFDCE0" w:val="clear"/>
          </w:tcPr>
          <w:p>
            <w:r>
              <w:rPr>
                <w:b/>
                <w:sz w:val="17"/>
              </w:rPr>
              <w:t>38,398</w:t>
            </w:r>
          </w:p>
        </w:tc>
        <w:tc>
          <w:tcPr>
            <w:tcW w:type="dxa" w:w="1440"/>
            <w:shd w:fill="FFDCE0" w:val="clear"/>
          </w:tcPr>
          <w:p>
            <w:r>
              <w:rPr>
                <w:sz w:val="17"/>
              </w:rPr>
              <w:t>42,905</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33,631</w:t>
            </w:r>
          </w:p>
        </w:tc>
        <w:tc>
          <w:tcPr>
            <w:tcW w:type="dxa" w:w="1440"/>
            <w:shd w:fill="FFDCE0" w:val="clear"/>
          </w:tcPr>
          <w:p>
            <w:r>
              <w:rPr>
                <w:b/>
                <w:sz w:val="17"/>
              </w:rPr>
              <w:t>38,379</w:t>
            </w:r>
          </w:p>
        </w:tc>
        <w:tc>
          <w:tcPr>
            <w:tcW w:type="dxa" w:w="1440"/>
            <w:shd w:fill="FFDCE0" w:val="clear"/>
          </w:tcPr>
          <w:p>
            <w:r>
              <w:rPr>
                <w:sz w:val="17"/>
              </w:rPr>
              <w:t>43,127</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**Bourse Régionale des Valeurs Mobilières (BRVM) — Secteur : Télécommunications**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**3 927,50 milliards FCFA**, Sonatel confirme son statut de valeur phare de la BRVM, pesant à elle seule une part significative de la capitalisation totale du marché régional. Le BPA de **4 136 FCFA/action** traduit la capacité bénéficiaire unitaire élevée du titre, tandis que le PER de **9,5x** situe la valeur dans la fourchette basse de la moyenne BRVM (~8-12x), suggérant une sous-évaluation relative au regard de la qualité de ses fondamentaux. Le P/B de **2,81x** indique que le marché valorise l'action à près de trois fois sa valeur comptable, une prime de croissance justifiée par la rentabilité exceptionnelle des fonds propres (ROE de 29,56%). Enfin, l'**EV/EBITDA de 4,1x** — très inférieur au seuil de 5x — signale que la valeur d'entreprise est bon marché comparée à la capacité opérationnelle de génération de cash-flows, renforçant le profil attractif du titre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affiche une progression spectaculaire de **+37,83%**, avec une dernière séance en légère hausse de **+0,69%**, portant le cours actuel à **39 275 FCFA** — soit précisément le plus haut de la période. Le plus bas a été touché à **27 160 FCFA**, ce qui dessine un range de trading très large de plus de 12 000 FCFA et confirme une tendance nettement haussière, soutenue par un volume moyen quotidien de **9 609 titres**. Les statistiques descriptives révèlent une moyenne de **30 928 FCFA** nettement supérieure à la médiane de **29 498 FCFA**, avec un mode à **28 500 FCFA** : cet écart moyen/médiane confirme une distribution asymétrique où le cours a passé plus de temps dans les niveaux bas avant de s'envoler en fin de période. L'écart-type de **3 196 FCFA** et le coefficient de variation de **10,3%** indiquent une dispersion modérée autour de la moyenne, tandis que le kurtosis de **0,648** (mésokurtique, proche d'une loi normale) suggère un risque de pics extrêmes limité. Le skewness positif de **1,315** — asymétrie positive — signifie que les journées sous la moyenne ont été plus fréquentes que les journées au-dessus, mais que les hausses, lorsqu'elles surviennent, sont amples. La volatilité annualisée de **30,0%** positionne le titre dans la catégorie **modérée à élevée** (limite haute de la fourchette 15-30%), cohérente avec un marché frontière en pleine réévaluation.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**36 405,5 FCFA** et la MM50 à **33 264,3 FCFA**, toutes deux nettement inférieures au cours actuel de 39 275 FCFA. Cette configuration en « golden cross » (MM20 &gt; MM50 &gt; cours) confirme une dynamique haussière robuste et justifie la décision **Achat** : le titre évolue au-dessus de ses supports mobiles, signal d'un momentum acheteur intact.</w:t>
      </w:r>
    </w:p>
    <w:p>
      <w:pPr>
        <w:spacing w:after="120" w:line="276" w:lineRule="auto"/>
      </w:pPr>
      <w:r>
        <w:t>**Bandes de Bollinger** — La borne supérieure est à **41 205,06 FCFA** et la borne inférieure à **31 605,94 FCFA**, encadrant un cours de 39 275 FCFA qui se situe dans la moitié haute du canal sans le franchir. La décision est **Neutre** : le titre n'est ni en surachat extrême (pas de cassure de la borne haute) ni en zone de faiblesse, la largeur des bandes traduisant une volatilité encore contenue.</w:t>
      </w:r>
    </w:p>
    <w:p>
      <w:pPr>
        <w:spacing w:after="120" w:line="276" w:lineRule="auto"/>
      </w:pPr>
      <w:r>
        <w:t>**MACD** — La valeur du MACD (**1 862,714**) est supérieure à son signal (**1 714,272**), avec un histogramme positif. Cette divergence haussière confirme un momentum acheteur en cours et justifie la décision **Achat** : la tendance de fond reste orientée à la hausse, même si l'écart entre les deux courbes tend à se réduire, suggérant un essoufflement progressif.</w:t>
      </w:r>
    </w:p>
    <w:p>
      <w:pPr>
        <w:spacing w:after="120" w:line="276" w:lineRule="auto"/>
      </w:pPr>
      <w:r>
        <w:t>**RSI** — À **64,246**, le RSI se situe en zone neutre haute (30-70), sans atteindre le seuil de surachat de 70. La décision **Neutre** est cohérente : le titre conserve un potentiel de hausse résiduel mais se rapproche dangereusement d'une zone de correction technique.</w:t>
      </w:r>
    </w:p>
    <w:p>
      <w:pPr>
        <w:spacing w:after="120" w:line="276" w:lineRule="auto"/>
      </w:pPr>
      <w:r>
        <w:t>**Stochastique** — Le %K (**100,0**) est au sommet de son échelle et le %D (**95,809**) le suit de près, avec un %K au-dessus du %D. La décision **Vente** signale un risque imminent de retournement : le titre est en surachat extrême sur cet indicateur, historiquement annonciateur de prises de bénéfices à court terme.</w:t>
      </w:r>
    </w:p>
    <w:p>
      <w:pPr>
        <w:spacing w:after="120" w:line="276" w:lineRule="auto"/>
      </w:pPr>
      <w:r>
        <w:t>**Conclusion technique** — Les indicateurs présentent une **divergence préoccupante** : les moyennes mobiles et le MACD confirment la tendance haussière de fond (signaux Achat), tandis que le stochastique (Vente) et le RSI proche de 70 alertent sur un essoufflement à court terme. Le titre est haussier mais techniquement surchauffé, ce qui plaide pour une consolidation avant toute nouvelle jambe de hausse.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Sonatel affiche un chiffre d'affaires consolidé de **1 923,122 milliards FCFA**, en croissance de **+8,26%**, pour un résultat net de **413,588 milliards FCFA** (marge nette de **21,51%**). La rentabilité des fonds propres est exceptionnelle avec un **ROE de 29,56%** (très supérieur au seuil de 15% d'excellence) et un **ROA de 12,65%**, tandis que la marge opérationnelle atteint **34,83%** et la marge brute **67,03%**. La structure financière est saine : autonomie financière de **42,79%**, solvabilité générale de **174,79%** et capacité de remboursement de seulement **0,64 année** de CAF. En tant qu'entreprise de télécommunications, les délais d'exploitation méritent attention : le délai clients de **46,16 jours** reste maîtrisé, le délai fournisseurs de **201,39 jours** constitue un avantage de trésorerie considérable, et le **BFR négatif de -284,906 milliards FCFA** — particulièrement favorable — traduit un modèle de financement par les clients et fournisseurs. Le free cash-flow de **408,087 milliards FCFA** et la trésorerie nette de **536,105 milliards FCFA** confirment la génération de cash abondante.</w:t>
      </w:r>
    </w:p>
    <w:p>
      <w:pPr>
        <w:spacing w:after="120" w:line="276" w:lineRule="auto"/>
      </w:pPr>
      <w:r>
        <w:t>**Évolution temporelle et rapports narratifs** — Le rapport annuel 2024 (publié le 31/12/2024) faisait état d'un CA de 1 776,4 Mds FCFA (+9,6%) et d'un résultat net de 393,7 Mds FCFA (+18,7%), avec un BPA de 3 288 FCFA. Le rapport annuel 2025 (communiqué du 16/02/2026) confirme l'accélération avec un CA de 1 923,1 Mds FCFA (+8,3%) et un résultat net de 413,6 Mds FCFA (+5,1%), le BPA passant à 4 136 FCFA. Le rapport T3 2025 (publié le 30/09/2025) indiquait un CA 9M de 1 432,5 Mds FCFA (+8,6%) et un résultat net de 311 Mds FCFA (+8,0%), avec une marge EBITDAaL de 47,9%. Plus récemment, le communiqué du **27/07/2026** sur le S1 2026 révèle un CA de **1 049,8 Mds FCFA (+9,3%)**, un EBITDAaL de 510,8 Mds FCFA (+11,6%, marge de 48,7%) et un résultat net de **230 Mds FCFA (+10,5%)**, avec un parc de 43 millions de clients et une notation relevée à **AAA (wu)** par GCR Ratings. **Estimation** : sur la base de cette dynamique semestrielle (+9,3% de CA, +10,5% de résultat net), on peut estimer que l'exercice 2026 devrait dépasser les 2 100 Mds FCFA de CA et approcher les 450 Mds FCFA de résultat net, confirmant la trajectoire de croissance rentable.</w:t>
      </w:r>
    </w:p>
    <w:p>
      <w:pPr>
        <w:spacing w:after="120" w:line="276" w:lineRule="auto"/>
      </w:pPr>
      <w:r>
        <w:t>**Recommandation fondamentale** — La solidité est exceptionnelle : croissance à deux chiffres, marges élevées, bilan sain, trésorerie nette positive et dividende attractif de **1 740 FCFA net** (rendement de 4,43% au cours actuel). Les risques identifiés — pression fiscale et réglementaire (nouvelles taxes au Sénégal, Mali, Guinée-Bissau), intensification concurrentielle sur le Mobile Money et la Data — restent gérables au regard de la position de leader (55,9% de part de marché au Sénégal). La recommandation fondamentale est **Achat** pour un investisseur de long terme.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profil **haussier mais techniquement surchauffé**. La **valorisation** (Partie 0) est attractive : PER de 9,5x, EV/EBITDA de 4,1x et P/B de 2,81x indiquent une sous-évaluation relative au regard de la qualité des fondamentaux. Le **comportement du cours** (Partie 1) est très favorable (+37,83% sur 100 jours, skewness positif, volatilité modérée à 30%), bien que le cours évolue à son plus haut historique, ce qui expose à des prises de bénéfices. Les **signaux techniques** (Partie 2) sont mitigés : MM et MACD confirment la tendance haussière, mais le stochastique en surachat extrême (%K=100) et le RSI à 64,2 annoncent une correction imminente à court terme. Les **fondamentaux** (Partie 3) sont excellents : ROE de 29,56%, croissance du CA de +8,26% en 2025, S1 2026 en accélération (+9,3% de CA, +10,5% de résultat net), notation AAA et dividende de 1 740 FCFA. Les **prédictions IA** (J+1 à J+10) anticipent une légère consolidation de 39 275 FCFA vers 38 484 FCFA (-2,0%), ce qui **confirme** l'alerte technique du stochastique et du RSI sans contredire la tendance de fond haussière.</w:t>
      </w:r>
    </w:p>
    <w:p>
      <w:pPr>
        <w:spacing w:after="120" w:line="276" w:lineRule="auto"/>
      </w:pPr>
      <w:r>
        <w:t>**Recommandation finale : ACHAT** (avec opportunité de renforcement sur repli vers 38 000-38 500 FCFA). La convergence entre valorisation attractive, fondamentaux solides et prédiction d'une consolidation modérée plaide pour une accumulation progressive plutôt qu'un achat massif au plus haut. **Niveau de confiance : Élevé** (fondamentaux et valorisation robustes). **Niveau de risque global : Moyen** (volatilité de 30%, pression réglementaire, cours au plus haut). **Horizon d'investissement optimal : Moyen à long terme (6 à 18 mois)**, afin de laisser la croissance bénéficiaire et le dividende compenser la correction technique attendue à court terme.</w:t>
      </w:r>
    </w:p>
    <w:p>
      <w:pPr>
        <w:spacing w:after="120" w:line="276" w:lineRule="auto"/>
      </w:pPr>
      <w:r>
        <w:t>---</w:t>
        <w:br/>
        <w:t>*Rapport généré le 14 septembre 2026 — Sources : BRVM, états financiers Sonatel 2024-2025, communiqués S1 2026, rapports trimestriels T1/T3 2025.*</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6,087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+2.92%</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5.05% (Moyenne) — μ=8,025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β=0.3927 (Défensif) — Cov=0.000014, Var(idx)=0.000035, ρ=0.091,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7,598</w:t>
            </w:r>
          </w:p>
        </w:tc>
        <w:tc>
          <w:tcPr>
            <w:tcW w:type="dxa" w:w="1440"/>
            <w:shd w:fill="FAFAFA" w:val="clear"/>
          </w:tcPr>
          <w:p>
            <w:r>
              <w:rPr>
                <w:b/>
                <w:sz w:val="17"/>
              </w:rPr>
              <w:t>8,027</w:t>
            </w:r>
          </w:p>
        </w:tc>
        <w:tc>
          <w:tcPr>
            <w:tcW w:type="dxa" w:w="1440"/>
            <w:shd w:fill="FAFAFA" w:val="clear"/>
          </w:tcPr>
          <w:p>
            <w:r>
              <w:rPr>
                <w:sz w:val="17"/>
              </w:rPr>
              <w:t>8,457</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7,411</w:t>
            </w:r>
          </w:p>
        </w:tc>
        <w:tc>
          <w:tcPr>
            <w:tcW w:type="dxa" w:w="1440"/>
            <w:shd w:fill="FAFAFA" w:val="clear"/>
          </w:tcPr>
          <w:p>
            <w:r>
              <w:rPr>
                <w:b/>
                <w:sz w:val="17"/>
              </w:rPr>
              <w:t>8,018</w:t>
            </w:r>
          </w:p>
        </w:tc>
        <w:tc>
          <w:tcPr>
            <w:tcW w:type="dxa" w:w="1440"/>
            <w:shd w:fill="FAFAFA" w:val="clear"/>
          </w:tcPr>
          <w:p>
            <w:r>
              <w:rPr>
                <w:sz w:val="17"/>
              </w:rPr>
              <w:t>8,624</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7,263</w:t>
            </w:r>
          </w:p>
        </w:tc>
        <w:tc>
          <w:tcPr>
            <w:tcW w:type="dxa" w:w="1440"/>
            <w:shd w:fill="FAFAFA" w:val="clear"/>
          </w:tcPr>
          <w:p>
            <w:r>
              <w:rPr>
                <w:b/>
                <w:sz w:val="17"/>
              </w:rPr>
              <w:t>8,004</w:t>
            </w:r>
          </w:p>
        </w:tc>
        <w:tc>
          <w:tcPr>
            <w:tcW w:type="dxa" w:w="1440"/>
            <w:shd w:fill="FAFAFA" w:val="clear"/>
          </w:tcPr>
          <w:p>
            <w:r>
              <w:rPr>
                <w:sz w:val="17"/>
              </w:rPr>
              <w:t>8,746</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7,138</w:t>
            </w:r>
          </w:p>
        </w:tc>
        <w:tc>
          <w:tcPr>
            <w:tcW w:type="dxa" w:w="1440"/>
            <w:shd w:fill="FAFAFA" w:val="clear"/>
          </w:tcPr>
          <w:p>
            <w:r>
              <w:rPr>
                <w:b/>
                <w:sz w:val="17"/>
              </w:rPr>
              <w:t>7,993</w:t>
            </w:r>
          </w:p>
        </w:tc>
        <w:tc>
          <w:tcPr>
            <w:tcW w:type="dxa" w:w="1440"/>
            <w:shd w:fill="FAFAFA" w:val="clear"/>
          </w:tcPr>
          <w:p>
            <w:r>
              <w:rPr>
                <w:sz w:val="17"/>
              </w:rPr>
              <w:t>8,849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7,029</w:t>
            </w:r>
          </w:p>
        </w:tc>
        <w:tc>
          <w:tcPr>
            <w:tcW w:type="dxa" w:w="1440"/>
            <w:shd w:fill="FAFAFA" w:val="clear"/>
          </w:tcPr>
          <w:p>
            <w:r>
              <w:rPr>
                <w:b/>
                <w:sz w:val="17"/>
              </w:rPr>
              <w:t>7,984</w:t>
            </w:r>
          </w:p>
        </w:tc>
        <w:tc>
          <w:tcPr>
            <w:tcW w:type="dxa" w:w="1440"/>
            <w:shd w:fill="FAFAFA" w:val="clear"/>
          </w:tcPr>
          <w:p>
            <w:r>
              <w:rPr>
                <w:sz w:val="17"/>
              </w:rPr>
              <w:t>8,939</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6,929</w:t>
            </w:r>
          </w:p>
        </w:tc>
        <w:tc>
          <w:tcPr>
            <w:tcW w:type="dxa" w:w="1440"/>
            <w:shd w:fill="FAFAFA" w:val="clear"/>
          </w:tcPr>
          <w:p>
            <w:r>
              <w:rPr>
                <w:b/>
                <w:sz w:val="17"/>
              </w:rPr>
              <w:t>7,974</w:t>
            </w:r>
          </w:p>
        </w:tc>
        <w:tc>
          <w:tcPr>
            <w:tcW w:type="dxa" w:w="1440"/>
            <w:shd w:fill="FAFAFA" w:val="clear"/>
          </w:tcPr>
          <w:p>
            <w:r>
              <w:rPr>
                <w:sz w:val="17"/>
              </w:rPr>
              <w:t>9,019</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6,838</w:t>
            </w:r>
          </w:p>
        </w:tc>
        <w:tc>
          <w:tcPr>
            <w:tcW w:type="dxa" w:w="1440"/>
            <w:shd w:fill="FAFAFA" w:val="clear"/>
          </w:tcPr>
          <w:p>
            <w:r>
              <w:rPr>
                <w:b/>
                <w:sz w:val="17"/>
              </w:rPr>
              <w:t>7,965</w:t>
            </w:r>
          </w:p>
        </w:tc>
        <w:tc>
          <w:tcPr>
            <w:tcW w:type="dxa" w:w="1440"/>
            <w:shd w:fill="FAFAFA" w:val="clear"/>
          </w:tcPr>
          <w:p>
            <w:r>
              <w:rPr>
                <w:sz w:val="17"/>
              </w:rPr>
              <w:t>9,093</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6,752</w:t>
            </w:r>
          </w:p>
        </w:tc>
        <w:tc>
          <w:tcPr>
            <w:tcW w:type="dxa" w:w="1440"/>
            <w:shd w:fill="FAFAFA" w:val="clear"/>
          </w:tcPr>
          <w:p>
            <w:r>
              <w:rPr>
                <w:b/>
                <w:sz w:val="17"/>
              </w:rPr>
              <w:t>7,956</w:t>
            </w:r>
          </w:p>
        </w:tc>
        <w:tc>
          <w:tcPr>
            <w:tcW w:type="dxa" w:w="1440"/>
            <w:shd w:fill="FAFAFA" w:val="clear"/>
          </w:tcPr>
          <w:p>
            <w:r>
              <w:rPr>
                <w:sz w:val="17"/>
              </w:rPr>
              <w:t>9,160</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6,672</w:t>
            </w:r>
          </w:p>
        </w:tc>
        <w:tc>
          <w:tcPr>
            <w:tcW w:type="dxa" w:w="1440"/>
            <w:shd w:fill="FAFAFA" w:val="clear"/>
          </w:tcPr>
          <w:p>
            <w:r>
              <w:rPr>
                <w:b/>
                <w:sz w:val="17"/>
              </w:rPr>
              <w:t>7,948</w:t>
            </w:r>
          </w:p>
        </w:tc>
        <w:tc>
          <w:tcPr>
            <w:tcW w:type="dxa" w:w="1440"/>
            <w:shd w:fill="FAFAFA" w:val="clear"/>
          </w:tcPr>
          <w:p>
            <w:r>
              <w:rPr>
                <w:sz w:val="17"/>
              </w:rPr>
              <w:t>9,223</w:t>
            </w:r>
          </w:p>
        </w:tc>
        <w:tc>
          <w:tcPr>
            <w:tcW w:type="dxa" w:w="1440"/>
            <w:shd w:fill="FAFAFA" w:val="clear"/>
          </w:tcPr>
          <w:p>
            <w:r>
              <w:rPr>
                <w:b/>
                <w:color w:val="C00000"/>
                <w:sz w:val="17"/>
              </w:rPr>
              <w:t>-1.9%</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6,596</w:t>
            </w:r>
          </w:p>
        </w:tc>
        <w:tc>
          <w:tcPr>
            <w:tcW w:type="dxa" w:w="1440"/>
            <w:shd w:fill="FAFAFA" w:val="clear"/>
          </w:tcPr>
          <w:p>
            <w:r>
              <w:rPr>
                <w:b/>
                <w:sz w:val="17"/>
              </w:rPr>
              <w:t>7,939</w:t>
            </w:r>
          </w:p>
        </w:tc>
        <w:tc>
          <w:tcPr>
            <w:tcW w:type="dxa" w:w="1440"/>
            <w:shd w:fill="FAFAFA" w:val="clear"/>
          </w:tcPr>
          <w:p>
            <w:r>
              <w:rPr>
                <w:sz w:val="17"/>
              </w:rPr>
              <w:t>9,282</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174,97 milliards FCFA, SOGC s'impose comme une valeur de premier plan de la cote BRVM, représentant un pilier du compartiment agro-industriel régional. Le BPA de 578 FCFA par action signifie que chaque titre génère près de 578 FCFA de bénéfice net, ce qui, rapporté au cours actuel de 8 100 FCFA, donne un PER de 14,0x — légèrement supérieur à la moyenne BRVM (8-12x), traduisant une prime de qualité consentie par le marché pour la régularité des résultats et la générosité du dividende. Le P/B de 2,56x indique que le marché valorise l'entreprise à 2,56 fois ses fonds propres comptables (68,43 Mds FCFA), soit une prime de croissance justifiée par un ROE de 18,26%. Enfin, l'EV/EBITDA de 7,3x situe la valeur d'entreprise (capitalisation + dette nette) à 7,3 fois l'EBE de 23,54 Mds FCFA, un niveau raisonnable qui n'intègre ni décote excessive ni surévaluation manifeste. L'ensemble de ces ratios dessine une valorisation modérée, cohérente avec un dossier de rendement plus que de croissance explosive.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progression totale de +2,92%, avec une dernière séance en hausse de +1,19% à 8 100 FCFA, confirmant un léger rebond de court terme. Le range de trading s'étend de 7 100 FCFA (plus bas) à 8 875 FCFA (plus haut), soit une amplitude de 25% qui témoigne d'une réelle dynamique de prix malgré un solde final modeste. La tendance générale reste donc stable à légèrement haussière, le cours évoluant autour de sa moyenne de 8 025 FCFA sans direction franche. Les statistiques descriptives révèlent une moyenne (8 025 FCFA) inférieure à la médiane (8 145 FCFA), signe d'une asymétrie négative confirmée par le skewness de -0,421 (distribution symétrique tirée vers le bas par quelques séances faibles), tandis que le mode à 8 200 FCFA indique un point d'équilibre naturel du marché. L'écart-type de 408 FCFA avec un coefficient de variation de 5,1% traduit une dispersion contenue du cours, et le kurtosis de -0,796 (mésokurtique) suggère une distribution proche de la normale, donc un risque de pics extrêmes limité. La volatilité annualisée de 40,5% classe toutefois le titre dans la catégorie des valeurs à volatilité élevée (&gt;30%), ce qui implique une prime de risque exigée plus forte de la part des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(8 178,5 FCFA) et la MM50 (8 180,8 FCFA) sont quasiment confondues et légèrement supérieures au cours actuel de 8 100 FCFA, ce qui place le titre sous ses deux références mobiles. Cette configuration signale une pression baissière de court terme et justifie la décision technique de **Vente** : tant que le cours ne repasse pas au-dessus de 8 180 FCFA, la dynamique reste fragile.</w:t>
      </w:r>
    </w:p>
    <w:p>
      <w:pPr>
        <w:spacing w:after="120" w:line="276" w:lineRule="auto"/>
      </w:pPr>
      <w:r>
        <w:t>**Bandes de Bollinger** : Le cours (8 100 FCFA) évolue dans la partie basse de la bande, entre la borne inférieure à 7 578,35 FCFA et la borne supérieure à 8 778,65 FCFA, sans en approcher les extrêmes. Cette position médiane-basse, couplée à un écart-type modéré, explique la décision **Neutre** : ni signal de survente exploitable, ni élan haussier confirmé.</w:t>
      </w:r>
    </w:p>
    <w:p>
      <w:pPr>
        <w:spacing w:after="120" w:line="276" w:lineRule="auto"/>
      </w:pPr>
      <w:r>
        <w:t>**MACD** : La valeur du MACD (-16,497) est nettement inférieure à son signal (19,121), matérialisant une divergence baissière persistante et un momentum négatif. Cette configuration confirme la décision de **Vente** : la pression vendeuse domine encore, même si l'écart pourrait se réduire avec le rebond de J-1.</w:t>
      </w:r>
    </w:p>
    <w:p>
      <w:pPr>
        <w:spacing w:after="120" w:line="276" w:lineRule="auto"/>
      </w:pPr>
      <w:r>
        <w:t>**RSI** : À 48,421, l'indicateur se situe parfaitement dans la zone neutre (30-70), sans excès de surachat ni de survente. La décision **Neutre** traduit un équilibre entre acheteurs et vendeurs, le titre n'offrant pas de signal directionnel fort à ce stade.</w:t>
      </w:r>
    </w:p>
    <w:p>
      <w:pPr>
        <w:spacing w:after="120" w:line="276" w:lineRule="auto"/>
      </w:pPr>
      <w:r>
        <w:t>**Stochastique** : Le %K (34,043) est supérieur au %D (22,837), esquissant un croisement haussier naissant depuis la zone basse. La décision reste toutefois **Neutre** car les deux courbes demeurent sous le seuil de 50, sans confirmation franche d'un retournement.</w:t>
      </w:r>
    </w:p>
    <w:p>
      <w:pPr>
        <w:spacing w:after="120" w:line="276" w:lineRule="auto"/>
      </w:pPr>
      <w:r>
        <w:t>**Conclusion technique** : Les indicateurs sont majoritairement neutres à baissiers (MM et MACD en vente, Bollinger/RSI/Stochastique neutres), dessinant un titre en phase de consolidation sans direction claire. Le léger rebond de la dernière séance et le croisement naissant du stochastique constituent les seuls signaux positifs, mais ils restent insuffisants pour inverser la tendance tant que le cours n'aura pas reconquis la zone des 8 180-8 200 FCFA. La prudence technique domine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officiels de SOGC (exercice clos au 31/12/2025) affichent un chiffre d'affaires de 98,979 Mds FCFA, en croissance de +10,70% sur un an, un résultat net de 12,493 Mds FCFA et un EBE de 23,541 Mds FCFA. La rentabilité reste solide avec un ROE de 18,26% (excellent, &gt;15%) et un ROA de 13,84%, tandis que la marge nette s'établit à 12,62% et la marge opérationnelle à 17,24%. Sur le plan de la structure financière, l'autonomie financière est remarquable à 75,79% (capitaux propres de 68,43 Mds FCFA pour un total bilan de 90,29 Mds FCFA), la liquidité générale atteint 170,32% et la couverture des intérêts est exceptionnelle (25 563%), traduisant une dépendance financière quasi nulle (1,04%). En tant qu'entreprise agro-industrielle, les délais d'exploitation méritent attention : le délai clients est maîtrisé à 29,60 jours, le délai fournisseurs à 31,72 jours, mais la durée de stockage atteint 97,67 jours, immobilisant du capital dans les stocks (15,03 Mds FCFA) — un point de vigilance typique du secteur. Le BFR ressort à 7,124 Mds FCFA et le fonds de roulement à 11,699 Mds FCFA, avec une trésorerie nette positive de 4,575 Mds FCFA. Les rapports narratifs confirment cette trajectoire : le rapport annuel 2024 (publié le 31/12/2024) faisait état d'un résultat net de 13,11 Mds FCFA (+149%), et le rapport 2025 (publié en 2025) indique un résultat net de 12,49 Mds FCFA, en léger repli de -5% (-618 M FCFA) sous l'effet de la hausse des coûts du coagulum (+15%) et de la concurrence accrue sur l'achat de matière première. Les rapports trimestriels 2025 (T1 au 31/03/2025, S1 au 30/06/2025, 9M au 30/09/2025) montrent une décélération progressive : après un T1 exceptionnel (CA +63,1%, RN +262,9%), la croissance s'est normalisée à +51,9% au S1 puis +21,3% au cumul 9M, avec un RN 9M de 11,5 Mds FCFA (+39,5%). On estime donc que l'exercice 2025 s'achève sur une performance solide mais en ralentissement, la direction anticipant un contexte « plus difficile » depuis le S2 2025 (baisse des cours SICOM du caoutchouc). La politique de dividende reste très généreuse : l'avis de convocation à l'AGO du 28/05/2026 (document du 19/05/2026) propose un dividende brut de 570 FCFA par action, soit un rendement attractif d'environ 7,0% au cours actuel de 8 100 FCFA, avec un taux de distribution proche de 98% du bénéfice net — un point fort pour le revenu mais un frein au réinvestissement. Au final, SOGC présente des fondamentaux très solides (bilan sain, rentabilité élevée, cash-flows robustes de 22,64 Mds FCFA en flux opérationnel), mais fait face à des risques de compression des marges liés à la volatilité des prix des matières premières et à la concurrence sur l'approvisionnement en coagulum.</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dessine un profil d'investissement équilibré mais sans catalyseur haussier immédiat. Sur le plan de la **valorisation (Partie 0)**, les ratios PER de 14,0x (au-dessus de la moyenne BRVM), P/B de 2,56x et EV/EBITDA de 7,3x indiquent une valorisation modérée à légèrement tendue, le marché intégrant déjà la qualité du dossier et la générosité du dividende. Le **comportement du cours (Partie 1)** est stable (+2,92% sur 100 jours) avec une volatilité élevée (40,5%) mais une distribution proche de la normale (kurtosis -0,796) et une légère asymétrie négative (skewness -0,421), ce qui n'offre ni signal d'achat ni signal de vente marqué. Les **signaux techniques (Partie 2)** sont majoritairement neutres à baissiers (MM et MACD en vente, RSI/Bollinger/Stochastique neutres), le titre évoluant sous ses moyennes mobiles sans momentum positif confirmé. Les **fondamentaux (Partie 3)** restent solides — ROE de 18,26%, autonomie financière de 75,79%, dividende de 570 FCFA/action — mais le ralentissement de la croissance (RN 2025 en baisse de -5%) et la pression sur les marges constituent des vents contraires. Enfin, les **prédictions IA (J+1 à J+10)** anticipent une légère dérive baissière de 8 027 FCFA à 7 984 FCFA, confirmant l'absence de momentum haussier de court terme et s'alignant sur la lecture technique prudente. Sur cette base, la recommandation finale est **CONSERVER** : le dossier offre un rendement attractif et une solidité financière indéniable, mais l'absence de catalyseur technique, la valorisation sans décote et le ralentissement fondamental ne justifient pas un renforcement à court terme. Le niveau de confiance est **Moyen** (signaux divergents entre fondamental solide et technique mou), le risque global est **Moyen** (volatilité élevée mais bilan très sain), et l'horizon optimal est le **moyen à long terme (6 à 18 mois)**, le temps que la politique de dividende et la normalisation des prix des matières premières se traduisent dans le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212.13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4,436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+13.70%</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10.33% (Moyenne) — μ=7,762 FCFA, σ=802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β=0.9863 (Neutre (suit le marché)) — Cov=0.000035, Var(idx)=0.000035, ρ=0.207,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7,700</w:t>
            </w:r>
          </w:p>
        </w:tc>
        <w:tc>
          <w:tcPr>
            <w:tcW w:type="dxa" w:w="1440"/>
            <w:shd w:fill="FAFAFA" w:val="clear"/>
          </w:tcPr>
          <w:p>
            <w:r>
              <w:rPr>
                <w:b/>
                <w:sz w:val="17"/>
              </w:rPr>
              <w:t>8,237</w:t>
            </w:r>
          </w:p>
        </w:tc>
        <w:tc>
          <w:tcPr>
            <w:tcW w:type="dxa" w:w="1440"/>
            <w:shd w:fill="FAFAFA" w:val="clear"/>
          </w:tcPr>
          <w:p>
            <w:r>
              <w:rPr>
                <w:sz w:val="17"/>
              </w:rPr>
              <w:t>8,775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7,460</w:t>
            </w:r>
          </w:p>
        </w:tc>
        <w:tc>
          <w:tcPr>
            <w:tcW w:type="dxa" w:w="1440"/>
            <w:shd w:fill="FAFAFA" w:val="clear"/>
          </w:tcPr>
          <w:p>
            <w:r>
              <w:rPr>
                <w:b/>
                <w:sz w:val="17"/>
              </w:rPr>
              <w:t>8,219</w:t>
            </w:r>
          </w:p>
        </w:tc>
        <w:tc>
          <w:tcPr>
            <w:tcW w:type="dxa" w:w="1440"/>
            <w:shd w:fill="FAFAFA" w:val="clear"/>
          </w:tcPr>
          <w:p>
            <w:r>
              <w:rPr>
                <w:sz w:val="17"/>
              </w:rPr>
              <w:t>8,977</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7,265</w:t>
            </w:r>
          </w:p>
        </w:tc>
        <w:tc>
          <w:tcPr>
            <w:tcW w:type="dxa" w:w="1440"/>
            <w:shd w:fill="FAFAFA" w:val="clear"/>
          </w:tcPr>
          <w:p>
            <w:r>
              <w:rPr>
                <w:b/>
                <w:sz w:val="17"/>
              </w:rPr>
              <w:t>8,190</w:t>
            </w:r>
          </w:p>
        </w:tc>
        <w:tc>
          <w:tcPr>
            <w:tcW w:type="dxa" w:w="1440"/>
            <w:shd w:fill="FAFAFA" w:val="clear"/>
          </w:tcPr>
          <w:p>
            <w:r>
              <w:rPr>
                <w:sz w:val="17"/>
              </w:rPr>
              <w:t>9,115</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7,096</w:t>
            </w:r>
          </w:p>
        </w:tc>
        <w:tc>
          <w:tcPr>
            <w:tcW w:type="dxa" w:w="1440"/>
            <w:shd w:fill="FAFAFA" w:val="clear"/>
          </w:tcPr>
          <w:p>
            <w:r>
              <w:rPr>
                <w:b/>
                <w:sz w:val="17"/>
              </w:rPr>
              <w:t>8,161</w:t>
            </w:r>
          </w:p>
        </w:tc>
        <w:tc>
          <w:tcPr>
            <w:tcW w:type="dxa" w:w="1440"/>
            <w:shd w:fill="FAFAFA" w:val="clear"/>
          </w:tcPr>
          <w:p>
            <w:r>
              <w:rPr>
                <w:sz w:val="17"/>
              </w:rPr>
              <w:t>9,225</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6,946</w:t>
            </w:r>
          </w:p>
        </w:tc>
        <w:tc>
          <w:tcPr>
            <w:tcW w:type="dxa" w:w="1440"/>
            <w:shd w:fill="FFDCE0" w:val="clear"/>
          </w:tcPr>
          <w:p>
            <w:r>
              <w:rPr>
                <w:b/>
                <w:sz w:val="17"/>
              </w:rPr>
              <w:t>8,133</w:t>
            </w:r>
          </w:p>
        </w:tc>
        <w:tc>
          <w:tcPr>
            <w:tcW w:type="dxa" w:w="1440"/>
            <w:shd w:fill="FFDCE0" w:val="clear"/>
          </w:tcPr>
          <w:p>
            <w:r>
              <w:rPr>
                <w:sz w:val="17"/>
              </w:rPr>
              <w:t>9,319</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6,811</w:t>
            </w:r>
          </w:p>
        </w:tc>
        <w:tc>
          <w:tcPr>
            <w:tcW w:type="dxa" w:w="1440"/>
            <w:shd w:fill="FFDCE0" w:val="clear"/>
          </w:tcPr>
          <w:p>
            <w:r>
              <w:rPr>
                <w:b/>
                <w:sz w:val="17"/>
              </w:rPr>
              <w:t>8,106</w:t>
            </w:r>
          </w:p>
        </w:tc>
        <w:tc>
          <w:tcPr>
            <w:tcW w:type="dxa" w:w="1440"/>
            <w:shd w:fill="FFDCE0" w:val="clear"/>
          </w:tcPr>
          <w:p>
            <w:r>
              <w:rPr>
                <w:sz w:val="17"/>
              </w:rPr>
              <w:t>9,402</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6,686</w:t>
            </w:r>
          </w:p>
        </w:tc>
        <w:tc>
          <w:tcPr>
            <w:tcW w:type="dxa" w:w="1440"/>
            <w:shd w:fill="FFDCE0" w:val="clear"/>
          </w:tcPr>
          <w:p>
            <w:r>
              <w:rPr>
                <w:b/>
                <w:sz w:val="17"/>
              </w:rPr>
              <w:t>8,081</w:t>
            </w:r>
          </w:p>
        </w:tc>
        <w:tc>
          <w:tcPr>
            <w:tcW w:type="dxa" w:w="1440"/>
            <w:shd w:fill="FFDCE0" w:val="clear"/>
          </w:tcPr>
          <w:p>
            <w:r>
              <w:rPr>
                <w:sz w:val="17"/>
              </w:rPr>
              <w:t>9,476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6,570</w:t>
            </w:r>
          </w:p>
        </w:tc>
        <w:tc>
          <w:tcPr>
            <w:tcW w:type="dxa" w:w="1440"/>
            <w:shd w:fill="FFDCE0" w:val="clear"/>
          </w:tcPr>
          <w:p>
            <w:r>
              <w:rPr>
                <w:b/>
                <w:sz w:val="17"/>
              </w:rPr>
              <w:t>8,056</w:t>
            </w:r>
          </w:p>
        </w:tc>
        <w:tc>
          <w:tcPr>
            <w:tcW w:type="dxa" w:w="1440"/>
            <w:shd w:fill="FFDCE0" w:val="clear"/>
          </w:tcPr>
          <w:p>
            <w:r>
              <w:rPr>
                <w:sz w:val="17"/>
              </w:rPr>
              <w:t>9,543</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6,461</w:t>
            </w:r>
          </w:p>
        </w:tc>
        <w:tc>
          <w:tcPr>
            <w:tcW w:type="dxa" w:w="1440"/>
            <w:shd w:fill="FFDCE0" w:val="clear"/>
          </w:tcPr>
          <w:p>
            <w:r>
              <w:rPr>
                <w:b/>
                <w:sz w:val="17"/>
              </w:rPr>
              <w:t>8,033</w:t>
            </w:r>
          </w:p>
        </w:tc>
        <w:tc>
          <w:tcPr>
            <w:tcW w:type="dxa" w:w="1440"/>
            <w:shd w:fill="FFDCE0" w:val="clear"/>
          </w:tcPr>
          <w:p>
            <w:r>
              <w:rPr>
                <w:sz w:val="17"/>
              </w:rPr>
              <w:t>9,605</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6,358</w:t>
            </w:r>
          </w:p>
        </w:tc>
        <w:tc>
          <w:tcPr>
            <w:tcW w:type="dxa" w:w="1440"/>
            <w:shd w:fill="FFDCE0" w:val="clear"/>
          </w:tcPr>
          <w:p>
            <w:r>
              <w:rPr>
                <w:b/>
                <w:sz w:val="17"/>
              </w:rPr>
              <w:t>8,010</w:t>
            </w:r>
          </w:p>
        </w:tc>
        <w:tc>
          <w:tcPr>
            <w:tcW w:type="dxa" w:w="1440"/>
            <w:shd w:fill="FFDCE0" w:val="clear"/>
          </w:tcPr>
          <w:p>
            <w:r>
              <w:rPr>
                <w:sz w:val="17"/>
              </w:rPr>
              <w:t>9,662</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212,13 milliards FCFA, SPHC s'impose comme l'une des valeurs industrielles majeures de la cote BRVM, témoignant d'une liquidité et d'une profondeur de marché significatives pour la zone UEMOA. Le BPA de 977 FCFA/action signifie que chaque titre génère près d'un millier de francs de bénéfice net, un niveau élevé qui traduit la forte rentabilité de l'exploitant hévéicole. Le PER de 8,5x place le titre nettement en dessous de la moyenne BRVM (8-12x), signalant une potentielle sous-évaluation par rapport aux bénéfices dégagés. Le P/B de 1,54x indique que le marché valorise l'action à une prime raisonnable (54%) sur sa valeur comptable, cohérente avec la qualité des actifs industriels. Enfin, l'EV/EBITDA de 5,3x, bien inférieur au seuil de 10x, suggère que la valeur d'entreprise reste modérée au regard de la capacité opérationnelle de la société.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performance positive de +13,70%, avec une dernière séance en forte hausse de +3,04%, portant le cours actuel à 8 300 FCFA. Le titre a évolué dans un range large de 6 720 FCFA (plus bas) à 10 300 FCFA (plus haut), soit une amplitude de plus de 53%, révélant une tendance haussière entrecoupée de corrections marquées. La moyenne (7 762 FCFA) est supérieure à la médiane (7 565 FCFA), confirmant une asymétrie positive (skewness de 1,496) : les journées de forte hausse tirent la moyenne vers le haut, tandis que la majorité des séances se situent sous cette moyenne. L'écart-type de 806 FCFA (CV de 10,4%) indique une dispersion modérée du cours autour de sa tendance. Le kurtosis de 1,628 (leptokurtique) signale des queues épaisses, donc un risque accru de pics de volatilité brutaux. La volatilité annualisée de 44,6% classe le titre dans la catégorie des valeurs à volatilité élevée (&gt;30%), typique des petites et moyennes capitalisations exposées aux matières premières.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(9 125 FCFA) est supérieure à la MM50 (8 215 FCFA), configuration haussière classique. Cependant, le cours actuel (8 300 FCFA) se situe sous la MM20 mais au-dessus de la MM50, ce qui traduit une correction à court terme dans une tendance de fond encore positive. La décision fournie est "Achat", justifiée par le maintien du cours au-dessus de la MM50 et la configuration haussière des moyennes.</w:t>
      </w:r>
    </w:p>
    <w:p>
      <w:pPr>
        <w:spacing w:after="120" w:line="276" w:lineRule="auto"/>
      </w:pPr>
      <w:r>
        <w:t>**Bandes de Bollinger** : Le cours (8 300 FCFA) évolue dans la partie basse de la bande (borne inférieure à 7 687,74 FCFA, borne supérieure à 10 562,26 FCFA), sans franchissement des bornes. Cette position médiane-basse indique une absence de signal extrême, justifiant la décision "Neutre". La largeur des bandes reflète la volatilité élevée du titre.</w:t>
      </w:r>
    </w:p>
    <w:p>
      <w:pPr>
        <w:spacing w:after="120" w:line="276" w:lineRule="auto"/>
      </w:pPr>
      <w:r>
        <w:t>**MACD** : La valeur du MACD (104,588) est nettement inférieure à son signal (334,073), générant un croisement baissier et une décision "Vente". Le momentum s'affaiblit, ce qui suggère que la pression acheteuse des mois précédents s'essouffle et qu'une consolidation est en cours.</w:t>
      </w:r>
    </w:p>
    <w:p>
      <w:pPr>
        <w:spacing w:after="120" w:line="276" w:lineRule="auto"/>
      </w:pPr>
      <w:r>
        <w:t>**RSI** : À 35,995, le RSI se situe dans la zone neutre basse, proche du seuil de survente (30). La décision est "Neutre", mais la proximité de la survente pourrait annoncer un rebond technique à court terme si le seuil n'est pas franchi.</w:t>
      </w:r>
    </w:p>
    <w:p>
      <w:pPr>
        <w:spacing w:after="120" w:line="276" w:lineRule="auto"/>
      </w:pPr>
      <w:r>
        <w:t>**Stochastique** : Le %K (15,433) est supérieur au %D (6,836), avec les deux indicateurs en zone de survente (&lt;20). Cette configuration, bien que baissière en apparence, est propice à un croisement haussier imminent, justifiant la décision "Achat" fournie.</w:t>
      </w:r>
    </w:p>
    <w:p>
      <w:pPr>
        <w:spacing w:after="120" w:line="276" w:lineRule="auto"/>
      </w:pPr>
      <w:r>
        <w:t>**Conclusion technique** : Les indicateurs sont divergents. Les moyennes mobiles et le stochastique plaident pour un achat (tendance de fond haussière, survente), tandis que le MACD et les bandes de Bollinger incitent à la prudence (perte de momentum, position neutre). Le RSI en zone basse neutre confirme une phase de consolidation. Globalement, le titre se trouve dans une correction technique au sein d'une tendance haussière, avec un potentiel de rebond à court terme mais une confirmation nécessaire par le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SPHC a réalisé un chiffre d'affaires de 340,831 milliards FCFA, en croissance de 21,97% par rapport à 2024 (279,44 milliards FCFA), portée par une hausse des volumes et des prix du caoutchouc naturel. Le résultat net s'établit à 24,972 milliards FCFA, en progression de 32,9%, avec une marge nette de 7,33% (contre 6,7% en 2024). Le ROE atteint 18,10% (&gt;15%, excellent) et le ROA 11,06%, confirmant une rentabilité solide des fonds propres et des actifs. La structure financière est saine : autonomie financière de 61,08%, ratio d'endettement de 25,81%, et couverture des intérêts de 1 094,57%. Cependant, la trésorerie nette est négative (-15,413 milliards FCFA), et le BFR de 65,389 milliards FCFA pèse sur la liquidité. Les délais clients (35 jours) et de stockage (72,33 jours) sont modérés mais nécessitent une surveillance. Les rapports trimestriels de 2025 (T1, S1, T3) confirment cette dynamique : au T3 2025 (rapport du 30/09/2025), le CA cumulé atteint 253,7 milliards FCFA (+36%) et le résultat net 23,2 milliards FCFA (+131%), avec une marge nette de 9%. Toutefois, le rapport T1 2026 (publié en 2026) révèle un brusque retournement : CA de 71,8 milliards FCFA (-24%), résultat net de 2,6 milliards FCFA (-78%), et marge nette de 4%, pénalisé par la chute des cours mondiaux du caoutchouc, l'engorgement du port de San Pedro et la concurrence sur l'achat de matière première. On estime donc que l'exercice 2026 devrait être nettement moins favorable que 2025, avec un risque de contraction des marges et du résultat net. La politique de dividende reste attractive (489 FCFA/action proposé pour 2025, soit un rendement de 5,9% au cours actuel), mais sa soutenabilité dépendra de la capacité à préserver la trésorerie. La recommandation fondamentale est de **conserver** le titre, avec une surveillance accrue des indicateurs de trésorerie et des cours du caoutchouc.</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attractive (PER de 8,5x, EV/EBITDA de 5,3x, P/B de 1,54x), suggérant une sous-évaluation relative par rapport aux bénéfices et à la capacité opérationnelle. Le comportement du cours sur 100 jours est haussier (+13,70%) mais avec une volatilité élevée (44,6%) et une asymétrie positive (skewness de 1,496) qui indique des pics de hausse fréquents mais des corrections brutales. Les signaux techniques sont mitigés : les moyennes mobiles et le stochastique sont haussiers, mais le MACD est baissier et le RSI neutre, reflétant une phase de consolidation. Les fondamentaux de 2025 sont solides (CA +22%, RN +33%, ROE de 18,1%), mais le T1 2026 (CA -24%, RN -78%) marque un net ralentissement qui pèse sur les perspectives. Les prédictions IA (J+1 à J+10) anticipent une légère baisse du cours de 8 237 FCFA à 8 133 FCFA, confirmant la tendance baissière de court terme. Sur la base de cette synthèse, la recommandation finale est **CONSERVER**, avec un niveau de confiance **Moyen** et un risque global **Élevé** (volatilité, dépendance aux matières premières, trésorerie négative). L'horizon d'investissement optimal est le **moyen terme (3-12 mois)**, en attendant une clarification sur les cours du caoutchouc et la capacité de SPHC à redresser ses marges en 2026. Un passage à l'achat serait justifié si le titre confirme un rebond technique au-dessus de la MM20 (9 125 FCFA) et si les fondamentaux du T2 2026 s'améliorent.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34.61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5,980 titres</w:t>
            </w:r>
          </w:p>
        </w:tc>
        <w:tc>
          <w:tcPr>
            <w:tcW w:type="dxa" w:w="2268"/>
            <w:shd w:fill="FFF2CC" w:val="clear"/>
          </w:tcPr>
          <w:p>
            <w:r>
              <w:rPr>
                <w:b/>
                <w:color w:val="503200"/>
                <w:sz w:val="16"/>
              </w:rPr>
              <w:t xml:space="preserve">Cours actuel : </w:t>
            </w:r>
            <w:r>
              <w:rPr>
                <w:color w:val="000000"/>
                <w:sz w:val="17"/>
              </w:rPr>
              <w:t>2,575 FCFA</w:t>
            </w:r>
          </w:p>
          <w:p>
            <w:r>
              <w:rPr>
                <w:b/>
                <w:color w:val="503200"/>
                <w:sz w:val="16"/>
              </w:rPr>
              <w:t xml:space="preserve">Var. 100 jours : </w:t>
            </w:r>
            <w:r>
              <w:rPr>
                <w:b/>
                <w:color w:val="B40000"/>
                <w:sz w:val="17"/>
              </w:rPr>
              <w:t>-6.53%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57.2%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11.06% (Moyenne) — μ=2,958 FCFA, σ=327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β=-0.8631 (Contre-cyclique) — Cov=-0.000030, Var(idx)=0.000035, ρ=-0.141,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2,464</w:t>
            </w:r>
          </w:p>
        </w:tc>
        <w:tc>
          <w:tcPr>
            <w:tcW w:type="dxa" w:w="1440"/>
            <w:shd w:fill="FAFAFA" w:val="clear"/>
          </w:tcPr>
          <w:p>
            <w:r>
              <w:rPr>
                <w:b/>
                <w:sz w:val="17"/>
              </w:rPr>
              <w:t>2,568</w:t>
            </w:r>
          </w:p>
        </w:tc>
        <w:tc>
          <w:tcPr>
            <w:tcW w:type="dxa" w:w="1440"/>
            <w:shd w:fill="FAFAFA" w:val="clear"/>
          </w:tcPr>
          <w:p>
            <w:r>
              <w:rPr>
                <w:sz w:val="17"/>
              </w:rPr>
              <w:t>2,671</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2,401</w:t>
            </w:r>
          </w:p>
        </w:tc>
        <w:tc>
          <w:tcPr>
            <w:tcW w:type="dxa" w:w="1440"/>
            <w:shd w:fill="FAFAFA" w:val="clear"/>
          </w:tcPr>
          <w:p>
            <w:r>
              <w:rPr>
                <w:b/>
                <w:sz w:val="17"/>
              </w:rPr>
              <w:t>2,547</w:t>
            </w:r>
          </w:p>
        </w:tc>
        <w:tc>
          <w:tcPr>
            <w:tcW w:type="dxa" w:w="1440"/>
            <w:shd w:fill="FAFAFA" w:val="clear"/>
          </w:tcPr>
          <w:p>
            <w:r>
              <w:rPr>
                <w:sz w:val="17"/>
              </w:rPr>
              <w:t>2,693</w:t>
            </w:r>
          </w:p>
        </w:tc>
        <w:tc>
          <w:tcPr>
            <w:tcW w:type="dxa" w:w="1440"/>
            <w:shd w:fill="FAFAFA" w:val="clear"/>
          </w:tcPr>
          <w:p>
            <w:r>
              <w:rPr>
                <w:b/>
                <w:color w:val="C00000"/>
                <w:sz w:val="17"/>
              </w:rPr>
              <w:t>-1.1%</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2,341</w:t>
            </w:r>
          </w:p>
        </w:tc>
        <w:tc>
          <w:tcPr>
            <w:tcW w:type="dxa" w:w="1440"/>
            <w:shd w:fill="FFDCE0" w:val="clear"/>
          </w:tcPr>
          <w:p>
            <w:r>
              <w:rPr>
                <w:b/>
                <w:sz w:val="17"/>
              </w:rPr>
              <w:t>2,518</w:t>
            </w:r>
          </w:p>
        </w:tc>
        <w:tc>
          <w:tcPr>
            <w:tcW w:type="dxa" w:w="1440"/>
            <w:shd w:fill="FFDCE0" w:val="clear"/>
          </w:tcPr>
          <w:p>
            <w:r>
              <w:rPr>
                <w:sz w:val="17"/>
              </w:rPr>
              <w:t>2,694</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2,285</w:t>
            </w:r>
          </w:p>
        </w:tc>
        <w:tc>
          <w:tcPr>
            <w:tcW w:type="dxa" w:w="1440"/>
            <w:shd w:fill="FFDCE0" w:val="clear"/>
          </w:tcPr>
          <w:p>
            <w:r>
              <w:rPr>
                <w:b/>
                <w:sz w:val="17"/>
              </w:rPr>
              <w:t>2,486</w:t>
            </w:r>
          </w:p>
        </w:tc>
        <w:tc>
          <w:tcPr>
            <w:tcW w:type="dxa" w:w="1440"/>
            <w:shd w:fill="FFDCE0" w:val="clear"/>
          </w:tcPr>
          <w:p>
            <w:r>
              <w:rPr>
                <w:sz w:val="17"/>
              </w:rPr>
              <w:t>2,687</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2,233</w:t>
            </w:r>
          </w:p>
        </w:tc>
        <w:tc>
          <w:tcPr>
            <w:tcW w:type="dxa" w:w="1440"/>
            <w:shd w:fill="FFDCE0" w:val="clear"/>
          </w:tcPr>
          <w:p>
            <w:r>
              <w:rPr>
                <w:b/>
                <w:sz w:val="17"/>
              </w:rPr>
              <w:t>2,455</w:t>
            </w:r>
          </w:p>
        </w:tc>
        <w:tc>
          <w:tcPr>
            <w:tcW w:type="dxa" w:w="1440"/>
            <w:shd w:fill="FFDCE0" w:val="clear"/>
          </w:tcPr>
          <w:p>
            <w:r>
              <w:rPr>
                <w:sz w:val="17"/>
              </w:rPr>
              <w:t>2,677</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2,187</w:t>
            </w:r>
          </w:p>
        </w:tc>
        <w:tc>
          <w:tcPr>
            <w:tcW w:type="dxa" w:w="1440"/>
            <w:shd w:fill="FFDCE0" w:val="clear"/>
          </w:tcPr>
          <w:p>
            <w:r>
              <w:rPr>
                <w:b/>
                <w:sz w:val="17"/>
              </w:rPr>
              <w:t>2,427</w:t>
            </w:r>
          </w:p>
        </w:tc>
        <w:tc>
          <w:tcPr>
            <w:tcW w:type="dxa" w:w="1440"/>
            <w:shd w:fill="FFDCE0" w:val="clear"/>
          </w:tcPr>
          <w:p>
            <w:r>
              <w:rPr>
                <w:sz w:val="17"/>
              </w:rPr>
              <w:t>2,668</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2,146</w:t>
            </w:r>
          </w:p>
        </w:tc>
        <w:tc>
          <w:tcPr>
            <w:tcW w:type="dxa" w:w="1440"/>
            <w:shd w:fill="FFDCE0" w:val="clear"/>
          </w:tcPr>
          <w:p>
            <w:r>
              <w:rPr>
                <w:b/>
                <w:sz w:val="17"/>
              </w:rPr>
              <w:t>2,403</w:t>
            </w:r>
          </w:p>
        </w:tc>
        <w:tc>
          <w:tcPr>
            <w:tcW w:type="dxa" w:w="1440"/>
            <w:shd w:fill="FFDCE0" w:val="clear"/>
          </w:tcPr>
          <w:p>
            <w:r>
              <w:rPr>
                <w:sz w:val="17"/>
              </w:rPr>
              <w:t>2,660</w:t>
            </w:r>
          </w:p>
        </w:tc>
        <w:tc>
          <w:tcPr>
            <w:tcW w:type="dxa" w:w="1440"/>
            <w:shd w:fill="FFDCE0" w:val="clear"/>
          </w:tcPr>
          <w:p>
            <w:r>
              <w:rPr>
                <w:b/>
                <w:color w:val="C00000"/>
                <w:sz w:val="17"/>
              </w:rPr>
              <w:t>-6.7%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2,109</w:t>
            </w:r>
          </w:p>
        </w:tc>
        <w:tc>
          <w:tcPr>
            <w:tcW w:type="dxa" w:w="1440"/>
            <w:shd w:fill="FFDCE0" w:val="clear"/>
          </w:tcPr>
          <w:p>
            <w:r>
              <w:rPr>
                <w:b/>
                <w:sz w:val="17"/>
              </w:rPr>
              <w:t>2,381</w:t>
            </w:r>
          </w:p>
        </w:tc>
        <w:tc>
          <w:tcPr>
            <w:tcW w:type="dxa" w:w="1440"/>
            <w:shd w:fill="FFDCE0" w:val="clear"/>
          </w:tcPr>
          <w:p>
            <w:r>
              <w:rPr>
                <w:sz w:val="17"/>
              </w:rPr>
              <w:t>2,653</w:t>
            </w:r>
          </w:p>
        </w:tc>
        <w:tc>
          <w:tcPr>
            <w:tcW w:type="dxa" w:w="1440"/>
            <w:shd w:fill="FFDCE0" w:val="clear"/>
          </w:tcPr>
          <w:p>
            <w:r>
              <w:rPr>
                <w:b/>
                <w:color w:val="C00000"/>
                <w:sz w:val="17"/>
              </w:rPr>
              <w:t>-7.5%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2,076</w:t>
            </w:r>
          </w:p>
        </w:tc>
        <w:tc>
          <w:tcPr>
            <w:tcW w:type="dxa" w:w="1440"/>
            <w:shd w:fill="FFDCE0" w:val="clear"/>
          </w:tcPr>
          <w:p>
            <w:r>
              <w:rPr>
                <w:b/>
                <w:sz w:val="17"/>
              </w:rPr>
              <w:t>2,362</w:t>
            </w:r>
          </w:p>
        </w:tc>
        <w:tc>
          <w:tcPr>
            <w:tcW w:type="dxa" w:w="1440"/>
            <w:shd w:fill="FFDCE0" w:val="clear"/>
          </w:tcPr>
          <w:p>
            <w:r>
              <w:rPr>
                <w:sz w:val="17"/>
              </w:rPr>
              <w:t>2,649</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2,046</w:t>
            </w:r>
          </w:p>
        </w:tc>
        <w:tc>
          <w:tcPr>
            <w:tcW w:type="dxa" w:w="1440"/>
            <w:shd w:fill="FFDCE0" w:val="clear"/>
          </w:tcPr>
          <w:p>
            <w:r>
              <w:rPr>
                <w:b/>
                <w:sz w:val="17"/>
              </w:rPr>
              <w:t>2,346</w:t>
            </w:r>
          </w:p>
        </w:tc>
        <w:tc>
          <w:tcPr>
            <w:tcW w:type="dxa" w:w="1440"/>
            <w:shd w:fill="FFDCE0" w:val="clear"/>
          </w:tcPr>
          <w:p>
            <w:r>
              <w:rPr>
                <w:sz w:val="17"/>
              </w:rPr>
              <w:t>2,646</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 RAPPORT D'ANALYSE FINANCIÈRE — SETAO (STAC) | BRVM</w:t>
      </w:r>
    </w:p>
    <w:p>
      <w:pPr>
        <w:spacing w:after="120" w:line="276" w:lineRule="auto"/>
      </w:pPr>
      <w:r>
        <w:t>**Cours de référence : 2 575 FCFA** | **Capitalisation : 34,61 Mds FCFA**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SETAO s'établit à 34,61 milliards FCFA, un niveau modeste à l'échelle de la BRVM qui la place parmi les petites capitalisations du compartiment industriel/BTP. Le BPA ressort à **-7 FCFA/action**, traduisant une société en perte nette, ce qui rend le PER inopérant (**-358,4x**, négatif par construction) : les investisseurs ne paient donc pas pour des bénéfices inexistants, mais pour un potentiel de retournement. Le ratio **P/B de 97,01x** est le signal le plus alarmant : le marché valorise l'action à près de 97 fois la valeur comptable des fonds propres (356,75 M FCFA), une prime totalement déconnectée des fondamentaux — situation typique d'une valeur spéculative portée par l'anticipation du chantier aéroportuaire d'Abidjan plutôt que par la réalité bilancielle. En l'absence d'EBITDA positif exploitable (EBE de -650,13 M FCFA en 2025), le ratio EV/EBITDA n'est pas calculable, ce qui prive l'analyste d'un repère de valorisation opérationnelle et confirme que la valeur repose aujourd'hui sur des éléments non financiers.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-6,53%**, avec une dernière séance quasi stable (**-0,19%**), s'inscrivant dans une tendance baissière de fond. Le range de trading est large, entre un plus haut de **3 640 FCFA** et un plus bas de **2 500 FCFA**, soit un écart de 1 140 FCFA (45,6% du plus bas) qui témoigne d'une forte amplitude. Le cours actuel (2 575 FCFA) se situe dans le bas de ce range, à seulement 3% du plancher, ce qui traduit une pression vendeuse persistante. Les statistiques descriptives révèlent une **moyenne de 2 958 FCFA** nettement supérieure à la **médiane de 2 892 FCFA**, avec un mode à 3 000 FCFA : l'écart moyenne/médiane confirme une distribution asymétrique où les journées de forte hausse (pics) tirent la moyenne vers le haut. L'**écart-type de 329 FCFA (CV = 11,1%)** indique une dispersion modérée en relatif, mais la **volatilité annualisée de 57,2%** classe le titre dans la catégorie **très volatile (&gt;30%)**, bien au-dessus de la moyenne du marché BRVM. Le **kurtosis de -0,828** (mésokurtique) suggère une distribution proche de la normale, sans risque extrême de pics, tandis que le **skewness positif de 0,548** confirme une asymétrie à droite : davantage de journées sous la moyenne, avec quelques rebonds techniques violents — profil typique d'une valeur en difficulté fondamentale mais sujette à des sursauts spéculatifs.</w:t>
      </w:r>
    </w:p>
    <w:p>
      <w:pPr>
        <w:spacing w:after="120" w:line="276" w:lineRule="auto"/>
      </w:pPr>
      <w:r>
        <w:t>---</w:t>
      </w:r>
    </w:p>
    <w:p>
      <w:pPr>
        <w:spacing w:after="120" w:line="276" w:lineRule="auto"/>
      </w:pPr>
      <w:r>
        <w:t>## PARTIE 2 : ANALYSE TECHNIQUE DÉTAILLÉE</w:t>
      </w:r>
    </w:p>
    <w:p>
      <w:pPr>
        <w:spacing w:after="120" w:line="276" w:lineRule="auto"/>
      </w:pPr>
      <w:r>
        <w:t>**Moyennes Mobiles** : La MM20 (2 605 FCFA) est légèrement au-dessus du cours actuel (2 575 FCFA), tandis que la MM50 (2 829,9 FCFA) est nettement supérieure, créant une configuration baissière (cours &lt; MM20 &lt; MM50). Cette structure confirme la pression vendeuse de court et moyen terme, justifiant la décision **Vente**.</w:t>
      </w:r>
    </w:p>
    <w:p>
      <w:pPr>
        <w:spacing w:after="120" w:line="276" w:lineRule="auto"/>
      </w:pPr>
      <w:r>
        <w:t>**Bandes de Bollinger** : Le cours (2 575 FCFA) évolue dans la moitié basse du canal, entre la borne inférieure (2 415,76 FCFA) et la borne supérieure (2 794,24 FCFA), sans toucher les extrêmes. Cette position médiane-basse, avec un canal relativement large, traduit une volatilité élevée sans signal directionnel fort, d'où la décision **Neutre**.</w:t>
      </w:r>
    </w:p>
    <w:p>
      <w:pPr>
        <w:spacing w:after="120" w:line="276" w:lineRule="auto"/>
      </w:pPr>
      <w:r>
        <w:t>**MACD** : La valeur du MACD (-64,131) est supérieure à son signal (-69,886), formant un croisement haussier (divergence positive) malgré des deux lignes en territoire négatif. Ce momentum naissant, bien que fragile, justifie la décision **Achat** — signal technique isolé qui contredit la tendance de fond.</w:t>
      </w:r>
    </w:p>
    <w:p>
      <w:pPr>
        <w:spacing w:after="120" w:line="276" w:lineRule="auto"/>
      </w:pPr>
      <w:r>
        <w:t>**RSI** : À **48,667**, le RSI se situe parfaitement dans la zone neutre (30-70), sans surachat ni survente. Cette position médiane indique un équilibre entre acheteurs et vendeurs, sans force directionnelle claire, d'où la décision **Neutre**.</w:t>
      </w:r>
    </w:p>
    <w:p>
      <w:pPr>
        <w:spacing w:after="120" w:line="276" w:lineRule="auto"/>
      </w:pPr>
      <w:r>
        <w:t>**Stochastique** : Le %K (22,727) est supérieur au %D (15,657), avec les deux indicateurs en zone de survente (&lt;20 pour le %D). Ce croisement haussier en territoire survendu suggère un potentiel rebond technique à court terme, mais la faiblesse des niveaux absolus maintient la décision **Neutre** — signal d'alerte plutôt que d'achat franc.</w:t>
      </w:r>
    </w:p>
    <w:p>
      <w:pPr>
        <w:spacing w:after="120" w:line="276" w:lineRule="auto"/>
      </w:pPr>
      <w:r>
        <w:t>**Conclusion technique** : Les indicateurs sont **divergents** : les moyennes mobiles confirment une tendance baissière structurelle, tandis que le MACD et le stochastique émettent des signaux haussiers naissants en zone de survente. Le RSI et les Bollinger restent neutres. Cette configuration suggère un possible rebond technique de court terme, mais sans retournement de tendance confirmé — la prudence reste de mise tant que le cours n'a pas reconquis la MM20 (2 605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SETAO affiche un chiffre d'affaires de **3,878 Mds FCFA**, en **croissance spectaculaire de +116,26%**, portée par le redémarrage du chantier aéroportuaire d'Abidjan. Cependant, cette dynamique commerciale ne se traduit pas en rentabilité : le **résultat net est négatif à -96,56 M FCFA**, la **marge nette reste déficitaire à -2,49%**, et surtout l'**EBE s'effondre à -650,13 M FCFA** et le **résultat d'exploitation à -771,95 M FCFA**, révélant une structure de coûts totalement inadaptée au niveau d'activité. Le **ROE est catastrophique à -27,07%** et le **ROA à -1,77%**, confirmant la destruction de valeur. La **valeur ajoutée de seulement 154,19 M FCFA** (4% du CA) est anormalement faible pour une entreprise de BTP, signe d'une sous-traitance massive ou de charges externes écrasantes. La structure financière est **très dégradée** : l'**autonomie financière de 6,55%** est très en dessous du seuil sain de 30%, le **ratio d'endettement de 93,45%** est critique, et la **capacité de remboursement de 77,53 années** (dettes financières/CAF) est rédhibitoire. Point positif : le **BFR est négatif à -930,47 M FCFA** (favorable, financement par les clients/fournisseurs) et la **trésorerie nette reste positive à 1,330 Md FCFA**, mais elle est consommée par les **flux opérationnels négatifs de -2,212 Mds FCFA**.</w:t>
      </w:r>
    </w:p>
    <w:p>
      <w:pPr>
        <w:spacing w:after="120" w:line="276" w:lineRule="auto"/>
      </w:pPr>
      <w:r>
        <w:t>**Estimations basées sur les rapports trimestriels** : Le rapport du **T3 2025 (30/09/2025)** indique un CA cumulé de **3 456 M FCFA (+176%)** et une perte nette réduite de 22% à **-477 M FCFA**, avec une perte d'exploitation divisée par deux (-456 M FCFA). La direction maintient sa prévision annuelle de **4 Mds FCFA**, impliquant un T4 très faible (~544 M FCFA). Le rapport du **S1 2025 (30/06/2025)** faisait état d'un CA de 2 271 M FCFA (+290%) mais d'une perte nette aggravée à -557 M FCFA. **On estime donc** que l'exercice 2025 devrait se solder par une perte nette annuelle de l'ordre de **-100 à -150 M FCFA**, cohérente avec les -96,56 M FCFA publiés, et que le retour à la rentabilité opérationnelle reste hors de portée à court terme sans nouveaux contrats majeurs. Les rapports antérieurs (2024, 2021) montrent une **volatilité extrême** : CA de 15,9 Mds FCFA en 2020, 10,27 Mds en 2021, effondrement à 1,79 Md en 2024, puis rebond à 3,88 Mds en 2025 — une entreprise dépendante de quelques grands contrats, sans récurrence.</w:t>
      </w:r>
    </w:p>
    <w:p>
      <w:pPr>
        <w:spacing w:after="120" w:line="276" w:lineRule="auto"/>
      </w:pPr>
      <w:r>
        <w:t>**Recommandation fondamentale** : La situation est **très préoccupante** malgré le rebond d'activité. La société est **structurellement déficitaire**, sa structure financière est **quasi-insolvable** (capitaux propres de 356,75 M FCFA pour 5,447 Mds d'actifs), et sa survie dépend de la trésorerie accumulée (1,33 Md FCFA) qui fond rapidement. Le seul catalyseur est le chantier aéroportuaire, mais son achèvement menace de créer un nouveau "trou d'air". **Risque élevé, perspectives incertaines.**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profonde entre les signaux**. Sur le plan de la **valorisation (Partie 0)**, le P/B de 97,01x et le PER négatif indiquent une **surévaluation manifeste** : le marché price un retournement hypothétique, non les fondamentaux actuels. Le **comportement du cours (Partie 1)** est baissier (-6,53% sur 100 jours), avec une volatilité très élevée (57,2%) et un skewness positif suggérant des rebonds techniques possibles mais sans tendance haussière durable. Les **signaux techniques (Partie 2)** sont divergents : baissiers pour les MM, haussiers pour le MACD et le stochastique (en survente), neutres pour le RSI et les Bollinger — configuration de rebond technique fragile, non de retournement. Les **fondamentaux (Partie 3)** sont **très dégradés** : perte nette de -96,56 M FCFA en 2025, ROE de -27,07%, autonomie financière de 6,55%, capacité de remboursement de 77,53 années — malgré un CA en forte hausse (+116%), la rentabilité opérationnelle reste négative et la structure financière quasi-insolvable. Enfin, les **prédictions IA (J+1 à J+10)** anticipent une **baisse continue** de 2 568 FCFA à 2 455 FCFA (-4,7% sur 10 jours), confirmant la pression baissière et contredisant les signaux haussiers isolés du MACD/stochastique.</w:t>
      </w:r>
    </w:p>
    <w:p>
      <w:pPr>
        <w:spacing w:after="120" w:line="276" w:lineRule="auto"/>
      </w:pPr>
      <w:r>
        <w:t>**Recommandation finale : VENTE (avec prudence)**</w:t>
      </w:r>
    </w:p>
    <w:p>
      <w:pPr>
        <w:spacing w:after="120" w:line="276" w:lineRule="auto"/>
      </w:pPr>
      <w:r>
        <w:t>Cette recommandation repose sur la **convergence baissière** entre la valorisation (surévaluée), la tendance de fond (baissière), les fondamentaux (déficitaires et insolvables) et les prédictions IA (négatives). Les seuls signaux haussiers (MACD, stochastique) sont des **rebonds techniques en zone de survente**, insuffisants pour inverser la tendance. **Niveau de confiance : Moyen** (les rebonds techniques pourraient offrir des points de sortie opportuns). **Niveau de risque global : Élevé** (volatilité de 57,2%, risque de faillite à moyen terme, dépendance à un seul chantier). **Horizon d'investissement suggéré : Court terme (&lt;3 mois)** pour les spéculateurs cherchant à profiter d'un rebond technique avec stop-loss strict ; **à éviter** pour les investisseurs long terme tant qu'aucun plan de redressement crédible (recapitalisation, diversification du carnet de commandes) n'est annoncé.</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3,733 titres</w:t>
            </w:r>
          </w:p>
        </w:tc>
        <w:tc>
          <w:tcPr>
            <w:tcW w:type="dxa" w:w="2268"/>
            <w:shd w:fill="FFF2CC" w:val="clear"/>
          </w:tcPr>
          <w:p>
            <w:r>
              <w:rPr>
                <w:b/>
                <w:color w:val="503200"/>
                <w:sz w:val="16"/>
              </w:rPr>
              <w:t xml:space="preserve">Cours actuel : </w:t>
            </w:r>
            <w:r>
              <w:rPr>
                <w:color w:val="000000"/>
                <w:sz w:val="17"/>
              </w:rPr>
              <w:t>22,200 FCFA</w:t>
            </w:r>
          </w:p>
          <w:p>
            <w:r>
              <w:rPr>
                <w:b/>
                <w:color w:val="503200"/>
                <w:sz w:val="16"/>
              </w:rPr>
              <w:t xml:space="preserve">Var. 100 jours : </w:t>
            </w:r>
            <w:r>
              <w:rPr>
                <w:b/>
                <w:color w:val="007800"/>
                <w:sz w:val="17"/>
              </w:rPr>
              <w:t>+8.29%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5.86% (Moyenne) — μ=22,389 FCFA, σ=1,312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β=0.2641 (Défensif) — Cov=0.000009, Var(idx)=0.000035, ρ=0.069,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21,229</w:t>
            </w:r>
          </w:p>
        </w:tc>
        <w:tc>
          <w:tcPr>
            <w:tcW w:type="dxa" w:w="1440"/>
            <w:shd w:fill="FAFAFA" w:val="clear"/>
          </w:tcPr>
          <w:p>
            <w:r>
              <w:rPr>
                <w:b/>
                <w:sz w:val="17"/>
              </w:rPr>
              <w:t>22,294</w:t>
            </w:r>
          </w:p>
        </w:tc>
        <w:tc>
          <w:tcPr>
            <w:tcW w:type="dxa" w:w="1440"/>
            <w:shd w:fill="FAFAFA" w:val="clear"/>
          </w:tcPr>
          <w:p>
            <w:r>
              <w:rPr>
                <w:sz w:val="17"/>
              </w:rPr>
              <w:t>23,359</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20,866</w:t>
            </w:r>
          </w:p>
        </w:tc>
        <w:tc>
          <w:tcPr>
            <w:tcW w:type="dxa" w:w="1440"/>
            <w:shd w:fill="FAFAFA" w:val="clear"/>
          </w:tcPr>
          <w:p>
            <w:r>
              <w:rPr>
                <w:b/>
                <w:sz w:val="17"/>
              </w:rPr>
              <w:t>22,379</w:t>
            </w:r>
          </w:p>
        </w:tc>
        <w:tc>
          <w:tcPr>
            <w:tcW w:type="dxa" w:w="1440"/>
            <w:shd w:fill="FAFAFA" w:val="clear"/>
          </w:tcPr>
          <w:p>
            <w:r>
              <w:rPr>
                <w:sz w:val="17"/>
              </w:rPr>
              <w:t>23,891</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20,632</w:t>
            </w:r>
          </w:p>
        </w:tc>
        <w:tc>
          <w:tcPr>
            <w:tcW w:type="dxa" w:w="1440"/>
            <w:shd w:fill="FAFAFA" w:val="clear"/>
          </w:tcPr>
          <w:p>
            <w:r>
              <w:rPr>
                <w:b/>
                <w:sz w:val="17"/>
              </w:rPr>
              <w:t>22,494</w:t>
            </w:r>
          </w:p>
        </w:tc>
        <w:tc>
          <w:tcPr>
            <w:tcW w:type="dxa" w:w="1440"/>
            <w:shd w:fill="FAFAFA" w:val="clear"/>
          </w:tcPr>
          <w:p>
            <w:r>
              <w:rPr>
                <w:sz w:val="17"/>
              </w:rPr>
              <w:t>24,356</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20,456</w:t>
            </w:r>
          </w:p>
        </w:tc>
        <w:tc>
          <w:tcPr>
            <w:tcW w:type="dxa" w:w="1440"/>
            <w:shd w:fill="FAFAFA" w:val="clear"/>
          </w:tcPr>
          <w:p>
            <w:r>
              <w:rPr>
                <w:b/>
                <w:sz w:val="17"/>
              </w:rPr>
              <w:t>22,617</w:t>
            </w:r>
          </w:p>
        </w:tc>
        <w:tc>
          <w:tcPr>
            <w:tcW w:type="dxa" w:w="1440"/>
            <w:shd w:fill="FAFAFA" w:val="clear"/>
          </w:tcPr>
          <w:p>
            <w:r>
              <w:rPr>
                <w:sz w:val="17"/>
              </w:rPr>
              <w:t>24,779</w:t>
            </w:r>
          </w:p>
        </w:tc>
        <w:tc>
          <w:tcPr>
            <w:tcW w:type="dxa" w:w="1440"/>
            <w:shd w:fill="FAFAFA" w:val="clear"/>
          </w:tcPr>
          <w:p>
            <w:r>
              <w:rPr>
                <w:b/>
                <w:color w:val="008000"/>
                <w:sz w:val="17"/>
              </w:rPr>
              <w:t>+1.9%</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20,371</w:t>
            </w:r>
          </w:p>
        </w:tc>
        <w:tc>
          <w:tcPr>
            <w:tcW w:type="dxa" w:w="1440"/>
            <w:shd w:fill="C6EFCE" w:val="clear"/>
          </w:tcPr>
          <w:p>
            <w:r>
              <w:rPr>
                <w:b/>
                <w:sz w:val="17"/>
              </w:rPr>
              <w:t>22,809</w:t>
            </w:r>
          </w:p>
        </w:tc>
        <w:tc>
          <w:tcPr>
            <w:tcW w:type="dxa" w:w="1440"/>
            <w:shd w:fill="C6EFCE" w:val="clear"/>
          </w:tcPr>
          <w:p>
            <w:r>
              <w:rPr>
                <w:sz w:val="17"/>
              </w:rPr>
              <w:t>25,246</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20,354</w:t>
            </w:r>
          </w:p>
        </w:tc>
        <w:tc>
          <w:tcPr>
            <w:tcW w:type="dxa" w:w="1440"/>
            <w:shd w:fill="C6EFCE" w:val="clear"/>
          </w:tcPr>
          <w:p>
            <w:r>
              <w:rPr>
                <w:b/>
                <w:sz w:val="17"/>
              </w:rPr>
              <w:t>23,053</w:t>
            </w:r>
          </w:p>
        </w:tc>
        <w:tc>
          <w:tcPr>
            <w:tcW w:type="dxa" w:w="1440"/>
            <w:shd w:fill="C6EFCE" w:val="clear"/>
          </w:tcPr>
          <w:p>
            <w:r>
              <w:rPr>
                <w:sz w:val="17"/>
              </w:rPr>
              <w:t>25,751</w:t>
            </w:r>
          </w:p>
        </w:tc>
        <w:tc>
          <w:tcPr>
            <w:tcW w:type="dxa" w:w="1440"/>
            <w:shd w:fill="C6EFCE" w:val="clear"/>
          </w:tcPr>
          <w:p>
            <w:r>
              <w:rPr>
                <w:b/>
                <w:color w:val="008000"/>
                <w:sz w:val="17"/>
              </w:rPr>
              <w:t>+3.8%</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20,434</w:t>
            </w:r>
          </w:p>
        </w:tc>
        <w:tc>
          <w:tcPr>
            <w:tcW w:type="dxa" w:w="1440"/>
            <w:shd w:fill="C6EFCE" w:val="clear"/>
          </w:tcPr>
          <w:p>
            <w:r>
              <w:rPr>
                <w:b/>
                <w:sz w:val="17"/>
              </w:rPr>
              <w:t>23,391</w:t>
            </w:r>
          </w:p>
        </w:tc>
        <w:tc>
          <w:tcPr>
            <w:tcW w:type="dxa" w:w="1440"/>
            <w:shd w:fill="C6EFCE" w:val="clear"/>
          </w:tcPr>
          <w:p>
            <w:r>
              <w:rPr>
                <w:sz w:val="17"/>
              </w:rPr>
              <w:t>26,348</w:t>
            </w:r>
          </w:p>
        </w:tc>
        <w:tc>
          <w:tcPr>
            <w:tcW w:type="dxa" w:w="1440"/>
            <w:shd w:fill="C6EFCE" w:val="clear"/>
          </w:tcPr>
          <w:p>
            <w:r>
              <w:rPr>
                <w:b/>
                <w:color w:val="008000"/>
                <w:sz w:val="17"/>
              </w:rPr>
              <w:t>+5.4%</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20,474</w:t>
            </w:r>
          </w:p>
        </w:tc>
        <w:tc>
          <w:tcPr>
            <w:tcW w:type="dxa" w:w="1440"/>
            <w:shd w:fill="C6EFCE" w:val="clear"/>
          </w:tcPr>
          <w:p>
            <w:r>
              <w:rPr>
                <w:b/>
                <w:sz w:val="17"/>
              </w:rPr>
              <w:t>23,673</w:t>
            </w:r>
          </w:p>
        </w:tc>
        <w:tc>
          <w:tcPr>
            <w:tcW w:type="dxa" w:w="1440"/>
            <w:shd w:fill="C6EFCE" w:val="clear"/>
          </w:tcPr>
          <w:p>
            <w:r>
              <w:rPr>
                <w:sz w:val="17"/>
              </w:rPr>
              <w:t>26,873</w:t>
            </w:r>
          </w:p>
        </w:tc>
        <w:tc>
          <w:tcPr>
            <w:tcW w:type="dxa" w:w="1440"/>
            <w:shd w:fill="C6EFCE" w:val="clear"/>
          </w:tcPr>
          <w:p>
            <w:r>
              <w:rPr>
                <w:b/>
                <w:color w:val="008000"/>
                <w:sz w:val="17"/>
              </w:rPr>
              <w:t>+6.6%</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20,490</w:t>
            </w:r>
          </w:p>
        </w:tc>
        <w:tc>
          <w:tcPr>
            <w:tcW w:type="dxa" w:w="1440"/>
            <w:shd w:fill="C6EFCE" w:val="clear"/>
          </w:tcPr>
          <w:p>
            <w:r>
              <w:rPr>
                <w:b/>
                <w:sz w:val="17"/>
              </w:rPr>
              <w:t>23,919</w:t>
            </w:r>
          </w:p>
        </w:tc>
        <w:tc>
          <w:tcPr>
            <w:tcW w:type="dxa" w:w="1440"/>
            <w:shd w:fill="C6EFCE" w:val="clear"/>
          </w:tcPr>
          <w:p>
            <w:r>
              <w:rPr>
                <w:sz w:val="17"/>
              </w:rPr>
              <w:t>27,348</w:t>
            </w:r>
          </w:p>
        </w:tc>
        <w:tc>
          <w:tcPr>
            <w:tcW w:type="dxa" w:w="1440"/>
            <w:shd w:fill="C6EFCE" w:val="clear"/>
          </w:tcPr>
          <w:p>
            <w:r>
              <w:rPr>
                <w:b/>
                <w:color w:val="008000"/>
                <w:sz w:val="17"/>
              </w:rPr>
              <w:t>+7.7%</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20,452</w:t>
            </w:r>
          </w:p>
        </w:tc>
        <w:tc>
          <w:tcPr>
            <w:tcW w:type="dxa" w:w="1440"/>
            <w:shd w:fill="C6EFCE" w:val="clear"/>
          </w:tcPr>
          <w:p>
            <w:r>
              <w:rPr>
                <w:b/>
                <w:sz w:val="17"/>
              </w:rPr>
              <w:t>24,093</w:t>
            </w:r>
          </w:p>
        </w:tc>
        <w:tc>
          <w:tcPr>
            <w:tcW w:type="dxa" w:w="1440"/>
            <w:shd w:fill="C6EFCE" w:val="clear"/>
          </w:tcPr>
          <w:p>
            <w:r>
              <w:rPr>
                <w:sz w:val="17"/>
              </w:rPr>
              <w:t>27,733</w:t>
            </w:r>
          </w:p>
        </w:tc>
        <w:tc>
          <w:tcPr>
            <w:tcW w:type="dxa" w:w="1440"/>
            <w:shd w:fill="C6EFCE" w:val="clear"/>
          </w:tcPr>
          <w:p>
            <w:r>
              <w:rPr>
                <w:b/>
                <w:color w:val="008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398,60 milliards FCFA, STBC s'impose comme l'une des toutes premières capitalisations de la BRVM, ce qui en fait une valeur incontournable de l'indice BRVM Composite. Le BPA de 2 014 FCFA/action signifie que chaque titre génère un bénéfice net de plus de deux mille francs, un niveau remarquable pour la place. Le PER de 11,0x se situe dans la fourchette haute de la moyenne BRVM (~8-12x), traduisant une valorisation modérée mais sans décote manifeste : les investisseurs paient environ 11 fois les bénéfices annuels. En revanche, le P/B de 8,79x — très supérieur au seuil de 4x — révèle une forte prime sur la valeur comptable, typique des sociétés à très forte rentabilité des fonds propres (ROE de 79,75%) mais qui laisse peu de marge de sécurité en cas de retournement. Enfin, l'EV/EBITDA de 7,9x, dans la fourchette raisonnable de 5-10x, indique que la valeur totale de l'entreprise reste cohérente avec sa capacité opérationnelle, ce qui nuance le caractère exigeant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STBC affiche une variation totale de +8,29%, avec une dernière séance en hausse de +0,91%, portant le cours actuel à 22 200 FCFA pour une capitalisation de 398,60 milliards FCFA. Le titre a évolué dans un range de 19 705 FCFA (plus bas) à 25 000 FCFA (plus haut), soit un écart de plus de 26% entre les extrêmes, ce qui traduit une tendance générale haussière mais ponctuée de corrections notables. Les statistiques descriptives révèlent une moyenne de 22 389 FCFA légèrement supérieure à la médiane de 22 218 FCFA, signe d'une distribution quasi symétrique (skewness de 0,198), avec un mode à 21 000 FCFA indiquant que le marché a longtemps stationné autour de ce palier psychologique. L'écart-type de 1 318 FCFA et le coefficient de variation de 5,9% témoignent d'une dispersion modérée du cours, tandis que le kurtosis de -0,814 (mésokurtique) suggère une distribution proche de la normale, sans risque excessif de pics extrêmes. La volatilité annualisée de 35,7% classe toutefois le titre dans la catégorie des valeurs à volatilité élevée (&gt;30%), ce qui implique une prime de risque significative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(22 437,5 FCFA) et la MM50 (23 225,5 FCFA) se situent toutes deux au-dessus du cours actuel (22 200 FCFA), avec une MM20 inférieure à la MM50 — configuration baissière de court terme. Le cours évoluant sous ses deux moyennes, la décision technique est logiquement **Vente**, signalant une pression vendeuse persistante.</w:t>
      </w:r>
    </w:p>
    <w:p>
      <w:pPr>
        <w:spacing w:after="120" w:line="276" w:lineRule="auto"/>
      </w:pPr>
      <w:r>
        <w:t>**Bandes de Bollinger** : Le cours (22 200 FCFA) se situe dans la partie basse du canal, entre la borne inférieure (21 319,55 FCFA) et la borne supérieure (23 555,45 FCFA), sans franchissement des extrêmes. Cette position médiane-basse, dans un canal relativement resserré, justifie la décision **Neutre** : ni suracheté, ni survendu, le titre est en phase de consolidation.</w:t>
      </w:r>
    </w:p>
    <w:p>
      <w:pPr>
        <w:spacing w:after="120" w:line="276" w:lineRule="auto"/>
      </w:pPr>
      <w:r>
        <w:t>**MACD** : La ligne MACD (-347,576) est légèrement inférieure à sa ligne de signal (-344,015), avec un histogramme négatif. Cette divergence baissière, bien que marginale, confirme un momentum négatif et justifie la décision **Vente**, sans signal de retournement imminent.</w:t>
      </w:r>
    </w:p>
    <w:p>
      <w:pPr>
        <w:spacing w:after="120" w:line="276" w:lineRule="auto"/>
      </w:pPr>
      <w:r>
        <w:t>**RSI** : À 42,647, le RSI se situe dans la zone neutre (30-70), plus proche de la survente que de la surachat. La décision **Neutre** est appropriée : le titre n'est ni épuisé à la baisse, ni en excès haussier, laissant la porte ouverte à une reprise comme à une poursuite de la correction.</w:t>
      </w:r>
    </w:p>
    <w:p>
      <w:pPr>
        <w:spacing w:after="120" w:line="276" w:lineRule="auto"/>
      </w:pPr>
      <w:r>
        <w:t>**Stochastique** : Le %K (58,702) est supérieur au %D (49,965), avec un croisement récent à la hausse en zone neutre. Cette configuration est légèrement positive mais insuffisante pour générer un signal d'achat franc, d'où la décision **Neutre**.</w:t>
      </w:r>
    </w:p>
    <w:p>
      <w:pPr>
        <w:spacing w:after="120" w:line="276" w:lineRule="auto"/>
      </w:pPr>
      <w:r>
        <w:t>**Conclusion technique** : Les indicateurs sont majoritairement baissiers (MM, MACD) ou neutres (Bollinger, RSI, Stochastique), sans convergence haussière. Le titre est en phase de consolidation sous ses moyennes mobiles, avec un momentum négatif modéré. Aucun signal d'achat technique n'est présent ; la prudence reste de mise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officiels de STBC (SITAB) affichent un chiffre d'affaires de 268,537 milliards FCFA, en croissance de +25,3% par rapport à 2024, portée par une hausse des volumes de +5,6% et un effet prix favorable. Le résultat net s'établit à 36,158 milliards FCFA, en baisse de -17,5% sur un an, sous l'effet de la hausse des droits d'accise (de 49% à 70%) et d'un contrôle fiscal. La rentabilité reste exceptionnelle avec un ROE de 79,75% et un ROA de 48,09%, bien au-dessus des seuils d'excellence (&gt;15%), tandis que la marge nette se contracte de 20,4% (2024) à 13,5% (2025). La structure financière est très saine : autonomie financière de 60,3%, endettement financier quasi nul (1,4 million FCFA), trésorerie nette de 30,76 milliards FCFA et liquidité générale de 225%. Le BFR est négatif (5,639 milliards FCFA), signe d'un modèle de distribution favorable, avec des délais clients de 42,57 jours et une rotation des stocks très rapide (5,73 jours). Les rapports trimestriels récents confirment la tendance : le T1 2026 (rapport du 31/03/2026) affiche un CA de 68,8 milliards FCFA (+12%) et des volumes en hausse de +10%, mais un résultat net en léger recul (-1%) à 9,3 milliards FCFA ; le T2 2026 (rapport du 30/06/2026) montre un CA de 70,05 milliards FCFA (+1%) et un résultat net stable à 8,64 milliards FCFA (-0,2%). Sur cette base, on estime que l'exercice 2026 devrait enregistrer une croissance modérée du CA (autour de +5-8%) et une stabilisation du résultat net autour de 36-38 milliards FCFA, la direction visant la consolidation des performances. Le principal risque reste la pression fiscale et réglementaire sur le secteur du tabac, tandis que la solidité bilantielle et la générosité du dividende (1 940 FCFA/action proposé, soit un rendement d'environ 8,7% au cours actuel) constituent des atouts majeurs. La recommandation fondamentale est de **Conserver** : la valeur est solide et offre un rendement attractif, mais l'érosion des marges et l'absence de catalyseur de croissance à court terme limitent le potentiel d'appréciation.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(Partie 0) est modérée (PER de 11,0x) mais exigeante sur la valeur comptable (P/B de 8,79x), reflétant la très forte rentabilité des fonds propres sans offrir de décote de sécurité. Le comportement du cours (Partie 1) est haussier sur 100 jours (+8,29%) mais avec une volatilité élevée (35,7%) et une distribution symétrique sans biais marqué, ce qui n'est ni alarmant ni particulièrement favorable. Les signaux techniques (Partie 2) sont majoritairement baissiers ou neutres — cours sous les MM20/MM50, MACD négatif, RSI neutre — sans convergence haussière, ce qui plaide pour une poursuite de la consolidation à court terme. Les fondamentaux (Partie 3) restent solides : croissance du CA, rentabilité exceptionnelle (ROE 79,75%), trésorerie confortable et dividende attractif, mais la dégradation des marges et la pression fiscale constituent des vents contraires. Les prédictions IA (J+1 à J+10) anticipent une trajectoire haussière modérée, de 22 294 FCFA (J+1) à 22 809 FCFA (J+5), ce qui contredit légèrement les signaux techniques baissiers et suggère un possible rebond de court terme. Sur la base de cette synthèse, la recommandation finale est **CONSERVER** : la convergence entre une valorisation correcte, des fondamentaux solides et un rendement attractif justifie le maintien en portefeuille, mais l'absence de signal technique d'achat et la pression sur les marges excluent un renforcement agressif. Le niveau de confiance est **Moyen** (les signaux sont mitigés entre technique et fondamental), le niveau de risque global est **Moyen** (volatilité élevée mais bilan très sain), et l'horizon d'investissement optimal est le **moyen terme (3-12 mois)**, en attendant la confirmation d'une stabilisation des marges et d'une reprise durable des volumes.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206.51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6,868 titres</w:t>
            </w:r>
          </w:p>
        </w:tc>
        <w:tc>
          <w:tcPr>
            <w:tcW w:type="dxa" w:w="2268"/>
            <w:shd w:fill="FFF2CC" w:val="clear"/>
          </w:tcPr>
          <w:p>
            <w:r>
              <w:rPr>
                <w:b/>
                <w:color w:val="503200"/>
                <w:sz w:val="16"/>
              </w:rPr>
              <w:t xml:space="preserve">Cours actuel : </w:t>
            </w:r>
            <w:r>
              <w:rPr>
                <w:color w:val="000000"/>
                <w:sz w:val="17"/>
              </w:rPr>
              <w:t>3,280 FCFA</w:t>
            </w:r>
          </w:p>
          <w:p>
            <w:r>
              <w:rPr>
                <w:b/>
                <w:color w:val="503200"/>
                <w:sz w:val="16"/>
              </w:rPr>
              <w:t xml:space="preserve">Var. 100 jours : </w:t>
            </w:r>
            <w:r>
              <w:rPr>
                <w:b/>
                <w:color w:val="007800"/>
                <w:sz w:val="17"/>
              </w:rPr>
              <w:t>+17.35%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6.96% (Moyenne) — μ=2,961 FCFA, σ=206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β=-0.4054 (Contre-cyclique) — Cov=-0.000014, Var(idx)=0.000035, ρ=-0.092,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6,868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3,056</w:t>
            </w:r>
          </w:p>
        </w:tc>
        <w:tc>
          <w:tcPr>
            <w:tcW w:type="dxa" w:w="1440"/>
            <w:shd w:fill="FAFAFA" w:val="clear"/>
          </w:tcPr>
          <w:p>
            <w:r>
              <w:rPr>
                <w:b/>
                <w:sz w:val="17"/>
              </w:rPr>
              <w:t>3,238</w:t>
            </w:r>
          </w:p>
        </w:tc>
        <w:tc>
          <w:tcPr>
            <w:tcW w:type="dxa" w:w="1440"/>
            <w:shd w:fill="FAFAFA" w:val="clear"/>
          </w:tcPr>
          <w:p>
            <w:r>
              <w:rPr>
                <w:sz w:val="17"/>
              </w:rPr>
              <w:t>3,421</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2,946</w:t>
            </w:r>
          </w:p>
        </w:tc>
        <w:tc>
          <w:tcPr>
            <w:tcW w:type="dxa" w:w="1440"/>
            <w:shd w:fill="FFDCE0" w:val="clear"/>
          </w:tcPr>
          <w:p>
            <w:r>
              <w:rPr>
                <w:b/>
                <w:sz w:val="17"/>
              </w:rPr>
              <w:t>3,202</w:t>
            </w:r>
          </w:p>
        </w:tc>
        <w:tc>
          <w:tcPr>
            <w:tcW w:type="dxa" w:w="1440"/>
            <w:shd w:fill="FFDCE0" w:val="clear"/>
          </w:tcPr>
          <w:p>
            <w:r>
              <w:rPr>
                <w:sz w:val="17"/>
              </w:rPr>
              <w:t>3,457</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2,857</w:t>
            </w:r>
          </w:p>
        </w:tc>
        <w:tc>
          <w:tcPr>
            <w:tcW w:type="dxa" w:w="1440"/>
            <w:shd w:fill="FFDCE0" w:val="clear"/>
          </w:tcPr>
          <w:p>
            <w:r>
              <w:rPr>
                <w:b/>
                <w:sz w:val="17"/>
              </w:rPr>
              <w:t>3,167</w:t>
            </w:r>
          </w:p>
        </w:tc>
        <w:tc>
          <w:tcPr>
            <w:tcW w:type="dxa" w:w="1440"/>
            <w:shd w:fill="FFDCE0" w:val="clear"/>
          </w:tcPr>
          <w:p>
            <w:r>
              <w:rPr>
                <w:sz w:val="17"/>
              </w:rPr>
              <w:t>3,476</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2,781</w:t>
            </w:r>
          </w:p>
        </w:tc>
        <w:tc>
          <w:tcPr>
            <w:tcW w:type="dxa" w:w="1440"/>
            <w:shd w:fill="FFDCE0" w:val="clear"/>
          </w:tcPr>
          <w:p>
            <w:r>
              <w:rPr>
                <w:b/>
                <w:sz w:val="17"/>
              </w:rPr>
              <w:t>3,135</w:t>
            </w:r>
          </w:p>
        </w:tc>
        <w:tc>
          <w:tcPr>
            <w:tcW w:type="dxa" w:w="1440"/>
            <w:shd w:fill="FFDCE0" w:val="clear"/>
          </w:tcPr>
          <w:p>
            <w:r>
              <w:rPr>
                <w:sz w:val="17"/>
              </w:rPr>
              <w:t>3,489</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2,714</w:t>
            </w:r>
          </w:p>
        </w:tc>
        <w:tc>
          <w:tcPr>
            <w:tcW w:type="dxa" w:w="1440"/>
            <w:shd w:fill="FFDCE0" w:val="clear"/>
          </w:tcPr>
          <w:p>
            <w:r>
              <w:rPr>
                <w:b/>
                <w:sz w:val="17"/>
              </w:rPr>
              <w:t>3,106</w:t>
            </w:r>
          </w:p>
        </w:tc>
        <w:tc>
          <w:tcPr>
            <w:tcW w:type="dxa" w:w="1440"/>
            <w:shd w:fill="FFDCE0" w:val="clear"/>
          </w:tcPr>
          <w:p>
            <w:r>
              <w:rPr>
                <w:sz w:val="17"/>
              </w:rPr>
              <w:t>3,498</w:t>
            </w:r>
          </w:p>
        </w:tc>
        <w:tc>
          <w:tcPr>
            <w:tcW w:type="dxa" w:w="1440"/>
            <w:shd w:fill="FFDCE0" w:val="clear"/>
          </w:tcPr>
          <w:p>
            <w:r>
              <w:rPr>
                <w:b/>
                <w:color w:val="C00000"/>
                <w:sz w:val="17"/>
              </w:rPr>
              <w:t>-5.3%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2,652</w:t>
            </w:r>
          </w:p>
        </w:tc>
        <w:tc>
          <w:tcPr>
            <w:tcW w:type="dxa" w:w="1440"/>
            <w:shd w:fill="FFDCE0" w:val="clear"/>
          </w:tcPr>
          <w:p>
            <w:r>
              <w:rPr>
                <w:b/>
                <w:sz w:val="17"/>
              </w:rPr>
              <w:t>3,078</w:t>
            </w:r>
          </w:p>
        </w:tc>
        <w:tc>
          <w:tcPr>
            <w:tcW w:type="dxa" w:w="1440"/>
            <w:shd w:fill="FFDCE0" w:val="clear"/>
          </w:tcPr>
          <w:p>
            <w:r>
              <w:rPr>
                <w:sz w:val="17"/>
              </w:rPr>
              <w:t>3,503</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2,596</w:t>
            </w:r>
          </w:p>
        </w:tc>
        <w:tc>
          <w:tcPr>
            <w:tcW w:type="dxa" w:w="1440"/>
            <w:shd w:fill="FFDCE0" w:val="clear"/>
          </w:tcPr>
          <w:p>
            <w:r>
              <w:rPr>
                <w:b/>
                <w:sz w:val="17"/>
              </w:rPr>
              <w:t>3,051</w:t>
            </w:r>
          </w:p>
        </w:tc>
        <w:tc>
          <w:tcPr>
            <w:tcW w:type="dxa" w:w="1440"/>
            <w:shd w:fill="FFDCE0" w:val="clear"/>
          </w:tcPr>
          <w:p>
            <w:r>
              <w:rPr>
                <w:sz w:val="17"/>
              </w:rPr>
              <w:t>3,507</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2,543</w:t>
            </w:r>
          </w:p>
        </w:tc>
        <w:tc>
          <w:tcPr>
            <w:tcW w:type="dxa" w:w="1440"/>
            <w:shd w:fill="FFDCE0" w:val="clear"/>
          </w:tcPr>
          <w:p>
            <w:r>
              <w:rPr>
                <w:b/>
                <w:sz w:val="17"/>
              </w:rPr>
              <w:t>3,026</w:t>
            </w:r>
          </w:p>
        </w:tc>
        <w:tc>
          <w:tcPr>
            <w:tcW w:type="dxa" w:w="1440"/>
            <w:shd w:fill="FFDCE0" w:val="clear"/>
          </w:tcPr>
          <w:p>
            <w:r>
              <w:rPr>
                <w:sz w:val="17"/>
              </w:rPr>
              <w:t>3,509</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2,494</w:t>
            </w:r>
          </w:p>
        </w:tc>
        <w:tc>
          <w:tcPr>
            <w:tcW w:type="dxa" w:w="1440"/>
            <w:shd w:fill="FFDCE0" w:val="clear"/>
          </w:tcPr>
          <w:p>
            <w:r>
              <w:rPr>
                <w:b/>
                <w:sz w:val="17"/>
              </w:rPr>
              <w:t>3,002</w:t>
            </w:r>
          </w:p>
        </w:tc>
        <w:tc>
          <w:tcPr>
            <w:tcW w:type="dxa" w:w="1440"/>
            <w:shd w:fill="FFDCE0" w:val="clear"/>
          </w:tcPr>
          <w:p>
            <w:r>
              <w:rPr>
                <w:sz w:val="17"/>
              </w:rPr>
              <w:t>3,510</w:t>
            </w:r>
          </w:p>
        </w:tc>
        <w:tc>
          <w:tcPr>
            <w:tcW w:type="dxa" w:w="1440"/>
            <w:shd w:fill="FFDCE0" w:val="clear"/>
          </w:tcPr>
          <w:p>
            <w:r>
              <w:rPr>
                <w:b/>
                <w:color w:val="C00000"/>
                <w:sz w:val="17"/>
              </w:rPr>
              <w:t>-8.5%</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2,447</w:t>
            </w:r>
          </w:p>
        </w:tc>
        <w:tc>
          <w:tcPr>
            <w:tcW w:type="dxa" w:w="1440"/>
            <w:shd w:fill="FFDCE0" w:val="clear"/>
          </w:tcPr>
          <w:p>
            <w:r>
              <w:rPr>
                <w:b/>
                <w:sz w:val="17"/>
              </w:rPr>
              <w:t>2,978</w:t>
            </w:r>
          </w:p>
        </w:tc>
        <w:tc>
          <w:tcPr>
            <w:tcW w:type="dxa" w:w="1440"/>
            <w:shd w:fill="FFDCE0" w:val="clear"/>
          </w:tcPr>
          <w:p>
            <w:r>
              <w:rPr>
                <w:sz w:val="17"/>
              </w:rPr>
              <w:t>3,510</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r>
    </w:p>
    <w:p>
      <w:pPr>
        <w:spacing w:after="120" w:line="276" w:lineRule="auto"/>
      </w:pPr>
      <w: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206,51 milliards FCFA, TTLC figure parmi les valeurs les plus importantes de la cote BRVM, ce qui traduit la solidité et la notoriété d'un leader de la distribution pétrolière en Côte d'Ivoire. Le BPA s'établit à 144 FCFA par action, soit ce que chaque titre rapporte en bénéfice net à son détenteur. Le PER de 22,7x est nettement supérieur à la moyenne du marché BRVM (généralement comprise entre 8 et 12x), ce qui signifie que les investisseurs paient une prime très généreuse pour les bénéfices actuels, anticipant soit une croissance future, soit une surévaluation du titre. Le P/B de 5,70x confirme cette tendance : le marché valorise l'entreprise à près de six fois sa valeur comptable, une prime exigeante qui n'est justifiée que par la qualité des actifs et la rentabilité élevée (ROE de 25,1%). Enfin, l'EV/EBITDA de 11,7x situe la valeur totale de l'entreprise (dette incluse) dans la fourchette haute (10-15x), signalant une valorisation tendue au regard de la capacité opérationnelle dégagée.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totale de +17,35%, avec un cours actuel de 3 280 FCFA et une variation nulle lors de la dernière séance (J-1 : +0,00%), signe d'une pause dans le mouvement haussier. Le range de trading est particulièrement large, avec un plus haut à 3 595 FCFA et un plus bas à 2 650 FCFA, soit une amplitude de près de 36%, ce qui témoigne d'une réelle dynamique haussière entrecoupée de corrections. La tendance générale est donc clairement haussière sur la période, portée par un volume moyen quotidien de 6 868 titres, indiquant une liquidité correcte pour le marché BRVM. Les statistiques descriptives révèlent une moyenne de 2 961 FCFA légèrement supérieure à la médiane de 2 900 FCFA, avec un mode identique à 2 900 FCFA : cet écart entre moyenne et médiane, couplé à un skewness positif de 1,090, confirme une asymétrie positive — le cours a passé plus de journées sous sa moyenne, mais quelques fortes poussées haussières tirent la moyenne vers le haut. L'écart-type de 207 FCFA et le coefficient de variation de 7,0% indiquent une dispersion modérée autour de la moyenne, tandis que le kurtosis de 0,359 (mésokurtique) suggère une distribution proche de la normale, sans risque excessif de pics extrêmes. La volatilité annualisée de 40,8% classe le titre dans la catégorie des valeurs à volatilité élevée (&gt;30%), ce qui implique un risque de prix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3 328,5 FCFA et la MM50 à 3 089,5 FCFA, toutes deux inférieures au cours actuel de 3 280 FCFA pour la MM20 (léger retrait) mais nettement en dessous pour la MM50. Le croisement haussier MM20 &gt; MM50 confirme une dynamique positive de moyen terme, et la décision technique affichée est **Achat**, bien que le cours évolue actuellement sous sa MM20, ce qui suggère une consolidation à court terme.</w:t>
      </w:r>
    </w:p>
    <w:p>
      <w:pPr>
        <w:spacing w:after="120" w:line="276" w:lineRule="auto"/>
      </w:pPr>
      <w:r>
        <w:t>**Bandes de Bollinger** : La borne supérieure se situe à 3 530,6 FCFA et la borne inférieure à 3 126,4 FCFA, avec un cours actuel de 3 280 FCFA positionné dans la partie basse de la bande (environ 25% de la largeur). Cette position indique que le titre n'est ni suracheté ni survendu, et la décision **Neutre** reflète l'absence de signal directionnel fort, la volatilité restant contenue dans les bandes.</w:t>
      </w:r>
    </w:p>
    <w:p>
      <w:pPr>
        <w:spacing w:after="120" w:line="276" w:lineRule="auto"/>
      </w:pPr>
      <w:r>
        <w:t>**MACD** : La valeur du MACD (57,796) est inférieure à son signal (84,491), générant une divergence baissière et une décision **Vente**. Cet écart signale un essoufflement du momentum haussier et un possible retournement à court terme, le MACD ayant probablement amorcé un repli après avoir atteint des sommets.</w:t>
      </w:r>
    </w:p>
    <w:p>
      <w:pPr>
        <w:spacing w:after="120" w:line="276" w:lineRule="auto"/>
      </w:pPr>
      <w:r>
        <w:t>**RSI** : À 42,308, le RSI se situe dans la zone neutre (30-70), sans signal de surachat ni de survente. La décision **Neutre** confirme que le titre dispose d'une marge de manœuvre à la hausse comme à la baisse, sans pression acheteuse ou vendeuse dominante.</w:t>
      </w:r>
    </w:p>
    <w:p>
      <w:pPr>
        <w:spacing w:after="120" w:line="276" w:lineRule="auto"/>
      </w:pPr>
      <w:r>
        <w:t>**Stochastique** : Le %K (20,253) et le %D (21,519) évoluent tous deux en zone basse (proche de 20), sans croisement clair, avec une décision **Neutre**. Cette configuration suggère que le titre approche d'une zone de survente potentielle, ce qui pourrait précéder un rebond technique si les acheteurs reviennent.</w:t>
      </w:r>
    </w:p>
    <w:p>
      <w:pPr>
        <w:spacing w:after="120" w:line="276" w:lineRule="auto"/>
      </w:pPr>
      <w:r>
        <w:t>**Conclusion technique** : Les indicateurs techniques présentent un tableau mitigé. Les moyennes mobiles restent haussières (MM20 &gt; MM50) et le stochastique en zone basse plaide pour un rebond, mais le MACD baissier et la position du cours sous la MM20 tempèrent l'optimisme. Le RSI neutre et les Bandes de Bollinger sans signal fort confirment une phase de consolidation, avec un léger avantage aux vendeurs à court terme mais un potentiel de reprise à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Côte d'Ivoire a réalisé un chiffre d'affaires de 588,709 milliards FCFA, en repli de 5,2% par rapport à 2024 (621,042 Mds FCFA), reflétant un contexte de baisse des volumes hors réseau. Le résultat net s'établit à 9,087 milliards FCFA, en légère baisse de 3% par rapport aux 9,374 milliards de 2024, mais la marge nette se maintient à 1,54% (contre 1,51% en 2024). La rentabilité des fonds propres (ROE) reste excellente à 25,1%, bien au-dessus du seuil de 15%, tandis que le ROA de 4,82% traduit une bonne efficacité dans l'utilisation des actifs. La structure financière présente des signaux contrastés : l'autonomie financière est faible (19,2% contre un seuil sain de 30%), le ratio d'endettement atteint 90,2% et la trésorerie nette est négative à -21,926 milliards FCFA, ce qui constitue un point de vigilance majeur. Le BFR est négatif à -9,662 milliards FCFA (favorable pour la trésorerie), et les délais fournisseurs de 49,72 jours offrent un bon levier de financement, tandis que la durée de stockage de 13,80 jours reste maîtrisée. La capacité d'autofinancement (CAF) de 19,106 milliards FCFA couvre 1,71 fois les dettes financières, assurant une solvabilité correcte (123,8%).</w:t>
      </w:r>
    </w:p>
    <w:p>
      <w:pPr>
        <w:spacing w:after="120" w:line="276" w:lineRule="auto"/>
      </w:pPr>
      <w:r>
        <w:t>**Estimations basées sur les rapports trimestriels** : Le rapport du T1 2026 (publié en 2026) indique un chiffre d'affaires de 154,392 milliards FCFA, en hausse de 4,3% sur un an, et un résultat net de 2,329 milliards FCFA (+5,5%), marquant un retour à la croissance après le repli de 2025. Le rapport du T3 2025 (daté du 30 septembre 2025) faisait état d'un résultat net cumulé de 6,52 milliards FCFA (-30,2% sur un an), avec une marge nette de 1,5%, mais le T4 a permis de redresser la performance annuelle à 9,087 milliards. Sur la base de ces tendances, on peut estimer que l'exercice 2026 devrait renouer avec une croissance modérée du chiffre d'affaires (+3 à +5%) et une amélioration du résultat net, soutenue par la hausse des volumes et l'ouverture de 8 nouvelles stations depuis 2025 (portant le réseau à 182 stations). La politique de dividende reste généreuse avec 10 milliards FCFA distribués au titre de 2025 (taux de distribution &gt;100%), mais cette générosité, couplée à une trésorerie nette négative, appelle à la prudence sur la soutenabilité à long terme.</w:t>
      </w:r>
    </w:p>
    <w:p>
      <w:pPr>
        <w:spacing w:after="120" w:line="276" w:lineRule="auto"/>
      </w:pPr>
      <w:r>
        <w:t>**Recommandation fondamentale** : La solidité opérationnelle (EBE +12%, résultat d'exploitation +18% en 2025) et la position de leader sur le marché ivoirien constituent des atouts majeurs. Cependant, la dégradation de la trésorerie nette, le niveau d'endettement élevé et la baisse du résultat financier (-90%) sont des risques à surveiller. La recommandation fondamentale est **CONSERVER**, avec un biais positif à moyen terme si la croissance du T1 2026 se confirme.</w:t>
      </w:r>
    </w:p>
    <w:p>
      <w:pPr>
        <w:spacing w:after="120" w:line="276" w:lineRule="auto"/>
      </w:pPr>
      <w:r>
        <w:t>---</w:t>
      </w:r>
    </w:p>
    <w:p>
      <w:pPr>
        <w:spacing w:after="120" w:line="276" w:lineRule="auto"/>
      </w:pPr>
      <w:r>
        <w:t>## PARTIE 4 : CONCLUSION D'INVESTISSEMENT</w:t>
      </w:r>
    </w:p>
    <w:p>
      <w:pPr>
        <w:spacing w:after="120" w:line="276" w:lineRule="auto"/>
      </w:pPr>
      <w:r>
        <w:t>La valorisation de TTLC apparaît exigeante : le PER de 22,7x et le P/B de 5,70x traduisent une prime significative par rapport au marché BRVM, ce qui limite le potentiel de revalorisation à court terme et expose le titre à une correction en cas de déception sur les bénéfices. Le comportement du cours sur 100 jours est haussier (+17,35%) avec une volatilité élevée (40,8%) et une asymétrie positive (skewness 1,090), ce qui indique que les hausses ont été plus fréquentes que les baisses, mais que le titre reste sensible aux mouvements brusques. Les signaux techniques sont mitigés : les moyennes mobiles restent haussières, mais le MACD baissier et la position du cours sous la MM20 suggèrent une consolidation à court terme, tandis que le RSI neutre et le stochastique en zone basse laissent entrevoir un rebond potentiel. Les fondamentaux sont solides (ROE de 25,1%, leader du secteur, retour à la croissance au T1 2026), mais la trésorerie nette négative et le payout supérieur à 100% constituent des points de vigilance. Les prédictions IA pour les 10 prochains jours ouvrables anticipent une baisse progressive du cours, de 3 238 FCFA (J+1) à 3 106 FCFA (J+5), ce qui contredit les signaux haussiers des moyennes mobiles et du stochastique, et confirme la pression baissière à court terme révélée par le MACD.</w:t>
      </w:r>
    </w:p>
    <w:p>
      <w:pPr>
        <w:spacing w:after="120" w:line="276" w:lineRule="auto"/>
      </w:pPr>
      <w:r>
        <w:t>**Recommandation finale : CONSERVER**</w:t>
      </w:r>
    </w:p>
    <w:p>
      <w:pPr>
        <w:spacing w:after="120" w:line="276" w:lineRule="auto"/>
      </w:pPr>
      <w:r>
        <w:t>Cette recommandation résulte d'une convergence partielle des signaux : la valorisation tendue et les prédictions baissières à court terme plaident contre un achat immédiat, tandis que la solidité fondamentale et le potentiel de rebond technique incitent à ne pas vendre. Le niveau de confiance est **Moyen**, car les indicateurs techniques sont divergents et les prédictions IA, bien que baissières, ne sont pas confirmées par les fondamentaux. Le niveau de risque global est **Élevé**, en raison de la volatilité du titre (40,8%), de son endettement (90,2%) et de sa trésorerie nette négative. L'horizon d'investissement optimal est le **moyen terme (3-12 mois)**, le temps que la croissance du T1 2026 se matérialise et que la trésorerie s'améliore, offrant ainsi une meilleure visibilité sur la soutenabilité du dividende et la trajectoire bénéficiaire.</w:t>
      </w:r>
    </w:p>
    <w:p>
      <w:pPr>
        <w:spacing w:after="120" w:line="276" w:lineRule="auto"/>
      </w:pPr>
      <w:r>
        <w:t>---</w:t>
      </w:r>
    </w:p>
    <w:p>
      <w:pPr>
        <w:spacing w:after="120" w:line="276" w:lineRule="auto"/>
      </w:pPr>
      <w:r>
        <w:t>*Rapport généré le 13 septembre 2026 — Sources : BRVM, états financiers 2025, rapports trimestriels T1 2026 et T3 2025, analyses fondamentales disponibles.*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126.73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2,635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007800"/>
                <w:sz w:val="17"/>
              </w:rPr>
              <w:t>+18.60%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10.24% (Moyenne) — μ=3,568 FCFA, σ=365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β=0.6942 (Défensif) — Cov=0.000024, Var(idx)=0.000035, ρ=0.143,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3,715</w:t>
            </w:r>
          </w:p>
        </w:tc>
        <w:tc>
          <w:tcPr>
            <w:tcW w:type="dxa" w:w="1440"/>
            <w:shd w:fill="FAFAFA" w:val="clear"/>
          </w:tcPr>
          <w:p>
            <w:r>
              <w:rPr>
                <w:b/>
                <w:sz w:val="17"/>
              </w:rPr>
              <w:t>3,861</w:t>
            </w:r>
          </w:p>
        </w:tc>
        <w:tc>
          <w:tcPr>
            <w:tcW w:type="dxa" w:w="1440"/>
            <w:shd w:fill="FAFAFA" w:val="clear"/>
          </w:tcPr>
          <w:p>
            <w:r>
              <w:rPr>
                <w:sz w:val="17"/>
              </w:rPr>
              <w:t>4,007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3,651</w:t>
            </w:r>
          </w:p>
        </w:tc>
        <w:tc>
          <w:tcPr>
            <w:tcW w:type="dxa" w:w="1440"/>
            <w:shd w:fill="FAFAFA" w:val="clear"/>
          </w:tcPr>
          <w:p>
            <w:r>
              <w:rPr>
                <w:b/>
                <w:sz w:val="17"/>
              </w:rPr>
              <w:t>3,857</w:t>
            </w:r>
          </w:p>
        </w:tc>
        <w:tc>
          <w:tcPr>
            <w:tcW w:type="dxa" w:w="1440"/>
            <w:shd w:fill="FAFAFA" w:val="clear"/>
          </w:tcPr>
          <w:p>
            <w:r>
              <w:rPr>
                <w:sz w:val="17"/>
              </w:rPr>
              <w:t>4,064</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3,602</w:t>
            </w:r>
          </w:p>
        </w:tc>
        <w:tc>
          <w:tcPr>
            <w:tcW w:type="dxa" w:w="1440"/>
            <w:shd w:fill="FAFAFA" w:val="clear"/>
          </w:tcPr>
          <w:p>
            <w:r>
              <w:rPr>
                <w:b/>
                <w:sz w:val="17"/>
              </w:rPr>
              <w:t>3,854</w:t>
            </w:r>
          </w:p>
        </w:tc>
        <w:tc>
          <w:tcPr>
            <w:tcW w:type="dxa" w:w="1440"/>
            <w:shd w:fill="FAFAFA" w:val="clear"/>
          </w:tcPr>
          <w:p>
            <w:r>
              <w:rPr>
                <w:sz w:val="17"/>
              </w:rPr>
              <w:t>4,106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3,561</w:t>
            </w:r>
          </w:p>
        </w:tc>
        <w:tc>
          <w:tcPr>
            <w:tcW w:type="dxa" w:w="1440"/>
            <w:shd w:fill="FAFAFA" w:val="clear"/>
          </w:tcPr>
          <w:p>
            <w:r>
              <w:rPr>
                <w:b/>
                <w:sz w:val="17"/>
              </w:rPr>
              <w:t>3,852</w:t>
            </w:r>
          </w:p>
        </w:tc>
        <w:tc>
          <w:tcPr>
            <w:tcW w:type="dxa" w:w="1440"/>
            <w:shd w:fill="FAFAFA" w:val="clear"/>
          </w:tcPr>
          <w:p>
            <w:r>
              <w:rPr>
                <w:sz w:val="17"/>
              </w:rPr>
              <w:t>4,143</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3,525</w:t>
            </w:r>
          </w:p>
        </w:tc>
        <w:tc>
          <w:tcPr>
            <w:tcW w:type="dxa" w:w="1440"/>
            <w:shd w:fill="FAFAFA" w:val="clear"/>
          </w:tcPr>
          <w:p>
            <w:r>
              <w:rPr>
                <w:b/>
                <w:sz w:val="17"/>
              </w:rPr>
              <w:t>3,851</w:t>
            </w:r>
          </w:p>
        </w:tc>
        <w:tc>
          <w:tcPr>
            <w:tcW w:type="dxa" w:w="1440"/>
            <w:shd w:fill="FAFAFA" w:val="clear"/>
          </w:tcPr>
          <w:p>
            <w:r>
              <w:rPr>
                <w:sz w:val="17"/>
              </w:rPr>
              <w:t>4,176</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3,493</w:t>
            </w:r>
          </w:p>
        </w:tc>
        <w:tc>
          <w:tcPr>
            <w:tcW w:type="dxa" w:w="1440"/>
            <w:shd w:fill="FAFAFA" w:val="clear"/>
          </w:tcPr>
          <w:p>
            <w:r>
              <w:rPr>
                <w:b/>
                <w:sz w:val="17"/>
              </w:rPr>
              <w:t>3,850</w:t>
            </w:r>
          </w:p>
        </w:tc>
        <w:tc>
          <w:tcPr>
            <w:tcW w:type="dxa" w:w="1440"/>
            <w:shd w:fill="FAFAFA" w:val="clear"/>
          </w:tcPr>
          <w:p>
            <w:r>
              <w:rPr>
                <w:sz w:val="17"/>
              </w:rPr>
              <w:t>4,206</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3,464</w:t>
            </w:r>
          </w:p>
        </w:tc>
        <w:tc>
          <w:tcPr>
            <w:tcW w:type="dxa" w:w="1440"/>
            <w:shd w:fill="FAFAFA" w:val="clear"/>
          </w:tcPr>
          <w:p>
            <w:r>
              <w:rPr>
                <w:b/>
                <w:sz w:val="17"/>
              </w:rPr>
              <w:t>3,849</w:t>
            </w:r>
          </w:p>
        </w:tc>
        <w:tc>
          <w:tcPr>
            <w:tcW w:type="dxa" w:w="1440"/>
            <w:shd w:fill="FAFAFA" w:val="clear"/>
          </w:tcPr>
          <w:p>
            <w:r>
              <w:rPr>
                <w:sz w:val="17"/>
              </w:rPr>
              <w:t>4,234</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3,436</w:t>
            </w:r>
          </w:p>
        </w:tc>
        <w:tc>
          <w:tcPr>
            <w:tcW w:type="dxa" w:w="1440"/>
            <w:shd w:fill="FAFAFA" w:val="clear"/>
          </w:tcPr>
          <w:p>
            <w:r>
              <w:rPr>
                <w:b/>
                <w:sz w:val="17"/>
              </w:rPr>
              <w:t>3,848</w:t>
            </w:r>
          </w:p>
        </w:tc>
        <w:tc>
          <w:tcPr>
            <w:tcW w:type="dxa" w:w="1440"/>
            <w:shd w:fill="FAFAFA" w:val="clear"/>
          </w:tcPr>
          <w:p>
            <w:r>
              <w:rPr>
                <w:sz w:val="17"/>
              </w:rPr>
              <w:t>4,259</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3,410</w:t>
            </w:r>
          </w:p>
        </w:tc>
        <w:tc>
          <w:tcPr>
            <w:tcW w:type="dxa" w:w="1440"/>
            <w:shd w:fill="FAFAFA" w:val="clear"/>
          </w:tcPr>
          <w:p>
            <w:r>
              <w:rPr>
                <w:b/>
                <w:sz w:val="17"/>
              </w:rPr>
              <w:t>3,847</w:t>
            </w:r>
          </w:p>
        </w:tc>
        <w:tc>
          <w:tcPr>
            <w:tcW w:type="dxa" w:w="1440"/>
            <w:shd w:fill="FAFAFA" w:val="clear"/>
          </w:tcPr>
          <w:p>
            <w:r>
              <w:rPr>
                <w:sz w:val="17"/>
              </w:rPr>
              <w:t>4,283</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3,386</w:t>
            </w:r>
          </w:p>
        </w:tc>
        <w:tc>
          <w:tcPr>
            <w:tcW w:type="dxa" w:w="1440"/>
            <w:shd w:fill="FAFAFA" w:val="clear"/>
          </w:tcPr>
          <w:p>
            <w:r>
              <w:rPr>
                <w:b/>
                <w:sz w:val="17"/>
              </w:rPr>
              <w:t>3,846</w:t>
            </w:r>
          </w:p>
        </w:tc>
        <w:tc>
          <w:tcPr>
            <w:tcW w:type="dxa" w:w="1440"/>
            <w:shd w:fill="FAFAFA" w:val="clear"/>
          </w:tcPr>
          <w:p>
            <w:r>
              <w:rPr>
                <w:sz w:val="17"/>
              </w:rPr>
              <w:t>4,306</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126,73 milliards FCFA, TTLS se positionne parmi les valeurs moyennes-capitalisations de la cote BRVM, ce qui traduit une liquidité modérée mais une certaine stabilité institutionnelle. Le BPA de 208 FCFA/action signifie que chaque titre génère environ 208 FCFA de bénéfice net, un niveau cohérent avec la marge nette structurellement faible du secteur de distribution pétrolière. Le PER de 18,7x apparaît nettement supérieur à la moyenne du marché BRVM (estimée entre 8x et 12x), ce qui indique que les investisseurs paient une prime de qualité pour ce leader sectoriel, bien que cette valorisation soit exigeante au regard de la faible croissance des bénéfices. Le P/B de 4,49x confirme cette prime : le marché valorise TTLS à plus de quatre fois sa valeur comptable, reflétant la confiance dans la solidité du réseau de distribution et la marque TotalEnergies, mais exposant le titre à un risque de correction en cas de déception sur les résultats. Enfin, l'EV/EBITDA de 7,9x se situe dans la fourchette raisonnable (5-10x), suggérant que la valeur d'entreprise reste cohérente avec la capacité opérationnelle de génération de cash-flow, ce qui nuance le caractère exigeant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progression totale de +18,60%, avec une dernière séance en hausse de +1,04%, confirmant un momentum haussier de court terme. Le cours actuel de 3 890 FCFA se situe dans la partie haute du range de trading, le plus haut ayant atteint 4 500 FCFA et le plus bas 2 845 FCFA, soit une amplitude de 1 655 FCFA (58% du plus bas) qui témoigne d'une volatilité significative sur la période. La tendance générale est donc clairement haussière, portée par la résilience opérationnelle de la société malgré la baisse du chiffre d'affaires. Les statistiques descriptives révèlent une moyenne de 3 568 FCFA légèrement inférieure à la médiane de 3 592 FCFA, suggérant une distribution quasi-symétrique avec une très légère asymétrie positive (skewness de 0,185), confirmée par le mode à 3 800 FCFA qui indique que le cours a passé le plus de temps autour de ce niveau. L'écart-type de 367 FCFA (CV de 10,3%) traduit une dispersion modérée du cours autour de sa moyenne, tandis que le kurtosis de -0,376 (mésokurtique) indique une distribution proche de la normale, sans risque excessif de pics extrêmes. La volatilité annualisée de 45,3% classe ce titre dans la catégorie des valeurs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(3 807,5 FCFA) et la MM50 (3 845,3 FCFA) se situent toutes deux en dessous du cours actuel (3 890 FCFA), ce qui constitue un signal haussier de court terme. Cependant, la MM20 étant inférieure à la MM50, la configuration reste fragile et la décision technique fournie est "Vente", suggérant que le croisement des moyennes n'est pas encore confirmé à la hausse. Le cours évolue au-dessus des deux moyennes, ce qui témoigne d'une pression acheteuse récente, mais la prudence reste de mise tant que la MM20 ne repasse pas au-dessus de la MM50.</w:t>
      </w:r>
    </w:p>
    <w:p>
      <w:pPr>
        <w:spacing w:after="120" w:line="276" w:lineRule="auto"/>
      </w:pPr>
      <w:r>
        <w:t>**Bandes de Bollinger** : Le cours actuel (3 890 FCFA) se situe à l'intérieur des bandes, entre la borne inférieure (3 635,5 FCFA) et la borne supérieure (3 979,5 FCFA), à environ 63% de la largeur du canal. Cette position médiane, couplée à une décision "Neutre", indique l'absence de signal directionnel fort : le titre n'est ni en suracheté ni en survente selon ce critère. La largeur des bandes (344 FCFA) reflète une volatilité modérée sur les 20 dernières séances, cohérente avec le CV de 10,3% observé sur 100 jours.</w:t>
      </w:r>
    </w:p>
    <w:p>
      <w:pPr>
        <w:spacing w:after="120" w:line="276" w:lineRule="auto"/>
      </w:pPr>
      <w:r>
        <w:t>**MACD** : La valeur du MACD (29,672) est supérieure à son signal (22,245), générant un histogramme positif qui confirme un momentum haussier. La décision technique "Achat" est cohérente avec cette configuration : la divergence positive entre la ligne MACD et sa ligne de signal indique que la dynamique de court terme est à la hausse. Toutefois, l'écart entre les deux lignes reste modéré, ce qui suggère un momentum positif mais sans excès, laissant place à une possible consolidation.</w:t>
      </w:r>
    </w:p>
    <w:p>
      <w:pPr>
        <w:spacing w:after="120" w:line="276" w:lineRule="auto"/>
      </w:pPr>
      <w:r>
        <w:t>**RSI** : À 49,091, le RSI se situe parfaitement dans la zone neutre (30-70), à mi-chemin entre surachat et survente. La décision "Neutre" reflète l'absence de pression directionnelle claire : le titre n'est ni surétendu à la hausse ni survendu, ce qui signifie que les acheteurs et les vendeurs s'équilibrent actuellement. Cette configuration est typique d'une phase de consolidation après la hausse de 18,6% sur 100 jours.</w:t>
      </w:r>
    </w:p>
    <w:p>
      <w:pPr>
        <w:spacing w:after="120" w:line="276" w:lineRule="auto"/>
      </w:pPr>
      <w:r>
        <w:t>**Stochastique** : Le %K (100,0) est au niveau maximal, tandis que le %D (77,367) est également élevé, ce qui place le titre en zone de surachat selon cet indicateur. La décision "Vente" est justifiée par le fait que le %K à 100 indique que le cours a clôturé à son plus haut niveau récent sur la période de calcul, signalant un essoufflement potentiel de la dynamique haussière. Un croisement baissier du %K sous le %D pourrait confirmer un retournement de court terme.</w:t>
      </w:r>
    </w:p>
    <w:p>
      <w:pPr>
        <w:spacing w:after="120" w:line="276" w:lineRule="auto"/>
      </w:pPr>
      <w:r>
        <w:t>**Conclusion technique** : Les indicateurs techniques présentent une configuration mitigée, voire contradictoire. Le MACD est haussier (Achat), les moyennes mobiles sont haussières mais leur croisement reste fragile (Vente), les Bandes de Bollinger et le RSI sont neutres, tandis que le Stochastique signale un surachat (Vente). Cette divergence suggère que le titre se trouve dans une phase de consolidation après sa forte progression, avec un potentiel de correction à court terme (Stochastique) mais un soutien de fond (MACD). La prudence est de mise : un repli vers la MM20 (3 807 FCFA) ou la borne inférieure des Bollinger (3 635 FCFA) constituerait un point d'entrée plus favorable.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TotalEnergies Marketing Sénégal a réalisé un chiffre d'affaires de 455,209 milliards FCFA, en baisse de 6,1% par rapport à 2024 (484,945 milliards FCFA), principalement en raison de l'arrêt stratégique de la commercialisation du fuel lourd. Le résultat net s'établit à 6,779 milliards FCFA, en léger recul de 5,1% par rapport aux 7,140 milliards FCFA de 2024, tandis que la marge nette reste stable autour de 1,49%. Le ROE (rentabilité des fonds propres) atteint 24,01%, un niveau excellent (&gt;15%), et le ROA (rentabilité des actifs) s'élève à 3,95%, reflétant la faible intensité capitalistique du modèle de distribution. La trésorerie nette est positive à 13,941 milliards FCFA, et le BFR est négatif à -36,899 milliards FCFA, ce qui constitue un point fort majeur : la société finance son cycle d'exploitation par ses fournisseurs (délai fournisseurs de 97,76 jours contre 47,43 jours pour les clients), générant ainsi un besoin en fonds de roulement favorable. Le ratio d'endettement de 52,16% et l'autonomie financière de 16,44% (inférieure au seuil de 30% considéré comme sain) indiquent une structure financière dépendante des dettes, mais la capacité de remboursement de 0,94 an (dettes financières/CAF) et la couverture des intérêts de 485,9% témoignent d'une solvabilité solide. La rotation des actifs de 265% est remarquable, confirmant l'efficacité opérationnelle du modèle.</w:t>
      </w:r>
    </w:p>
    <w:p>
      <w:pPr>
        <w:spacing w:after="120" w:line="276" w:lineRule="auto"/>
      </w:pPr>
      <w:r>
        <w:t>**Estimations basées sur les rapports trimestriels** : Le rapport du T1 2026 (publié le 31 mars 2026, analysé le 4 mai 2026) indique un chiffre d'affaires de 99,9 milliards FCFA, en baisse de 10% sur un an, mais un résultat d'exploitation en hausse de 28% à 2,623 milliards FCFA et un résultat net en progression de 5% à 1,585 milliards FCFA. Cette performance paradoxale s'explique par l'amélioration des marges sur les lubrifiants et une meilleure maîtrise des coûts. Sur la base de ce trimestre, on peut estimer que l'exercice 2026 devrait bénéficier d'une poursuite de l'amélioration de la rentabilité opérationnelle, avec un résultat net potentiellement supérieur à celui de 2025 si la tendance se confirme. Le rapport du T3 2025 (30 septembre 2025) confirmait déjà cette dynamique : résultat net de 5,024 milliards FCFA à fin septembre (-14% sur un an), mais avec un résultat d'exploitation en hausse de 22% au S1 2025, validant la stratégie de recentrage sur les segments à plus forte valeur ajoutée (réseau, lubrifiants, GPL). Le rapport annuel 2024 (31 décembre 2024) soulignait un ROE de 27,6% et une politique de dividende généreuse (taux de distribution proche de 100%), mais avec un risque identifié sur les créances État représentant 65% de l'actif circulant.</w:t>
      </w:r>
    </w:p>
    <w:p>
      <w:pPr>
        <w:spacing w:after="120" w:line="276" w:lineRule="auto"/>
      </w:pPr>
      <w:r>
        <w:t>**Recommandation fondamentale** : TTLS présente une solidité financière indéniable, portée par un ROE excellent (24%), un BFR négatif favorable, une trésorerie nette positive et une capacité à améliorer ses marges malgré la baisse du chiffre d'affaires. Les risques principaux résident dans la dépendance aux décisions réglementaires de l'État sénégalais sur les prix à la pompe, la faible autonomie financière (16,44%) et la concentration géographique sur le marché sénégalais. La stratégie de diversification vers les lubrifiants, le GPL et les exports, couplée à la mise en production des champs pétroliers et gaziers (Sangomar, GTA), offre des perspectives de croissance à moyen terme. Les rapports trimestriels récents (T1 2026, T3 2025) confirment la résilience opérationnelle et la capacité de la société à générer des profits avec moins de revenus, ce qui justifie une recommandation de **CONSERVER** pour les investisseurs de long terme, en attendant une clarification sur la politique de dividende et une reprise durable des volumes.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nuancée mais globalement prudente sur TTLS. **Sur le plan de la valorisation (Partie 0)**, le PER de 18,7x et le P/B de 4,49x indiquent une surévaluation relative par rapport à la moyenne du marché BRVM (8-12x), bien que l'EV/EBITDA de 7,9x reste raisonnable, ce qui suggère que la prime de qualité est déjà intégrée dans le cours. **Le comportement du cours (Partie 1)** est haussier sur 100 jours (+18,6%), avec une volatilité élevée (45,3%) et une distribution quasi-symétrique (skewness de 0,185, kurtosis de -0,376), ce qui est rassurant sur l'absence de risque extrême mais préoccupant sur le niveau de volatilité. **Les signaux techniques (Partie 2)** sont divergents : le MACD est haussier, mais le Stochastique signale un surachat et les moyennes mobiles une configuration fragile, ce qui plaide pour une consolidation à court terme. **Les fondamentaux (Partie 3)** sont solides : ROE de 24%, BFR négatif, trésorerie nette positive, et une amélioration de la rentabilité opérationnelle confirmée par les rapports T1 2026 (+28% de résultat d'exploitation) et T3 2025. **Les prédictions IA (J+1 à J+10)** anticipent une légère baisse du cours, de 3 861 FCFA à 3 851 FCFA, ce qui contredit le momentum haussier récent et confirme la possibilité d'une consolidation, voire d'une correction de court terme.</w:t>
      </w:r>
    </w:p>
    <w:p>
      <w:pPr>
        <w:spacing w:after="120" w:line="276" w:lineRule="auto"/>
      </w:pPr>
      <w:r>
        <w:t>**Recommandation finale : CONSERVER**. Cette recommandation est justifiée par la convergence entre une valorisation exigeante (PER et P/B élevés), des signaux techniques mitigés (surachat stochastique, moyennes mobiles fragiles) et des fondamentaux solides mais sans catalyseur de croissance immédiat. Les prédictions IA, qui anticipent une stagnation voire une légère baisse, confirment l'absence de potentiel haussier à court terme. **Le niveau de confiance est Moyen** : les fondamentaux sont robustes, mais la valorisation et les signaux techniques limitent le potentiel de surperformance à court terme. **Le niveau de risque global est Moyen à Élevé**, en raison de la volatilité annualisée de 45,3%, de la dépendance réglementaire et de la faible autonomie financière. **L'horizon d'investissement optimal est le long terme (&gt;1 an)** : TTLS reste une valeur défensive de qualité, capable de générer des cash-flows stables et de distribuer des dividendes généreux, mais son potentiel de croissance à court terme est limité par la baisse du chiffre d'affaires et l'absence de visibilité sur les volumes. Un point d'entrée plus favorable se situerait autour de 3 600-3 700 FCFA (borne inférieure des Bollinger et MM20), offrant un meilleur rapport risque/rendement.</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495.90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20 titres</w:t>
            </w:r>
          </w:p>
        </w:tc>
        <w:tc>
          <w:tcPr>
            <w:tcW w:type="dxa" w:w="2268"/>
            <w:shd w:fill="FFF2CC" w:val="clear"/>
          </w:tcPr>
          <w:p>
            <w:r>
              <w:rPr>
                <w:b/>
                <w:color w:val="503200"/>
                <w:sz w:val="16"/>
              </w:rPr>
              <w:t xml:space="preserve">Cours actuel : </w:t>
            </w:r>
            <w:r>
              <w:rPr>
                <w:color w:val="000000"/>
                <w:sz w:val="17"/>
              </w:rPr>
              <w:t>54,000 FCFA</w:t>
            </w:r>
          </w:p>
          <w:p>
            <w:r>
              <w:rPr>
                <w:b/>
                <w:color w:val="503200"/>
                <w:sz w:val="16"/>
              </w:rPr>
              <w:t xml:space="preserve">Var. 100 jours : </w:t>
            </w:r>
            <w:r>
              <w:rPr>
                <w:b/>
                <w:color w:val="B40000"/>
                <w:sz w:val="17"/>
              </w:rPr>
              <w:t>-12.90%</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μ=55,849 FCFA, σ=3,005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β=0.1505 (Défensif) — Cov=0.000006, Var(idx)=0.000037, ρ=0.024,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50,170</w:t>
            </w:r>
          </w:p>
        </w:tc>
        <w:tc>
          <w:tcPr>
            <w:tcW w:type="dxa" w:w="1440"/>
            <w:shd w:fill="FAFAFA" w:val="clear"/>
          </w:tcPr>
          <w:p>
            <w:r>
              <w:rPr>
                <w:b/>
                <w:sz w:val="17"/>
              </w:rPr>
              <w:t>53,478</w:t>
            </w:r>
          </w:p>
        </w:tc>
        <w:tc>
          <w:tcPr>
            <w:tcW w:type="dxa" w:w="1440"/>
            <w:shd w:fill="FAFAFA" w:val="clear"/>
          </w:tcPr>
          <w:p>
            <w:r>
              <w:rPr>
                <w:sz w:val="17"/>
              </w:rPr>
              <w:t>56,787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48,888</w:t>
            </w:r>
          </w:p>
        </w:tc>
        <w:tc>
          <w:tcPr>
            <w:tcW w:type="dxa" w:w="1440"/>
            <w:shd w:fill="FAFAFA" w:val="clear"/>
          </w:tcPr>
          <w:p>
            <w:r>
              <w:rPr>
                <w:b/>
                <w:sz w:val="17"/>
              </w:rPr>
              <w:t>53,575</w:t>
            </w:r>
          </w:p>
        </w:tc>
        <w:tc>
          <w:tcPr>
            <w:tcW w:type="dxa" w:w="1440"/>
            <w:shd w:fill="FAFAFA" w:val="clear"/>
          </w:tcPr>
          <w:p>
            <w:r>
              <w:rPr>
                <w:sz w:val="17"/>
              </w:rPr>
              <w:t>58,263</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47,830</w:t>
            </w:r>
          </w:p>
        </w:tc>
        <w:tc>
          <w:tcPr>
            <w:tcW w:type="dxa" w:w="1440"/>
            <w:shd w:fill="FAFAFA" w:val="clear"/>
          </w:tcPr>
          <w:p>
            <w:r>
              <w:rPr>
                <w:b/>
                <w:sz w:val="17"/>
              </w:rPr>
              <w:t>53,570</w:t>
            </w:r>
          </w:p>
        </w:tc>
        <w:tc>
          <w:tcPr>
            <w:tcW w:type="dxa" w:w="1440"/>
            <w:shd w:fill="FAFAFA" w:val="clear"/>
          </w:tcPr>
          <w:p>
            <w:r>
              <w:rPr>
                <w:sz w:val="17"/>
              </w:rPr>
              <w:t>59,311</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46,913</w:t>
            </w:r>
          </w:p>
        </w:tc>
        <w:tc>
          <w:tcPr>
            <w:tcW w:type="dxa" w:w="1440"/>
            <w:shd w:fill="FAFAFA" w:val="clear"/>
          </w:tcPr>
          <w:p>
            <w:r>
              <w:rPr>
                <w:b/>
                <w:sz w:val="17"/>
              </w:rPr>
              <w:t>53,538</w:t>
            </w:r>
          </w:p>
        </w:tc>
        <w:tc>
          <w:tcPr>
            <w:tcW w:type="dxa" w:w="1440"/>
            <w:shd w:fill="FAFAFA" w:val="clear"/>
          </w:tcPr>
          <w:p>
            <w:r>
              <w:rPr>
                <w:sz w:val="17"/>
              </w:rPr>
              <w:t>60,162</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46,095</w:t>
            </w:r>
          </w:p>
        </w:tc>
        <w:tc>
          <w:tcPr>
            <w:tcW w:type="dxa" w:w="1440"/>
            <w:shd w:fill="FAFAFA" w:val="clear"/>
          </w:tcPr>
          <w:p>
            <w:r>
              <w:rPr>
                <w:b/>
                <w:sz w:val="17"/>
              </w:rPr>
              <w:t>53,495</w:t>
            </w:r>
          </w:p>
        </w:tc>
        <w:tc>
          <w:tcPr>
            <w:tcW w:type="dxa" w:w="1440"/>
            <w:shd w:fill="FAFAFA" w:val="clear"/>
          </w:tcPr>
          <w:p>
            <w:r>
              <w:rPr>
                <w:sz w:val="17"/>
              </w:rPr>
              <w:t>60,895</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45,348</w:t>
            </w:r>
          </w:p>
        </w:tc>
        <w:tc>
          <w:tcPr>
            <w:tcW w:type="dxa" w:w="1440"/>
            <w:shd w:fill="FAFAFA" w:val="clear"/>
          </w:tcPr>
          <w:p>
            <w:r>
              <w:rPr>
                <w:b/>
                <w:sz w:val="17"/>
              </w:rPr>
              <w:t>53,447</w:t>
            </w:r>
          </w:p>
        </w:tc>
        <w:tc>
          <w:tcPr>
            <w:tcW w:type="dxa" w:w="1440"/>
            <w:shd w:fill="FAFAFA" w:val="clear"/>
          </w:tcPr>
          <w:p>
            <w:r>
              <w:rPr>
                <w:sz w:val="17"/>
              </w:rPr>
              <w:t>61,546</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44,657</w:t>
            </w:r>
          </w:p>
        </w:tc>
        <w:tc>
          <w:tcPr>
            <w:tcW w:type="dxa" w:w="1440"/>
            <w:shd w:fill="FAFAFA" w:val="clear"/>
          </w:tcPr>
          <w:p>
            <w:r>
              <w:rPr>
                <w:b/>
                <w:sz w:val="17"/>
              </w:rPr>
              <w:t>53,397</w:t>
            </w:r>
          </w:p>
        </w:tc>
        <w:tc>
          <w:tcPr>
            <w:tcW w:type="dxa" w:w="1440"/>
            <w:shd w:fill="FAFAFA" w:val="clear"/>
          </w:tcPr>
          <w:p>
            <w:r>
              <w:rPr>
                <w:sz w:val="17"/>
              </w:rPr>
              <w:t>62,137</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44,012</w:t>
            </w:r>
          </w:p>
        </w:tc>
        <w:tc>
          <w:tcPr>
            <w:tcW w:type="dxa" w:w="1440"/>
            <w:shd w:fill="FAFAFA" w:val="clear"/>
          </w:tcPr>
          <w:p>
            <w:r>
              <w:rPr>
                <w:b/>
                <w:sz w:val="17"/>
              </w:rPr>
              <w:t>53,347</w:t>
            </w:r>
          </w:p>
        </w:tc>
        <w:tc>
          <w:tcPr>
            <w:tcW w:type="dxa" w:w="1440"/>
            <w:shd w:fill="FAFAFA" w:val="clear"/>
          </w:tcPr>
          <w:p>
            <w:r>
              <w:rPr>
                <w:sz w:val="17"/>
              </w:rPr>
              <w:t>62,681</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43,404</w:t>
            </w:r>
          </w:p>
        </w:tc>
        <w:tc>
          <w:tcPr>
            <w:tcW w:type="dxa" w:w="1440"/>
            <w:shd w:fill="FAFAFA" w:val="clear"/>
          </w:tcPr>
          <w:p>
            <w:r>
              <w:rPr>
                <w:b/>
                <w:sz w:val="17"/>
              </w:rPr>
              <w:t>53,296</w:t>
            </w:r>
          </w:p>
        </w:tc>
        <w:tc>
          <w:tcPr>
            <w:tcW w:type="dxa" w:w="1440"/>
            <w:shd w:fill="FAFAFA" w:val="clear"/>
          </w:tcPr>
          <w:p>
            <w:r>
              <w:rPr>
                <w:sz w:val="17"/>
              </w:rPr>
              <w:t>63,187</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42,828</w:t>
            </w:r>
          </w:p>
        </w:tc>
        <w:tc>
          <w:tcPr>
            <w:tcW w:type="dxa" w:w="1440"/>
            <w:shd w:fill="FAFAFA" w:val="clear"/>
          </w:tcPr>
          <w:p>
            <w:r>
              <w:rPr>
                <w:b/>
                <w:sz w:val="17"/>
              </w:rPr>
              <w:t>53,245</w:t>
            </w:r>
          </w:p>
        </w:tc>
        <w:tc>
          <w:tcPr>
            <w:tcW w:type="dxa" w:w="1440"/>
            <w:shd w:fill="FAFAFA" w:val="clear"/>
          </w:tcPr>
          <w:p>
            <w:r>
              <w:rPr>
                <w:sz w:val="17"/>
              </w:rPr>
              <w:t>63,661</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**495,90 milliards FCFA**, un niveau significatif à l'échelle de la BRVM qui place la société parmi les valeurs les plus importantes de la cote, bien que très en deçà des poids lourds comme SONATEL. Les ratios de valorisation classiques (BPA, PER, P/B, EV/EBITDA) ne sont pas calculables en l'absence de données financières structurées exploitables dans la base, ce qui limite l'appréciation directe du prix payé par les investisseurs par rapport aux bénéfices. On peut toutefois estimer, à partir du bénéfice net 2023 de **640,3 millions FCFA** et d'un nombre d'actions déduit de la capitalisation (environ 9,18 millions de titres à 54 000 FCFA), un BPA indicatif d'environ **70 FCFA**, soit un PER implicite très élevé (supérieur à 700x) qui traduit une décorrélation totale entre le cours de bourse et la rentabilité effective. Cette situation s'explique par la faiblesse structurelle des résultats et l'absence de dividende, le marché valorisant davantage la marque et le potentiel de redressement que les flux financiers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**variation totale de -12,90%**, avec une dernière séance en repli de **-0,55%**, confirmant une tendance baissière de fond. Le cours actuel de **54 000 FCFA** se situe dans un range de trading compris entre un plus haut de **63 345 FCFA** et un plus bas de **50 000 FCFA**, soit une amplitude d'environ 26,7% qui témoigne d'une réelle nervosité du titre. La moyenne (**55 849 FCFA**) et la médiane (**55 838 FCFA**) sont quasi confondues, ce qui indique une distribution symétrique sans biais directionnel marqué, confirmée par un skewness de **0,181** (distribution symétrique). L'écart-type de **3 020 FCFA** avec un coefficient de variation de **5,4%** révèle une dispersion modérée autour de la moyenne, tandis que le kurtosis de **-0,475** (mésokurtique) suggère une distribution proche de la normale, sans risque majeur de pics extrêmes. La **volatilité annualisée de 58,9%** classe le titre dans la catégorie des valeurs à volatilité élevée (&gt;30%), ce qui implique un risque significatif pour les investisseurs et justifie une prime de prudence dans toute décision d'allocation.</w:t>
      </w:r>
    </w:p>
    <w:p>
      <w:pPr>
        <w:spacing w:after="120" w:line="276" w:lineRule="auto"/>
      </w:pPr>
      <w:r>
        <w:t>---</w:t>
      </w:r>
    </w:p>
    <w:p>
      <w:pPr>
        <w:spacing w:after="120" w:line="276" w:lineRule="auto"/>
      </w:pPr>
      <w:r>
        <w:t>## PARTIE 2 : ANALYSE TECHNIQUE DÉTAILLÉE</w:t>
      </w:r>
    </w:p>
    <w:p>
      <w:pPr>
        <w:spacing w:after="120" w:line="276" w:lineRule="auto"/>
      </w:pPr>
      <w:r>
        <w:t>**Moyennes Mobiles** : La MM20 (**54 092,75 FCFA**) et la MM50 (**53 611,40 FCFA**) se situent toutes deux sous le cours actuel de 54 000 FCFA, avec une MM20 légèrement supérieure à la MM50, configuration classique de tendance haussière de court terme. La décision technique générée est à l'**Achat**, le cours évoluant au-dessus de ses supports mobiles, bien que la proximité immédiate du prix avec ces moyennes rende le signal fragile.</w:t>
      </w:r>
    </w:p>
    <w:p>
      <w:pPr>
        <w:spacing w:after="120" w:line="276" w:lineRule="auto"/>
      </w:pPr>
      <w:r>
        <w:t>**Bandes de Bollinger** : Le cours (54 000 FCFA) se situe à mi-chemin entre la borne supérieure (**58 336,97 FCFA**) et la borne inférieure (**49 848,53 FCFA**), traduisant une position neutre dans le canal. L'absence de contact avec les bornes indique une volatilité contenue et l'absence de signal directionnel fort, d'où la décision **Neutre** qui invite à attendre une cassure pour se positionner.</w:t>
      </w:r>
    </w:p>
    <w:p>
      <w:pPr>
        <w:spacing w:after="120" w:line="276" w:lineRule="auto"/>
      </w:pPr>
      <w:r>
        <w:t>**MACD** : La valeur du MACD (**-261,275**) est inférieure à son signal (**-244,291**), configuration baissière caractéristique d'un momentum négatif persistant. La divergence négative entre les deux lignes confirme la pression vendeuse et justifie la décision de **Vente**, le croisement à la baisse étant déjà acté.</w:t>
      </w:r>
    </w:p>
    <w:p>
      <w:pPr>
        <w:spacing w:after="120" w:line="276" w:lineRule="auto"/>
      </w:pPr>
      <w:r>
        <w:t>**RSI** : À **55,339**, le RSI se situe dans la zone neutre (30-70), sans signal de surachat ni de survente. Cette position médiane indique un équilibre entre acheteurs et vendeurs, justifiant la décision **Neutre** et l'absence de pression immédiate dans un sens ou dans l'autre.</w:t>
      </w:r>
    </w:p>
    <w:p>
      <w:pPr>
        <w:spacing w:after="120" w:line="276" w:lineRule="auto"/>
      </w:pPr>
      <w:r>
        <w:t>**Stochastique** : Le %K (**58,651**) est légèrement supérieur au %D (**54,089**), avec un croisement récent à la hausse qui pourrait annoncer un rebond de court terme. Cependant, les deux lignes restent en zone neutre, ce qui tempère la portée du signal et justifie la décision **Neutre**.</w:t>
      </w:r>
    </w:p>
    <w:p>
      <w:pPr>
        <w:spacing w:after="120" w:line="276" w:lineRule="auto"/>
      </w:pPr>
      <w:r>
        <w:t>**Conclusion technique** : Les indicateurs sont majoritairement neutres (Bollinger, RSI, Stochastique) avec une divergence entre les moyennes mobiles (Achat) et le MACD (Vente), ce qui traduit une indécision du marché. Le titre évolue dans un canal étroit sans direction claire, et la prudence reste de mise tant qu'aucune cassure significative ne se matérialise. La configuration actuelle plaide pour une observation attentive plutôt qu'une action immédiate.</w:t>
      </w:r>
    </w:p>
    <w:p>
      <w:pPr>
        <w:spacing w:after="120" w:line="276" w:lineRule="auto"/>
      </w:pPr>
      <w:r>
        <w:t>---</w:t>
      </w:r>
    </w:p>
    <w:p>
      <w:pPr>
        <w:spacing w:after="120" w:line="276" w:lineRule="auto"/>
      </w:pPr>
      <w:r>
        <w:t>## 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les exercices 2021 et antérieurs. **En 2023**, le chiffre d'affaires s'établit à **24 336 010 000 FCFA**, stable par rapport à 2022, tandis que le résultat net redevient positif à **640 334 855 FCFA** après une perte massive de **-6 908 362 002 FCFA** en 2022. La marge nette 2023 ressort à **2,63%**, très en deçà de la moyenne sectorielle des FMCG en Afrique de l'Ouest (5-10%), et le résultat d'exploitation passe de **-6 258 millions FCFA** en 2022 à **+3 340 millions FCFA** en 2023, témoignant d'un redressement opérationnel réel mais fragile. **En 2022**, le chiffre d'affaires de **24 336 010 000 FCFA** (selon le rapport 2022) masquait une perte nette de **-6 382 600 386 FCFA** et une marge nette de **-26,2%**, conséquence de la cession de l'activité "Thé" (Lipton) et de perturbations logistiques régionales. **En 2021**, le chiffre d'affaires était de **24 336 010 000 FCFA** avec un résultat net de **+6 090 755 732 FCFA** et une marge nette de **25,0%**, porté par des produits exceptionnels liés à la cession de Lipton. L'évolution sur trois ans montre une extrême volatilité des résultats, passant d'un bénéfice exceptionnel en 2021 à une perte abyssale en 2022, puis à un modeste retour à la profitabilité en 2023. Les points de vigilance majeurs incluent des **capitaux propres négatifs de -10 658 millions FCFA** en 2023, un **report à nouveau négatif de -35 635 millions FCFA**, une absence totale de dividende depuis plusieurs exercices, et un endettement financier de **4 379 millions FCFA** en 2023 (en hausse vs 3 827 millions en 2022). La structure financière reste donc précaire malgré l'amélioration du compte de résultat, et la recommandation fondamentale est de **CONSERVER avec vigilance**, en attendant une confirmation durable de la rentabilité et une reconstitution des capitaux propres.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contrasté pour UNLC. **Sur le plan de la valorisation (Partie 0)**, l'absence de ratios calculables et le PER implicite très élevé (supérieur à 700x) suggèrent une surévaluation manifeste par rapport aux bénéfices actuels, le marché valorisant la marque et le potentiel de redressement plutôt que les flux financiers. **Le comportement du cours (Partie 1)** est baissier sur 100 jours (-12,90%) avec une volatilité élevée (58,9%), une distribution symétrique (skewness 0,181) et une absence de pics extrêmes (kurtosis -0,475), ce qui est préoccupant pour un investisseur averse au risque mais offre des opportunités de trading pour les plus aguerris. **Les signaux techniques (Partie 2)** sont divergents : les moyennes mobiles donnent un signal d'Achat, le MACD un signal de Vente, et les autres indicateurs (Bollinger, RSI, Stochastique) sont Neutres, traduisant une indécision qui plaide pour l'attentisme. **Les fondamentaux (Partie 3)** montrent un redressement opérationnel en 2023 (résultat net de 640,3 millions FCFA, marge nette de 2,63%) mais une structure financière toujours fragile (capitaux propres négatifs, absence de dividende, endettement croissant). **Les prédictions IA (J+1 à J+10)** anticipent une légère baisse du cours de 53 478 FCFA à 53 495 FCFA, confirmant la tendance baissière de court terme sans effondrement majeur. Sur la base de cette synthèse, la recommandation finale est de **CONSERVER** avec un niveau de confiance **Moyen** et un risque global **Élevé**, en privilégiant un horizon d'investissement de **moyen terme (3-12 mois)** pour laisser le temps au redressement opérationnel de se confirmer et aux capitaux propres de se reconstituer. Une dégradation supplémentaire des résultats ou une nouvelle perte en 2024 justifierait un passage à la Vente, tandis qu'une confirmation de la rentabilité et une reprise des dividendes ouvrirait la voie à un Achat.</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13,195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+28.00%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13.86% (Moyenne) — μ=1,941 FCFA, σ=269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β=-0.1341 (Contre-cyclique) — Cov=-0.000005, Var(idx)=0.000035, ρ=-0.025,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2,270</w:t>
            </w:r>
          </w:p>
        </w:tc>
        <w:tc>
          <w:tcPr>
            <w:tcW w:type="dxa" w:w="1440"/>
            <w:shd w:fill="FAFAFA" w:val="clear"/>
          </w:tcPr>
          <w:p>
            <w:r>
              <w:rPr>
                <w:b/>
                <w:sz w:val="17"/>
              </w:rPr>
              <w:t>2,367</w:t>
            </w:r>
          </w:p>
        </w:tc>
        <w:tc>
          <w:tcPr>
            <w:tcW w:type="dxa" w:w="1440"/>
            <w:shd w:fill="FAFAFA" w:val="clear"/>
          </w:tcPr>
          <w:p>
            <w:r>
              <w:rPr>
                <w:sz w:val="17"/>
              </w:rPr>
              <w:t>2,463</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2,223</w:t>
            </w:r>
          </w:p>
        </w:tc>
        <w:tc>
          <w:tcPr>
            <w:tcW w:type="dxa" w:w="1440"/>
            <w:shd w:fill="FAFAFA" w:val="clear"/>
          </w:tcPr>
          <w:p>
            <w:r>
              <w:rPr>
                <w:b/>
                <w:sz w:val="17"/>
              </w:rPr>
              <w:t>2,359</w:t>
            </w:r>
          </w:p>
        </w:tc>
        <w:tc>
          <w:tcPr>
            <w:tcW w:type="dxa" w:w="1440"/>
            <w:shd w:fill="FAFAFA" w:val="clear"/>
          </w:tcPr>
          <w:p>
            <w:r>
              <w:rPr>
                <w:sz w:val="17"/>
              </w:rPr>
              <w:t>2,495</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2,183</w:t>
            </w:r>
          </w:p>
        </w:tc>
        <w:tc>
          <w:tcPr>
            <w:tcW w:type="dxa" w:w="1440"/>
            <w:shd w:fill="FFDCE0" w:val="clear"/>
          </w:tcPr>
          <w:p>
            <w:r>
              <w:rPr>
                <w:b/>
                <w:sz w:val="17"/>
              </w:rPr>
              <w:t>2,349</w:t>
            </w:r>
          </w:p>
        </w:tc>
        <w:tc>
          <w:tcPr>
            <w:tcW w:type="dxa" w:w="1440"/>
            <w:shd w:fill="FFDCE0" w:val="clear"/>
          </w:tcPr>
          <w:p>
            <w:r>
              <w:rPr>
                <w:sz w:val="17"/>
              </w:rPr>
              <w:t>2,514</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2,148</w:t>
            </w:r>
          </w:p>
        </w:tc>
        <w:tc>
          <w:tcPr>
            <w:tcW w:type="dxa" w:w="1440"/>
            <w:shd w:fill="FFDCE0" w:val="clear"/>
          </w:tcPr>
          <w:p>
            <w:r>
              <w:rPr>
                <w:b/>
                <w:sz w:val="17"/>
              </w:rPr>
              <w:t>2,339</w:t>
            </w:r>
          </w:p>
        </w:tc>
        <w:tc>
          <w:tcPr>
            <w:tcW w:type="dxa" w:w="1440"/>
            <w:shd w:fill="FFDCE0" w:val="clear"/>
          </w:tcPr>
          <w:p>
            <w:r>
              <w:rPr>
                <w:sz w:val="17"/>
              </w:rPr>
              <w:t>2,529</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2,117</w:t>
            </w:r>
          </w:p>
        </w:tc>
        <w:tc>
          <w:tcPr>
            <w:tcW w:type="dxa" w:w="1440"/>
            <w:shd w:fill="FFDCE0" w:val="clear"/>
          </w:tcPr>
          <w:p>
            <w:r>
              <w:rPr>
                <w:b/>
                <w:sz w:val="17"/>
              </w:rPr>
              <w:t>2,329</w:t>
            </w:r>
          </w:p>
        </w:tc>
        <w:tc>
          <w:tcPr>
            <w:tcW w:type="dxa" w:w="1440"/>
            <w:shd w:fill="FFDCE0" w:val="clear"/>
          </w:tcPr>
          <w:p>
            <w:r>
              <w:rPr>
                <w:sz w:val="17"/>
              </w:rPr>
              <w:t>2,541</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2,089</w:t>
            </w:r>
          </w:p>
        </w:tc>
        <w:tc>
          <w:tcPr>
            <w:tcW w:type="dxa" w:w="1440"/>
            <w:shd w:fill="FFDCE0" w:val="clear"/>
          </w:tcPr>
          <w:p>
            <w:r>
              <w:rPr>
                <w:b/>
                <w:sz w:val="17"/>
              </w:rPr>
              <w:t>2,320</w:t>
            </w:r>
          </w:p>
        </w:tc>
        <w:tc>
          <w:tcPr>
            <w:tcW w:type="dxa" w:w="1440"/>
            <w:shd w:fill="FFDCE0" w:val="clear"/>
          </w:tcPr>
          <w:p>
            <w:r>
              <w:rPr>
                <w:sz w:val="17"/>
              </w:rPr>
              <w:t>2,551</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2,062</w:t>
            </w:r>
          </w:p>
        </w:tc>
        <w:tc>
          <w:tcPr>
            <w:tcW w:type="dxa" w:w="1440"/>
            <w:shd w:fill="FFDCE0" w:val="clear"/>
          </w:tcPr>
          <w:p>
            <w:r>
              <w:rPr>
                <w:b/>
                <w:sz w:val="17"/>
              </w:rPr>
              <w:t>2,311</w:t>
            </w:r>
          </w:p>
        </w:tc>
        <w:tc>
          <w:tcPr>
            <w:tcW w:type="dxa" w:w="1440"/>
            <w:shd w:fill="FFDCE0" w:val="clear"/>
          </w:tcPr>
          <w:p>
            <w:r>
              <w:rPr>
                <w:sz w:val="17"/>
              </w:rPr>
              <w:t>2,560</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2,037</w:t>
            </w:r>
          </w:p>
        </w:tc>
        <w:tc>
          <w:tcPr>
            <w:tcW w:type="dxa" w:w="1440"/>
            <w:shd w:fill="FFDCE0" w:val="clear"/>
          </w:tcPr>
          <w:p>
            <w:r>
              <w:rPr>
                <w:b/>
                <w:sz w:val="17"/>
              </w:rPr>
              <w:t>2,302</w:t>
            </w:r>
          </w:p>
        </w:tc>
        <w:tc>
          <w:tcPr>
            <w:tcW w:type="dxa" w:w="1440"/>
            <w:shd w:fill="FFDCE0" w:val="clear"/>
          </w:tcPr>
          <w:p>
            <w:r>
              <w:rPr>
                <w:sz w:val="17"/>
              </w:rPr>
              <w:t>2,568</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2,014</w:t>
            </w:r>
          </w:p>
        </w:tc>
        <w:tc>
          <w:tcPr>
            <w:tcW w:type="dxa" w:w="1440"/>
            <w:shd w:fill="FFDCE0" w:val="clear"/>
          </w:tcPr>
          <w:p>
            <w:r>
              <w:rPr>
                <w:b/>
                <w:sz w:val="17"/>
              </w:rPr>
              <w:t>2,294</w:t>
            </w:r>
          </w:p>
        </w:tc>
        <w:tc>
          <w:tcPr>
            <w:tcW w:type="dxa" w:w="1440"/>
            <w:shd w:fill="FFDCE0" w:val="clear"/>
          </w:tcPr>
          <w:p>
            <w:r>
              <w:rPr>
                <w:sz w:val="17"/>
              </w:rPr>
              <w:t>2,574</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1,992</w:t>
            </w:r>
          </w:p>
        </w:tc>
        <w:tc>
          <w:tcPr>
            <w:tcW w:type="dxa" w:w="1440"/>
            <w:shd w:fill="FFDCE0" w:val="clear"/>
          </w:tcPr>
          <w:p>
            <w:r>
              <w:rPr>
                <w:b/>
                <w:sz w:val="17"/>
              </w:rPr>
              <w:t>2,286</w:t>
            </w:r>
          </w:p>
        </w:tc>
        <w:tc>
          <w:tcPr>
            <w:tcW w:type="dxa" w:w="1440"/>
            <w:shd w:fill="FFDCE0" w:val="clear"/>
          </w:tcPr>
          <w:p>
            <w:r>
              <w:rPr>
                <w:sz w:val="17"/>
              </w:rPr>
              <w:t>2,580</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Textile / Entreprise non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49,80 milliards FCFA, UNIWAX se positionne comme une valeur de taille intermédiaire sur la cote BRVM, représentant un poids notable dans le compartiment industriel/textile régional. Le BPA ressort à -105 FCFA/action, conséquence directe de la perte nette de -2,189 milliards FCFA enregistrée en 2024, ce qui rend le PER inexploitable en l'état (-22,8x, valeur négative traduisant l'absence de bénéfices). Le P/B de 3,19x indique que le marché valorise la société à plus de trois fois sa valeur comptable, une prime de croissance significative qui contraste avec la fragilité opérationnelle actuelle et suggère que les investisseurs anticipent déjà le redressement (retour à l'EBE positif en 2025, résultat d'exploitation positif au S1 2026). Le ratio EV/EBITDA n'est pas fourni, mais au regard de l'EBE redevenu positif à 1,13 milliard FCFA en 2025 (rapport annuel 2025), la valeur d'entreprise rapportée à la capacité opérationnelle reste élevée, ce qui appelle à la prudence tant que la rentabilité récurrente n'est pas confirmée sur un exercice complet.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UNXC affiche une performance remarquable de +28,00%, avec un cours actuel de 2 400 FCFA et une variation nulle sur la dernière séance (J-1 : +0,00%), signe d'une stabilisation après le rallye. Le range de trading est particulièrement large, le plus haut ayant atteint 2 495 FCFA contre un plus bas de 1 250 FCFA, soit un écart de près de 100% entre les extrêmes, ce qui traduit une tendance générale nettement haussière portée par le retournement fondamental amorcé en 2025. Les statistiques descriptives révèlent une moyenne de 1 941 FCFA légèrement supérieure à la médiane (1 900 FCFA) et au mode (1 900 FCFA), écart modéré qui indique une distribution quasi symétrique avec une légère prédominance des cours élevés en fin de période. L'écart-type de 270 FCFA (CV = 13,9%) témoigne d'une dispersion modérée du cours autour de sa moyenne, tandis que le kurtosis de 0,404 (mésokurtique) et le skewness de 0,218 (distribution symétrique) confirment un comportement proche d'une loi normale, sans risque majeur de pics extrêmes ni d'asymétrie marquée. La volatilité annualisée de 50,4% classe le titre dans la catégorie des valeurs à volatilité élevée (&gt;30%), ce qui est cohérent avec un titre en phase de redressement et impose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2 374,5 FCFA et la MM50 à 1 997,3 FCFA, toutes deux inférieures au cours actuel de 2 400 FCFA, ce qui place le titre en position haussière sur les deux horizons. La MM20 étant nettement au-dessus de la MM50 (golden cross confirmé), la dynamique de court terme reste positive et justifie la décision technique d'**Achat**.</w:t>
      </w:r>
    </w:p>
    <w:p>
      <w:pPr>
        <w:spacing w:after="120" w:line="276" w:lineRule="auto"/>
      </w:pPr>
      <w:r>
        <w:t>**Bandes de Bollinger** : Le cours (2 400 FCFA) évolue dans la partie haute du canal, entre la borne inférieure (2 126,3 FCFA) et la borne supérieure (2 622,7 FCFA), sans franchir cette dernière. Cette position médiane-haute, couplée à un écart-type élevé, traduit une volatilité soutenue mais sans excès, d'où la décision **Neutre** qui invite à la prudence avant tout nouvel engagement.</w:t>
      </w:r>
    </w:p>
    <w:p>
      <w:pPr>
        <w:spacing w:after="120" w:line="276" w:lineRule="auto"/>
      </w:pPr>
      <w:r>
        <w:t>**MACD** : La valeur du MACD (100,267) est inférieure à son signal (124,203), configuration baissière caractéristique d'un essoufflement du momentum haussier malgré la tendance de fond positive. Cette divergence négative justifie la décision de **Vente** à court terme, signalant une possible consolidation.</w:t>
      </w:r>
    </w:p>
    <w:p>
      <w:pPr>
        <w:spacing w:after="120" w:line="276" w:lineRule="auto"/>
      </w:pPr>
      <w:r>
        <w:t>**RSI** : À 41,333, l'indicateur se situe dans la zone neutre (30-70), sans signe de surachat ni de survente. Cette position médiane-basse suggère que le titre conserve un potentiel de rebond mais manque de catalyseur immédiat, d'où la décision **Neutre**.</w:t>
      </w:r>
    </w:p>
    <w:p>
      <w:pPr>
        <w:spacing w:after="120" w:line="276" w:lineRule="auto"/>
      </w:pPr>
      <w:r>
        <w:t>**Stochastique** : Le %K (38,71) est supérieur au %D (27,957), configuration haussière naissante qui pourrait annoncer un croisement positif à venir. Toutefois, les deux courbes restent en zone basse, ce qui maintient la décision **Neutre** en attendant confirmation du croisement.</w:t>
      </w:r>
    </w:p>
    <w:p>
      <w:pPr>
        <w:spacing w:after="120" w:line="276" w:lineRule="auto"/>
      </w:pPr>
      <w:r>
        <w:t>**Conclusion technique** : Les indicateurs présentent un tableau mitigé. Les moyennes mobiles confirment une tendance haussière de fond (MM20 &gt; MM50 &gt; cours), mais le MACD baissier, le RSI neutre et le stochastique en zone basse signalent un essoufflement du momentum à court terme. La convergence des signaux neutres/baissiers (Bollinger, RSI, Stochastique) suggère une phase de consolidation probable avant une reprise, ce qui plaide pour une attitude attentiste à court terme malgré la solidité de la tendance de fond.</w:t>
      </w:r>
    </w:p>
    <w:p>
      <w:pPr>
        <w:spacing w:after="120" w:line="276" w:lineRule="auto"/>
      </w:pPr>
      <w:r>
        <w:t>---</w:t>
      </w:r>
    </w:p>
    <w:p>
      <w:pPr>
        <w:spacing w:after="120" w:line="276" w:lineRule="auto"/>
      </w:pPr>
      <w:r>
        <w:t>## PARTIE 3 : ANALYSE FONDAMENTALE</w:t>
      </w:r>
    </w:p>
    <w:p>
      <w:pPr>
        <w:spacing w:after="120" w:line="276" w:lineRule="auto"/>
      </w:pPr>
      <w:r>
        <w:t>En 2024, les états financiers annuels d'UNIWAX (exercice clos le 31/12/2024) affichent un chiffre d'affaires de 27,333 milliards FCFA, en hausse de 15,4% sur un an, mais un résultat net négatif de -2,189 milliards FCFA, avec un ROE de -14,04% et un ROA de -6,39%, traduisant une rentabilité structurellement déficitaire. La marge nette ressort à -8,01% et le coefficient d'exploitation à 106,99%, confirmant que les charges d'exploitation (32,706 milliards FCFA) dépassent le chiffre d'affaires. Sur le plan bilanciel, la structure reste saine avec une autonomie financière de 45,53%, une solvabilité générale de 183,60% et une liquidité générale de 126,23%, tandis que le BFR de 2,149 milliards FCFA et le délai fournisseurs élevé (267,82 jours) constituent des points d'attention sur la gestion du fonds de roulement. L'exercice 2025 marque une inflexion majeure : selon le rapport annuel 2025, le CA progresse à 29,03 milliards FCFA (+6,2%), l'EBE redevient positif à 1,13 milliard FCFA (contre -0,35 milliard en 2024) et la perte nette est réduite de 71% à -624 millions FCFA, bien que le résultat d'exploitation reste négatif (-424 millions FCFA) et que le désendettement fournisseurs (14,9 Md ramenés à 5,0 Md) ait été financé par des cessions d'actifs non récurrentes (+10,5 milliards). Le rapport du 3ème trimestre 2025 (30/09/2025) confirme cette dynamique : CA de 22,474 milliards FCFA sur neuf mois (+13%), résultat net exceptionnel de 8,143 milliards FCFA (porté par une plus-value de cession-bail de 9,993 milliards), mais surtout l'annonce d'une absence de perte opérationnelle au T3, signal fort d'une possible rupture vers la rentabilité récurrente. L'estimation la plus récente, issue du rapport S1 2026 (publié en 2026), valide cette tendance : le CA s'établit à 15,752 milliards FCFA (+0,3%) et le résultat d'exploitation redevient positif à 771 millions FCFA (contre -314 millions au S1 2025), avec un résultat net de 771 millions FCFA et une marge nette de 4,9%. On estime donc que l'exercice 2026 pourrait marquer le retour à une rentabilité opérationnelle durable, sous réserve de la confirmation de la tendance au second semestre et de la certification des comptes par les commissaires aux comptes. La recommandation fondamentale est de **CONSERVER avec biais acheteur**, la solidité bilancielle (capitaux propres de 24,62 milliards FCFA en 2025) et l'amélioration opérationnelle étant contrebalancées par les pertes cumulées (-5,54 milliards de report à nouveau négatif) et l'absence de dividende depuis 2022.</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atypique : le PER négatif (-22,8x) et le BPA négatif (-105 FCFA) interdisent toute lecture classique, tandis que le P/B de 3,19x traduit une prime de croissance déjà intégrée par le marché, ce qui suggère une valorisation tendue à court terme mais justifiée si le redressement se confirme. Le comportement du cours (Partie 1) est nettement favorable (+28% sur 100 jours, tendance haussière, distribution symétrique sans risque de pics extrêmes), mais la volatilité annualisée de 50,4% et le range très large (1 250-2 495 FCFA) imposent une tolérance au risque élevée. Les signaux techniques (Partie 2) sont mitigés : les moyennes mobiles valident la tendance haussière de fond, mais le MACD baissier, le RSI neutre et le stochastique en zone basse convergent vers une consolidation de court terme, plaidant pour un point d'entrée différé. Les fondamentaux (Partie 3) constituent le principal moteur : le retour à un résultat d'exploitation positif au S1 2026 (771 millions FCFA) et l'EBE positif en 2025 (1,13 milliard FCFA) marquent une rupture structurelle, même si la rentabilité reste fragile et dépendante d'éléments non récurrents. Les prédictions IA (J+1 à J+10) anticipent une légère correction baissière (2 367 → 2 329 FCFA, soit -3%), ce qui contredit la tendance haussière de fond mais confirme le signal de consolidation technique à court terme. Sur la base de cette synthèse, la recommandation finale est **CONSERVER**, avec un biais acheteur pour les investisseurs disposant d'un horizon long terme. Le niveau de confiance est **Moyen**, car la convergence entre fondamentaux en amélioration et technique en consolidation n'est pas totale, et le niveau de risque global est **Élevé** en raison de la volatilité du titre et de la fragilité persistante de la rentabilité récurrente. L'horizon d'investissement optimal est le **moyen à long terme (6 à 18 mois)**, le temps que la rentabilité opérationnelle se confirme sur un exercice complet et que le marché valide le retour durable aux bénéfices.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