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30/08/2026 à 10:07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NTLC  (score 79/100)</w:t>
      </w:r>
    </w:p>
    <w:p>
      <w:pPr>
        <w:spacing w:before="20" w:after="20"/>
        <w:ind w:left="360" w:right="360"/>
        <w:shd w:val="clear" w:color="auto" w:fill="EBF5FB"/>
      </w:pPr>
      <w:r>
        <w:rPr>
          <w:b/>
          <w:sz w:val="19"/>
        </w:rPr>
        <w:t xml:space="preserve">Secteur surperformant :  </w:t>
      </w:r>
      <w:r>
        <w:rPr>
          <w:color w:val="008000"/>
          <w:sz w:val="19"/>
        </w:rPr>
        <w:t>SERVICES PUBLICS  (+86.4%)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11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530.06 points </w:t>
      </w:r>
      <w:r>
        <w:rPr>
          <w:color w:val="008000"/>
        </w:rPr>
        <w:t>(+0.02%)</w:t>
      </w:r>
      <w:r>
        <w:t xml:space="preserve"> sur la séance. </w:t>
      </w:r>
      <w:r>
        <w:t>La capitalisation globale du marché atteint 2 043,994 milliards FCFA.</w:t>
      </w:r>
    </w:p>
    <w:p/>
    <w:p>
      <w:pPr>
        <w:pStyle w:val="Heading3"/>
      </w:pPr>
      <w:r>
        <w:t>📊 Évolution de l'indice BRVM Composite (100 derniers jours)</w:t>
      </w:r>
    </w:p>
    <w:p>
      <w:r>
        <w:rPr>
          <w:b/>
        </w:rPr>
        <w:t xml:space="preserve">BRVM Composite — </w:t>
      </w:r>
      <w:r>
        <w:t xml:space="preserve">Sur les 100 derniers jours de cotation (2026-04-02 au 2026-08-28), l'indice BRVM Composite a évolué de </w:t>
      </w:r>
      <w:r>
        <w:rPr>
          <w:b/>
          <w:color w:val="008000"/>
        </w:rPr>
        <w:t>+29.40%</w:t>
      </w:r>
      <w:r>
        <w:t>, passant de 409.62 pts à 530.06 pts. Le plus haut atteint est 530.07 pts et le plus bas 397.33 pts. Sur l'ensemble de la période, la moyenne de l'indice s'établit à 447.66 pts, la médiane à 439.40 pts et le mode à 397.33 pts</w:t>
      </w:r>
      <w:r>
        <w:t xml:space="preserve"> (asymétrie positive — plus de jours sous la moyenne). </w:t>
      </w:r>
      <w:r>
        <w:t xml:space="preserve">L'écart-type de 38.51 pts (CV=8.6%) traduit une modérée dispersion des cotations. Le kurtosis de -0.93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-87.06%</w:t>
      </w:r>
      <w:r>
        <w:t xml:space="preserve"> sur la période, passant de 15 793,082 Mds FCFA à 2 043,994 Mds FCFA. Le pic de capitalisation observé est de 19 886,911 Mds FCFA et le plancher de 2 003,618 Mds FCFA. La moyenne de la capitalisation sur la période s'établit à 16 155,197 Mds FCFA, la médiane à 16 816,942 Mds FCFA et le mode à 2 003,618 Mds FCFA</w:t>
      </w:r>
      <w:r>
        <w:t xml:space="preserve"> (asymétrie négative). </w:t>
      </w:r>
      <w:r>
        <w:t>L'écart-type de 3 801,027 Mds FCFA (CV=23.5%) reflète une forte variabilité de la valorisation du marché. Le kurtosis de 8.74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3690 FCFA | </w:t>
      </w:r>
      <w:r>
        <w:rPr>
          <w:b/>
          <w:color w:val="008000"/>
        </w:rPr>
        <w:t>ACHAT</w:t>
      </w:r>
      <w:r>
        <w:t xml:space="preserve"> | Confiance: Moyen | Risque: Moyen</w:t>
      </w:r>
    </w:p>
    <w:p>
      <w:pPr>
        <w:pStyle w:val="ListNumber"/>
      </w:pPr>
      <w:r>
        <w:rPr>
          <w:b/>
        </w:rPr>
        <w:t>BICB - BIIC BN - Banque internationale pour le commerce du benin</w:t>
      </w:r>
      <w:r>
        <w:t xml:space="preserve"> | Prix: 8500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29500 FCFA | </w:t>
      </w:r>
      <w:r>
        <w:rPr>
          <w:b/>
          <w:color w:val="008000"/>
        </w:rPr>
        <w:t>ACHAT</w:t>
      </w:r>
      <w:r>
        <w:t xml:space="preserve"> | Confiance: Élevée | Risque: Faible</w:t>
      </w:r>
    </w:p>
    <w:p>
      <w:pPr>
        <w:pStyle w:val="ListNumber"/>
      </w:pPr>
      <w:r>
        <w:rPr>
          <w:b/>
        </w:rPr>
        <w:t>BNBC - BNBC - BERNABE CI</w:t>
      </w:r>
      <w:r>
        <w:t xml:space="preserve"> | Prix: 2300 FCFA | </w:t>
      </w:r>
      <w:r>
        <w:rPr>
          <w:b/>
          <w:color w:val="008000"/>
        </w:rPr>
        <w:t>ACHAT</w:t>
      </w:r>
      <w:r>
        <w:t xml:space="preserve"> | Confiance: Faible | Risque: Moyen</w:t>
      </w:r>
    </w:p>
    <w:p>
      <w:pPr>
        <w:pStyle w:val="ListNumber"/>
      </w:pPr>
      <w:r>
        <w:rPr>
          <w:b/>
        </w:rPr>
        <w:t>BOAB - BANK OF AFRICA BENIN</w:t>
      </w:r>
      <w:r>
        <w:t xml:space="preserve"> | Prix: 10235 FCFA | </w:t>
      </w:r>
      <w:r>
        <w:rPr>
          <w:b/>
          <w:color w:val="008000"/>
        </w:rPr>
        <w:t>ACHAT</w:t>
      </w:r>
      <w:r>
        <w:t xml:space="preserve"> | Confiance: Moyen | Risque: Moyen</w:t>
      </w:r>
    </w:p>
    <w:p>
      <w:pPr>
        <w:pStyle w:val="ListNumber"/>
      </w:pPr>
      <w:r>
        <w:rPr>
          <w:b/>
        </w:rPr>
        <w:t>BOABF - BANK OF AFRICA BURKINA FASO</w:t>
      </w:r>
      <w:r>
        <w:t xml:space="preserve"> | Prix: 8900 FCFA | </w:t>
      </w:r>
      <w:r>
        <w:rPr>
          <w:b/>
          <w:color w:val="008000"/>
        </w:rPr>
        <w:t>ACHAT</w:t>
      </w:r>
      <w:r>
        <w:t xml:space="preserve"> | Confiance: Faible | Risque: Faible</w:t>
      </w:r>
    </w:p>
    <w:p>
      <w:pPr>
        <w:pStyle w:val="ListNumber"/>
      </w:pPr>
      <w:r>
        <w:rPr>
          <w:b/>
        </w:rPr>
        <w:t>BOAC - BANK OF AFRICA COTE D'IVOIRE</w:t>
      </w:r>
      <w:r>
        <w:t xml:space="preserve"> | Prix: 12400 FCFA | </w:t>
      </w:r>
      <w:r>
        <w:rPr>
          <w:b/>
          <w:color w:val="008000"/>
        </w:rPr>
        <w:t>ACHAT</w:t>
      </w:r>
      <w:r>
        <w:t xml:space="preserve"> | Confiance: Moyen | Risque: Faible</w:t>
      </w:r>
    </w:p>
    <w:p>
      <w:pPr>
        <w:pStyle w:val="ListNumber"/>
      </w:pPr>
      <w:r>
        <w:rPr>
          <w:b/>
        </w:rPr>
        <w:t>BOAM - BANK OF AFRICA MALI</w:t>
      </w:r>
      <w:r>
        <w:t xml:space="preserve"> | Prix: 6495 FCFA | </w:t>
      </w:r>
      <w:r>
        <w:rPr>
          <w:b/>
          <w:color w:val="008000"/>
        </w:rPr>
        <w:t>ACHAT</w:t>
      </w:r>
      <w:r>
        <w:t xml:space="preserve"> | Confiance: Élevée | Risque: Faible</w:t>
      </w:r>
    </w:p>
    <w:p>
      <w:pPr>
        <w:pStyle w:val="ListNumber"/>
      </w:pPr>
      <w:r>
        <w:rPr>
          <w:b/>
        </w:rPr>
        <w:t>BOAN - BANK OF AFRICA NIGER</w:t>
      </w:r>
      <w:r>
        <w:t xml:space="preserve"> | Prix: 5500 FCFA | </w:t>
      </w:r>
      <w:r>
        <w:rPr>
          <w:b/>
          <w:color w:val="008000"/>
        </w:rPr>
        <w:t>ACHAT</w:t>
      </w:r>
      <w:r>
        <w:t xml:space="preserve"> | Confiance: Élevée | Risque: Moyen</w:t>
      </w:r>
    </w:p>
    <w:p>
      <w:pPr>
        <w:pStyle w:val="ListNumber"/>
      </w:pPr>
      <w:r>
        <w:rPr>
          <w:b/>
        </w:rPr>
        <w:t>BOAS - BANK OF AFRICA SENEGAL</w:t>
      </w:r>
      <w:r>
        <w:t xml:space="preserve"> | Prix: 8300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STBC - STBC - SITAB COTE D'IVOIRE</w:t>
      </w:r>
      <w:r>
        <w:t xml:space="preserve"> | Prix: 22350 FCFA | </w:t>
      </w:r>
      <w:r>
        <w:rPr>
          <w:b/>
          <w:color w:val="C00000"/>
        </w:rPr>
        <w:t>CONSERVER</w:t>
      </w:r>
      <w:r>
        <w:t xml:space="preserve"> | Confiance: Moyen | Risque: Faible</w:t>
      </w:r>
    </w:p>
    <w:p>
      <w:pPr>
        <w:pStyle w:val="ListNumber"/>
      </w:pPr>
      <w:r>
        <w:rPr>
          <w:b/>
        </w:rPr>
        <w:t>ECOC - ECOC - ECOBANK COTE D'IVOIRE</w:t>
      </w:r>
      <w:r>
        <w:t xml:space="preserve"> | Prix: 16845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86.37%</w:t>
      </w:r>
      <w:r>
        <w:t xml:space="preserve">  |  </w:t>
      </w:r>
      <w:r>
        <w:rPr>
          <w:b/>
        </w:rPr>
        <w:t xml:space="preserve">vs BRVM Composite: </w:t>
      </w:r>
      <w:r>
        <w:rPr>
          <w:b/>
          <w:color w:val="008000"/>
        </w:rPr>
        <w:t>+56.96%  🟢 Surperformance</w:t>
      </w:r>
      <w:r>
        <w:br/>
      </w:r>
      <w:r>
        <w:rPr>
          <w:b/>
        </w:rPr>
        <w:t xml:space="preserve">Sentiment général: </w:t>
      </w:r>
      <w:r>
        <w:t xml:space="preserve">ACHAT  |  </w:t>
      </w:r>
      <w:r>
        <w:rPr>
          <w:b/>
        </w:rPr>
        <w:t xml:space="preserve">Risque moyen: </w:t>
      </w:r>
      <w:r>
        <w:t xml:space="preserve">Moyen  |  </w:t>
      </w:r>
      <w:r>
        <w:rPr>
          <w:b/>
        </w:rPr>
        <w:t xml:space="preserve">Prix moyen: </w:t>
      </w:r>
      <w:r>
        <w:t>9850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41.10%</w:t>
      </w:r>
      <w:r>
        <w:t xml:space="preserve">  |  </w:t>
      </w:r>
      <w:r>
        <w:rPr>
          <w:b/>
        </w:rPr>
        <w:t xml:space="preserve">vs BRVM Composite: </w:t>
      </w:r>
      <w:r>
        <w:rPr>
          <w:b/>
          <w:color w:val="008000"/>
        </w:rPr>
        <w:t>+11.70%  🟢 Surperformance</w:t>
      </w:r>
      <w:r>
        <w:br/>
      </w:r>
      <w:r>
        <w:rPr>
          <w:b/>
        </w:rPr>
        <w:t xml:space="preserve">Sentiment général: </w:t>
      </w:r>
      <w:r>
        <w:t xml:space="preserve">ACHAT  |  </w:t>
      </w:r>
      <w:r>
        <w:rPr>
          <w:b/>
        </w:rPr>
        <w:t xml:space="preserve">Risque moyen: </w:t>
      </w:r>
      <w:r>
        <w:t xml:space="preserve">Faible  |  </w:t>
      </w:r>
      <w:r>
        <w:rPr>
          <w:b/>
        </w:rPr>
        <w:t xml:space="preserve">Prix moyen: </w:t>
      </w:r>
      <w:r>
        <w:t>13441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33.89%</w:t>
      </w:r>
      <w:r>
        <w:t xml:space="preserve">  |  </w:t>
      </w:r>
      <w:r>
        <w:rPr>
          <w:b/>
        </w:rPr>
        <w:t xml:space="preserve">vs BRVM Composite: </w:t>
      </w:r>
      <w:r>
        <w:rPr>
          <w:b/>
          <w:color w:val="008000"/>
        </w:rPr>
        <w:t>+4.49%  🟢 Surperformance</w:t>
      </w:r>
      <w:r>
        <w:br/>
      </w:r>
      <w:r>
        <w:rPr>
          <w:b/>
        </w:rPr>
        <w:t xml:space="preserve">Sentiment général: </w:t>
      </w:r>
      <w:r>
        <w:t xml:space="preserve">ACHAT  |  </w:t>
      </w:r>
      <w:r>
        <w:rPr>
          <w:b/>
        </w:rPr>
        <w:t xml:space="preserve">Risque moyen: </w:t>
      </w:r>
      <w:r>
        <w:t xml:space="preserve">Moyen  |  </w:t>
      </w:r>
      <w:r>
        <w:rPr>
          <w:b/>
        </w:rPr>
        <w:t xml:space="preserve">Prix moyen: </w:t>
      </w:r>
      <w:r>
        <w:t>20333 FCFA</w:t>
        <w:br/>
      </w:r>
      <w:r>
        <w:rPr>
          <w:b/>
        </w:rPr>
        <w:br/>
        <w:t xml:space="preserve">Sociétés: </w:t>
      </w:r>
      <w:r>
        <w:t>ONTBF (ONTBF - ONATEL BURKINA FASO), ORAC (ORAC - ORANGE COTE D'IVOIRE), SNTS (SNTS - SONATEL SN)</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29.07%</w:t>
      </w:r>
      <w:r>
        <w:t xml:space="preserve">  |  </w:t>
      </w:r>
      <w:r>
        <w:rPr>
          <w:b/>
        </w:rPr>
        <w:t xml:space="preserve">vs BRVM Composite: </w:t>
      </w:r>
      <w:r>
        <w:rPr>
          <w:b/>
          <w:color w:val="C00000"/>
        </w:rPr>
        <w:t>-0.34%  🔴 Sous-performance</w:t>
      </w:r>
      <w:r>
        <w:br/>
      </w:r>
      <w:r>
        <w:rPr>
          <w:b/>
        </w:rPr>
        <w:t xml:space="preserve">Sentiment général: </w:t>
      </w:r>
      <w:r>
        <w:t xml:space="preserve">ACHAT  |  </w:t>
      </w:r>
      <w:r>
        <w:rPr>
          <w:b/>
        </w:rPr>
        <w:t xml:space="preserve">Risque moyen: </w:t>
      </w:r>
      <w:r>
        <w:t xml:space="preserve">Moyen  |  </w:t>
      </w:r>
      <w:r>
        <w:rPr>
          <w:b/>
        </w:rPr>
        <w:t xml:space="preserve">Prix moyen: </w:t>
      </w:r>
      <w:r>
        <w:t>18436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27.29%</w:t>
      </w:r>
      <w:r>
        <w:t xml:space="preserve">  |  </w:t>
      </w:r>
      <w:r>
        <w:rPr>
          <w:b/>
        </w:rPr>
        <w:t xml:space="preserve">vs BRVM Composite: </w:t>
      </w:r>
      <w:r>
        <w:rPr>
          <w:b/>
          <w:color w:val="C00000"/>
        </w:rPr>
        <w:t>-2.11%  🔴 Sous-performance</w:t>
      </w:r>
      <w:r>
        <w:br/>
      </w:r>
      <w:r>
        <w:rPr>
          <w:b/>
        </w:rPr>
        <w:t xml:space="preserve">Sentiment général: </w:t>
      </w:r>
      <w:r>
        <w:t xml:space="preserve">ACHAT  |  </w:t>
      </w:r>
      <w:r>
        <w:rPr>
          <w:b/>
        </w:rPr>
        <w:t xml:space="preserve">Risque moyen: </w:t>
      </w:r>
      <w:r>
        <w:t xml:space="preserve">Moyen  |  </w:t>
      </w:r>
      <w:r>
        <w:rPr>
          <w:b/>
        </w:rPr>
        <w:t xml:space="preserve">Prix moyen: </w:t>
      </w:r>
      <w:r>
        <w:t>3096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22.38%</w:t>
      </w:r>
      <w:r>
        <w:t xml:space="preserve">  |  </w:t>
      </w:r>
      <w:r>
        <w:rPr>
          <w:b/>
        </w:rPr>
        <w:t xml:space="preserve">vs BRVM Composite: </w:t>
      </w:r>
      <w:r>
        <w:rPr>
          <w:b/>
          <w:color w:val="C00000"/>
        </w:rPr>
        <w:t>-7.02%  🔴 Sous-performance</w:t>
      </w:r>
      <w:r>
        <w:br/>
      </w:r>
      <w:r>
        <w:rPr>
          <w:b/>
        </w:rPr>
        <w:t xml:space="preserve">Sentiment général: </w:t>
      </w:r>
      <w:r>
        <w:t xml:space="preserve">ACHAT  |  </w:t>
      </w:r>
      <w:r>
        <w:rPr>
          <w:b/>
        </w:rPr>
        <w:t xml:space="preserve">Risque moyen: </w:t>
      </w:r>
      <w:r>
        <w:t xml:space="preserve">Moyen  |  </w:t>
      </w:r>
      <w:r>
        <w:rPr>
          <w:b/>
        </w:rPr>
        <w:t xml:space="preserve">Prix moyen: </w:t>
      </w:r>
      <w:r>
        <w:t>6708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INDUSTRIELS</w:t>
      </w:r>
    </w:p>
    <w:p>
      <w:r>
        <w:rPr>
          <w:b/>
        </w:rPr>
        <w:t xml:space="preserve">Nombre de sociétés: </w:t>
      </w:r>
      <w:r>
        <w:t xml:space="preserve">6  |  </w:t>
      </w:r>
      <w:r>
        <w:rPr>
          <w:b/>
        </w:rPr>
        <w:t xml:space="preserve">Performance moyenne (100j): </w:t>
      </w:r>
      <w:r>
        <w:rPr>
          <w:color w:val="C00000"/>
        </w:rPr>
        <w:t>-4.57%</w:t>
      </w:r>
      <w:r>
        <w:t xml:space="preserve">  |  </w:t>
      </w:r>
      <w:r>
        <w:rPr>
          <w:b/>
        </w:rPr>
        <w:t xml:space="preserve">vs BRVM Composite: </w:t>
      </w:r>
      <w:r>
        <w:rPr>
          <w:b/>
          <w:color w:val="C00000"/>
        </w:rPr>
        <w:t>-33.98%  🔴 Sous-performance</w:t>
      </w:r>
      <w:r>
        <w:br/>
      </w:r>
      <w:r>
        <w:rPr>
          <w:b/>
        </w:rPr>
        <w:t xml:space="preserve">Sentiment général: </w:t>
      </w:r>
      <w:r>
        <w:t xml:space="preserve">ACHAT  |  </w:t>
      </w:r>
      <w:r>
        <w:rPr>
          <w:b/>
        </w:rPr>
        <w:t xml:space="preserve">Risque moyen: </w:t>
      </w:r>
      <w:r>
        <w:t xml:space="preserve">Moyen  |  </w:t>
      </w:r>
      <w:r>
        <w:rPr>
          <w:b/>
        </w:rPr>
        <w:t xml:space="preserve">Prix moyen: </w:t>
      </w:r>
      <w:r>
        <w:t>2468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BOAM, BOAN, BOAS, CABC, CFAC, CIEC, ETIT, FTSC, NSBC, NTLC, SAFC, SCRC, SGBC, SHEC, SICC, SLBC, TTLC, UNLC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BOAB, BOAC, CBIBF, ONTBF, ORAC, ORGT, PALC, PRSC, SEMC, SIBC, SIVC, SNTS, SPHC, STAC,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BOABF, LNBB, NEIC, SDCC, SDSC, SMBC, SOGC</w:t>
            </w:r>
          </w:p>
        </w:tc>
        <w:tc>
          <w:tcPr>
            <w:tcW w:type="dxa" w:w="2160"/>
            <w:shd w:fill="FFC7CE" w:val="clear"/>
          </w:tcPr>
          <w:p>
            <w:pPr>
              <w:spacing w:before="40" w:after="40"/>
            </w:pPr>
            <w:r/>
            <w:r>
              <w:rPr>
                <w:b w:val="0"/>
                <w:sz w:val="16"/>
              </w:rPr>
              <w:t>ECOC, 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1594516</w:t>
            </w:r>
          </w:p>
        </w:tc>
        <w:tc>
          <w:tcPr>
            <w:tcW w:type="dxa" w:w="1728"/>
          </w:tcPr>
          <w:p>
            <w:r>
              <w:t>105463180 FCFA</w:t>
            </w:r>
          </w:p>
        </w:tc>
        <w:tc>
          <w:tcPr>
            <w:tcW w:type="dxa" w:w="1728"/>
          </w:tcPr>
          <w:p>
            <w:r>
              <w:t>96.97%</w:t>
            </w:r>
          </w:p>
        </w:tc>
        <w:tc>
          <w:tcPr>
            <w:tcW w:type="dxa" w:w="1728"/>
          </w:tcPr>
          <w:p>
            <w:r>
              <w:t>ACHAT</w:t>
            </w:r>
          </w:p>
        </w:tc>
      </w:tr>
      <w:tr>
        <w:tc>
          <w:tcPr>
            <w:tcW w:type="dxa" w:w="1728"/>
          </w:tcPr>
          <w:p>
            <w:r>
              <w:t>BICB (BIIC BN - Banque internationale pour le commerce du benin)</w:t>
            </w:r>
          </w:p>
        </w:tc>
        <w:tc>
          <w:tcPr>
            <w:tcW w:type="dxa" w:w="1728"/>
          </w:tcPr>
          <w:p>
            <w:r>
              <w:t>21310</w:t>
            </w:r>
          </w:p>
        </w:tc>
        <w:tc>
          <w:tcPr>
            <w:tcW w:type="dxa" w:w="1728"/>
          </w:tcPr>
          <w:p>
            <w:r>
              <w:t>172839604 FCFA</w:t>
            </w:r>
          </w:p>
        </w:tc>
        <w:tc>
          <w:tcPr>
            <w:tcW w:type="dxa" w:w="1728"/>
          </w:tcPr>
          <w:p>
            <w:r>
              <w:t>63.46%</w:t>
            </w:r>
          </w:p>
        </w:tc>
        <w:tc>
          <w:tcPr>
            <w:tcW w:type="dxa" w:w="1728"/>
          </w:tcPr>
          <w:p>
            <w:r>
              <w:t>ACHAT</w:t>
            </w:r>
          </w:p>
        </w:tc>
      </w:tr>
      <w:tr>
        <w:tc>
          <w:tcPr>
            <w:tcW w:type="dxa" w:w="1728"/>
          </w:tcPr>
          <w:p>
            <w:r>
              <w:t>SDSC (SDSC - AFRICA GLOBAL LOGISTICS CI)</w:t>
            </w:r>
          </w:p>
        </w:tc>
        <w:tc>
          <w:tcPr>
            <w:tcW w:type="dxa" w:w="1728"/>
          </w:tcPr>
          <w:p>
            <w:r>
              <w:t>18015</w:t>
            </w:r>
          </w:p>
        </w:tc>
        <w:tc>
          <w:tcPr>
            <w:tcW w:type="dxa" w:w="1728"/>
          </w:tcPr>
          <w:p>
            <w:r>
              <w:t>46099575 FCFA</w:t>
            </w:r>
          </w:p>
        </w:tc>
        <w:tc>
          <w:tcPr>
            <w:tcW w:type="dxa" w:w="1728"/>
          </w:tcPr>
          <w:p>
            <w:r>
              <w:t>48.25%</w:t>
            </w:r>
          </w:p>
        </w:tc>
        <w:tc>
          <w:tcPr>
            <w:tcW w:type="dxa" w:w="1728"/>
          </w:tcPr>
          <w:p>
            <w:r>
              <w:t>ACHAT</w:t>
            </w:r>
          </w:p>
        </w:tc>
      </w:tr>
      <w:tr>
        <w:tc>
          <w:tcPr>
            <w:tcW w:type="dxa" w:w="1728"/>
          </w:tcPr>
          <w:p>
            <w:r>
              <w:t>UNXC (UNXC - UNIWAX COTE D'IVOIRE)</w:t>
            </w:r>
          </w:p>
        </w:tc>
        <w:tc>
          <w:tcPr>
            <w:tcW w:type="dxa" w:w="1728"/>
          </w:tcPr>
          <w:p>
            <w:r>
              <w:t>15026</w:t>
            </w:r>
          </w:p>
        </w:tc>
        <w:tc>
          <w:tcPr>
            <w:tcW w:type="dxa" w:w="1728"/>
          </w:tcPr>
          <w:p>
            <w:r>
              <w:t>33425266 FCFA</w:t>
            </w:r>
          </w:p>
        </w:tc>
        <w:tc>
          <w:tcPr>
            <w:tcW w:type="dxa" w:w="1728"/>
          </w:tcPr>
          <w:p>
            <w:r>
              <w:t>23.99%</w:t>
            </w:r>
          </w:p>
        </w:tc>
        <w:tc>
          <w:tcPr>
            <w:tcW w:type="dxa" w:w="1728"/>
          </w:tcPr>
          <w:p>
            <w:r>
              <w:t>ACHAT</w:t>
            </w:r>
          </w:p>
        </w:tc>
      </w:tr>
      <w:tr>
        <w:tc>
          <w:tcPr>
            <w:tcW w:type="dxa" w:w="1728"/>
          </w:tcPr>
          <w:p>
            <w:r>
              <w:t>SNTS (SNTS - SONATEL SN)</w:t>
            </w:r>
          </w:p>
        </w:tc>
        <w:tc>
          <w:tcPr>
            <w:tcW w:type="dxa" w:w="1728"/>
          </w:tcPr>
          <w:p>
            <w:r>
              <w:t>13388</w:t>
            </w:r>
          </w:p>
        </w:tc>
        <w:tc>
          <w:tcPr>
            <w:tcW w:type="dxa" w:w="1728"/>
          </w:tcPr>
          <w:p>
            <w:r>
              <w:t>434460498 FCFA</w:t>
            </w:r>
          </w:p>
        </w:tc>
        <w:tc>
          <w:tcPr>
            <w:tcW w:type="dxa" w:w="1728"/>
          </w:tcPr>
          <w:p>
            <w:r>
              <w:t>26.99%</w:t>
            </w:r>
          </w:p>
        </w:tc>
        <w:tc>
          <w:tcPr>
            <w:tcW w:type="dxa" w:w="1728"/>
          </w:tcPr>
          <w:p>
            <w:r>
              <w:t>ACHAT</w:t>
            </w:r>
          </w:p>
        </w:tc>
      </w:tr>
      <w:tr>
        <w:tc>
          <w:tcPr>
            <w:tcW w:type="dxa" w:w="1728"/>
          </w:tcPr>
          <w:p>
            <w:r>
              <w:t>BOAS (BANK OF AFRICA SENEGAL)</w:t>
            </w:r>
          </w:p>
        </w:tc>
        <w:tc>
          <w:tcPr>
            <w:tcW w:type="dxa" w:w="1728"/>
          </w:tcPr>
          <w:p>
            <w:r>
              <w:t>12136</w:t>
            </w:r>
          </w:p>
        </w:tc>
        <w:tc>
          <w:tcPr>
            <w:tcW w:type="dxa" w:w="1728"/>
          </w:tcPr>
          <w:p>
            <w:r>
              <w:t>95356096 FCFA</w:t>
            </w:r>
          </w:p>
        </w:tc>
        <w:tc>
          <w:tcPr>
            <w:tcW w:type="dxa" w:w="1728"/>
          </w:tcPr>
          <w:p>
            <w:r>
              <w:t>21.17%</w:t>
            </w:r>
          </w:p>
        </w:tc>
        <w:tc>
          <w:tcPr>
            <w:tcW w:type="dxa" w:w="1728"/>
          </w:tcPr>
          <w:p>
            <w:r>
              <w:t>ACHAT</w:t>
            </w:r>
          </w:p>
        </w:tc>
      </w:tr>
      <w:tr>
        <w:tc>
          <w:tcPr>
            <w:tcW w:type="dxa" w:w="1728"/>
          </w:tcPr>
          <w:p>
            <w:r>
              <w:t>SOGC (SOGC - Société des caoutchoucs de Grand-Béréby)</w:t>
            </w:r>
          </w:p>
        </w:tc>
        <w:tc>
          <w:tcPr>
            <w:tcW w:type="dxa" w:w="1728"/>
          </w:tcPr>
          <w:p>
            <w:r>
              <w:t>10866</w:t>
            </w:r>
          </w:p>
        </w:tc>
        <w:tc>
          <w:tcPr>
            <w:tcW w:type="dxa" w:w="1728"/>
          </w:tcPr>
          <w:p>
            <w:r>
              <w:t>81311864 FCFA</w:t>
            </w:r>
          </w:p>
        </w:tc>
        <w:tc>
          <w:tcPr>
            <w:tcW w:type="dxa" w:w="1728"/>
          </w:tcPr>
          <w:p>
            <w:r>
              <w:t>6.63%</w:t>
            </w:r>
          </w:p>
        </w:tc>
        <w:tc>
          <w:tcPr>
            <w:tcW w:type="dxa" w:w="1728"/>
          </w:tcPr>
          <w:p>
            <w:r>
              <w:t>ACHAT</w:t>
            </w:r>
          </w:p>
        </w:tc>
      </w:tr>
      <w:tr>
        <w:tc>
          <w:tcPr>
            <w:tcW w:type="dxa" w:w="1728"/>
          </w:tcPr>
          <w:p>
            <w:r>
              <w:t>SIBC (SIBC - SOCIETE IVOIRIENNE DE BANQUE)</w:t>
            </w:r>
          </w:p>
        </w:tc>
        <w:tc>
          <w:tcPr>
            <w:tcW w:type="dxa" w:w="1728"/>
          </w:tcPr>
          <w:p>
            <w:r>
              <w:t>9756</w:t>
            </w:r>
          </w:p>
        </w:tc>
        <w:tc>
          <w:tcPr>
            <w:tcW w:type="dxa" w:w="1728"/>
          </w:tcPr>
          <w:p>
            <w:r>
              <w:t>89337539 FCFA</w:t>
            </w:r>
          </w:p>
        </w:tc>
        <w:tc>
          <w:tcPr>
            <w:tcW w:type="dxa" w:w="1728"/>
          </w:tcPr>
          <w:p>
            <w:r>
              <w:t>31.52%</w:t>
            </w:r>
          </w:p>
        </w:tc>
        <w:tc>
          <w:tcPr>
            <w:tcW w:type="dxa" w:w="1728"/>
          </w:tcPr>
          <w:p>
            <w:r>
              <w:t>ACHAT</w:t>
            </w:r>
          </w:p>
        </w:tc>
      </w:tr>
      <w:tr>
        <w:tc>
          <w:tcPr>
            <w:tcW w:type="dxa" w:w="1728"/>
          </w:tcPr>
          <w:p>
            <w:r>
              <w:t>BOAC (BANK OF AFRICA COTE D'IVOIRE)</w:t>
            </w:r>
          </w:p>
        </w:tc>
        <w:tc>
          <w:tcPr>
            <w:tcW w:type="dxa" w:w="1728"/>
          </w:tcPr>
          <w:p>
            <w:r>
              <w:t>9082</w:t>
            </w:r>
          </w:p>
        </w:tc>
        <w:tc>
          <w:tcPr>
            <w:tcW w:type="dxa" w:w="1728"/>
          </w:tcPr>
          <w:p>
            <w:r>
              <w:t>113829728 FCFA</w:t>
            </w:r>
          </w:p>
        </w:tc>
        <w:tc>
          <w:tcPr>
            <w:tcW w:type="dxa" w:w="1728"/>
          </w:tcPr>
          <w:p>
            <w:r>
              <w:t>45.88%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3527</w:t>
            </w:r>
          </w:p>
        </w:tc>
        <w:tc>
          <w:tcPr>
            <w:tcW w:type="dxa" w:w="1728"/>
          </w:tcPr>
          <w:p>
            <w:r>
              <w:t>8065652 FCFA</w:t>
            </w:r>
          </w:p>
        </w:tc>
        <w:tc>
          <w:tcPr>
            <w:tcW w:type="dxa" w:w="1728"/>
          </w:tcPr>
          <w:p>
            <w:r>
              <w:t>-21.16%</w:t>
            </w:r>
          </w:p>
        </w:tc>
        <w:tc>
          <w:tcPr>
            <w:tcW w:type="dxa" w:w="1728"/>
          </w:tcPr>
          <w:p>
            <w:r>
              <w:t>ACHAT</w:t>
            </w:r>
          </w:p>
        </w:tc>
      </w:tr>
      <w:tr>
        <w:tc>
          <w:tcPr>
            <w:tcW w:type="dxa" w:w="1728"/>
          </w:tcPr>
          <w:p>
            <w:r>
              <w:t>CFAC (CFAC - CFAO MOTORS CI)</w:t>
            </w:r>
          </w:p>
        </w:tc>
        <w:tc>
          <w:tcPr>
            <w:tcW w:type="dxa" w:w="1728"/>
          </w:tcPr>
          <w:p>
            <w:r>
              <w:t>3266</w:t>
            </w:r>
          </w:p>
        </w:tc>
        <w:tc>
          <w:tcPr>
            <w:tcW w:type="dxa" w:w="1728"/>
          </w:tcPr>
          <w:p>
            <w:r>
              <w:t>5490119 FCFA</w:t>
            </w:r>
          </w:p>
        </w:tc>
        <w:tc>
          <w:tcPr>
            <w:tcW w:type="dxa" w:w="1728"/>
          </w:tcPr>
          <w:p>
            <w:r>
              <w:t>8.41%</w:t>
            </w:r>
          </w:p>
        </w:tc>
        <w:tc>
          <w:tcPr>
            <w:tcW w:type="dxa" w:w="1728"/>
          </w:tcPr>
          <w:p>
            <w:r>
              <w:t>ACHAT</w:t>
            </w:r>
          </w:p>
        </w:tc>
      </w:tr>
      <w:tr>
        <w:tc>
          <w:tcPr>
            <w:tcW w:type="dxa" w:w="1728"/>
          </w:tcPr>
          <w:p>
            <w:r>
              <w:t>ABJC (ABJC - SERVAIR ABIDJAN CI)</w:t>
            </w:r>
          </w:p>
        </w:tc>
        <w:tc>
          <w:tcPr>
            <w:tcW w:type="dxa" w:w="1728"/>
          </w:tcPr>
          <w:p>
            <w:r>
              <w:t>3046</w:t>
            </w:r>
          </w:p>
        </w:tc>
        <w:tc>
          <w:tcPr>
            <w:tcW w:type="dxa" w:w="1728"/>
          </w:tcPr>
          <w:p>
            <w:r>
              <w:t>10047074 FCFA</w:t>
            </w:r>
          </w:p>
        </w:tc>
        <w:tc>
          <w:tcPr>
            <w:tcW w:type="dxa" w:w="1728"/>
          </w:tcPr>
          <w:p>
            <w:r>
              <w:t>0.82%</w:t>
            </w:r>
          </w:p>
        </w:tc>
        <w:tc>
          <w:tcPr>
            <w:tcW w:type="dxa" w:w="1728"/>
          </w:tcPr>
          <w:p>
            <w:r>
              <w:t>ACHAT</w:t>
            </w:r>
          </w:p>
        </w:tc>
      </w:tr>
      <w:tr>
        <w:tc>
          <w:tcPr>
            <w:tcW w:type="dxa" w:w="1728"/>
          </w:tcPr>
          <w:p>
            <w:r>
              <w:t>CABC (CABC - SICABLE COTE D'IVOIRE)</w:t>
            </w:r>
          </w:p>
        </w:tc>
        <w:tc>
          <w:tcPr>
            <w:tcW w:type="dxa" w:w="1728"/>
          </w:tcPr>
          <w:p>
            <w:r>
              <w:t>3023</w:t>
            </w:r>
          </w:p>
        </w:tc>
        <w:tc>
          <w:tcPr>
            <w:tcW w:type="dxa" w:w="1728"/>
          </w:tcPr>
          <w:p>
            <w:r>
              <w:t>10657988 FCFA</w:t>
            </w:r>
          </w:p>
        </w:tc>
        <w:tc>
          <w:tcPr>
            <w:tcW w:type="dxa" w:w="1728"/>
          </w:tcPr>
          <w:p>
            <w:r>
              <w:t>-10.04%</w:t>
            </w:r>
          </w:p>
        </w:tc>
        <w:tc>
          <w:tcPr>
            <w:tcW w:type="dxa" w:w="1728"/>
          </w:tcPr>
          <w:p>
            <w:r>
              <w:t>ACHAT</w:t>
            </w:r>
          </w:p>
        </w:tc>
      </w:tr>
      <w:tr>
        <w:tc>
          <w:tcPr>
            <w:tcW w:type="dxa" w:w="1728"/>
          </w:tcPr>
          <w:p>
            <w:r>
              <w:t>BNBC (BNBC - BERNABE CI)</w:t>
            </w:r>
          </w:p>
        </w:tc>
        <w:tc>
          <w:tcPr>
            <w:tcW w:type="dxa" w:w="1728"/>
          </w:tcPr>
          <w:p>
            <w:r>
              <w:t>2756</w:t>
            </w:r>
          </w:p>
        </w:tc>
        <w:tc>
          <w:tcPr>
            <w:tcW w:type="dxa" w:w="1728"/>
          </w:tcPr>
          <w:p>
            <w:r>
              <w:t>5519395 FCFA</w:t>
            </w:r>
          </w:p>
        </w:tc>
        <w:tc>
          <w:tcPr>
            <w:tcW w:type="dxa" w:w="1728"/>
          </w:tcPr>
          <w:p>
            <w:r>
              <w:t>44.65%</w:t>
            </w:r>
          </w:p>
        </w:tc>
        <w:tc>
          <w:tcPr>
            <w:tcW w:type="dxa" w:w="1728"/>
          </w:tcPr>
          <w:p>
            <w:r>
              <w:t>ACHAT</w:t>
            </w:r>
          </w:p>
        </w:tc>
      </w:tr>
      <w:tr>
        <w:tc>
          <w:tcPr>
            <w:tcW w:type="dxa" w:w="1728"/>
          </w:tcPr>
          <w:p>
            <w:r>
              <w:t>PALC (PALC - PALM COTE D'IVOIRE)</w:t>
            </w:r>
          </w:p>
        </w:tc>
        <w:tc>
          <w:tcPr>
            <w:tcW w:type="dxa" w:w="1728"/>
          </w:tcPr>
          <w:p>
            <w:r>
              <w:t>2450</w:t>
            </w:r>
          </w:p>
        </w:tc>
        <w:tc>
          <w:tcPr>
            <w:tcW w:type="dxa" w:w="1728"/>
          </w:tcPr>
          <w:p>
            <w:r>
              <w:t>22481306 FCFA</w:t>
            </w:r>
          </w:p>
        </w:tc>
        <w:tc>
          <w:tcPr>
            <w:tcW w:type="dxa" w:w="1728"/>
          </w:tcPr>
          <w:p>
            <w:r>
              <w:t>15.34%</w:t>
            </w:r>
          </w:p>
        </w:tc>
        <w:tc>
          <w:tcPr>
            <w:tcW w:type="dxa" w:w="1728"/>
          </w:tcPr>
          <w:p>
            <w:r>
              <w:t>ACHAT</w:t>
            </w:r>
          </w:p>
        </w:tc>
      </w:tr>
      <w:tr>
        <w:tc>
          <w:tcPr>
            <w:tcW w:type="dxa" w:w="1728"/>
          </w:tcPr>
          <w:p>
            <w:r>
              <w:t>NSBC (NSBC - NSIA BANQUE COTE D'IVOIRE)</w:t>
            </w:r>
          </w:p>
        </w:tc>
        <w:tc>
          <w:tcPr>
            <w:tcW w:type="dxa" w:w="1728"/>
          </w:tcPr>
          <w:p>
            <w:r>
              <w:t>2394</w:t>
            </w:r>
          </w:p>
        </w:tc>
        <w:tc>
          <w:tcPr>
            <w:tcW w:type="dxa" w:w="1728"/>
          </w:tcPr>
          <w:p>
            <w:r>
              <w:t>55363531 FCFA</w:t>
            </w:r>
          </w:p>
        </w:tc>
        <w:tc>
          <w:tcPr>
            <w:tcW w:type="dxa" w:w="1728"/>
          </w:tcPr>
          <w:p>
            <w:r>
              <w:t>58.95%</w:t>
            </w:r>
          </w:p>
        </w:tc>
        <w:tc>
          <w:tcPr>
            <w:tcW w:type="dxa" w:w="1728"/>
          </w:tcPr>
          <w:p>
            <w:r>
              <w:t>ACHAT</w:t>
            </w:r>
          </w:p>
        </w:tc>
      </w:tr>
      <w:tr>
        <w:tc>
          <w:tcPr>
            <w:tcW w:type="dxa" w:w="1728"/>
          </w:tcPr>
          <w:p>
            <w:r>
              <w:t>TTLS (TTLS - TOTAL ENERGIES MARKETING SENEGAL)</w:t>
            </w:r>
          </w:p>
        </w:tc>
        <w:tc>
          <w:tcPr>
            <w:tcW w:type="dxa" w:w="1728"/>
          </w:tcPr>
          <w:p>
            <w:r>
              <w:t>2372</w:t>
            </w:r>
          </w:p>
        </w:tc>
        <w:tc>
          <w:tcPr>
            <w:tcW w:type="dxa" w:w="1728"/>
          </w:tcPr>
          <w:p>
            <w:r>
              <w:t>8790564 FCFA</w:t>
            </w:r>
          </w:p>
        </w:tc>
        <w:tc>
          <w:tcPr>
            <w:tcW w:type="dxa" w:w="1728"/>
          </w:tcPr>
          <w:p>
            <w:r>
              <w:t>13.28%</w:t>
            </w:r>
          </w:p>
        </w:tc>
        <w:tc>
          <w:tcPr>
            <w:tcW w:type="dxa" w:w="1728"/>
          </w:tcPr>
          <w:p>
            <w:r>
              <w:t>ACHAT</w:t>
            </w:r>
          </w:p>
        </w:tc>
      </w:tr>
      <w:tr>
        <w:tc>
          <w:tcPr>
            <w:tcW w:type="dxa" w:w="1728"/>
          </w:tcPr>
          <w:p>
            <w:r>
              <w:t>ORAC (ORAC - ORANGE COTE D'IVOIRE)</w:t>
            </w:r>
          </w:p>
        </w:tc>
        <w:tc>
          <w:tcPr>
            <w:tcW w:type="dxa" w:w="1728"/>
          </w:tcPr>
          <w:p>
            <w:r>
              <w:t>2368</w:t>
            </w:r>
          </w:p>
        </w:tc>
        <w:tc>
          <w:tcPr>
            <w:tcW w:type="dxa" w:w="1728"/>
          </w:tcPr>
          <w:p>
            <w:r>
              <w:t>45645307 FCFA</w:t>
            </w:r>
          </w:p>
        </w:tc>
        <w:tc>
          <w:tcPr>
            <w:tcW w:type="dxa" w:w="1728"/>
          </w:tcPr>
          <w:p>
            <w:r>
              <w:t>40.79%</w:t>
            </w:r>
          </w:p>
        </w:tc>
        <w:tc>
          <w:tcPr>
            <w:tcW w:type="dxa" w:w="1728"/>
          </w:tcPr>
          <w:p>
            <w:r>
              <w:t>ACHAT</w:t>
            </w:r>
          </w:p>
        </w:tc>
      </w:tr>
      <w:tr>
        <w:tc>
          <w:tcPr>
            <w:tcW w:type="dxa" w:w="1728"/>
          </w:tcPr>
          <w:p>
            <w:r>
              <w:t>SMBC (SMBC - Société Multinationale de Bitumes COTE D'IVOIRE)</w:t>
            </w:r>
          </w:p>
        </w:tc>
        <w:tc>
          <w:tcPr>
            <w:tcW w:type="dxa" w:w="1728"/>
          </w:tcPr>
          <w:p>
            <w:r>
              <w:t>2315</w:t>
            </w:r>
          </w:p>
        </w:tc>
        <w:tc>
          <w:tcPr>
            <w:tcW w:type="dxa" w:w="1728"/>
          </w:tcPr>
          <w:p>
            <w:r>
              <w:t>37831643 FCFA</w:t>
            </w:r>
          </w:p>
        </w:tc>
        <w:tc>
          <w:tcPr>
            <w:tcW w:type="dxa" w:w="1728"/>
          </w:tcPr>
          <w:p>
            <w:r>
              <w:t>38.11%</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BNBC - BNBC - BERNABE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3. BOABF - BANK OF AFRICA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4. LNBB - LNBB - LOTERIE NATIONALE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5. NEIC - NEIC - NEI-CEDA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SDCC - SDCC - Société de Distribution d'Eau de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SMBC - SMBC - Société Multinationale de Bitumes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SOGC - SOGC - Société des caoutchoucs de Grand-Béréby</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BICC - BICI CI - Banque internationale pour le commerce et l'industrie de la Côte d'Ivoire</w:t>
      </w:r>
    </w:p>
    <w:p>
      <w:r>
        <w:rPr>
          <w:b/>
        </w:rPr>
        <w:t xml:space="preserve">Score de divergence: </w:t>
      </w:r>
      <w:r>
        <w:t>2/8</w:t>
        <w:br/>
      </w:r>
      <w:r>
        <w:rPr>
          <w:b/>
        </w:rPr>
        <w:t xml:space="preserve">Description: </w:t>
      </w:r>
      <w:r>
        <w:t>Signaux d'achat: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21</w:t>
            </w:r>
          </w:p>
        </w:tc>
        <w:tc>
          <w:tcPr>
            <w:tcW w:type="dxa" w:w="2160"/>
          </w:tcPr>
          <w:p>
            <w:r>
              <w:t>0</w:t>
            </w:r>
          </w:p>
        </w:tc>
      </w:tr>
      <w:tr>
        <w:tc>
          <w:tcPr>
            <w:tcW w:type="dxa" w:w="2160"/>
          </w:tcPr>
          <w:p>
            <w:r>
              <w:t>Risque Moyen</w:t>
            </w:r>
          </w:p>
        </w:tc>
        <w:tc>
          <w:tcPr>
            <w:tcW w:type="dxa" w:w="2160"/>
          </w:tcPr>
          <w:p>
            <w:r>
              <w:t>0</w:t>
            </w:r>
          </w:p>
        </w:tc>
        <w:tc>
          <w:tcPr>
            <w:tcW w:type="dxa" w:w="2160"/>
          </w:tcPr>
          <w:p>
            <w:r>
              <w:t>26</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brut ont connu une forte volatilité : une chute de plus de 3% le 27 août, suivie d'une remontée le 28 août, soutenue par la dynamique du marché de l'huile de soja. Par ailleurs, le débat sur la capacité de la BCE à racheter la dette publique française reste d'actualité, sans décision concrète annoncée. Ces fluctuations des matières premières restent modérées et sans choc majeur.</w:t>
      </w:r>
    </w:p>
    <w:p>
      <w:pPr>
        <w:pStyle w:val="Heading3"/>
      </w:pPr>
      <w:r>
        <w:rPr>
          <w:color w:val="500050"/>
        </w:rPr>
        <w:t>⚡ Impact estimé sur la BRVM</w:t>
      </w:r>
    </w:p>
    <w:p>
      <w:pPr>
        <w:spacing w:before="20" w:after="40"/>
        <w:ind w:left="280"/>
      </w:pPr>
      <w:r>
        <w:rPr>
          <w:i/>
          <w:sz w:val="18"/>
        </w:rPr>
        <w:t>La volatilité des prix du pétrole a un impact limité sur la BRVM, peu exposée au secteur de l'énergie. En revanche, la hausse des prix de l'huile de soja pourrait bénéficier aux sociétés agro-industrielles comme **SLBC** et **NTLC** (consommation de base), qui pourraient voir leurs marges évoluer favorablement si elles sont productrices, ou se dégrader si elles sont importatrices.</w:t>
      </w:r>
    </w:p>
    <w:p>
      <w:pPr>
        <w:pStyle w:val="Heading2"/>
      </w:pPr>
      <w:r>
        <w:rPr>
          <w:color w:val="006E32"/>
        </w:rPr>
        <w:t>🌍 Plan Africain</w:t>
      </w:r>
    </w:p>
    <w:p>
      <w:pPr>
        <w:spacing w:before="20" w:after="40"/>
        <w:ind w:left="0"/>
      </w:pPr>
      <w:r>
        <w:rPr>
          <w:sz w:val="18"/>
        </w:rPr>
        <w:t>Les secteurs porteurs en Afrique identifiés par Bpifrance incluent les infrastructures, l'agro-industrie et les énergies renouvelables. Par ailleurs, l'investissement dans l'économie des soins est présenté comme un levier de croissance stratégique, notamment au Sénégal. Enfin, la Senelec a émis 108 milliards de FCFA de dette verte à la Bourse de Luxembourg, illustrant l'appétit des acteurs africains pour les financements internationaux.</w:t>
      </w:r>
    </w:p>
    <w:p>
      <w:pPr>
        <w:pStyle w:val="Heading3"/>
      </w:pPr>
      <w:r>
        <w:rPr>
          <w:color w:val="500050"/>
        </w:rPr>
        <w:t>⚡ Impact estimé sur la BRVM</w:t>
      </w:r>
    </w:p>
    <w:p>
      <w:pPr>
        <w:spacing w:before="20" w:after="40"/>
        <w:ind w:left="280"/>
      </w:pPr>
      <w:r>
        <w:rPr>
          <w:i/>
          <w:sz w:val="18"/>
        </w:rPr>
        <w:t>Les secteurs porteurs identifiés (infrastructures, agro-industrie) correspondent à des valeurs BRVM comme **FTSC** et **CABC** (industriels), qui pourraient bénéficier d'un intérêt accru des investisseurs. L'émission de dette verte de Senelec démontre une dynamique positive pour le financement des infrastructures, mais ne concerne pas directement les sociétés cotées à la BRVM.</w:t>
      </w:r>
    </w:p>
    <w:p>
      <w:pPr>
        <w:pStyle w:val="Heading2"/>
      </w:pPr>
      <w:r>
        <w:rPr>
          <w:color w:val="145A28"/>
        </w:rPr>
        <w:t>🌍 Plan Afrique de l'Ouest</w:t>
      </w:r>
    </w:p>
    <w:p>
      <w:pPr>
        <w:spacing w:before="20" w:after="40"/>
        <w:ind w:left="0"/>
      </w:pPr>
      <w:r>
        <w:rPr>
          <w:sz w:val="18"/>
        </w:rPr>
        <w:t>L'Afrique de l'Ouest veut accélérer la circulation des semences agricoles pour renforcer la sécurité alimentaire régionale. La CEDEAO a annoncé des actions coordonnées de soutien à l'économie et à la santé. Enfin, l'UE a dressé un bilan positif de dix ans d'APE avec la Côte d'Ivoire et le Ghana.</w:t>
      </w:r>
    </w:p>
    <w:p>
      <w:pPr>
        <w:pStyle w:val="Heading3"/>
      </w:pPr>
      <w:r>
        <w:rPr>
          <w:color w:val="500050"/>
        </w:rPr>
        <w:t>⚡ Impact estimé sur la BRVM</w:t>
      </w:r>
    </w:p>
    <w:p>
      <w:pPr>
        <w:spacing w:before="20" w:after="40"/>
        <w:ind w:left="280"/>
      </w:pPr>
      <w:r>
        <w:rPr>
          <w:i/>
          <w:sz w:val="18"/>
        </w:rPr>
        <w:t>L'initiative sur les semences agricoles est positive pour les sociétés agro-industrielles de la BRVM comme **NTLC**, **SLBC** et **SCRC** (consommation de base), qui pourraient voir leur approvisionnement sécurisé. Le bilan positif des APE avec l'UE renforce la stabilité commerciale de la Côte d'Ivoire, principal marché de la BRVM.</w:t>
      </w:r>
    </w:p>
    <w:p>
      <w:pPr>
        <w:pStyle w:val="Heading2"/>
      </w:pPr>
      <w:r>
        <w:rPr>
          <w:color w:val="8C4600"/>
        </w:rPr>
        <w:t>🏦 Plan UEMOA / Zone Franc</w:t>
      </w:r>
    </w:p>
    <w:p>
      <w:pPr>
        <w:spacing w:before="20" w:after="40"/>
        <w:ind w:left="0"/>
      </w:pPr>
      <w:r>
        <w:rPr>
          <w:sz w:val="18"/>
        </w:rPr>
        <w:t>Données insuffisantes concernant les décisions BCEAO, l'inflation de la zone ou la liquidité bancaire. Aucune information spécifique sur les matières premières clés (cacao, caoutchouc) n'est fournie dans les actualités collectées.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Les résultats des sociétés cotées ivoiriennes à la BRVM sont jugés encourageants selon La Tribune (juin 2026). L'indice BRVM Composite s'établit à 530.06 points. Aucune information récente sur les volumes, IPO ou dividendes n'est disponible.</w:t>
      </w:r>
    </w:p>
    <w:p>
      <w:pPr>
        <w:pStyle w:val="Heading3"/>
      </w:pPr>
      <w:r>
        <w:rPr>
          <w:color w:val="500050"/>
        </w:rPr>
        <w:t>⚡ Impact estimé sur la BRVM</w:t>
      </w:r>
    </w:p>
    <w:p>
      <w:pPr>
        <w:spacing w:before="20" w:after="40"/>
        <w:ind w:left="280"/>
      </w:pPr>
      <w:r>
        <w:rPr>
          <w:i/>
          <w:sz w:val="18"/>
        </w:rPr>
        <w:t>Les résultats encourageants des sociétés ivoiriennes soutiennent la confiance des investisseurs. Les valeurs bancaires (**NSBC**, **BOAN**, **BOAM**, **BOAS**, **BOAB**) et de consommation (**NTLC**, **UNXC**, **ABJC**, **CFAC**) devraient maintenir leur dynamique positive. **ETIT** (services financiers) pourrait également bénéficier de cet environnement favorable.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 débat sur le rachat de la dette française par la BCE reste une question politique sensible en Europe, sans impact direct sur l'Afrique. Aucun conflit majeur ou sanction internationale affectant la zone UEMOA n'est signalé.</w:t>
      </w:r>
    </w:p>
    <w:p>
      <w:pPr>
        <w:pStyle w:val="Heading3"/>
      </w:pPr>
      <w:r>
        <w:rPr>
          <w:color w:val="500050"/>
        </w:rPr>
        <w:t>⚡ Impact estimé sur la BRVM</w:t>
      </w:r>
    </w:p>
    <w:p>
      <w:pPr>
        <w:spacing w:before="20" w:after="40"/>
        <w:ind w:left="280"/>
      </w:pPr>
      <w:r>
        <w:rPr>
          <w:i/>
          <w:sz w:val="18"/>
        </w:rPr>
        <w:t>L'absence de choc géopolitique mondial majeur est un facteur de stabilité pour la BRVM. Les investisseurs internationaux ne sont pas confrontés à des arbitrages défavorables concernant la zone UEMOA.</w:t>
      </w:r>
    </w:p>
    <w:p>
      <w:pPr>
        <w:pStyle w:val="Heading2"/>
      </w:pPr>
      <w:r>
        <w:rPr>
          <w:color w:val="006E32"/>
        </w:rPr>
        <w:t>🌍 Plan Africain</w:t>
      </w:r>
    </w:p>
    <w:p>
      <w:pPr>
        <w:spacing w:before="20" w:after="40"/>
        <w:ind w:left="0"/>
      </w:pPr>
      <w:r>
        <w:rPr>
          <w:sz w:val="18"/>
        </w:rPr>
        <w:t>Le Maroc renforce ses relations diplomatiques et économiques avec le Sénégal et la RDC, illustrant une dynamique de coopération intra-africaine positive. La visite du ministre belge des Affaires étrangères au Burkina Faso marque une étape dans la coopération bilatérale.</w:t>
      </w:r>
    </w:p>
    <w:p>
      <w:pPr>
        <w:pStyle w:val="Heading3"/>
      </w:pPr>
      <w:r>
        <w:rPr>
          <w:color w:val="500050"/>
        </w:rPr>
        <w:t>⚡ Impact estimé sur la BRVM</w:t>
      </w:r>
    </w:p>
    <w:p>
      <w:pPr>
        <w:spacing w:before="20" w:after="40"/>
        <w:ind w:left="280"/>
      </w:pPr>
      <w:r>
        <w:rPr>
          <w:i/>
          <w:sz w:val="18"/>
        </w:rPr>
        <w:t>Le renforcement de la coopération maroco-sénégalaise pourrait indirectement bénéficier aux sociétés BRVM présentes au Sénégal, comme **BOAS** et **BOAB** (services financiers). La coopération avec la Belgique au Burkina Faso est neutre pour la BRVM.</w:t>
      </w:r>
    </w:p>
    <w:p>
      <w:pPr>
        <w:pStyle w:val="Heading2"/>
      </w:pPr>
      <w:r>
        <w:rPr>
          <w:color w:val="145A28"/>
        </w:rPr>
        <w:t>🌍 Plan Afrique de l'Ouest</w:t>
      </w:r>
    </w:p>
    <w:p>
      <w:pPr>
        <w:spacing w:before="20" w:after="40"/>
        <w:ind w:left="0"/>
      </w:pPr>
      <w:r>
        <w:rPr>
          <w:sz w:val="18"/>
        </w:rPr>
        <w:t>La CEDEAO maintient des actions coordonnées de soutien économique et sanitaire. Aucune information sur des tensions politiques majeures, transitions ou coups d'État dans la région n'est rapportée. Le meeting de Pastef à Ziguinchor (Sénégal) reste un événement politique national sans portée régionale.</w:t>
      </w:r>
    </w:p>
    <w:p>
      <w:pPr>
        <w:pStyle w:val="Heading3"/>
      </w:pPr>
      <w:r>
        <w:rPr>
          <w:color w:val="500050"/>
        </w:rPr>
        <w:t>⚡ Impact estimé sur la BRVM</w:t>
      </w:r>
    </w:p>
    <w:p>
      <w:pPr>
        <w:spacing w:before="20" w:after="40"/>
        <w:ind w:left="280"/>
      </w:pPr>
      <w:r>
        <w:rPr>
          <w:i/>
          <w:sz w:val="18"/>
        </w:rPr>
        <w:t>La stabilité politique relative en Afrique de l'Ouest est un facteur positif pour la BRVM. Les sociétés opérant dans plusieurs pays de la région, comme **SGBC**, **BICB** et **ETIT**, bénéficient d'un environnement sécurisé.</w:t>
      </w:r>
    </w:p>
    <w:p>
      <w:pPr>
        <w:pStyle w:val="Heading2"/>
      </w:pPr>
      <w:r>
        <w:rPr>
          <w:color w:val="8C4600"/>
        </w:rPr>
        <w:t>🏦 Plan UEMOA / Zone Franc</w:t>
      </w:r>
    </w:p>
    <w:p>
      <w:pPr>
        <w:spacing w:before="20" w:after="40"/>
        <w:ind w:left="0"/>
      </w:pPr>
      <w:r>
        <w:rPr>
          <w:sz w:val="18"/>
        </w:rPr>
        <w:t>Données insuffisantes concernant la situation politique dans les pays membres ou les réformes institutionnelles de l'UEMOA.</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Données insuffisantes concernant la réglementation CREPMF, les nouvelles cotations ou la gouvernance des sociétés cotées.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prix du pétrole fluctuent, avec une chute de 3% suivie d'une remontée. Le débat sur la BCE et la dette française reste théorique. Aucune information sur Wall Street, les indices mondiaux ou les flux de capitaux n'est disponible.</w:t>
      </w:r>
    </w:p>
    <w:p>
      <w:pPr>
        <w:pStyle w:val="Heading3"/>
      </w:pPr>
      <w:r>
        <w:rPr>
          <w:color w:val="500050"/>
        </w:rPr>
        <w:t>⚡ Impact estimé sur la BRVM</w:t>
      </w:r>
    </w:p>
    <w:p>
      <w:pPr>
        <w:spacing w:before="20" w:after="40"/>
        <w:ind w:left="280"/>
      </w:pPr>
      <w:r>
        <w:rPr>
          <w:i/>
          <w:sz w:val="18"/>
        </w:rPr>
        <w:t>La relative stabilité des marchés mondiaux et l'absence de choc financier majeur sont favorables à la BRVM. Les investisseurs internationaux ne sont pas incités à réduire leur exposition aux marchés émergents.</w:t>
      </w:r>
    </w:p>
    <w:p>
      <w:pPr>
        <w:pStyle w:val="Heading2"/>
      </w:pPr>
      <w:r>
        <w:rPr>
          <w:color w:val="006E32"/>
        </w:rPr>
        <w:t>🌍 Plan Africain</w:t>
      </w:r>
    </w:p>
    <w:p>
      <w:pPr>
        <w:spacing w:before="20" w:after="40"/>
        <w:ind w:left="0"/>
      </w:pPr>
      <w:r>
        <w:rPr>
          <w:sz w:val="18"/>
        </w:rPr>
        <w:t>L'émission de dette verte de Senelec (108 milliards FCFA) à la Bourse de Luxembourg démontre l'accès des acteurs africains aux marchés internationaux de capitaux. Aucune information sur les eurobonds ou les notations souveraines n'est disponible.</w:t>
      </w:r>
    </w:p>
    <w:p>
      <w:pPr>
        <w:pStyle w:val="Heading3"/>
      </w:pPr>
      <w:r>
        <w:rPr>
          <w:color w:val="500050"/>
        </w:rPr>
        <w:t>⚡ Impact estimé sur la BRVM</w:t>
      </w:r>
    </w:p>
    <w:p>
      <w:pPr>
        <w:spacing w:before="20" w:after="40"/>
        <w:ind w:left="280"/>
      </w:pPr>
      <w:r>
        <w:rPr>
          <w:i/>
          <w:sz w:val="18"/>
        </w:rPr>
        <w:t>L'émission de Senelec ne concurrence pas directement la BRVM mais illustre la diversification des sources de financement des acteurs africains. Les banques BRVM (**NSBC**, **BOAN**, **BOAM**) ne sont pas directement affectées.</w:t>
      </w:r>
    </w:p>
    <w:p>
      <w:pPr>
        <w:pStyle w:val="Heading2"/>
      </w:pPr>
      <w:r>
        <w:rPr>
          <w:color w:val="145A28"/>
        </w:rPr>
        <w:t>🌍 Plan Afrique de l'Ouest</w:t>
      </w:r>
    </w:p>
    <w:p>
      <w:pPr>
        <w:spacing w:before="20" w:after="40"/>
        <w:ind w:left="0"/>
      </w:pPr>
      <w:r>
        <w:rPr>
          <w:sz w:val="18"/>
        </w:rPr>
        <w:t>Données insuffisantes concernant les bourses régionales concurrentes ou les flux de capitaux sous-régionaux.</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concernant le marché des titres publics UEMOA, le taux interbancaire ou la liquidité.</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s'établit à 530.06 points. Les résultats encourageants des sociétés cotées ivoiriennes (juin 2026) constituent la principale information positive. Aucune donnée récente sur les volumes ou les performances individuelles n'est disponible.</w:t>
      </w:r>
    </w:p>
    <w:p>
      <w:pPr>
        <w:pStyle w:val="Heading3"/>
      </w:pPr>
      <w:r>
        <w:rPr>
          <w:color w:val="500050"/>
        </w:rPr>
        <w:t>⚡ Impact estimé sur la BRVM</w:t>
      </w:r>
    </w:p>
    <w:p>
      <w:pPr>
        <w:spacing w:before="20" w:after="40"/>
        <w:ind w:left="280"/>
      </w:pPr>
      <w:r>
        <w:rPr>
          <w:i/>
          <w:sz w:val="18"/>
        </w:rPr>
        <w:t>L'environnement est globalement favorable. Les valeurs de consommation de base (**NTLC**, **SLBC**, **SCRC**) et les banques (**NSBC**, **BOAN**, **BOAM**, **BOAS**, **BOAB**) restent des valeurs refuges. **UNXC** et **ABJC** (consommation discrétionnaire) pourraient profiter de la confiance des ménages. **FTSC** et **CABC** (industriels) sont soutenus par les perspectives d'investissement en infrastructures. **ETIT** et **CFAC** complètent un portefeuille diversifié.</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est stable pour la BRVM, avec des actualités positives sur les secteurs porteurs en Afrique (infrastructures, agro-industrie) et une coopération régionale renforcée. Les résultats encourageants des sociétés cotées ivoiriennes soutiennent la confiance des investisseurs. Aucun risque majeur n'est identifié dans les actualités collectées.</w:t>
      </w:r>
    </w:p>
    <w:p>
      <w:pPr>
        <w:spacing w:before="20" w:after="40"/>
        <w:ind w:left="0"/>
      </w:pPr>
      <w:r>
        <w:rPr>
          <w:sz w:val="18"/>
        </w:rPr>
        <w:t>**Recommandation :** Maintenir une position investie sur la BRVM, avec une préférence pour les valeurs de consommation de base (**NTLC**, **SLBC**) et les banques (**NSBC**, **BOAN**). Surveiller l'évolution des prix des matières premières agricoles et les décisions de la BCEAO pour ajuster la stratégie.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Les prix du pétrole brut ont continué de chuter de plus de 3 %. - Viet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Marché des matières premières : Les prix du pétrole remontent, l'huile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 xml:space="preserve">Les prix du pétrole remontent, ce qui alimente la flambée des prix de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À Ziguinchor, Pastef fustige la « politique sale » et défend la justic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Le Maroc renforce ses relations avec le Sénégal et la RDCongo - Atalay</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Brest : ultimes réglages des Aigles avec Kamory Doumbia et Hamidou Mak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À Ziguinchor, Pastef fustige la « politique sale » et défend la justic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À Ziguinchor, Pastef fustige la « politique sale » et défend la justic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À Ziguinchor, Pastef fustige la « politique sale » et défend la justic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À Ziguinchor, Pastef fustige la « politique sale » et défend la justic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À Ziguinchor, Pastef fustige la « politique sale » et défend la justic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Le Maroc renforce ses relations avec le Sénégal et la RDCongo - Atalay</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Le Maroc renforce ses relations avec le Sénégal et la RDCongo - Atalay</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Le Maroc renforce ses relations avec le Sénégal et la RDCongo - Atalay</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Le Maroc renforce ses relations avec le Sénégal et la RDCongo - Atalay</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À Ziguinchor, Pastef fustige la « politique sale » et défend la justic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Le Maroc renforce ses relations avec le Sénégal et la RDCongo - Atalay</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[30/08/2026] 🟢  </w:t>
      </w:r>
      <w:r>
        <w:rPr>
          <w:b/>
          <w:color w:val="008000"/>
          <w:sz w:val="18"/>
        </w:rPr>
        <w:t>Le Maroc renforce ses relations avec le Sénégal et la RDCongo - Atalayar</w:t>
      </w:r>
      <w:r>
        <w:rPr>
          <w:color w:val="787878"/>
          <w:sz w:val="15"/>
        </w:rPr>
        <w:t xml:space="preserve">  [politique]</w:t>
      </w:r>
      <w:r>
        <w:rPr>
          <w:color w:val="B47800"/>
          <w:sz w:val="16"/>
        </w:rPr>
        <w:t xml:space="preserve">  ★ 50/10</w:t>
      </w:r>
    </w:p>
    <w:p>
      <w:pPr>
        <w:spacing w:before="0" w:after="20"/>
        <w:ind w:left="600"/>
      </w:pPr>
      <w:r>
        <w:rPr>
          <w:color w:val="323232"/>
          <w:sz w:val="17"/>
        </w:rPr>
        <w:t xml:space="preserve">Le Maroc intensifie sa coopération diplomatique et économique avec le Sénégal et la République démocratique du Congo, dans le cadre de sa stratégie africaine. Cette dynamique pourrait favoriser les échanges commerciaux et les investissements croisés, notamment dans les secteurs bancaires, des télécommunications et de l'agro-industrie. Pour la zone </w:t>
      </w:r>
    </w:p>
    <w:p>
      <w:pPr>
        <w:spacing w:before="0" w:after="40"/>
        <w:ind w:left="600"/>
      </w:pPr>
      <w:r>
        <w:rPr>
          <w:color w:val="00643C"/>
          <w:sz w:val="16"/>
        </w:rPr>
        <w:t>Points clés : Renforcement des relations bilatérales Maroc-Sénégal et Maroc-RDC  •  Potentiel d'accroissement des investissements marocains en Afrique de l'Ouest  •  Impact possible sur les secteurs bancaires et télécoms de la BRVM</w:t>
      </w:r>
    </w:p>
    <w:p>
      <w:pPr>
        <w:spacing w:before="0" w:after="60"/>
        <w:ind w:left="600"/>
      </w:pPr>
      <w:r>
        <w:rPr>
          <w:color w:val="0064B4"/>
          <w:sz w:val="15"/>
        </w:rPr>
        <w:t>Source : https://news.google.com/rss/articles/CBMiwwFBVV95cUxPSWJORzZlQ3BtNTB1M2lEYnRuSzV</w:t>
      </w:r>
    </w:p>
    <w:p>
      <w:pPr>
        <w:spacing w:before="40" w:after="40"/>
        <w:ind w:left="360"/>
      </w:pPr>
      <w:r>
        <w:rPr>
          <w:color w:val="646464"/>
          <w:sz w:val="17"/>
        </w:rPr>
        <w:t xml:space="preserve">[30/08/2026] ⚪  </w:t>
      </w:r>
      <w:r>
        <w:rPr>
          <w:b/>
          <w:color w:val="505050"/>
          <w:sz w:val="18"/>
        </w:rPr>
        <w:t>À Ziguinchor, Pastef fustige la « politique sale » et défend la justice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rapporte un meeting politique de Pastef à Ziguinchor, où le parti dénonce une 'politique sale' et réaffirme son engagement en faveur de la justice. Cette prise de position s'inscrit dans un contexte politique tendu au Sénégal, mais sans lien direct avec les marchés financiers. L'actualité politique peut influencer la confiance des investi</w:t>
      </w:r>
    </w:p>
    <w:p>
      <w:pPr>
        <w:spacing w:before="0" w:after="40"/>
        <w:ind w:left="600"/>
      </w:pPr>
      <w:r>
        <w:rPr>
          <w:color w:val="00643C"/>
          <w:sz w:val="16"/>
        </w:rPr>
        <w:t>Points clés : Pastef critique la 'politique sale' lors d'un meeting à Ziguinchor.  •  Le parti défend la justice comme principe central de son action.</w:t>
      </w:r>
    </w:p>
    <w:p>
      <w:pPr>
        <w:spacing w:before="0" w:after="60"/>
        <w:ind w:left="600"/>
      </w:pPr>
      <w:r>
        <w:rPr>
          <w:color w:val="0064B4"/>
          <w:sz w:val="15"/>
        </w:rPr>
        <w:t>Source : https://news.google.com/rss/articles/CBMioAFBVV95cUxPdVJaZWU4WWQ1S1RXenlxdVZLbXR</w:t>
      </w:r>
    </w:p>
    <w:p>
      <w:pPr>
        <w:spacing w:before="40" w:after="40"/>
        <w:ind w:left="360"/>
      </w:pPr>
      <w:r>
        <w:rPr>
          <w:color w:val="646464"/>
          <w:sz w:val="17"/>
        </w:rPr>
        <w:t xml:space="preserve">[29/08/2026] 🟢  </w:t>
      </w:r>
      <w:r>
        <w:rPr>
          <w:b/>
          <w:color w:val="008000"/>
          <w:sz w:val="18"/>
        </w:rPr>
        <w:t>Burkina Faso - Coopération avec la Belgique : Maxime Prévot en visite de travail à Ouagadougou - Africa24 TV</w:t>
      </w:r>
      <w:r>
        <w:rPr>
          <w:color w:val="787878"/>
          <w:sz w:val="15"/>
        </w:rPr>
        <w:t xml:space="preserve">  [politique]</w:t>
      </w:r>
      <w:r>
        <w:rPr>
          <w:color w:val="B47800"/>
          <w:sz w:val="16"/>
        </w:rPr>
        <w:t xml:space="preserve">  ★ 50/10</w:t>
      </w:r>
    </w:p>
    <w:p>
      <w:pPr>
        <w:spacing w:before="0" w:after="20"/>
        <w:ind w:left="600"/>
      </w:pPr>
      <w:r>
        <w:rPr>
          <w:color w:val="323232"/>
          <w:sz w:val="17"/>
        </w:rPr>
        <w:t>Le ministre belge des Affaires étrangères, Maxime Prévot, effectue une visite de travail à Ouagadougou, marquant une étape dans la coopération entre le Burkina Faso et la Belgique. Cette rencontre intervient dans un contexte de redéfinition des partenariats internationaux du Burkina, qui s'est tourné vers de nouveaux alliés. Les discussions portent</w:t>
      </w:r>
    </w:p>
    <w:p>
      <w:pPr>
        <w:spacing w:before="0" w:after="40"/>
        <w:ind w:left="600"/>
      </w:pPr>
      <w:r>
        <w:rPr>
          <w:color w:val="00643C"/>
          <w:sz w:val="16"/>
        </w:rPr>
        <w:t>Points clés : Visite de travail de Maxime Prévot à Ouagadougou pour renforcer la coopération bilatérale.  •  Sujets probables : économie, sécurité et développement, dans un contexte de diversification des partenaires du Burkina Faso.  •  Impact potentiel sur les relations entre la Belgique et les pays de l'UEMOA, notamment via des accords commerciaux.</w:t>
      </w:r>
    </w:p>
    <w:p>
      <w:pPr>
        <w:spacing w:before="0" w:after="60"/>
        <w:ind w:left="600"/>
      </w:pPr>
      <w:r>
        <w:rPr>
          <w:color w:val="0064B4"/>
          <w:sz w:val="15"/>
        </w:rPr>
        <w:t>Source : https://news.google.com/rss/articles/CBMitAFBVV95cUxPbVVtN1hXUW1nMmhENE5qYVpHS01</w:t>
      </w:r>
    </w:p>
    <w:p>
      <w:pPr>
        <w:spacing w:before="40" w:after="40"/>
        <w:ind w:left="360"/>
      </w:pPr>
      <w:r>
        <w:rPr>
          <w:color w:val="646464"/>
          <w:sz w:val="17"/>
        </w:rPr>
        <w:t xml:space="preserve">[29/08/2026] ⚪  </w:t>
      </w:r>
      <w:r>
        <w:rPr>
          <w:b/>
          <w:color w:val="505050"/>
          <w:sz w:val="18"/>
        </w:rPr>
        <w:t>Brest : ultimes réglages des Aigles avec Kamory Doumbia et Hamidou Makalou - Mali Actu</w:t>
      </w:r>
      <w:r>
        <w:rPr>
          <w:color w:val="787878"/>
          <w:sz w:val="15"/>
        </w:rPr>
        <w:t xml:space="preserve">  [politique]</w:t>
      </w:r>
      <w:r>
        <w:rPr>
          <w:color w:val="B47800"/>
          <w:sz w:val="16"/>
        </w:rPr>
        <w:t xml:space="preserve">  ★ 50/10</w:t>
      </w:r>
    </w:p>
    <w:p>
      <w:pPr>
        <w:spacing w:before="0" w:after="20"/>
        <w:ind w:left="600"/>
      </w:pPr>
      <w:r>
        <w:rPr>
          <w:color w:val="323232"/>
          <w:sz w:val="17"/>
        </w:rPr>
        <w:t>L'article relate les derniers ajustements de l'équipe nationale du Mali (les Aigles) à Brest, avec la participation de Kamory Doumbia et Hamidou Makalou. Il s'agit d'une actualité sportive sans lien direct avec les marchés financiers. Le contenu est purement informatif sur la préparation sportive.</w:t>
      </w:r>
    </w:p>
    <w:p>
      <w:pPr>
        <w:spacing w:before="0" w:after="40"/>
        <w:ind w:left="600"/>
      </w:pPr>
      <w:r>
        <w:rPr>
          <w:color w:val="00643C"/>
          <w:sz w:val="16"/>
        </w:rPr>
        <w:t>Points clés : Préparatifs de l'équipe nationale du Mali à Brest.  •  Participation de Kamory Doumbia et Hamidou Makalou aux réglages.</w:t>
      </w:r>
    </w:p>
    <w:p>
      <w:pPr>
        <w:spacing w:before="0" w:after="60"/>
        <w:ind w:left="600"/>
      </w:pPr>
      <w:r>
        <w:rPr>
          <w:color w:val="0064B4"/>
          <w:sz w:val="15"/>
        </w:rPr>
        <w:t>Source : https://news.google.com/rss/articles/CBMimgFBVV95cUxObVhRUFFvNmJWamYzN2FNeXVKUE0</w:t>
      </w:r>
    </w:p>
    <w:p>
      <w:pPr>
        <w:spacing w:before="40" w:after="40"/>
        <w:ind w:left="360"/>
      </w:pPr>
      <w:r>
        <w:rPr>
          <w:color w:val="646464"/>
          <w:sz w:val="17"/>
        </w:rPr>
        <w:t xml:space="preserve">[28/08/2026] ⚪  </w:t>
      </w:r>
      <w:r>
        <w:rPr>
          <w:b/>
          <w:color w:val="505050"/>
          <w:sz w:val="18"/>
        </w:rPr>
        <w:t>Sénégal : la date de la déclaration de politique générale du Premier ministre reste à fixer - Benin Web TV</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de Benin Web TV rapporte que la date de la déclaration de politique générale du Premier ministre sénégalais n'est pas encore fixée. Cette déclaration est un moment clé pour définir les grandes orientations du gouvernement. L'incertitude sur la date peut créer une attente chez les investisseurs et les acteurs économiques de la zone UEMOA. </w:t>
      </w:r>
    </w:p>
    <w:p>
      <w:pPr>
        <w:spacing w:before="0" w:after="40"/>
        <w:ind w:left="600"/>
      </w:pPr>
      <w:r>
        <w:rPr>
          <w:color w:val="00643C"/>
          <w:sz w:val="16"/>
        </w:rPr>
        <w:t>Points clés : La date de la déclaration de politique générale du Premier ministre sénégalais n'est pas encore déterminée.  •  Cette déclaration est cruciale pour clarifier les priorités économiques et sociales du gouvernement.  •  L'incertitude politique au Sénégal peut influencer la confiance des investisseurs dans la région UEMOA.</w:t>
      </w:r>
    </w:p>
    <w:p>
      <w:pPr>
        <w:spacing w:before="0" w:after="60"/>
        <w:ind w:left="600"/>
      </w:pPr>
      <w:r>
        <w:rPr>
          <w:color w:val="0064B4"/>
          <w:sz w:val="15"/>
        </w:rPr>
        <w:t>Source : https://news.google.com/rss/articles/CBMisgFBVV95cUxPVWJ3NjB1aFJsbFRHUlZFc203a2d</w:t>
      </w:r>
    </w:p>
    <w:p>
      <w:pPr>
        <w:spacing w:before="120" w:after="40"/>
      </w:pPr>
      <w:r>
        <w:rPr>
          <w:b/>
          <w:color w:val="00467F"/>
          <w:sz w:val="20"/>
        </w:rPr>
        <w:t>🔑 économique  (2 alerte(s))</w:t>
      </w:r>
    </w:p>
    <w:p>
      <w:pPr>
        <w:spacing w:before="40" w:after="40"/>
        <w:ind w:left="360"/>
      </w:pPr>
      <w:r>
        <w:rPr>
          <w:color w:val="646464"/>
          <w:sz w:val="17"/>
        </w:rPr>
        <w:t xml:space="preserve">[30/08/2026] ⚪  </w:t>
      </w:r>
      <w:r>
        <w:rPr>
          <w:b/>
          <w:color w:val="505050"/>
          <w:sz w:val="18"/>
        </w:rPr>
        <w:t>L’UE dresse le bilan de dix ans d’APE avec Abidjan et Accra - Africtelegraph</w:t>
      </w:r>
      <w:r>
        <w:rPr>
          <w:color w:val="787878"/>
          <w:sz w:val="15"/>
        </w:rPr>
        <w:t xml:space="preserve">  [économique]</w:t>
      </w:r>
      <w:r>
        <w:rPr>
          <w:color w:val="B47800"/>
          <w:sz w:val="16"/>
        </w:rPr>
        <w:t xml:space="preserve">  ★ 50/10</w:t>
      </w:r>
    </w:p>
    <w:p>
      <w:pPr>
        <w:spacing w:before="0" w:after="20"/>
        <w:ind w:left="600"/>
      </w:pPr>
      <w:r>
        <w:rPr>
          <w:color w:val="323232"/>
          <w:sz w:val="17"/>
        </w:rPr>
        <w:t>L'Union européenne a dressé un bilan de dix ans d'accord de partenariat économique (APE) avec la Côte d'Ivoire et le Ghana, soulignant les progrès réalisés en matière de commerce et de développement. L'APE a permis de renforcer les échanges entre l'UE et ces deux pays, tout en soutenant leur intégration économique régionale. Le bilan met en avant l</w:t>
      </w:r>
    </w:p>
    <w:p>
      <w:pPr>
        <w:spacing w:before="0" w:after="40"/>
        <w:ind w:left="600"/>
      </w:pPr>
      <w:r>
        <w:rPr>
          <w:color w:val="00643C"/>
          <w:sz w:val="16"/>
        </w:rPr>
        <w:t>Points clés : Dix ans de mise en œuvre de l'APE entre l'UE et la Côte d'Ivoire et le Ghana.  •  Renforcement des échanges commerciaux et soutien à l'intégration économique régionale.  •  Bénéfices pour les exportations locales, mais défis de diversification et de mise en œuvre.</w:t>
      </w:r>
    </w:p>
    <w:p>
      <w:pPr>
        <w:spacing w:before="0" w:after="60"/>
        <w:ind w:left="600"/>
      </w:pPr>
      <w:r>
        <w:rPr>
          <w:color w:val="0064B4"/>
          <w:sz w:val="15"/>
        </w:rPr>
        <w:t>Source : https://news.google.com/rss/articles/CBMilAFBVV95cUxPMUZvbzVOdjJJR0V6dm1yX3dma2l</w:t>
      </w:r>
    </w:p>
    <w:p>
      <w:pPr>
        <w:spacing w:before="40" w:after="40"/>
        <w:ind w:left="360"/>
      </w:pPr>
      <w:r>
        <w:rPr>
          <w:color w:val="646464"/>
          <w:sz w:val="17"/>
        </w:rPr>
        <w:t xml:space="preserve">[27/08/2026] 🟢  </w:t>
      </w:r>
      <w:r>
        <w:rPr>
          <w:b/>
          <w:color w:val="008000"/>
          <w:sz w:val="18"/>
        </w:rPr>
        <w:t>Agriculture : l’Afrique de l’Ouest veut accélérer la circulation des semences - Africanews</w:t>
      </w:r>
      <w:r>
        <w:rPr>
          <w:color w:val="787878"/>
          <w:sz w:val="15"/>
        </w:rPr>
        <w:t xml:space="preserve">  [économique]</w:t>
      </w:r>
      <w:r>
        <w:rPr>
          <w:color w:val="B47800"/>
          <w:sz w:val="16"/>
        </w:rPr>
        <w:t xml:space="preserve">  ★ 50/10</w:t>
      </w:r>
    </w:p>
    <w:p>
      <w:pPr>
        <w:spacing w:before="0" w:after="20"/>
        <w:ind w:left="600"/>
      </w:pPr>
      <w:r>
        <w:rPr>
          <w:color w:val="323232"/>
          <w:sz w:val="17"/>
        </w:rPr>
        <w:t>L'Afrique de l'Ouest annonce une initiative visant à accélérer la circulation des semences agricoles dans la région, afin de renforcer la sécurité alimentaire et de soutenir la productivité agricole. Cette mesure pourrait faciliter l'accès des agriculteurs à des semences améliorées et stimuler les échanges commerciaux régionaux. L'initiative s'insc</w:t>
      </w:r>
    </w:p>
    <w:p>
      <w:pPr>
        <w:spacing w:before="0" w:after="40"/>
        <w:ind w:left="600"/>
      </w:pPr>
      <w:r>
        <w:rPr>
          <w:color w:val="00643C"/>
          <w:sz w:val="16"/>
        </w:rPr>
        <w:t>Points clés : Accélération de la circulation des semences en Afrique de l'Ouest  •  Objectif de renforcement de la sécurité alimentaire et de la productivité agricole  •  Coopération régionale pour faciliter l'accès aux semences améliorées</w:t>
      </w:r>
    </w:p>
    <w:p>
      <w:pPr>
        <w:spacing w:before="0" w:after="60"/>
        <w:ind w:left="600"/>
      </w:pPr>
      <w:r>
        <w:rPr>
          <w:color w:val="0064B4"/>
          <w:sz w:val="15"/>
        </w:rPr>
        <w:t>Source : https://news.google.com/rss/articles/CBMisAFBVV95cUxQdXVjM0dXN3J0dlUyTTUyZlBaVzB</w:t>
      </w:r>
    </w:p>
    <w:p>
      <w:pPr>
        <w:spacing w:before="120" w:after="40"/>
      </w:pPr>
      <w:r>
        <w:rPr>
          <w:b/>
          <w:color w:val="00467F"/>
          <w:sz w:val="20"/>
        </w:rPr>
        <w:t>🔑 politique_monetaire  (2 alerte(s))</w:t>
      </w:r>
    </w:p>
    <w:p>
      <w:pPr>
        <w:spacing w:before="40" w:after="40"/>
        <w:ind w:left="360"/>
      </w:pPr>
      <w:r>
        <w:rPr>
          <w:color w:val="646464"/>
          <w:sz w:val="17"/>
        </w:rPr>
        <w:t xml:space="preserve">[28/08/2026] 🔴  </w:t>
      </w:r>
      <w:r>
        <w:rPr>
          <w:b/>
          <w:color w:val="C00000"/>
          <w:sz w:val="18"/>
        </w:rPr>
        <w:t>Le patron de la Fed insiste sur l'inflation "préoccupante" aux Etats-Unis - La Libre.be</w:t>
      </w:r>
      <w:r>
        <w:rPr>
          <w:color w:val="787878"/>
          <w:sz w:val="15"/>
        </w:rPr>
        <w:t xml:space="preserve">  [politique_monetaire]</w:t>
      </w:r>
      <w:r>
        <w:rPr>
          <w:color w:val="B47800"/>
          <w:sz w:val="16"/>
        </w:rPr>
        <w:t xml:space="preserve">  ★ 50/10</w:t>
      </w:r>
    </w:p>
    <w:p>
      <w:pPr>
        <w:spacing w:before="0" w:after="20"/>
        <w:ind w:left="600"/>
      </w:pPr>
      <w:r>
        <w:rPr>
          <w:color w:val="323232"/>
          <w:sz w:val="17"/>
        </w:rPr>
        <w:t>Le président de la Réserve fédérale américaine (Fed) a exprimé son inquiétude face à une inflation toujours élevée aux États-Unis, ce qui pourrait conduire à un maintien prolongé des taux d'intérêt élevés. Cette situation pourrait renforcer le dollar et peser sur les marchés émergents, y compris ceux de la zone UEMOA. Les investisseurs de la BRVM d</w:t>
      </w:r>
    </w:p>
    <w:p>
      <w:pPr>
        <w:spacing w:before="0" w:after="40"/>
        <w:ind w:left="600"/>
      </w:pPr>
      <w:r>
        <w:rPr>
          <w:color w:val="00643C"/>
          <w:sz w:val="16"/>
        </w:rPr>
        <w:t>Points clés : Inflation américaine jugée préoccupante par le patron de la Fed.  •  Possible maintien de taux d'intérêt élevés aux États-Unis.  •  Impact potentiel sur les devises et les marchés émergents.</w:t>
      </w:r>
    </w:p>
    <w:p>
      <w:pPr>
        <w:spacing w:before="0" w:after="60"/>
        <w:ind w:left="600"/>
      </w:pPr>
      <w:r>
        <w:rPr>
          <w:color w:val="0064B4"/>
          <w:sz w:val="15"/>
        </w:rPr>
        <w:t>Source : https://news.google.com/rss/articles/CBMi6AFBVV95cUxPTzlTZ2NEN2JQaUY5TnJuVnRUY0Z</w:t>
      </w:r>
    </w:p>
    <w:p>
      <w:pPr>
        <w:spacing w:before="40" w:after="40"/>
        <w:ind w:left="360"/>
      </w:pPr>
      <w:r>
        <w:rPr>
          <w:color w:val="646464"/>
          <w:sz w:val="17"/>
        </w:rPr>
        <w:t xml:space="preserve">[27/08/2026] ⚪  </w:t>
      </w:r>
      <w:r>
        <w:rPr>
          <w:b/>
          <w:color w:val="505050"/>
          <w:sz w:val="18"/>
        </w:rPr>
        <w:t>BCE: Une nouvelle hausse des taux est probable pour freiner l'inflation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directeurs afin de freiner l'inflation persistante dans la zone euro. Cette décision, bien que non encore officielle, est jugée probable par les analystes et les marchés. Elle vise à resserrer davantage la politique monétaire pour ramener l'inflation vers l'objectif de 2%.</w:t>
      </w:r>
    </w:p>
    <w:p>
      <w:pPr>
        <w:spacing w:before="0" w:after="40"/>
        <w:ind w:left="600"/>
      </w:pPr>
      <w:r>
        <w:rPr>
          <w:color w:val="00643C"/>
          <w:sz w:val="16"/>
        </w:rPr>
        <w:t>Points clés : La BCE pourrait augmenter ses taux d'intérêt lors de sa prochaine réunion.  •  L'objectif principal est de lutter contre une inflation toujours élevée dans la zone euro.  •  Cette hausse s'inscrit dans une politique monétaire restrictive déjà en cours.  •  Les marchés financiers anticipent cette décision, ce qui influence les taux d'intérêt à long terme.</w:t>
      </w:r>
    </w:p>
    <w:p>
      <w:pPr>
        <w:spacing w:before="0" w:after="60"/>
        <w:ind w:left="600"/>
      </w:pPr>
      <w:r>
        <w:rPr>
          <w:color w:val="0064B4"/>
          <w:sz w:val="15"/>
        </w:rPr>
        <w:t>Source : https://news.google.com/rss/articles/CBMi4gFBVV95cUxQSVY3dWJ5eUtJTUlnLWlrVGs2Qzl</w:t>
      </w:r>
    </w:p>
    <w:p>
      <w:pPr>
        <w:spacing w:before="120" w:after="40"/>
      </w:pPr>
      <w:r>
        <w:rPr>
          <w:b/>
          <w:color w:val="00467F"/>
          <w:sz w:val="20"/>
        </w:rPr>
        <w:t>🔑 matieres_premieres  (4 alerte(s))</w:t>
      </w:r>
    </w:p>
    <w:p>
      <w:pPr>
        <w:spacing w:before="40" w:after="40"/>
        <w:ind w:left="360"/>
      </w:pPr>
      <w:r>
        <w:rPr>
          <w:color w:val="646464"/>
          <w:sz w:val="17"/>
        </w:rPr>
        <w:t xml:space="preserve">[28/08/2026] 🟢  </w:t>
      </w:r>
      <w:r>
        <w:rPr>
          <w:b/>
          <w:color w:val="008000"/>
          <w:sz w:val="18"/>
        </w:rPr>
        <w:t>Marché des matières premières : Les prix du pétrole remontent, l'huile de soja donne un nouvel élan à cette hausse. - Vi</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enregistré une hausse sur le marché international, soutenus notamment par la dynamique de l'huile de soja qui a donné un nouvel élan à cette tendance. Cette évolution reflète une reprise des cours des matières premières, avec des implications possibles pour les économies dépendantes des importations énergétiques. Le marché o</w:t>
      </w:r>
    </w:p>
    <w:p>
      <w:pPr>
        <w:spacing w:before="0" w:after="40"/>
        <w:ind w:left="600"/>
      </w:pPr>
      <w:r>
        <w:rPr>
          <w:color w:val="00643C"/>
          <w:sz w:val="16"/>
        </w:rPr>
        <w:t>Points clés : Hausse des prix du pétrole sur le marché international.  •  L'huile de soja contribue à la dynamique haussière des matières premières.</w:t>
      </w:r>
    </w:p>
    <w:p>
      <w:pPr>
        <w:spacing w:before="0" w:after="60"/>
        <w:ind w:left="600"/>
      </w:pPr>
      <w:r>
        <w:rPr>
          <w:color w:val="0064B4"/>
          <w:sz w:val="15"/>
        </w:rPr>
        <w:t>Source : https://news.google.com/rss/articles/CBMikwFBVV95cUxQQ0liYmtOa2xvNlQ4ZW4tT1FzWXM</w:t>
      </w:r>
    </w:p>
    <w:p>
      <w:pPr>
        <w:spacing w:before="40" w:after="40"/>
        <w:ind w:left="360"/>
      </w:pPr>
      <w:r>
        <w:rPr>
          <w:color w:val="646464"/>
          <w:sz w:val="17"/>
        </w:rPr>
        <w:t xml:space="preserve">[28/08/2026] 🟢  </w:t>
      </w:r>
      <w:r>
        <w:rPr>
          <w:b/>
          <w:color w:val="008000"/>
          <w:sz w:val="18"/>
        </w:rPr>
        <w:t>Les prix du pétrole remontent, ce qui donne un nouvel élan à l'huile de soja.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augmentent, ce qui soutient les cours de l'huile de soja sur les marchés internationaux. Cette hausse est liée à la demande accrue pour les biocarburants et à l'offre restreinte. Pour la BRVM, cela pourrait influencer les valeurs agro-industrielles et les sociétés liées aux matières premières.</w:t>
      </w:r>
    </w:p>
    <w:p>
      <w:pPr>
        <w:spacing w:before="0" w:after="40"/>
        <w:ind w:left="600"/>
      </w:pPr>
      <w:r>
        <w:rPr>
          <w:color w:val="00643C"/>
          <w:sz w:val="16"/>
        </w:rPr>
        <w:t>Points clés : Hausse des prix du pétrole soutient l'huile de soja.  •  Impact potentiel sur les secteurs agricoles et énergétiques en Afrique de l'Ouest.</w:t>
      </w:r>
    </w:p>
    <w:p>
      <w:pPr>
        <w:spacing w:before="0" w:after="60"/>
        <w:ind w:left="600"/>
      </w:pPr>
      <w:r>
        <w:rPr>
          <w:color w:val="0064B4"/>
          <w:sz w:val="15"/>
        </w:rPr>
        <w:t>Source : https://news.google.com/rss/articles/CBMifkFVX3lxTE55NWdQTTM4VnZ6eFBLYlN5eE1YM05</w:t>
      </w:r>
    </w:p>
    <w:p>
      <w:pPr>
        <w:spacing w:before="40" w:after="40"/>
        <w:ind w:left="360"/>
      </w:pPr>
      <w:r>
        <w:rPr>
          <w:color w:val="646464"/>
          <w:sz w:val="17"/>
        </w:rPr>
        <w:t xml:space="preserve">[28/08/2026] ⚪  </w:t>
      </w:r>
      <w:r>
        <w:rPr>
          <w:b/>
          <w:color w:val="505050"/>
          <w:sz w:val="18"/>
        </w:rPr>
        <w:t>Les prix du pétrole remontent, ce qui alimente la flambée des prix de l'huile de soja.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augmentent, ce qui entraîne une hausse des prix de l'huile de soja sur les marchés internationaux. Cette tendance est alimentée par les coûts énergétiques plus élevés qui affectent la production et le transport. L'article, provenant de Vietnam.vn, souligne l'interconnexion entre les matières premières énergétiques et agricoles.</w:t>
      </w:r>
    </w:p>
    <w:p>
      <w:pPr>
        <w:spacing w:before="0" w:after="40"/>
        <w:ind w:left="600"/>
      </w:pPr>
      <w:r>
        <w:rPr>
          <w:color w:val="00643C"/>
          <w:sz w:val="16"/>
        </w:rPr>
        <w:t>Points clés : Hausse des prix du pétrole  •  Flambée des prix de l'huile de soja</w:t>
      </w:r>
    </w:p>
    <w:p>
      <w:pPr>
        <w:spacing w:before="0" w:after="60"/>
        <w:ind w:left="600"/>
      </w:pPr>
      <w:r>
        <w:rPr>
          <w:color w:val="0064B4"/>
          <w:sz w:val="15"/>
        </w:rPr>
        <w:t>Source : https://news.google.com/rss/articles/CBMieEFVX3lxTE4zOU9CdGZ0NmhoeTdpazk5QVBicTd</w:t>
      </w:r>
    </w:p>
    <w:p>
      <w:pPr>
        <w:spacing w:before="40" w:after="40"/>
        <w:ind w:left="360"/>
      </w:pPr>
      <w:r>
        <w:rPr>
          <w:color w:val="646464"/>
          <w:sz w:val="17"/>
        </w:rPr>
        <w:t xml:space="preserve">[27/08/2026] 🔴  </w:t>
      </w:r>
      <w:r>
        <w:rPr>
          <w:b/>
          <w:color w:val="C00000"/>
          <w:sz w:val="18"/>
        </w:rPr>
        <w:t>Conflits au Moyen-Orient : l'envolée du prix du pétrole et des emballages plastiques alimente l'inflation en rayon - rci</w:t>
      </w:r>
      <w:r>
        <w:rPr>
          <w:color w:val="787878"/>
          <w:sz w:val="15"/>
        </w:rPr>
        <w:t xml:space="preserve">  [matieres_premieres]</w:t>
      </w:r>
      <w:r>
        <w:rPr>
          <w:color w:val="B47800"/>
          <w:sz w:val="16"/>
        </w:rPr>
        <w:t xml:space="preserve">  ★ 50/10</w:t>
      </w:r>
    </w:p>
    <w:p>
      <w:pPr>
        <w:spacing w:before="0" w:after="20"/>
        <w:ind w:left="600"/>
      </w:pPr>
      <w:r>
        <w:rPr>
          <w:color w:val="323232"/>
          <w:sz w:val="17"/>
        </w:rPr>
        <w:t>Les conflits au Moyen-Orient entraînent une hausse des prix du pétrole, ce qui augmente le coût des matières premières comme les emballages plastiques. Cette augmentation des coûts se répercute sur les prix des produits en rayon, alimentant ainsi l'inflation. Pour les économies importatrices de pétrole, cela représente une pression inflationniste s</w:t>
      </w:r>
    </w:p>
    <w:p>
      <w:pPr>
        <w:spacing w:before="0" w:after="40"/>
        <w:ind w:left="600"/>
      </w:pPr>
      <w:r>
        <w:rPr>
          <w:color w:val="00643C"/>
          <w:sz w:val="16"/>
        </w:rPr>
        <w:t>Points clés : Hausse des prix du pétrole due aux tensions géopolitiques au Moyen-Orient.  •  Augmentation des coûts des emballages plastiques, répercutée sur les prix de détail.  •  Risque d'inflation importée pour les pays dépendants des importations de pétrole.</w:t>
      </w:r>
    </w:p>
    <w:p>
      <w:pPr>
        <w:spacing w:before="0" w:after="60"/>
        <w:ind w:left="600"/>
      </w:pPr>
      <w:r>
        <w:rPr>
          <w:color w:val="0064B4"/>
          <w:sz w:val="15"/>
        </w:rPr>
        <w:t>Source : https://news.google.com/rss/articles/CBMivAFBVV95cUxQRzJHU3JZTmh2SDNSSzRhVTEtMkJ</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15,900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22,500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2,455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3,375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6,495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2,160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3,690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10,235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2,300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21,400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6,700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5,865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13,000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8,500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29,500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3,155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9,400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2,310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17,195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3,795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29,600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7,995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61/100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1,500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16,845</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22,350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NTLC</w:t>
            </w:r>
          </w:p>
        </w:tc>
        <w:tc>
          <w:tcPr>
            <w:tcW w:type="dxa" w:w="1728"/>
            <w:shd w:fill="DEEAF1" w:val="clear"/>
          </w:tcPr>
          <w:p>
            <w:r>
              <w:rPr>
                <w:sz w:val="17"/>
              </w:rPr>
              <w:t>NTLC - NESTLE COTE D'IVOIRE</w:t>
            </w:r>
          </w:p>
        </w:tc>
        <w:tc>
          <w:tcPr>
            <w:tcW w:type="dxa" w:w="1728"/>
            <w:shd w:fill="DEEAF1" w:val="clear"/>
          </w:tcPr>
          <w:p>
            <w:r>
              <w:rPr>
                <w:sz w:val="17"/>
              </w:rPr>
              <w:t>15,900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2,455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6,495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2,160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BOABF</w:t>
            </w:r>
          </w:p>
        </w:tc>
        <w:tc>
          <w:tcPr>
            <w:tcW w:type="dxa" w:w="1728"/>
            <w:shd w:fill="DEEAF1" w:val="clear"/>
          </w:tcPr>
          <w:p>
            <w:r>
              <w:rPr>
                <w:sz w:val="17"/>
              </w:rPr>
              <w:t>BANK OF AFRICA BURKINA FASO</w:t>
            </w:r>
          </w:p>
        </w:tc>
        <w:tc>
          <w:tcPr>
            <w:tcW w:type="dxa" w:w="1728"/>
            <w:shd w:fill="DEEAF1" w:val="clear"/>
          </w:tcPr>
          <w:p>
            <w:r>
              <w:rPr>
                <w:sz w:val="17"/>
              </w:rPr>
              <w:t>8,900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3,495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NTLC</w:t>
            </w:r>
          </w:p>
        </w:tc>
        <w:tc>
          <w:tcPr>
            <w:tcW w:type="dxa" w:w="1728"/>
            <w:shd w:fill="E2EFDA" w:val="clear"/>
          </w:tcPr>
          <w:p>
            <w:r>
              <w:rPr>
                <w:sz w:val="17"/>
              </w:rPr>
              <w:t>NTLC - NESTLE COTE D'IVOIRE</w:t>
            </w:r>
          </w:p>
        </w:tc>
        <w:tc>
          <w:tcPr>
            <w:tcW w:type="dxa" w:w="1728"/>
            <w:shd w:fill="E2EFDA" w:val="clear"/>
          </w:tcPr>
          <w:p>
            <w:r>
              <w:rPr>
                <w:sz w:val="17"/>
              </w:rPr>
              <w:t>15,900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22,500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2,455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3,375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6,495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8,300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NTLC</w:t>
            </w:r>
          </w:p>
        </w:tc>
        <w:tc>
          <w:tcPr>
            <w:tcW w:type="dxa" w:w="1728"/>
            <w:shd w:fill="FCE4D6" w:val="clear"/>
          </w:tcPr>
          <w:p>
            <w:r>
              <w:rPr>
                <w:sz w:val="17"/>
              </w:rPr>
              <w:t>NTLC - NESTLE COTE D'IVOIRE</w:t>
            </w:r>
          </w:p>
        </w:tc>
        <w:tc>
          <w:tcPr>
            <w:tcW w:type="dxa" w:w="1728"/>
            <w:shd w:fill="FCE4D6" w:val="clear"/>
          </w:tcPr>
          <w:p>
            <w:r>
              <w:rPr>
                <w:sz w:val="17"/>
              </w:rPr>
              <w:t>15,900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22,500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2,455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3,375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6,495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8,300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(75.9 &gt; 70) — risque de correction</w:t>
      </w:r>
    </w:p>
    <w:p>
      <w:pPr>
        <w:pStyle w:val="ListBullet"/>
        <w:spacing w:before="20"/>
        <w:ind w:left="400"/>
      </w:pPr>
      <w:r>
        <w:rPr>
          <w:sz w:val="18"/>
        </w:rPr>
        <w:t>⚠️ Cours à 0.1% du plus haut 100j (8,510 FCFA)</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RSI surachat (95.5 &gt; 70) — risque de correction</w:t>
      </w:r>
    </w:p>
    <w:p>
      <w:pPr>
        <w:pStyle w:val="ListBullet"/>
        <w:spacing w:before="20"/>
        <w:ind w:left="400"/>
      </w:pPr>
      <w:r>
        <w:rPr>
          <w:sz w:val="18"/>
        </w:rPr>
        <w:t>⚠️ Cours à 0.0% du plus haut 100j (2,300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(81.5 &gt; 70) — risque de correction</w:t>
      </w:r>
    </w:p>
    <w:p>
      <w:pPr>
        <w:pStyle w:val="ListBullet"/>
        <w:spacing w:before="20"/>
        <w:ind w:left="400"/>
      </w:pPr>
      <w:r>
        <w:rPr>
          <w:sz w:val="18"/>
        </w:rPr>
        <w:t>⚠️ Cours à 2.1% du plus haut 100j (9,090 FCFA)</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(91.5 &gt; 70) — risque de correction</w:t>
      </w:r>
    </w:p>
    <w:p>
      <w:pPr>
        <w:pStyle w:val="ListBullet"/>
        <w:spacing w:before="20"/>
        <w:ind w:left="400"/>
      </w:pPr>
      <w:r>
        <w:rPr>
          <w:sz w:val="18"/>
        </w:rPr>
        <w:t>⚠️ Cours à 0.0% du plus haut 100j (3,000 FCFA)</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(76.3 &gt; 70) — risque de correction</w:t>
      </w:r>
    </w:p>
    <w:p>
      <w:pPr>
        <w:pStyle w:val="ListBullet"/>
        <w:spacing w:before="20"/>
        <w:ind w:left="400"/>
      </w:pPr>
      <w:r>
        <w:rPr>
          <w:sz w:val="18"/>
        </w:rPr>
        <w:t>⚠️ Cours à 0.0% du plus haut 100j (13,000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(91.5 &gt; 70) — risque de correction</w:t>
      </w:r>
    </w:p>
    <w:p>
      <w:pPr>
        <w:pStyle w:val="ListBullet"/>
        <w:spacing w:before="20"/>
        <w:ind w:left="400"/>
      </w:pPr>
      <w:r>
        <w:rPr>
          <w:sz w:val="18"/>
        </w:rPr>
        <w:t>⚠️ Cours à 2.4% du plus haut 100j (3,780 FCFA)</w:t>
      </w:r>
    </w:p>
    <w:p>
      <w:pPr>
        <w:spacing w:before="120"/>
      </w:pPr>
      <w:r>
        <w:rPr>
          <w:b/>
          <w:color w:val="0050A0"/>
          <w:sz w:val="20"/>
        </w:rPr>
        <w:t>BOAB — BANK OF AFRICA BENIN</w:t>
      </w:r>
    </w:p>
    <w:p>
      <w:pPr>
        <w:pStyle w:val="ListBullet"/>
        <w:spacing w:before="20"/>
        <w:ind w:left="400"/>
      </w:pPr>
      <w:r>
        <w:rPr>
          <w:sz w:val="18"/>
        </w:rPr>
        <w:t>🔴 RSI surachat (75.9 &gt; 70) — risque de correction</w:t>
      </w:r>
    </w:p>
    <w:p>
      <w:pPr>
        <w:pStyle w:val="ListBullet"/>
        <w:spacing w:before="20"/>
        <w:ind w:left="400"/>
      </w:pPr>
      <w:r>
        <w:rPr>
          <w:sz w:val="18"/>
        </w:rPr>
        <w:t>⚠️ Cours à 1.1% du plus haut 100j (10,350 FCFA)</w:t>
      </w:r>
    </w:p>
    <w:p>
      <w:pPr>
        <w:spacing w:before="120"/>
      </w:pPr>
      <w:r>
        <w:rPr>
          <w:b/>
          <w:color w:val="0050A0"/>
          <w:sz w:val="20"/>
        </w:rPr>
        <w:t>BOAS — BANK OF AFRICA SENEGAL</w:t>
      </w:r>
    </w:p>
    <w:p>
      <w:pPr>
        <w:pStyle w:val="ListBullet"/>
        <w:spacing w:before="20"/>
        <w:ind w:left="400"/>
      </w:pPr>
      <w:r>
        <w:rPr>
          <w:sz w:val="18"/>
        </w:rPr>
        <w:t>🔴 RSI surachat (76.6 &gt; 70) — risque de correction</w:t>
      </w:r>
    </w:p>
    <w:p>
      <w:pPr>
        <w:pStyle w:val="ListBullet"/>
        <w:spacing w:before="20"/>
        <w:ind w:left="400"/>
      </w:pPr>
      <w:r>
        <w:rPr>
          <w:sz w:val="18"/>
        </w:rPr>
        <w:t>⚠️ Cours à 2.4% du plus haut 100j (8,500 FCFA)</w:t>
      </w:r>
    </w:p>
    <w:p>
      <w:pPr>
        <w:spacing w:before="120"/>
      </w:pPr>
      <w:r>
        <w:rPr>
          <w:b/>
          <w:color w:val="0050A0"/>
          <w:sz w:val="20"/>
        </w:rPr>
        <w:t>ECOC — ECOC - ECOBANK COTE D'IVOIRE</w:t>
      </w:r>
    </w:p>
    <w:p>
      <w:pPr>
        <w:pStyle w:val="ListBullet"/>
        <w:spacing w:before="20"/>
        <w:ind w:left="400"/>
      </w:pPr>
      <w:r>
        <w:rPr>
          <w:sz w:val="18"/>
        </w:rPr>
        <w:t>⚠️ Cours à 2.5% du plus haut 100j (17,270 FCFA)</w:t>
      </w:r>
    </w:p>
    <w:p>
      <w:pPr>
        <w:pStyle w:val="ListBullet"/>
        <w:spacing w:before="20"/>
        <w:ind w:left="400"/>
      </w:pPr>
      <w:r>
        <w:rPr>
          <w:sz w:val="18"/>
        </w:rPr>
        <w:t>🟠 Divergence tech(VENTE) / fond(NEUTRE) — recommandation ajustée à CONSERVER ⚠️</w:t>
      </w:r>
    </w:p>
    <w:p>
      <w:pPr>
        <w:spacing w:before="120"/>
      </w:pPr>
      <w:r>
        <w:rPr>
          <w:b/>
          <w:color w:val="0050A0"/>
          <w:sz w:val="20"/>
        </w:rPr>
        <w:t>ORAC — ORAC - ORANGE COTE D'IVOIRE</w:t>
      </w:r>
    </w:p>
    <w:p>
      <w:pPr>
        <w:pStyle w:val="ListBullet"/>
        <w:spacing w:before="20"/>
        <w:ind w:left="400"/>
      </w:pPr>
      <w:r>
        <w:rPr>
          <w:sz w:val="18"/>
        </w:rPr>
        <w:t>🔴 RSI surachat (89.2 &gt; 70) — risque de correction</w:t>
      </w:r>
    </w:p>
    <w:p>
      <w:pPr>
        <w:pStyle w:val="ListBullet"/>
        <w:spacing w:before="20"/>
        <w:ind w:left="400"/>
      </w:pPr>
      <w:r>
        <w:rPr>
          <w:sz w:val="18"/>
        </w:rPr>
        <w:t>⚠️ Cours à 0.0% du plus haut 100j (21,400 FCFA)</w:t>
      </w:r>
    </w:p>
    <w:p>
      <w:pPr>
        <w:spacing w:before="120"/>
      </w:pPr>
      <w:r>
        <w:rPr>
          <w:b/>
          <w:color w:val="0050A0"/>
          <w:sz w:val="20"/>
        </w:rPr>
        <w:t>SDSC — SDSC - AFRICA GLOBAL LOGISTICS CI</w:t>
      </w:r>
    </w:p>
    <w:p>
      <w:pPr>
        <w:pStyle w:val="ListBullet"/>
        <w:spacing w:before="20"/>
        <w:ind w:left="400"/>
      </w:pPr>
      <w:r>
        <w:rPr>
          <w:sz w:val="18"/>
        </w:rPr>
        <w:t>⚠️ Cours à 2.5%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(76.7 &gt; 70) — risque de correction</w:t>
      </w:r>
    </w:p>
    <w:p>
      <w:pPr>
        <w:pStyle w:val="ListBullet"/>
        <w:spacing w:before="20"/>
        <w:ind w:left="400"/>
      </w:pPr>
      <w:r>
        <w:rPr>
          <w:sz w:val="18"/>
        </w:rPr>
        <w:t>⚠️ Cours à 0.8% du plus haut 100j (36,980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(74.5 &gt; 70) — risque de correction</w:t>
      </w:r>
    </w:p>
    <w:p>
      <w:pPr>
        <w:pStyle w:val="ListBullet"/>
        <w:spacing w:before="20"/>
        <w:ind w:left="400"/>
      </w:pPr>
      <w:r>
        <w:rPr>
          <w:sz w:val="18"/>
        </w:rPr>
        <w:t>⚠️ Cours à 1.7% du plus haut 100j (9,660 FCFA)</w:t>
      </w:r>
    </w:p>
    <w:p>
      <w:pPr>
        <w:spacing w:before="120"/>
      </w:pPr>
      <w:r>
        <w:rPr>
          <w:b/>
          <w:color w:val="0050A0"/>
          <w:sz w:val="20"/>
        </w:rPr>
        <w:t>UNXC — UNXC - UNIWAX COTE D'IVOIRE</w:t>
      </w:r>
    </w:p>
    <w:p>
      <w:pPr>
        <w:pStyle w:val="ListBullet"/>
        <w:spacing w:before="20"/>
        <w:ind w:left="400"/>
      </w:pPr>
      <w:r>
        <w:rPr>
          <w:sz w:val="18"/>
        </w:rPr>
        <w:t>🔴 RSI surachat (83.6 &gt; 70) — risque de correction</w:t>
      </w:r>
    </w:p>
    <w:p>
      <w:pPr>
        <w:pStyle w:val="ListBullet"/>
        <w:spacing w:before="20"/>
        <w:ind w:left="400"/>
      </w:pPr>
      <w:r>
        <w:rPr>
          <w:sz w:val="18"/>
        </w:rPr>
        <w:t>⚠️ Cours à 1.6% du plus haut 100j (2,495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1.6% du plus haut 100j (29,970 FCFA)</w:t>
      </w:r>
    </w:p>
    <w:p>
      <w:pPr>
        <w:spacing w:before="120"/>
      </w:pPr>
      <w:r>
        <w:rPr>
          <w:b/>
          <w:color w:val="0050A0"/>
          <w:sz w:val="20"/>
        </w:rPr>
        <w:t>BOAM — BANK OF AFRICA MALI</w:t>
      </w:r>
    </w:p>
    <w:p>
      <w:pPr>
        <w:pStyle w:val="ListBullet"/>
        <w:spacing w:before="20"/>
        <w:ind w:left="400"/>
      </w:pPr>
      <w:r>
        <w:rPr>
          <w:sz w:val="18"/>
        </w:rPr>
        <w:t>🔴 RSI surachat (82.0 &gt; 70) — risque de correction</w:t>
      </w:r>
    </w:p>
    <w:p>
      <w:pPr>
        <w:spacing w:before="120"/>
      </w:pPr>
      <w:r>
        <w:rPr>
          <w:b/>
          <w:color w:val="0050A0"/>
          <w:sz w:val="20"/>
        </w:rPr>
        <w:t>BOAN — BANK OF AFRICA NIGER</w:t>
      </w:r>
    </w:p>
    <w:p>
      <w:pPr>
        <w:pStyle w:val="ListBullet"/>
        <w:spacing w:before="20"/>
        <w:ind w:left="400"/>
      </w:pPr>
      <w:r>
        <w:rPr>
          <w:sz w:val="18"/>
        </w:rPr>
        <w:t>⚠️ Cours à 2.6% du plus haut 100j (5,645 FCFA)</w:t>
      </w:r>
    </w:p>
    <w:p>
      <w:pPr>
        <w:spacing w:before="120"/>
      </w:pPr>
      <w:r>
        <w:rPr>
          <w:b/>
          <w:color w:val="0050A0"/>
          <w:sz w:val="20"/>
        </w:rPr>
        <w:t>CBIBF — CBIBF - CORIS BANK INTERNATIONAL BURKINA FASO</w:t>
      </w:r>
    </w:p>
    <w:p>
      <w:pPr>
        <w:pStyle w:val="ListBullet"/>
        <w:spacing w:before="20"/>
        <w:ind w:left="400"/>
      </w:pPr>
      <w:r>
        <w:rPr>
          <w:sz w:val="18"/>
        </w:rPr>
        <w:t>⚠️ Cours à 1.3% du plus haut 100j (30,005 FCFA)</w:t>
      </w:r>
    </w:p>
    <w:p>
      <w:pPr>
        <w:spacing w:before="120"/>
      </w:pPr>
      <w:r>
        <w:rPr>
          <w:b/>
          <w:color w:val="0050A0"/>
          <w:sz w:val="20"/>
        </w:rPr>
        <w:t>CIEC — CIEC - Compagnie Ivoirienne d'Electricité</w:t>
      </w:r>
    </w:p>
    <w:p>
      <w:pPr>
        <w:pStyle w:val="ListBullet"/>
        <w:spacing w:before="20"/>
        <w:ind w:left="400"/>
      </w:pPr>
      <w:r>
        <w:rPr>
          <w:sz w:val="18"/>
        </w:rPr>
        <w:t>🔴 RSI surachat (79.6 &gt; 70) — risque de correction</w:t>
      </w:r>
    </w:p>
    <w:p>
      <w:pPr>
        <w:spacing w:before="120"/>
      </w:pPr>
      <w:r>
        <w:rPr>
          <w:b/>
          <w:color w:val="0050A0"/>
          <w:sz w:val="20"/>
        </w:rPr>
        <w:t>FTSC — FTSC - FILTISAC COTE D'IVOIRE</w:t>
      </w:r>
    </w:p>
    <w:p>
      <w:pPr>
        <w:pStyle w:val="ListBullet"/>
        <w:spacing w:before="20"/>
        <w:ind w:left="400"/>
      </w:pPr>
      <w:r>
        <w:rPr>
          <w:sz w:val="18"/>
        </w:rPr>
        <w:t>🔴 RSI surachat (72.2 &gt; 70) — risque de correction</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RSI survente (18.6 &lt; 30) — opportunité potentielle</w:t>
      </w:r>
    </w:p>
    <w:p>
      <w:pPr>
        <w:spacing w:before="120"/>
      </w:pPr>
      <w:r>
        <w:rPr>
          <w:b/>
          <w:color w:val="0050A0"/>
          <w:sz w:val="20"/>
        </w:rPr>
        <w:t>PALC — PALC - PALM COTE D'IVOIRE</w:t>
      </w:r>
    </w:p>
    <w:p>
      <w:pPr>
        <w:pStyle w:val="ListBullet"/>
        <w:spacing w:before="20"/>
        <w:ind w:left="400"/>
      </w:pPr>
      <w:r>
        <w:rPr>
          <w:sz w:val="18"/>
        </w:rPr>
        <w:t>⚠️ Cours à 2.5% du plus haut 100j (9,640 FCFA)</w:t>
      </w:r>
    </w:p>
    <w:p>
      <w:pPr>
        <w:spacing w:before="120"/>
      </w:pPr>
      <w:r>
        <w:rPr>
          <w:b/>
          <w:color w:val="0050A0"/>
          <w:sz w:val="20"/>
        </w:rPr>
        <w:t>SHEC — SHEC - VIVO ENERGY COTE D'IVOIRE</w:t>
      </w:r>
    </w:p>
    <w:p>
      <w:pPr>
        <w:pStyle w:val="ListBullet"/>
        <w:spacing w:before="20"/>
        <w:ind w:left="400"/>
      </w:pPr>
      <w:r>
        <w:rPr>
          <w:sz w:val="18"/>
        </w:rPr>
        <w:t>⚠️ Cours à 1.6% du plus haut 100j (2,480 FCFA)</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surachat (74.5 &gt; 70) — risque de correction</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21 société(s) (45%)</w:t>
            </w:r>
          </w:p>
        </w:tc>
        <w:tc>
          <w:tcPr>
            <w:tcW w:type="dxa" w:w="1644"/>
            <w:shd w:fill="FFEB9C" w:val="clear"/>
          </w:tcPr>
          <w:p>
            <w:r>
              <w:rPr>
                <w:b/>
                <w:color w:val="825A00"/>
                <w:sz w:val="19"/>
              </w:rPr>
              <w:t>26 société(s) (55%)</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22.5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-12.43%  |  Médiane : -8.59%</w:t>
            </w:r>
          </w:p>
        </w:tc>
      </w:tr>
      <w:tr>
        <w:tc>
          <w:tcPr>
            <w:tcW w:type="dxa" w:w="2835"/>
            <w:shd w:fill="DEEAF1" w:val="clear"/>
          </w:tcPr>
          <w:p>
            <w:r>
              <w:rPr>
                <w:b/>
                <w:sz w:val="18"/>
              </w:rPr>
              <w:t>Répartition</w:t>
            </w:r>
          </w:p>
        </w:tc>
        <w:tc>
          <w:tcPr>
            <w:tcW w:type="dxa" w:w="7370"/>
          </w:tcPr>
          <w:p>
            <w:r>
              <w:rPr>
                <w:b/>
                <w:sz w:val="18"/>
              </w:rPr>
              <w:t>📈 8 sociétés en hausse (&gt;+1%)   📉 36 en baisse (&lt;-1%)   ➡️ 3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36 sociétés sur 47 sont orientées à la baisse avec une variation moyenne de -12.43%.</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3,495 FCFA</w:t>
            </w:r>
          </w:p>
        </w:tc>
        <w:tc>
          <w:tcPr>
            <w:tcW w:type="dxa" w:w="1417"/>
            <w:shd w:fill="FFFFFF" w:val="clear"/>
          </w:tcPr>
          <w:p>
            <w:r>
              <w:rPr>
                <w:sz w:val="16"/>
              </w:rPr>
              <w:t>6,176 FCFA</w:t>
            </w:r>
          </w:p>
        </w:tc>
        <w:tc>
          <w:tcPr>
            <w:tcW w:type="dxa" w:w="1134"/>
            <w:shd w:fill="C6EFCE" w:val="clear"/>
          </w:tcPr>
          <w:p>
            <w:r>
              <w:rPr>
                <w:b/>
                <w:color w:val="007800"/>
                <w:sz w:val="16"/>
              </w:rPr>
              <w:t>+76.72%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22,500 FCFA</w:t>
            </w:r>
          </w:p>
        </w:tc>
        <w:tc>
          <w:tcPr>
            <w:tcW w:type="dxa" w:w="1417"/>
            <w:shd w:fill="FFFFFF" w:val="clear"/>
          </w:tcPr>
          <w:p>
            <w:r>
              <w:rPr>
                <w:sz w:val="16"/>
              </w:rPr>
              <w:t>26,580 FCFA</w:t>
            </w:r>
          </w:p>
        </w:tc>
        <w:tc>
          <w:tcPr>
            <w:tcW w:type="dxa" w:w="1134"/>
            <w:shd w:fill="C6EFCE" w:val="clear"/>
          </w:tcPr>
          <w:p>
            <w:r>
              <w:rPr>
                <w:b/>
                <w:color w:val="007800"/>
                <w:sz w:val="16"/>
              </w:rPr>
              <w:t>+18.13%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59,318 FCFA</w:t>
            </w:r>
          </w:p>
        </w:tc>
        <w:tc>
          <w:tcPr>
            <w:tcW w:type="dxa" w:w="1134"/>
            <w:shd w:fill="C6EFCE" w:val="clear"/>
          </w:tcPr>
          <w:p>
            <w:r>
              <w:rPr>
                <w:b/>
                <w:color w:val="007800"/>
                <w:sz w:val="16"/>
              </w:rPr>
              <w:t>+13.64%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22,350 FCFA</w:t>
            </w:r>
          </w:p>
        </w:tc>
        <w:tc>
          <w:tcPr>
            <w:tcW w:type="dxa" w:w="1417"/>
            <w:shd w:fill="FFFFFF" w:val="clear"/>
          </w:tcPr>
          <w:p>
            <w:r>
              <w:rPr>
                <w:sz w:val="16"/>
              </w:rPr>
              <w:t>24,721 FCFA</w:t>
            </w:r>
          </w:p>
        </w:tc>
        <w:tc>
          <w:tcPr>
            <w:tcW w:type="dxa" w:w="1134"/>
            <w:shd w:fill="C6EFCE" w:val="clear"/>
          </w:tcPr>
          <w:p>
            <w:r>
              <w:rPr>
                <w:b/>
                <w:color w:val="007800"/>
                <w:sz w:val="16"/>
              </w:rPr>
              <w:t>+10.61%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2,160 FCFA</w:t>
            </w:r>
          </w:p>
        </w:tc>
        <w:tc>
          <w:tcPr>
            <w:tcW w:type="dxa" w:w="1417"/>
            <w:shd w:fill="FFFFFF" w:val="clear"/>
          </w:tcPr>
          <w:p>
            <w:r>
              <w:rPr>
                <w:sz w:val="16"/>
              </w:rPr>
              <w:t>2,257 FCFA</w:t>
            </w:r>
          </w:p>
        </w:tc>
        <w:tc>
          <w:tcPr>
            <w:tcW w:type="dxa" w:w="1134"/>
            <w:shd w:fill="C6EFCE" w:val="clear"/>
          </w:tcPr>
          <w:p>
            <w:r>
              <w:rPr>
                <w:b/>
                <w:color w:val="007800"/>
                <w:sz w:val="16"/>
              </w:rPr>
              <w:t>+4.51%</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(+76.7%) — signal potentiellement excessif, à croiser avec l'analyse technique. Trajectoire : 📈 Hausse continue. Cours actuel : 3,495 FCFA → prédit J+10 : 6,176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(+18.1%) — potentiel de revalorisation notable. Trajectoire : 📈 Hausse continue. Cours actuel : 22,500 FCFA → prédit J+10 : 26,580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(+13.6%) — potentiel de revalorisation notable. Trajectoire : 📈 Hausse continue. Cours actuel : 52,200 FCFA → prédit J+10 : 59,318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(+10.6%) — potentiel de revalorisation notable. Trajectoire : 📈 Hausse continue. Cours actuel : 22,350 FCFA → prédit J+10 : 24,721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2,160 FCFA → prédit J+10 : 2,257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5,865 FCFA</w:t>
            </w:r>
          </w:p>
        </w:tc>
        <w:tc>
          <w:tcPr>
            <w:tcW w:type="dxa" w:w="1417"/>
            <w:shd w:fill="FFFFFF" w:val="clear"/>
          </w:tcPr>
          <w:p>
            <w:r>
              <w:rPr>
                <w:sz w:val="16"/>
              </w:rPr>
              <w:t>2,690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3,375 FCFA</w:t>
            </w:r>
          </w:p>
        </w:tc>
        <w:tc>
          <w:tcPr>
            <w:tcW w:type="dxa" w:w="1417"/>
            <w:shd w:fill="FFFFFF" w:val="clear"/>
          </w:tcPr>
          <w:p>
            <w:r>
              <w:rPr>
                <w:sz w:val="16"/>
              </w:rPr>
              <w:t>1,548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-54.08%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6,700 FCFA</w:t>
            </w:r>
          </w:p>
        </w:tc>
        <w:tc>
          <w:tcPr>
            <w:tcW w:type="dxa" w:w="1417"/>
            <w:shd w:fill="FFFFFF" w:val="clear"/>
          </w:tcPr>
          <w:p>
            <w:r>
              <w:rPr>
                <w:sz w:val="16"/>
              </w:rPr>
              <w:t>3,264 FCFA</w:t>
            </w:r>
          </w:p>
        </w:tc>
        <w:tc>
          <w:tcPr>
            <w:tcW w:type="dxa" w:w="1134"/>
            <w:shd w:fill="FFC7CE" w:val="clear"/>
          </w:tcPr>
          <w:p>
            <w:r>
              <w:rPr>
                <w:b/>
                <w:color w:val="B40000"/>
                <w:sz w:val="16"/>
              </w:rPr>
              <w:t>-51.28%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1,494 FCFA</w:t>
            </w:r>
          </w:p>
        </w:tc>
        <w:tc>
          <w:tcPr>
            <w:tcW w:type="dxa" w:w="1134"/>
            <w:shd w:fill="FFC7CE" w:val="clear"/>
          </w:tcPr>
          <w:p>
            <w:r>
              <w:rPr>
                <w:b/>
                <w:color w:val="B40000"/>
                <w:sz w:val="16"/>
              </w:rPr>
              <w:t>-50.20%</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5,865 FCFA → prédit J+10 : 2,690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3,375 FCFA → prédit J+10 : 1,548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(-51.3%) — amplitude potentiellement surestimée par le modèle. Trajectoire : 📉 Baisse continue. Cours actuel : 6,700 FCFA → prédit J+10 : 3,264 FCFA. ⚠️ Confiance limitée — volatilité élevée. Ne pas agir sur ce seul signal.</w:t>
      </w:r>
    </w:p>
    <w:p>
      <w:pPr>
        <w:pStyle w:val="ListBullet"/>
      </w:pPr>
      <w:r>
        <w:rPr>
          <w:b/>
          <w:color w:val="B40000"/>
          <w:sz w:val="18"/>
        </w:rPr>
        <w:t xml:space="preserve">#5 NEIC </w:t>
      </w:r>
      <w:r>
        <w:rPr>
          <w:sz w:val="17"/>
        </w:rPr>
        <w:t>(NEIC - NEI-CEDA CI) — baisse très forte (-50.2%) — amplitude potentiellement surestimée par le modèle. Trajectoire : 📉 Baisse continue. Cours actuel : 3,000 FCFA → prédit J+10 : 1,494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3,495</w:t>
            </w:r>
          </w:p>
        </w:tc>
        <w:tc>
          <w:tcPr>
            <w:tcW w:type="dxa" w:w="1417"/>
            <w:shd w:fill="FFFFFF" w:val="clear"/>
          </w:tcPr>
          <w:p>
            <w:r>
              <w:rPr>
                <w:sz w:val="16"/>
              </w:rPr>
              <w:t>6,176</w:t>
            </w:r>
          </w:p>
        </w:tc>
        <w:tc>
          <w:tcPr>
            <w:tcW w:type="dxa" w:w="1134"/>
            <w:shd w:fill="C6EFCE" w:val="clear"/>
          </w:tcPr>
          <w:p>
            <w:r>
              <w:rPr>
                <w:b/>
                <w:color w:val="007800"/>
                <w:sz w:val="16"/>
              </w:rPr>
              <w:t>+76.72%</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22,500</w:t>
            </w:r>
          </w:p>
        </w:tc>
        <w:tc>
          <w:tcPr>
            <w:tcW w:type="dxa" w:w="1417"/>
            <w:shd w:fill="FFFFFF" w:val="clear"/>
          </w:tcPr>
          <w:p>
            <w:r>
              <w:rPr>
                <w:sz w:val="16"/>
              </w:rPr>
              <w:t>26,580</w:t>
            </w:r>
          </w:p>
        </w:tc>
        <w:tc>
          <w:tcPr>
            <w:tcW w:type="dxa" w:w="1134"/>
            <w:shd w:fill="C6EFCE" w:val="clear"/>
          </w:tcPr>
          <w:p>
            <w:r>
              <w:rPr>
                <w:b/>
                <w:color w:val="007800"/>
                <w:sz w:val="16"/>
              </w:rPr>
              <w:t>+18.13%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59,318</w:t>
            </w:r>
          </w:p>
        </w:tc>
        <w:tc>
          <w:tcPr>
            <w:tcW w:type="dxa" w:w="1134"/>
            <w:shd w:fill="C6EFCE" w:val="clear"/>
          </w:tcPr>
          <w:p>
            <w:r>
              <w:rPr>
                <w:b/>
                <w:color w:val="007800"/>
                <w:sz w:val="16"/>
              </w:rPr>
              <w:t>+13.64%</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22,350</w:t>
            </w:r>
          </w:p>
        </w:tc>
        <w:tc>
          <w:tcPr>
            <w:tcW w:type="dxa" w:w="1417"/>
            <w:shd w:fill="FFFFFF" w:val="clear"/>
          </w:tcPr>
          <w:p>
            <w:r>
              <w:rPr>
                <w:sz w:val="16"/>
              </w:rPr>
              <w:t>24,721</w:t>
            </w:r>
          </w:p>
        </w:tc>
        <w:tc>
          <w:tcPr>
            <w:tcW w:type="dxa" w:w="1134"/>
            <w:shd w:fill="C6EFCE" w:val="clear"/>
          </w:tcPr>
          <w:p>
            <w:r>
              <w:rPr>
                <w:b/>
                <w:color w:val="007800"/>
                <w:sz w:val="16"/>
              </w:rPr>
              <w:t>+10.61%</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2,160</w:t>
            </w:r>
          </w:p>
        </w:tc>
        <w:tc>
          <w:tcPr>
            <w:tcW w:type="dxa" w:w="1417"/>
            <w:shd w:fill="FFFFFF" w:val="clear"/>
          </w:tcPr>
          <w:p>
            <w:r>
              <w:rPr>
                <w:sz w:val="16"/>
              </w:rPr>
              <w:t>2,257</w:t>
            </w:r>
          </w:p>
        </w:tc>
        <w:tc>
          <w:tcPr>
            <w:tcW w:type="dxa" w:w="1134"/>
            <w:shd w:fill="C6EFCE" w:val="clear"/>
          </w:tcPr>
          <w:p>
            <w:r>
              <w:rPr>
                <w:b/>
                <w:color w:val="007800"/>
                <w:sz w:val="16"/>
              </w:rPr>
              <w:t>+4.51%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9,400</w:t>
            </w:r>
          </w:p>
        </w:tc>
        <w:tc>
          <w:tcPr>
            <w:tcW w:type="dxa" w:w="1417"/>
            <w:shd w:fill="FFFFFF" w:val="clear"/>
          </w:tcPr>
          <w:p>
            <w:r>
              <w:rPr>
                <w:sz w:val="16"/>
              </w:rPr>
              <w:t>9,581</w:t>
            </w:r>
          </w:p>
        </w:tc>
        <w:tc>
          <w:tcPr>
            <w:tcW w:type="dxa" w:w="1134"/>
            <w:shd w:fill="C6EFCE" w:val="clear"/>
          </w:tcPr>
          <w:p>
            <w:r>
              <w:rPr>
                <w:b/>
                <w:color w:val="007800"/>
                <w:sz w:val="16"/>
              </w:rPr>
              <w:t>+1.93%</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8,200</w:t>
            </w:r>
          </w:p>
        </w:tc>
        <w:tc>
          <w:tcPr>
            <w:tcW w:type="dxa" w:w="1417"/>
            <w:shd w:fill="FFFFFF" w:val="clear"/>
          </w:tcPr>
          <w:p>
            <w:r>
              <w:rPr>
                <w:sz w:val="16"/>
              </w:rPr>
              <w:t>8,321</w:t>
            </w:r>
          </w:p>
        </w:tc>
        <w:tc>
          <w:tcPr>
            <w:tcW w:type="dxa" w:w="1134"/>
            <w:shd w:fill="C6EFCE" w:val="clear"/>
          </w:tcPr>
          <w:p>
            <w:r>
              <w:rPr>
                <w:b/>
                <w:color w:val="007800"/>
                <w:sz w:val="16"/>
              </w:rPr>
              <w:t>+1.48%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15,900</w:t>
            </w:r>
          </w:p>
        </w:tc>
        <w:tc>
          <w:tcPr>
            <w:tcW w:type="dxa" w:w="1417"/>
            <w:shd w:fill="FFFFFF" w:val="clear"/>
          </w:tcPr>
          <w:p>
            <w:r>
              <w:rPr>
                <w:sz w:val="16"/>
              </w:rPr>
              <w:t>16,079</w:t>
            </w:r>
          </w:p>
        </w:tc>
        <w:tc>
          <w:tcPr>
            <w:tcW w:type="dxa" w:w="1134"/>
            <w:shd w:fill="C6EFCE" w:val="clear"/>
          </w:tcPr>
          <w:p>
            <w:r>
              <w:rPr>
                <w:b/>
                <w:color w:val="007800"/>
                <w:sz w:val="16"/>
              </w:rPr>
              <w:t>+1.13%</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3,997</w:t>
            </w:r>
          </w:p>
        </w:tc>
        <w:tc>
          <w:tcPr>
            <w:tcW w:type="dxa" w:w="1134"/>
            <w:shd w:fill="FFEB9C" w:val="clear"/>
          </w:tcPr>
          <w:p>
            <w:r>
              <w:rPr>
                <w:b/>
                <w:color w:val="646400"/>
                <w:sz w:val="16"/>
              </w:rPr>
              <w:t>-0.07%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36,907</w:t>
            </w:r>
          </w:p>
        </w:tc>
        <w:tc>
          <w:tcPr>
            <w:tcW w:type="dxa" w:w="1134"/>
            <w:shd w:fill="FFEB9C" w:val="clear"/>
          </w:tcPr>
          <w:p>
            <w:r>
              <w:rPr>
                <w:b/>
                <w:color w:val="646400"/>
                <w:sz w:val="16"/>
              </w:rPr>
              <w:t>-0.25%</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3,155</w:t>
            </w:r>
          </w:p>
        </w:tc>
        <w:tc>
          <w:tcPr>
            <w:tcW w:type="dxa" w:w="1417"/>
            <w:shd w:fill="FFFFFF" w:val="clear"/>
          </w:tcPr>
          <w:p>
            <w:r>
              <w:rPr>
                <w:sz w:val="16"/>
              </w:rPr>
              <w:t>3,130</w:t>
            </w:r>
          </w:p>
        </w:tc>
        <w:tc>
          <w:tcPr>
            <w:tcW w:type="dxa" w:w="1134"/>
            <w:shd w:fill="FFEB9C" w:val="clear"/>
          </w:tcPr>
          <w:p>
            <w:r>
              <w:rPr>
                <w:b/>
                <w:color w:val="646400"/>
                <w:sz w:val="16"/>
              </w:rPr>
              <w:t>-0.80%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16,845</w:t>
            </w:r>
          </w:p>
        </w:tc>
        <w:tc>
          <w:tcPr>
            <w:tcW w:type="dxa" w:w="1417"/>
            <w:shd w:fill="FFFFFF" w:val="clear"/>
          </w:tcPr>
          <w:p>
            <w:r>
              <w:rPr>
                <w:sz w:val="16"/>
              </w:rPr>
              <w:t>16,577</w:t>
            </w:r>
          </w:p>
        </w:tc>
        <w:tc>
          <w:tcPr>
            <w:tcW w:type="dxa" w:w="1134"/>
            <w:shd w:fill="FFC7CE" w:val="clear"/>
          </w:tcPr>
          <w:p>
            <w:r>
              <w:rPr>
                <w:b/>
                <w:color w:val="B40000"/>
                <w:sz w:val="16"/>
              </w:rPr>
              <w:t>-1.59%</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37,392</w:t>
            </w:r>
          </w:p>
        </w:tc>
        <w:tc>
          <w:tcPr>
            <w:tcW w:type="dxa" w:w="1134"/>
            <w:shd w:fill="FFC7CE" w:val="clear"/>
          </w:tcPr>
          <w:p>
            <w:r>
              <w:rPr>
                <w:b/>
                <w:color w:val="B40000"/>
                <w:sz w:val="16"/>
              </w:rPr>
              <w:t>-1.60%</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2,838</w:t>
            </w:r>
          </w:p>
        </w:tc>
        <w:tc>
          <w:tcPr>
            <w:tcW w:type="dxa" w:w="1134"/>
            <w:shd w:fill="FFC7CE" w:val="clear"/>
          </w:tcPr>
          <w:p>
            <w:r>
              <w:rPr>
                <w:b/>
                <w:color w:val="B40000"/>
                <w:sz w:val="16"/>
              </w:rPr>
              <w:t>-2.13%</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5,500</w:t>
            </w:r>
          </w:p>
        </w:tc>
        <w:tc>
          <w:tcPr>
            <w:tcW w:type="dxa" w:w="1417"/>
            <w:shd w:fill="FFFFFF" w:val="clear"/>
          </w:tcPr>
          <w:p>
            <w:r>
              <w:rPr>
                <w:sz w:val="16"/>
              </w:rPr>
              <w:t>5,377</w:t>
            </w:r>
          </w:p>
        </w:tc>
        <w:tc>
          <w:tcPr>
            <w:tcW w:type="dxa" w:w="1134"/>
            <w:shd w:fill="FFC7CE" w:val="clear"/>
          </w:tcPr>
          <w:p>
            <w:r>
              <w:rPr>
                <w:b/>
                <w:color w:val="B40000"/>
                <w:sz w:val="16"/>
              </w:rPr>
              <w:t>-2.24%</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3,400</w:t>
            </w:r>
          </w:p>
        </w:tc>
        <w:tc>
          <w:tcPr>
            <w:tcW w:type="dxa" w:w="1417"/>
            <w:shd w:fill="FFFFFF" w:val="clear"/>
          </w:tcPr>
          <w:p>
            <w:r>
              <w:rPr>
                <w:sz w:val="16"/>
              </w:rPr>
              <w:t>3,256</w:t>
            </w:r>
          </w:p>
        </w:tc>
        <w:tc>
          <w:tcPr>
            <w:tcW w:type="dxa" w:w="1134"/>
            <w:shd w:fill="FFC7CE" w:val="clear"/>
          </w:tcPr>
          <w:p>
            <w:r>
              <w:rPr>
                <w:b/>
                <w:color w:val="B40000"/>
                <w:sz w:val="16"/>
              </w:rPr>
              <w:t>-4.23%</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17,195</w:t>
            </w:r>
          </w:p>
        </w:tc>
        <w:tc>
          <w:tcPr>
            <w:tcW w:type="dxa" w:w="1417"/>
            <w:shd w:fill="FFFFFF" w:val="clear"/>
          </w:tcPr>
          <w:p>
            <w:r>
              <w:rPr>
                <w:sz w:val="16"/>
              </w:rPr>
              <w:t>16,402</w:t>
            </w:r>
          </w:p>
        </w:tc>
        <w:tc>
          <w:tcPr>
            <w:tcW w:type="dxa" w:w="1134"/>
            <w:shd w:fill="FFC7CE" w:val="clear"/>
          </w:tcPr>
          <w:p>
            <w:r>
              <w:rPr>
                <w:b/>
                <w:color w:val="B40000"/>
                <w:sz w:val="16"/>
              </w:rPr>
              <w:t>-4.61%</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4,490</w:t>
            </w:r>
          </w:p>
        </w:tc>
        <w:tc>
          <w:tcPr>
            <w:tcW w:type="dxa" w:w="1417"/>
            <w:shd w:fill="FFFFFF" w:val="clear"/>
          </w:tcPr>
          <w:p>
            <w:r>
              <w:rPr>
                <w:sz w:val="16"/>
              </w:rPr>
              <w:t>4,281</w:t>
            </w:r>
          </w:p>
        </w:tc>
        <w:tc>
          <w:tcPr>
            <w:tcW w:type="dxa" w:w="1134"/>
            <w:shd w:fill="FFC7CE" w:val="clear"/>
          </w:tcPr>
          <w:p>
            <w:r>
              <w:rPr>
                <w:b/>
                <w:color w:val="B40000"/>
                <w:sz w:val="16"/>
              </w:rPr>
              <w:t>-4.65%</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2,300</w:t>
            </w:r>
          </w:p>
        </w:tc>
        <w:tc>
          <w:tcPr>
            <w:tcW w:type="dxa" w:w="1417"/>
            <w:shd w:fill="FFFFFF" w:val="clear"/>
          </w:tcPr>
          <w:p>
            <w:r>
              <w:rPr>
                <w:sz w:val="16"/>
              </w:rPr>
              <w:t>2,179</w:t>
            </w:r>
          </w:p>
        </w:tc>
        <w:tc>
          <w:tcPr>
            <w:tcW w:type="dxa" w:w="1134"/>
            <w:shd w:fill="FFC7CE" w:val="clear"/>
          </w:tcPr>
          <w:p>
            <w:r>
              <w:rPr>
                <w:b/>
                <w:color w:val="B40000"/>
                <w:sz w:val="16"/>
              </w:rPr>
              <w:t>-5.26%</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36,700</w:t>
            </w:r>
          </w:p>
        </w:tc>
        <w:tc>
          <w:tcPr>
            <w:tcW w:type="dxa" w:w="1417"/>
            <w:shd w:fill="FFFFFF" w:val="clear"/>
          </w:tcPr>
          <w:p>
            <w:r>
              <w:rPr>
                <w:sz w:val="16"/>
              </w:rPr>
              <w:t>34,676</w:t>
            </w:r>
          </w:p>
        </w:tc>
        <w:tc>
          <w:tcPr>
            <w:tcW w:type="dxa" w:w="1134"/>
            <w:shd w:fill="FFC7CE" w:val="clear"/>
          </w:tcPr>
          <w:p>
            <w:r>
              <w:rPr>
                <w:b/>
                <w:color w:val="B40000"/>
                <w:sz w:val="16"/>
              </w:rPr>
              <w:t>-5.52%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9,500</w:t>
            </w:r>
          </w:p>
        </w:tc>
        <w:tc>
          <w:tcPr>
            <w:tcW w:type="dxa" w:w="1417"/>
            <w:shd w:fill="FFFFFF" w:val="clear"/>
          </w:tcPr>
          <w:p>
            <w:r>
              <w:rPr>
                <w:sz w:val="16"/>
              </w:rPr>
              <w:t>8,913</w:t>
            </w:r>
          </w:p>
        </w:tc>
        <w:tc>
          <w:tcPr>
            <w:tcW w:type="dxa" w:w="1134"/>
            <w:shd w:fill="FFC7CE" w:val="clear"/>
          </w:tcPr>
          <w:p>
            <w:r>
              <w:rPr>
                <w:b/>
                <w:color w:val="B40000"/>
                <w:sz w:val="16"/>
              </w:rPr>
              <w:t>-6.18%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2,455</w:t>
            </w:r>
          </w:p>
        </w:tc>
        <w:tc>
          <w:tcPr>
            <w:tcW w:type="dxa" w:w="1417"/>
            <w:shd w:fill="FFFFFF" w:val="clear"/>
          </w:tcPr>
          <w:p>
            <w:r>
              <w:rPr>
                <w:sz w:val="16"/>
              </w:rPr>
              <w:t>2,270</w:t>
            </w:r>
          </w:p>
        </w:tc>
        <w:tc>
          <w:tcPr>
            <w:tcW w:type="dxa" w:w="1134"/>
            <w:shd w:fill="FFC7CE" w:val="clear"/>
          </w:tcPr>
          <w:p>
            <w:r>
              <w:rPr>
                <w:b/>
                <w:color w:val="B40000"/>
                <w:sz w:val="16"/>
              </w:rPr>
              <w:t>-7.52%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21,400</w:t>
            </w:r>
          </w:p>
        </w:tc>
        <w:tc>
          <w:tcPr>
            <w:tcW w:type="dxa" w:w="1417"/>
            <w:shd w:fill="FFFFFF" w:val="clear"/>
          </w:tcPr>
          <w:p>
            <w:r>
              <w:rPr>
                <w:sz w:val="16"/>
              </w:rPr>
              <w:t>19,600</w:t>
            </w:r>
          </w:p>
        </w:tc>
        <w:tc>
          <w:tcPr>
            <w:tcW w:type="dxa" w:w="1134"/>
            <w:shd w:fill="FFC7CE" w:val="clear"/>
          </w:tcPr>
          <w:p>
            <w:r>
              <w:rPr>
                <w:b/>
                <w:color w:val="B40000"/>
                <w:sz w:val="16"/>
              </w:rPr>
              <w:t>-8.41%</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2,750</w:t>
            </w:r>
          </w:p>
        </w:tc>
        <w:tc>
          <w:tcPr>
            <w:tcW w:type="dxa" w:w="1417"/>
            <w:shd w:fill="FFFFFF" w:val="clear"/>
          </w:tcPr>
          <w:p>
            <w:r>
              <w:rPr>
                <w:sz w:val="16"/>
              </w:rPr>
              <w:t>2,514</w:t>
            </w:r>
          </w:p>
        </w:tc>
        <w:tc>
          <w:tcPr>
            <w:tcW w:type="dxa" w:w="1134"/>
            <w:shd w:fill="FFC7CE" w:val="clear"/>
          </w:tcPr>
          <w:p>
            <w:r>
              <w:rPr>
                <w:b/>
                <w:color w:val="B40000"/>
                <w:sz w:val="16"/>
              </w:rPr>
              <w:t>-8.59%</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29,500</w:t>
            </w:r>
          </w:p>
        </w:tc>
        <w:tc>
          <w:tcPr>
            <w:tcW w:type="dxa" w:w="1417"/>
            <w:shd w:fill="FFFFFF" w:val="clear"/>
          </w:tcPr>
          <w:p>
            <w:r>
              <w:rPr>
                <w:sz w:val="16"/>
              </w:rPr>
              <w:t>26,478</w:t>
            </w:r>
          </w:p>
        </w:tc>
        <w:tc>
          <w:tcPr>
            <w:tcW w:type="dxa" w:w="1134"/>
            <w:shd w:fill="FFC7CE" w:val="clear"/>
          </w:tcPr>
          <w:p>
            <w:r>
              <w:rPr>
                <w:b/>
                <w:color w:val="B40000"/>
                <w:sz w:val="16"/>
              </w:rPr>
              <w:t>-10.24%</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1,500</w:t>
            </w:r>
          </w:p>
        </w:tc>
        <w:tc>
          <w:tcPr>
            <w:tcW w:type="dxa" w:w="1417"/>
            <w:shd w:fill="FFFFFF" w:val="clear"/>
          </w:tcPr>
          <w:p>
            <w:r>
              <w:rPr>
                <w:sz w:val="16"/>
              </w:rPr>
              <w:t>1,338</w:t>
            </w:r>
          </w:p>
        </w:tc>
        <w:tc>
          <w:tcPr>
            <w:tcW w:type="dxa" w:w="1134"/>
            <w:shd w:fill="FFC7CE" w:val="clear"/>
          </w:tcPr>
          <w:p>
            <w:r>
              <w:rPr>
                <w:b/>
                <w:color w:val="B40000"/>
                <w:sz w:val="16"/>
              </w:rPr>
              <w:t>-10.78%</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13,000</w:t>
            </w:r>
          </w:p>
        </w:tc>
        <w:tc>
          <w:tcPr>
            <w:tcW w:type="dxa" w:w="1417"/>
            <w:shd w:fill="FFFFFF" w:val="clear"/>
          </w:tcPr>
          <w:p>
            <w:r>
              <w:rPr>
                <w:sz w:val="16"/>
              </w:rPr>
              <w:t>11,185</w:t>
            </w:r>
          </w:p>
        </w:tc>
        <w:tc>
          <w:tcPr>
            <w:tcW w:type="dxa" w:w="1134"/>
            <w:shd w:fill="FFC7CE" w:val="clear"/>
          </w:tcPr>
          <w:p>
            <w:r>
              <w:rPr>
                <w:b/>
                <w:color w:val="B40000"/>
                <w:sz w:val="16"/>
              </w:rPr>
              <w:t>-13.97%</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3,795</w:t>
            </w:r>
          </w:p>
        </w:tc>
        <w:tc>
          <w:tcPr>
            <w:tcW w:type="dxa" w:w="1417"/>
            <w:shd w:fill="FFFFFF" w:val="clear"/>
          </w:tcPr>
          <w:p>
            <w:r>
              <w:rPr>
                <w:sz w:val="16"/>
              </w:rPr>
              <w:t>3,259</w:t>
            </w:r>
          </w:p>
        </w:tc>
        <w:tc>
          <w:tcPr>
            <w:tcW w:type="dxa" w:w="1134"/>
            <w:shd w:fill="FFC7CE" w:val="clear"/>
          </w:tcPr>
          <w:p>
            <w:r>
              <w:rPr>
                <w:b/>
                <w:color w:val="B40000"/>
                <w:sz w:val="16"/>
              </w:rPr>
              <w:t>-14.13%</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1,740</w:t>
            </w:r>
          </w:p>
        </w:tc>
        <w:tc>
          <w:tcPr>
            <w:tcW w:type="dxa" w:w="1417"/>
            <w:shd w:fill="FFFFFF" w:val="clear"/>
          </w:tcPr>
          <w:p>
            <w:r>
              <w:rPr>
                <w:sz w:val="16"/>
              </w:rPr>
              <w:t>1,487</w:t>
            </w:r>
          </w:p>
        </w:tc>
        <w:tc>
          <w:tcPr>
            <w:tcW w:type="dxa" w:w="1134"/>
            <w:shd w:fill="FFC7CE" w:val="clear"/>
          </w:tcPr>
          <w:p>
            <w:r>
              <w:rPr>
                <w:b/>
                <w:color w:val="B40000"/>
                <w:sz w:val="16"/>
              </w:rPr>
              <w:t>-14.54%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8,300</w:t>
            </w:r>
          </w:p>
        </w:tc>
        <w:tc>
          <w:tcPr>
            <w:tcW w:type="dxa" w:w="1417"/>
            <w:shd w:fill="FFFFFF" w:val="clear"/>
          </w:tcPr>
          <w:p>
            <w:r>
              <w:rPr>
                <w:sz w:val="16"/>
              </w:rPr>
              <w:t>7,048</w:t>
            </w:r>
          </w:p>
        </w:tc>
        <w:tc>
          <w:tcPr>
            <w:tcW w:type="dxa" w:w="1134"/>
            <w:shd w:fill="FFC7CE" w:val="clear"/>
          </w:tcPr>
          <w:p>
            <w:r>
              <w:rPr>
                <w:b/>
                <w:color w:val="B40000"/>
                <w:sz w:val="16"/>
              </w:rPr>
              <w:t>-15.08%</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6,495</w:t>
            </w:r>
          </w:p>
        </w:tc>
        <w:tc>
          <w:tcPr>
            <w:tcW w:type="dxa" w:w="1417"/>
            <w:shd w:fill="FFFFFF" w:val="clear"/>
          </w:tcPr>
          <w:p>
            <w:r>
              <w:rPr>
                <w:sz w:val="16"/>
              </w:rPr>
              <w:t>5,430</w:t>
            </w:r>
          </w:p>
        </w:tc>
        <w:tc>
          <w:tcPr>
            <w:tcW w:type="dxa" w:w="1134"/>
            <w:shd w:fill="FFC7CE" w:val="clear"/>
          </w:tcPr>
          <w:p>
            <w:r>
              <w:rPr>
                <w:b/>
                <w:color w:val="B40000"/>
                <w:sz w:val="16"/>
              </w:rPr>
              <w:t>-16.39%</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3,690</w:t>
            </w:r>
          </w:p>
        </w:tc>
        <w:tc>
          <w:tcPr>
            <w:tcW w:type="dxa" w:w="1417"/>
            <w:shd w:fill="FFFFFF" w:val="clear"/>
          </w:tcPr>
          <w:p>
            <w:r>
              <w:rPr>
                <w:sz w:val="16"/>
              </w:rPr>
              <w:t>3,083</w:t>
            </w:r>
          </w:p>
        </w:tc>
        <w:tc>
          <w:tcPr>
            <w:tcW w:type="dxa" w:w="1134"/>
            <w:shd w:fill="FFC7CE" w:val="clear"/>
          </w:tcPr>
          <w:p>
            <w:r>
              <w:rPr>
                <w:b/>
                <w:color w:val="B40000"/>
                <w:sz w:val="16"/>
              </w:rPr>
              <w:t>-16.44%</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7,995</w:t>
            </w:r>
          </w:p>
        </w:tc>
        <w:tc>
          <w:tcPr>
            <w:tcW w:type="dxa" w:w="1417"/>
            <w:shd w:fill="FFFFFF" w:val="clear"/>
          </w:tcPr>
          <w:p>
            <w:r>
              <w:rPr>
                <w:sz w:val="16"/>
              </w:rPr>
              <w:t>6,534</w:t>
            </w:r>
          </w:p>
        </w:tc>
        <w:tc>
          <w:tcPr>
            <w:tcW w:type="dxa" w:w="1134"/>
            <w:shd w:fill="FFC7CE" w:val="clear"/>
          </w:tcPr>
          <w:p>
            <w:r>
              <w:rPr>
                <w:b/>
                <w:color w:val="B40000"/>
                <w:sz w:val="16"/>
              </w:rPr>
              <w:t>-18.27%</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10,235</w:t>
            </w:r>
          </w:p>
        </w:tc>
        <w:tc>
          <w:tcPr>
            <w:tcW w:type="dxa" w:w="1417"/>
            <w:shd w:fill="FFFFFF" w:val="clear"/>
          </w:tcPr>
          <w:p>
            <w:r>
              <w:rPr>
                <w:sz w:val="16"/>
              </w:rPr>
              <w:t>8,363</w:t>
            </w:r>
          </w:p>
        </w:tc>
        <w:tc>
          <w:tcPr>
            <w:tcW w:type="dxa" w:w="1134"/>
            <w:shd w:fill="FFC7CE" w:val="clear"/>
          </w:tcPr>
          <w:p>
            <w:r>
              <w:rPr>
                <w:b/>
                <w:color w:val="B40000"/>
                <w:sz w:val="16"/>
              </w:rPr>
              <w:t>-18.29%</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8,900</w:t>
            </w:r>
          </w:p>
        </w:tc>
        <w:tc>
          <w:tcPr>
            <w:tcW w:type="dxa" w:w="1417"/>
            <w:shd w:fill="FFFFFF" w:val="clear"/>
          </w:tcPr>
          <w:p>
            <w:r>
              <w:rPr>
                <w:sz w:val="16"/>
              </w:rPr>
              <w:t>7,197</w:t>
            </w:r>
          </w:p>
        </w:tc>
        <w:tc>
          <w:tcPr>
            <w:tcW w:type="dxa" w:w="1134"/>
            <w:shd w:fill="FFC7CE" w:val="clear"/>
          </w:tcPr>
          <w:p>
            <w:r>
              <w:rPr>
                <w:b/>
                <w:color w:val="B40000"/>
                <w:sz w:val="16"/>
              </w:rPr>
              <w:t>-19.13%</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2,310</w:t>
            </w:r>
          </w:p>
        </w:tc>
        <w:tc>
          <w:tcPr>
            <w:tcW w:type="dxa" w:w="1417"/>
            <w:shd w:fill="FFFFFF" w:val="clear"/>
          </w:tcPr>
          <w:p>
            <w:r>
              <w:rPr>
                <w:sz w:val="16"/>
              </w:rPr>
              <w:t>1,811</w:t>
            </w:r>
          </w:p>
        </w:tc>
        <w:tc>
          <w:tcPr>
            <w:tcW w:type="dxa" w:w="1134"/>
            <w:shd w:fill="FFC7CE" w:val="clear"/>
          </w:tcPr>
          <w:p>
            <w:r>
              <w:rPr>
                <w:b/>
                <w:color w:val="B40000"/>
                <w:sz w:val="16"/>
              </w:rPr>
              <w:t>-21.62%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7,211</w:t>
            </w:r>
          </w:p>
        </w:tc>
        <w:tc>
          <w:tcPr>
            <w:tcW w:type="dxa" w:w="1134"/>
            <w:shd w:fill="FFC7CE" w:val="clear"/>
          </w:tcPr>
          <w:p>
            <w:r>
              <w:rPr>
                <w:b/>
                <w:color w:val="B40000"/>
                <w:sz w:val="16"/>
              </w:rPr>
              <w:t>-21.62%</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12,400</w:t>
            </w:r>
          </w:p>
        </w:tc>
        <w:tc>
          <w:tcPr>
            <w:tcW w:type="dxa" w:w="1417"/>
            <w:shd w:fill="FFFFFF" w:val="clear"/>
          </w:tcPr>
          <w:p>
            <w:r>
              <w:rPr>
                <w:sz w:val="16"/>
              </w:rPr>
              <w:t>8,719</w:t>
            </w:r>
          </w:p>
        </w:tc>
        <w:tc>
          <w:tcPr>
            <w:tcW w:type="dxa" w:w="1134"/>
            <w:shd w:fill="FFC7CE" w:val="clear"/>
          </w:tcPr>
          <w:p>
            <w:r>
              <w:rPr>
                <w:b/>
                <w:color w:val="B40000"/>
                <w:sz w:val="16"/>
              </w:rPr>
              <w:t>-29.69%</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2,440</w:t>
            </w:r>
          </w:p>
        </w:tc>
        <w:tc>
          <w:tcPr>
            <w:tcW w:type="dxa" w:w="1417"/>
            <w:shd w:fill="FFFFFF" w:val="clear"/>
          </w:tcPr>
          <w:p>
            <w:r>
              <w:rPr>
                <w:sz w:val="16"/>
              </w:rPr>
              <w:t>1,700</w:t>
            </w:r>
          </w:p>
        </w:tc>
        <w:tc>
          <w:tcPr>
            <w:tcW w:type="dxa" w:w="1134"/>
            <w:shd w:fill="FFC7CE" w:val="clear"/>
          </w:tcPr>
          <w:p>
            <w:r>
              <w:rPr>
                <w:b/>
                <w:color w:val="B40000"/>
                <w:sz w:val="16"/>
              </w:rPr>
              <w:t>-30.32%</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8,500</w:t>
            </w:r>
          </w:p>
        </w:tc>
        <w:tc>
          <w:tcPr>
            <w:tcW w:type="dxa" w:w="1417"/>
            <w:shd w:fill="FFFFFF" w:val="clear"/>
          </w:tcPr>
          <w:p>
            <w:r>
              <w:rPr>
                <w:sz w:val="16"/>
              </w:rPr>
              <w:t>5,515</w:t>
            </w:r>
          </w:p>
        </w:tc>
        <w:tc>
          <w:tcPr>
            <w:tcW w:type="dxa" w:w="1134"/>
            <w:shd w:fill="FFC7CE" w:val="clear"/>
          </w:tcPr>
          <w:p>
            <w:r>
              <w:rPr>
                <w:b/>
                <w:color w:val="B40000"/>
                <w:sz w:val="16"/>
              </w:rPr>
              <w:t>-35.11%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2,595</w:t>
            </w:r>
          </w:p>
        </w:tc>
        <w:tc>
          <w:tcPr>
            <w:tcW w:type="dxa" w:w="1417"/>
            <w:shd w:fill="FFFFFF" w:val="clear"/>
          </w:tcPr>
          <w:p>
            <w:r>
              <w:rPr>
                <w:sz w:val="16"/>
              </w:rPr>
              <w:t>1,598</w:t>
            </w:r>
          </w:p>
        </w:tc>
        <w:tc>
          <w:tcPr>
            <w:tcW w:type="dxa" w:w="1134"/>
            <w:shd w:fill="FFC7CE" w:val="clear"/>
          </w:tcPr>
          <w:p>
            <w:r>
              <w:rPr>
                <w:b/>
                <w:color w:val="B40000"/>
                <w:sz w:val="16"/>
              </w:rPr>
              <w:t>-38.44%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29,600</w:t>
            </w:r>
          </w:p>
        </w:tc>
        <w:tc>
          <w:tcPr>
            <w:tcW w:type="dxa" w:w="1417"/>
            <w:shd w:fill="FFFFFF" w:val="clear"/>
          </w:tcPr>
          <w:p>
            <w:r>
              <w:rPr>
                <w:sz w:val="16"/>
              </w:rPr>
              <w:t>17,485</w:t>
            </w:r>
          </w:p>
        </w:tc>
        <w:tc>
          <w:tcPr>
            <w:tcW w:type="dxa" w:w="1134"/>
            <w:shd w:fill="FFC7CE" w:val="clear"/>
          </w:tcPr>
          <w:p>
            <w:r>
              <w:rPr>
                <w:b/>
                <w:color w:val="B40000"/>
                <w:sz w:val="16"/>
              </w:rPr>
              <w:t>-40.93%</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1,494</w:t>
            </w:r>
          </w:p>
        </w:tc>
        <w:tc>
          <w:tcPr>
            <w:tcW w:type="dxa" w:w="1134"/>
            <w:shd w:fill="FFC7CE" w:val="clear"/>
          </w:tcPr>
          <w:p>
            <w:r>
              <w:rPr>
                <w:b/>
                <w:color w:val="B40000"/>
                <w:sz w:val="16"/>
              </w:rPr>
              <w:t>-50.20%</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6,700</w:t>
            </w:r>
          </w:p>
        </w:tc>
        <w:tc>
          <w:tcPr>
            <w:tcW w:type="dxa" w:w="1417"/>
            <w:shd w:fill="FFFFFF" w:val="clear"/>
          </w:tcPr>
          <w:p>
            <w:r>
              <w:rPr>
                <w:sz w:val="16"/>
              </w:rPr>
              <w:t>3,264</w:t>
            </w:r>
          </w:p>
        </w:tc>
        <w:tc>
          <w:tcPr>
            <w:tcW w:type="dxa" w:w="1134"/>
            <w:shd w:fill="FFC7CE" w:val="clear"/>
          </w:tcPr>
          <w:p>
            <w:r>
              <w:rPr>
                <w:b/>
                <w:color w:val="B40000"/>
                <w:sz w:val="16"/>
              </w:rPr>
              <w:t>-51.28%</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-54.08%</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3,375</w:t>
            </w:r>
          </w:p>
        </w:tc>
        <w:tc>
          <w:tcPr>
            <w:tcW w:type="dxa" w:w="1417"/>
            <w:shd w:fill="FFFFFF" w:val="clear"/>
          </w:tcPr>
          <w:p>
            <w:r>
              <w:rPr>
                <w:sz w:val="16"/>
              </w:rPr>
              <w:t>1,548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5,865</w:t>
            </w:r>
          </w:p>
        </w:tc>
        <w:tc>
          <w:tcPr>
            <w:tcW w:type="dxa" w:w="1417"/>
            <w:shd w:fill="FFFFFF" w:val="clear"/>
          </w:tcPr>
          <w:p>
            <w:r>
              <w:rPr>
                <w:sz w:val="16"/>
              </w:rPr>
              <w:t>2,690</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40.27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3,197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+0.82%</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7.23% (Moyenne) — μ=3,210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β=0.2535 (Défensif) — Cov=0.000009, Var(idx)=0.000036, ρ=0.049,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3,396</w:t>
            </w:r>
          </w:p>
        </w:tc>
        <w:tc>
          <w:tcPr>
            <w:tcW w:type="dxa" w:w="1440"/>
            <w:shd w:fill="FFDCE0" w:val="clear"/>
          </w:tcPr>
          <w:p>
            <w:r>
              <w:rPr>
                <w:b/>
                <w:sz w:val="17"/>
              </w:rPr>
              <w:t>3,585</w:t>
            </w:r>
          </w:p>
        </w:tc>
        <w:tc>
          <w:tcPr>
            <w:tcW w:type="dxa" w:w="1440"/>
            <w:shd w:fill="FFDCE0" w:val="clear"/>
          </w:tcPr>
          <w:p>
            <w:r>
              <w:rPr>
                <w:sz w:val="17"/>
              </w:rPr>
              <w:t>3,773</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3,248</w:t>
            </w:r>
          </w:p>
        </w:tc>
        <w:tc>
          <w:tcPr>
            <w:tcW w:type="dxa" w:w="1440"/>
            <w:shd w:fill="FFDCE0" w:val="clear"/>
          </w:tcPr>
          <w:p>
            <w:r>
              <w:rPr>
                <w:b/>
                <w:sz w:val="17"/>
              </w:rPr>
              <w:t>3,509</w:t>
            </w:r>
          </w:p>
        </w:tc>
        <w:tc>
          <w:tcPr>
            <w:tcW w:type="dxa" w:w="1440"/>
            <w:shd w:fill="FFDCE0" w:val="clear"/>
          </w:tcPr>
          <w:p>
            <w:r>
              <w:rPr>
                <w:sz w:val="17"/>
              </w:rPr>
              <w:t>3,770</w:t>
            </w:r>
          </w:p>
        </w:tc>
        <w:tc>
          <w:tcPr>
            <w:tcW w:type="dxa" w:w="1440"/>
            <w:shd w:fill="FFDCE0" w:val="clear"/>
          </w:tcPr>
          <w:p>
            <w:r>
              <w:rPr>
                <w:b/>
                <w:color w:val="C00000"/>
                <w:sz w:val="17"/>
              </w:rPr>
              <w:t>-4.9%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3,122</w:t>
            </w:r>
          </w:p>
        </w:tc>
        <w:tc>
          <w:tcPr>
            <w:tcW w:type="dxa" w:w="1440"/>
            <w:shd w:fill="FFDCE0" w:val="clear"/>
          </w:tcPr>
          <w:p>
            <w:r>
              <w:rPr>
                <w:b/>
                <w:sz w:val="17"/>
              </w:rPr>
              <w:t>3,434</w:t>
            </w:r>
          </w:p>
        </w:tc>
        <w:tc>
          <w:tcPr>
            <w:tcW w:type="dxa" w:w="1440"/>
            <w:shd w:fill="FFDCE0" w:val="clear"/>
          </w:tcPr>
          <w:p>
            <w:r>
              <w:rPr>
                <w:sz w:val="17"/>
              </w:rPr>
              <w:t>3,747</w:t>
            </w:r>
          </w:p>
        </w:tc>
        <w:tc>
          <w:tcPr>
            <w:tcW w:type="dxa" w:w="1440"/>
            <w:shd w:fill="FFDCE0" w:val="clear"/>
          </w:tcPr>
          <w:p>
            <w:r>
              <w:rPr>
                <w:b/>
                <w:color w:val="C00000"/>
                <w:sz w:val="17"/>
              </w:rPr>
              <w:t>-6.9%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3,016</w:t>
            </w:r>
          </w:p>
        </w:tc>
        <w:tc>
          <w:tcPr>
            <w:tcW w:type="dxa" w:w="1440"/>
            <w:shd w:fill="FFDCE0" w:val="clear"/>
          </w:tcPr>
          <w:p>
            <w:r>
              <w:rPr>
                <w:b/>
                <w:sz w:val="17"/>
              </w:rPr>
              <w:t>3,371</w:t>
            </w:r>
          </w:p>
        </w:tc>
        <w:tc>
          <w:tcPr>
            <w:tcW w:type="dxa" w:w="1440"/>
            <w:shd w:fill="FFDCE0" w:val="clear"/>
          </w:tcPr>
          <w:p>
            <w:r>
              <w:rPr>
                <w:sz w:val="17"/>
              </w:rPr>
              <w:t>3,725</w:t>
            </w:r>
          </w:p>
        </w:tc>
        <w:tc>
          <w:tcPr>
            <w:tcW w:type="dxa" w:w="1440"/>
            <w:shd w:fill="FFDCE0" w:val="clear"/>
          </w:tcPr>
          <w:p>
            <w:r>
              <w:rPr>
                <w:b/>
                <w:color w:val="C00000"/>
                <w:sz w:val="17"/>
              </w:rPr>
              <w:t>-8.7%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2,924</w:t>
            </w:r>
          </w:p>
        </w:tc>
        <w:tc>
          <w:tcPr>
            <w:tcW w:type="dxa" w:w="1440"/>
            <w:shd w:fill="FFDCE0" w:val="clear"/>
          </w:tcPr>
          <w:p>
            <w:r>
              <w:rPr>
                <w:b/>
                <w:sz w:val="17"/>
              </w:rPr>
              <w:t>3,314</w:t>
            </w:r>
          </w:p>
        </w:tc>
        <w:tc>
          <w:tcPr>
            <w:tcW w:type="dxa" w:w="1440"/>
            <w:shd w:fill="FFDCE0" w:val="clear"/>
          </w:tcPr>
          <w:p>
            <w:r>
              <w:rPr>
                <w:sz w:val="17"/>
              </w:rPr>
              <w:t>3,704</w:t>
            </w:r>
          </w:p>
        </w:tc>
        <w:tc>
          <w:tcPr>
            <w:tcW w:type="dxa" w:w="1440"/>
            <w:shd w:fill="FFDCE0" w:val="clear"/>
          </w:tcPr>
          <w:p>
            <w:r>
              <w:rPr>
                <w:b/>
                <w:color w:val="C00000"/>
                <w:sz w:val="17"/>
              </w:rPr>
              <w:t>-10.2%</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2,842</w:t>
            </w:r>
          </w:p>
        </w:tc>
        <w:tc>
          <w:tcPr>
            <w:tcW w:type="dxa" w:w="1440"/>
            <w:shd w:fill="FFDCE0" w:val="clear"/>
          </w:tcPr>
          <w:p>
            <w:r>
              <w:rPr>
                <w:b/>
                <w:sz w:val="17"/>
              </w:rPr>
              <w:t>3,262</w:t>
            </w:r>
          </w:p>
        </w:tc>
        <w:tc>
          <w:tcPr>
            <w:tcW w:type="dxa" w:w="1440"/>
            <w:shd w:fill="FFDCE0" w:val="clear"/>
          </w:tcPr>
          <w:p>
            <w:r>
              <w:rPr>
                <w:sz w:val="17"/>
              </w:rPr>
              <w:t>3,682</w:t>
            </w:r>
          </w:p>
        </w:tc>
        <w:tc>
          <w:tcPr>
            <w:tcW w:type="dxa" w:w="1440"/>
            <w:shd w:fill="FFDCE0" w:val="clear"/>
          </w:tcPr>
          <w:p>
            <w:r>
              <w:rPr>
                <w:b/>
                <w:color w:val="C00000"/>
                <w:sz w:val="17"/>
              </w:rPr>
              <w:t>-11.6%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2,766</w:t>
            </w:r>
          </w:p>
        </w:tc>
        <w:tc>
          <w:tcPr>
            <w:tcW w:type="dxa" w:w="1440"/>
            <w:shd w:fill="FFDCE0" w:val="clear"/>
          </w:tcPr>
          <w:p>
            <w:r>
              <w:rPr>
                <w:b/>
                <w:sz w:val="17"/>
              </w:rPr>
              <w:t>3,213</w:t>
            </w:r>
          </w:p>
        </w:tc>
        <w:tc>
          <w:tcPr>
            <w:tcW w:type="dxa" w:w="1440"/>
            <w:shd w:fill="FFDCE0" w:val="clear"/>
          </w:tcPr>
          <w:p>
            <w:r>
              <w:rPr>
                <w:sz w:val="17"/>
              </w:rPr>
              <w:t>3,660</w:t>
            </w:r>
          </w:p>
        </w:tc>
        <w:tc>
          <w:tcPr>
            <w:tcW w:type="dxa" w:w="1440"/>
            <w:shd w:fill="FFDCE0" w:val="clear"/>
          </w:tcPr>
          <w:p>
            <w:r>
              <w:rPr>
                <w:b/>
                <w:color w:val="C00000"/>
                <w:sz w:val="17"/>
              </w:rPr>
              <w:t>-12.9%</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2,696</w:t>
            </w:r>
          </w:p>
        </w:tc>
        <w:tc>
          <w:tcPr>
            <w:tcW w:type="dxa" w:w="1440"/>
            <w:shd w:fill="FFDCE0" w:val="clear"/>
          </w:tcPr>
          <w:p>
            <w:r>
              <w:rPr>
                <w:b/>
                <w:sz w:val="17"/>
              </w:rPr>
              <w:t>3,168</w:t>
            </w:r>
          </w:p>
        </w:tc>
        <w:tc>
          <w:tcPr>
            <w:tcW w:type="dxa" w:w="1440"/>
            <w:shd w:fill="FFDCE0" w:val="clear"/>
          </w:tcPr>
          <w:p>
            <w:r>
              <w:rPr>
                <w:sz w:val="17"/>
              </w:rPr>
              <w:t>3,639</w:t>
            </w:r>
          </w:p>
        </w:tc>
        <w:tc>
          <w:tcPr>
            <w:tcW w:type="dxa" w:w="1440"/>
            <w:shd w:fill="FFDCE0" w:val="clear"/>
          </w:tcPr>
          <w:p>
            <w:r>
              <w:rPr>
                <w:b/>
                <w:color w:val="C00000"/>
                <w:sz w:val="17"/>
              </w:rPr>
              <w:t>-14.2%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2,631</w:t>
            </w:r>
          </w:p>
        </w:tc>
        <w:tc>
          <w:tcPr>
            <w:tcW w:type="dxa" w:w="1440"/>
            <w:shd w:fill="FFDCE0" w:val="clear"/>
          </w:tcPr>
          <w:p>
            <w:r>
              <w:rPr>
                <w:b/>
                <w:sz w:val="17"/>
              </w:rPr>
              <w:t>3,124</w:t>
            </w:r>
          </w:p>
        </w:tc>
        <w:tc>
          <w:tcPr>
            <w:tcW w:type="dxa" w:w="1440"/>
            <w:shd w:fill="FFDCE0" w:val="clear"/>
          </w:tcPr>
          <w:p>
            <w:r>
              <w:rPr>
                <w:sz w:val="17"/>
              </w:rPr>
              <w:t>3,617</w:t>
            </w:r>
          </w:p>
        </w:tc>
        <w:tc>
          <w:tcPr>
            <w:tcW w:type="dxa" w:w="1440"/>
            <w:shd w:fill="FFDCE0" w:val="clear"/>
          </w:tcPr>
          <w:p>
            <w:r>
              <w:rPr>
                <w:b/>
                <w:color w:val="C00000"/>
                <w:sz w:val="17"/>
              </w:rPr>
              <w:t>-15.3%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2,570</w:t>
            </w:r>
          </w:p>
        </w:tc>
        <w:tc>
          <w:tcPr>
            <w:tcW w:type="dxa" w:w="1440"/>
            <w:shd w:fill="FFDCE0" w:val="clear"/>
          </w:tcPr>
          <w:p>
            <w:r>
              <w:rPr>
                <w:b/>
                <w:sz w:val="17"/>
              </w:rPr>
              <w:t>3,083</w:t>
            </w:r>
          </w:p>
        </w:tc>
        <w:tc>
          <w:tcPr>
            <w:tcW w:type="dxa" w:w="1440"/>
            <w:shd w:fill="FFDCE0" w:val="clear"/>
          </w:tcPr>
          <w:p>
            <w:r>
              <w:rPr>
                <w:sz w:val="17"/>
              </w:rPr>
              <w:t>3,596</w:t>
            </w:r>
          </w:p>
        </w:tc>
        <w:tc>
          <w:tcPr>
            <w:tcW w:type="dxa" w:w="1440"/>
            <w:shd w:fill="FFDCE0" w:val="clear"/>
          </w:tcPr>
          <w:p>
            <w:r>
              <w:rPr>
                <w:b/>
                <w:color w:val="C00000"/>
                <w:sz w:val="17"/>
              </w:rPr>
              <w:t>-16.4%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40,27 milliards FCFA, un niveau significatif qui la positionne parmi les valeurs moyennes de la cote. Avec un BPA de 124 FCFA, le titre se négocie à un PER de 29,8x, soit près de trois fois la moyenne historique de la BRVM (8-12x). Ce ratio élevé suggère que le marché intègre des attentes de croissance future substantielles, mais expose également le titre à un risque de correction si ces attentes ne se matérialisent pas. Le P/B de 7,80x confirme cette prime boursière, le marché valorisant l'actif net comptable près de huit fois sa valeur, ce qui est particulièrement exigeant. Enfin, l'EV/EBITDA de 15,3x indique que la valeur totale de l'entreprise (capitalisation plus dette nette) représente plus de quinze fois son potentiel opérationnel, un niveau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affiche une progression modeste de +0,82%, avec un cours actuel de 3 690 FCFA, stable sur la dernière séance. Le cours a évolué dans une fourchette de 2 800 à 3 780 FCFA, démontrant une amplitude de trading de près de 35%, signe d'une volatilité intra-période importante. La moyenne du cours sur la période (3 210 FCFA) est inférieure à la médiane (3 182 FCFA), indiquant une distribution légèrement asymétrique à droite (skewness positif de 0,299), avec des épisodes de hausse plus marqués que les baisses. L'écart-type de 233 FCFA (CV de 7,3%) révèle une dispersion modérée autour de la moyenne, tandis que le kurtosis de -0,670 (mésokurtique) suggère une distribution proche de la normale, sans risque de variations extrêmes particulières. La volatilité annualisée de 49,2% classe le titre dans la catégorie "élevée" (&gt;30%), ce qui implique un risque de marché substantiel pour les investisseurs, malgré une tendance de fond qui reste positive.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(3 690 FCFA) se situe nettement au-dessus de la MM20 (3 247 FCFA) et de la MM50 (3 209,5 FCFA), confirmant une dynamique haussière de court et moyen terme. L'écart positif entre le cours et les moyennes indique une forte pression acheteuse, justifiant la décision d'achat. Cependant, un écart aussi important peut précéder un retour temporaire vers les moyennes.</w:t>
      </w:r>
    </w:p>
    <w:p>
      <w:pPr>
        <w:spacing w:after="120" w:line="276" w:lineRule="auto"/>
      </w:pPr>
      <w:r>
        <w:t>**Bandes de Bollinger :** Le prix évolue à proximité de la borne supérieure (3 778 FCFA), ce qui indique une phase de surachat technique. La largeur des bandes (1 062 FCFA entre les bornes) témoigne d'une volatilité élevée. La décision est neutre, car si le titre est en zone de surachat, la tendance haussière reste intacte, et le prix pourrait continuer à "longer" la borne supérieure.</w:t>
      </w:r>
    </w:p>
    <w:p>
      <w:pPr>
        <w:spacing w:after="120" w:line="276" w:lineRule="auto"/>
      </w:pPr>
      <w:r>
        <w:t>**MACD :** Le MACD (143,8) est nettement au-dessus de son signal (84,2), avec un écart positif croissant. Cette configuration est un signal classique d'achat, confirmant un momentum haussier robuste. La dynamique positive du MACD suggère que la pression acheteuse est toujours dominante à moyen terme.</w:t>
      </w:r>
    </w:p>
    <w:p>
      <w:pPr>
        <w:spacing w:after="120" w:line="276" w:lineRule="auto"/>
      </w:pPr>
      <w:r>
        <w:t>**RSI :** Le RSI à 91,46 est extrêmement élevé, bien au-delà du seuil de surachat de 70. Cette valeur indique une condition de surachat extrême, signalant que le titre est techniquement "surchauffé". La décision de vente est justifiée, car un tel niveau précède généralement un repli ou une consolidation, même si le timing reste incertain.</w:t>
      </w:r>
    </w:p>
    <w:p>
      <w:pPr>
        <w:spacing w:after="120" w:line="276" w:lineRule="auto"/>
      </w:pPr>
      <w:r>
        <w:t>**Stochastique :** Le %K et le %D sont tous deux à 100, un niveau de surachat maximal. Cette configuration extrême renforce le signal de vente, indiquant que le mouvement haussier est arrivé à son paroxysme et qu'un retournement ou une pause est hautement probable à très court terme.</w:t>
      </w:r>
    </w:p>
    <w:p>
      <w:pPr>
        <w:spacing w:after="120" w:line="276" w:lineRule="auto"/>
      </w:pPr>
      <w:r>
        <w:t>**Conclusion technique :** Les indicateurs de tendance (MM, MACD) sont positifs, mais les oscillateurs (RSI, Stochastique) sont en zone de surachat extrême. Cette divergence entre la tendance et le momentum suggère un risque élevé de correction technique à court terme. La prudence est de mise, et un repli vers les moyennes mobiles (3 200-3 250 FCFA) serait une opportunité d'achat plus saine.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montrent une entreprise solide avec un chiffre d'affaires de 13,298 milliards FCFA, en croissance de 6,7% par rapport à 2024. Le résultat net s'établit à 1,351 milliard FCFA, en baisse de 12,1% par rapport à 2024 (1,515 milliard FCFA), principalement en raison d'une hausse de 46,7% de la charge d'impôt. La rentabilité reste excellente avec un ROE de 26,18% et un ROA de 14,64%, bien au-dessus des seuils de référence. La structure financière est saine avec des capitaux propres de 5,159 milliards FCFA (autonomie financière de 55,9%) et une trésorerie nette de 4,035 milliards FCFA. En tant qu'entreprise, l'analyse des délais est cruciale : le délai clients de 70 jours est élevé et représente un risque de trésorerie, mais il est compensé par un délai fournisseurs de 92 jours, favorable. Le BFR de 257 millions FCFA est positif mais maîtrisé. Les rapports trimestriels montrent une trajectoire contrastée : le T1 2025 a été difficile (résultat net -6,8% à 346 millions FCFA) en raison d'un litige avec la BCEAO, mais le T3 2025 a marqué un net redressement (résultat net +17,1% à 1,325 milliard FCFA). Le rapport T1 2026 (publié en 2026) est préoccupant : le résultat net chute de 35,6% à 222,6 millions FCFA, impacté par les ajustements de redevances aéroportuaires. Sur la base de ce T1 2026, on estime que l'exercice 2026 pourrait voir un résultat net annuel en baisse de 20 à 30%, soit un BPA estimé entre 87 et 99 FCFA, ce qui justifierait un PER plus élevé mais aussi un risque de déception.</w:t>
      </w:r>
    </w:p>
    <w:p>
      <w:pPr>
        <w:spacing w:after="120" w:line="276" w:lineRule="auto"/>
      </w:pPr>
      <w:r>
        <w:t>---</w:t>
      </w:r>
    </w:p>
    <w:p>
      <w:pPr>
        <w:spacing w:after="120" w:line="276" w:lineRule="auto"/>
      </w:pPr>
      <w:r>
        <w:t>### PARTIE 4 : CONCLUSION D'INVESTISSEMENT</w:t>
      </w:r>
    </w:p>
    <w:p>
      <w:pPr>
        <w:spacing w:after="120" w:line="276" w:lineRule="auto"/>
      </w:pPr>
      <w:r>
        <w:t>La valorisation actuelle d'ABJC (PER 29,8x, P/B 7,8x, EV/EBITDA 15,3x) est extrêmement exigeante et reflète une prime boursière qui semble difficile à justifier au regard des fondamentaux récents. Le comportement du cours sur 100 jours montre une tendance haussière mais avec une volatilité élevée (49,2%) et des statistiques (kurtosis, skewness) indiquant une distribution relativement normale, sans événement extrême. Les signaux techniques sont fortement divergents : la tendance (MM, MACD) est positive, mais les oscillateurs (RSI 91,5, Stochastique 100) sont en surachat extrême, signalant un risque imminent de correction. Les fondamentaux, bien que solides (ROE 26%, trésorerie abondante), montrent une dégradation de la rentabilité en 2025 et surtout au T1 2026 (-35,6% du résultat net). Les prédictions IA (J+1 à J+10) confirment ce scénario de correction, projetant une baisse progressive du cours de 3 585 à 3 314 FCFA, soit un repli potentiel de 10%. La convergence entre les signaux techniques de surachat, les prédictions IA baissières et la dégradation fondamentale récente, malgré une valorisation encore élevée, conduit à une recommandation de **VENTE** à court terme. Le niveau de confiance est **Moyen**, car la tendance de fond reste positive et la société dispose d'atouts solides. Le risque global est **Élevé** en raison de la valorisation exigeante et de la volatilité. L'horizon d'investissement optimal serait de **moyen terme (3-12 mois)**, en attendant une correction du cours vers les 3 200-3 300 FCFA pour envisager un réinvestissement.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11,726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+63.46%</w:t>
            </w:r>
          </w:p>
          <w:p>
            <w:r>
              <w:rPr>
                <w:b/>
                <w:color w:val="503200"/>
                <w:sz w:val="16"/>
              </w:rPr>
              <w:t xml:space="preserve">Plus haut 100j : </w:t>
            </w:r>
            <w:r>
              <w:rPr>
                <w:color w:val="000000"/>
                <w:sz w:val="17"/>
              </w:rPr>
              <w:t>8,510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18.57% (Élevée) — μ=6,175 FCFA, σ=1,147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β=0.2601 (Défensif) — Cov=0.000009, Var(idx)=0.000036, ρ=0.081,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11,726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7,520</w:t>
            </w:r>
          </w:p>
        </w:tc>
        <w:tc>
          <w:tcPr>
            <w:tcW w:type="dxa" w:w="1440"/>
            <w:shd w:fill="FFDCE0" w:val="clear"/>
          </w:tcPr>
          <w:p>
            <w:r>
              <w:rPr>
                <w:b/>
                <w:sz w:val="17"/>
              </w:rPr>
              <w:t>7,862</w:t>
            </w:r>
          </w:p>
        </w:tc>
        <w:tc>
          <w:tcPr>
            <w:tcW w:type="dxa" w:w="1440"/>
            <w:shd w:fill="FFDCE0" w:val="clear"/>
          </w:tcPr>
          <w:p>
            <w:r>
              <w:rPr>
                <w:sz w:val="17"/>
              </w:rPr>
              <w:t>8,205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6,825</w:t>
            </w:r>
          </w:p>
        </w:tc>
        <w:tc>
          <w:tcPr>
            <w:tcW w:type="dxa" w:w="1440"/>
            <w:shd w:fill="FFDCE0" w:val="clear"/>
          </w:tcPr>
          <w:p>
            <w:r>
              <w:rPr>
                <w:b/>
                <w:sz w:val="17"/>
              </w:rPr>
              <w:t>7,273</w:t>
            </w:r>
          </w:p>
        </w:tc>
        <w:tc>
          <w:tcPr>
            <w:tcW w:type="dxa" w:w="1440"/>
            <w:shd w:fill="FFDCE0" w:val="clear"/>
          </w:tcPr>
          <w:p>
            <w:r>
              <w:rPr>
                <w:sz w:val="17"/>
              </w:rPr>
              <w:t>7,720</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6,220</w:t>
            </w:r>
          </w:p>
        </w:tc>
        <w:tc>
          <w:tcPr>
            <w:tcW w:type="dxa" w:w="1440"/>
            <w:shd w:fill="FFDCE0" w:val="clear"/>
          </w:tcPr>
          <w:p>
            <w:r>
              <w:rPr>
                <w:b/>
                <w:sz w:val="17"/>
              </w:rPr>
              <w:t>6,727</w:t>
            </w:r>
          </w:p>
        </w:tc>
        <w:tc>
          <w:tcPr>
            <w:tcW w:type="dxa" w:w="1440"/>
            <w:shd w:fill="FFDCE0" w:val="clear"/>
          </w:tcPr>
          <w:p>
            <w:r>
              <w:rPr>
                <w:sz w:val="17"/>
              </w:rPr>
              <w:t>7,234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5,702</w:t>
            </w:r>
          </w:p>
        </w:tc>
        <w:tc>
          <w:tcPr>
            <w:tcW w:type="dxa" w:w="1440"/>
            <w:shd w:fill="FFDCE0" w:val="clear"/>
          </w:tcPr>
          <w:p>
            <w:r>
              <w:rPr>
                <w:b/>
                <w:sz w:val="17"/>
              </w:rPr>
              <w:t>6,245</w:t>
            </w:r>
          </w:p>
        </w:tc>
        <w:tc>
          <w:tcPr>
            <w:tcW w:type="dxa" w:w="1440"/>
            <w:shd w:fill="FFDCE0" w:val="clear"/>
          </w:tcPr>
          <w:p>
            <w:r>
              <w:rPr>
                <w:sz w:val="17"/>
              </w:rPr>
              <w:t>6,789</w:t>
            </w:r>
          </w:p>
        </w:tc>
        <w:tc>
          <w:tcPr>
            <w:tcW w:type="dxa" w:w="1440"/>
            <w:shd w:fill="FFDCE0" w:val="clear"/>
          </w:tcPr>
          <w:p>
            <w:r>
              <w:rPr>
                <w:b/>
                <w:color w:val="C00000"/>
                <w:sz w:val="17"/>
              </w:rPr>
              <w:t>-26.5%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5,486</w:t>
            </w:r>
          </w:p>
        </w:tc>
        <w:tc>
          <w:tcPr>
            <w:tcW w:type="dxa" w:w="1440"/>
            <w:shd w:fill="FFDCE0" w:val="clear"/>
          </w:tcPr>
          <w:p>
            <w:r>
              <w:rPr>
                <w:b/>
                <w:sz w:val="17"/>
              </w:rPr>
              <w:t>6,077</w:t>
            </w:r>
          </w:p>
        </w:tc>
        <w:tc>
          <w:tcPr>
            <w:tcW w:type="dxa" w:w="1440"/>
            <w:shd w:fill="FFDCE0" w:val="clear"/>
          </w:tcPr>
          <w:p>
            <w:r>
              <w:rPr>
                <w:sz w:val="17"/>
              </w:rPr>
              <w:t>6,668</w:t>
            </w:r>
          </w:p>
        </w:tc>
        <w:tc>
          <w:tcPr>
            <w:tcW w:type="dxa" w:w="1440"/>
            <w:shd w:fill="FFDCE0" w:val="clear"/>
          </w:tcPr>
          <w:p>
            <w:r>
              <w:rPr>
                <w:b/>
                <w:color w:val="C00000"/>
                <w:sz w:val="17"/>
              </w:rPr>
              <w:t>-28.5%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5,298</w:t>
            </w:r>
          </w:p>
        </w:tc>
        <w:tc>
          <w:tcPr>
            <w:tcW w:type="dxa" w:w="1440"/>
            <w:shd w:fill="FFDCE0" w:val="clear"/>
          </w:tcPr>
          <w:p>
            <w:r>
              <w:rPr>
                <w:b/>
                <w:sz w:val="17"/>
              </w:rPr>
              <w:t>5,930</w:t>
            </w:r>
          </w:p>
        </w:tc>
        <w:tc>
          <w:tcPr>
            <w:tcW w:type="dxa" w:w="1440"/>
            <w:shd w:fill="FFDCE0" w:val="clear"/>
          </w:tcPr>
          <w:p>
            <w:r>
              <w:rPr>
                <w:sz w:val="17"/>
              </w:rPr>
              <w:t>6,562</w:t>
            </w:r>
          </w:p>
        </w:tc>
        <w:tc>
          <w:tcPr>
            <w:tcW w:type="dxa" w:w="1440"/>
            <w:shd w:fill="FFDCE0" w:val="clear"/>
          </w:tcPr>
          <w:p>
            <w:r>
              <w:rPr>
                <w:b/>
                <w:color w:val="C00000"/>
                <w:sz w:val="17"/>
              </w:rPr>
              <w:t>-30.2%</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5,135</w:t>
            </w:r>
          </w:p>
        </w:tc>
        <w:tc>
          <w:tcPr>
            <w:tcW w:type="dxa" w:w="1440"/>
            <w:shd w:fill="FFDCE0" w:val="clear"/>
          </w:tcPr>
          <w:p>
            <w:r>
              <w:rPr>
                <w:b/>
                <w:sz w:val="17"/>
              </w:rPr>
              <w:t>5,803</w:t>
            </w:r>
          </w:p>
        </w:tc>
        <w:tc>
          <w:tcPr>
            <w:tcW w:type="dxa" w:w="1440"/>
            <w:shd w:fill="FFDCE0" w:val="clear"/>
          </w:tcPr>
          <w:p>
            <w:r>
              <w:rPr>
                <w:sz w:val="17"/>
              </w:rPr>
              <w:t>6,471</w:t>
            </w:r>
          </w:p>
        </w:tc>
        <w:tc>
          <w:tcPr>
            <w:tcW w:type="dxa" w:w="1440"/>
            <w:shd w:fill="FFDCE0" w:val="clear"/>
          </w:tcPr>
          <w:p>
            <w:r>
              <w:rPr>
                <w:b/>
                <w:color w:val="C00000"/>
                <w:sz w:val="17"/>
              </w:rPr>
              <w:t>-31.7%</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4,992</w:t>
            </w:r>
          </w:p>
        </w:tc>
        <w:tc>
          <w:tcPr>
            <w:tcW w:type="dxa" w:w="1440"/>
            <w:shd w:fill="FFDCE0" w:val="clear"/>
          </w:tcPr>
          <w:p>
            <w:r>
              <w:rPr>
                <w:b/>
                <w:sz w:val="17"/>
              </w:rPr>
              <w:t>5,693</w:t>
            </w:r>
          </w:p>
        </w:tc>
        <w:tc>
          <w:tcPr>
            <w:tcW w:type="dxa" w:w="1440"/>
            <w:shd w:fill="FFDCE0" w:val="clear"/>
          </w:tcPr>
          <w:p>
            <w:r>
              <w:rPr>
                <w:sz w:val="17"/>
              </w:rPr>
              <w:t>6,393</w:t>
            </w:r>
          </w:p>
        </w:tc>
        <w:tc>
          <w:tcPr>
            <w:tcW w:type="dxa" w:w="1440"/>
            <w:shd w:fill="FFDCE0" w:val="clear"/>
          </w:tcPr>
          <w:p>
            <w:r>
              <w:rPr>
                <w:b/>
                <w:color w:val="C00000"/>
                <w:sz w:val="17"/>
              </w:rPr>
              <w:t>-33.0%</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4,867</w:t>
            </w:r>
          </w:p>
        </w:tc>
        <w:tc>
          <w:tcPr>
            <w:tcW w:type="dxa" w:w="1440"/>
            <w:shd w:fill="FFDCE0" w:val="clear"/>
          </w:tcPr>
          <w:p>
            <w:r>
              <w:rPr>
                <w:b/>
                <w:sz w:val="17"/>
              </w:rPr>
              <w:t>5,598</w:t>
            </w:r>
          </w:p>
        </w:tc>
        <w:tc>
          <w:tcPr>
            <w:tcW w:type="dxa" w:w="1440"/>
            <w:shd w:fill="FFDCE0" w:val="clear"/>
          </w:tcPr>
          <w:p>
            <w:r>
              <w:rPr>
                <w:sz w:val="17"/>
              </w:rPr>
              <w:t>6,328</w:t>
            </w:r>
          </w:p>
        </w:tc>
        <w:tc>
          <w:tcPr>
            <w:tcW w:type="dxa" w:w="1440"/>
            <w:shd w:fill="FFDCE0" w:val="clear"/>
          </w:tcPr>
          <w:p>
            <w:r>
              <w:rPr>
                <w:b/>
                <w:color w:val="C00000"/>
                <w:sz w:val="17"/>
              </w:rPr>
              <w:t>-34.1%</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4,756</w:t>
            </w:r>
          </w:p>
        </w:tc>
        <w:tc>
          <w:tcPr>
            <w:tcW w:type="dxa" w:w="1440"/>
            <w:shd w:fill="FFDCE0" w:val="clear"/>
          </w:tcPr>
          <w:p>
            <w:r>
              <w:rPr>
                <w:b/>
                <w:sz w:val="17"/>
              </w:rPr>
              <w:t>5,515</w:t>
            </w:r>
          </w:p>
        </w:tc>
        <w:tc>
          <w:tcPr>
            <w:tcW w:type="dxa" w:w="1440"/>
            <w:shd w:fill="FFDCE0" w:val="clear"/>
          </w:tcPr>
          <w:p>
            <w:r>
              <w:rPr>
                <w:sz w:val="17"/>
              </w:rPr>
              <w:t>6,274</w:t>
            </w:r>
          </w:p>
        </w:tc>
        <w:tc>
          <w:tcPr>
            <w:tcW w:type="dxa" w:w="1440"/>
            <w:shd w:fill="FFDCE0" w:val="clear"/>
          </w:tcPr>
          <w:p>
            <w:r>
              <w:rPr>
                <w:b/>
                <w:color w:val="C00000"/>
                <w:sz w:val="17"/>
              </w:rPr>
              <w:t>-35.1%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490,96 milliards FCFA, un niveau qui la positionne parmi les valeurs moyennes à grandes capitalisations de la BRVM, reflétant une liquidité et une visibilité institutionnelle notables. Avec un BPA de 627 FCFA, chaque action génère un bénéfice substantiel, justifiant un PER de 13,5x. Ce ratio, bien que supérieur à la moyenne historique de la BRVM (8-12x), reste modéré et témoigne d'une valorisation raisonnable pour une banque affichant une croissance soutenue. Le P/B de 3,63x indique que le marché valorise la société à plus de trois fois sa valeur comptable, une prime de croissance accordée pour sa rentabilité supérieure. Enfin, l'EV/EBITDA de 24,1x est très exigeant, signalant que la valeur totale de l'entreprise (dette incluse) est élevée par rapport à sa capacité opérationnelle, un point de vigilance pour les investisseurs à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+63,46%, avec une légère consolidation de -0,12% lors de la dernière séance, suggérant une pause après un rallye soutenu. Le cours a évolué dans une fourchette large, oscillant entre un plus bas de 5 100 FCFA et un plus haut de 8 510 FCFA, démontrant une forte dynamique haussière. La moyenne du cours (6 175 FCFA) est supérieure à la médiane (5 735 FCFA), et le skewness positif (0,889) confirme une asymétrie avec des journées de forte hausse plus marquées. L'écart-type de 1 152 FCFA (CV=18,7%) indique une dispersion modérée, tandis que le kurtosis de -0,669 (mésokurtique) suggère une distribution proche de la normale, sans pics de volatilité extrêmes. La volatilité annualisée de 30,6% classe le titre comme à risque élevé, mais cette mesure est cohérente avec la forte appréciation observée.</w:t>
      </w:r>
    </w:p>
    <w:p>
      <w:pPr>
        <w:spacing w:after="120" w:line="276" w:lineRule="auto" w:before="240"/>
      </w:pPr>
      <w:r>
        <w:rPr>
          <w:b/>
          <w:color w:val="003366"/>
          <w:sz w:val="24"/>
        </w:rPr>
        <w:t>**PARTIE 2 : ANALYSE TECHNIQUE DÉTAILLÉE**</w:t>
      </w:r>
    </w:p>
    <w:p>
      <w:pPr>
        <w:spacing w:after="120" w:line="276" w:lineRule="auto"/>
      </w:pPr>
      <w:r>
        <w:t>**Moyennes Mobiles** : Le cours actuel (8 500 FCFA) est nettement au-dessus de la MM20 (8 107,5 FCFA) et de la MM50 (7 077,2 FCFA), confirmant une tendance haussière solide. La configuration des moyennes mobiles, avec la MM20 au-dessus de la MM50, valide le signal d'achat, indiquant que la dynamique positive est soutenue par les investisseurs à court et moyen terme.</w:t>
      </w:r>
    </w:p>
    <w:p>
      <w:pPr>
        <w:spacing w:after="120" w:line="276" w:lineRule="auto"/>
      </w:pPr>
      <w:r>
        <w:t>**Bandes de Bollinger** : Le prix se situe à 8 500 FCFA, entre la borne supérieure (8 902,8 FCFA) et la borne inférieure (7 312,2 FCFA), mais proche de la borne haute. Cette position reflète une volatilité élevée et une pression acheteuse persistante. La décision "Neutre" suggère que le marché attend une confirmation directionnelle, mais la proximité de la borne supérieure pourrait indiquer une zone de résistance.</w:t>
      </w:r>
    </w:p>
    <w:p>
      <w:pPr>
        <w:spacing w:after="120" w:line="276" w:lineRule="auto"/>
      </w:pPr>
      <w:r>
        <w:t>**MACD** : Le MACD (417,3) est inférieur à son signal (448,2), générant un signal de vente. Cette divergence indique un ralentissement du momentum haussier, même si les valeurs restent positives. Les investisseurs doivent surveiller un éventuel croisement baissier qui pourrait précéder une correction technique.</w:t>
      </w:r>
    </w:p>
    <w:p>
      <w:pPr>
        <w:spacing w:after="120" w:line="276" w:lineRule="auto"/>
      </w:pPr>
      <w:r>
        <w:t>**RSI** : Le RSI à 75,9 est en zone de surachat (&gt;70), signalant que le titre est techniquement surévalué à court terme. Ce niveau suggère une probabilité accrue de consolidation ou de repli, les acheteurs ayant potentiellement épuisé leur force.</w:t>
      </w:r>
    </w:p>
    <w:p>
      <w:pPr>
        <w:spacing w:after="120" w:line="276" w:lineRule="auto"/>
      </w:pPr>
      <w:r>
        <w:t>**Stochastique** : Le %K (98,8) et le %D (99,6) sont à des niveaux extrêmement élevés, en zone de surachat sévère. Cette configuration indique que le marché est survendu à l'achat, renforçant le signal de prudence et anticipant un possible retournement baissier.</w:t>
      </w:r>
    </w:p>
    <w:p>
      <w:pPr>
        <w:spacing w:after="120" w:line="276" w:lineRule="auto"/>
      </w:pPr>
      <w:r>
        <w:t>**Conclusion technique** : La convergence des indicateurs de momentum (RSI, Stochastique, MACD) vers des signaux de vente, malgré une tendance haussière intacte (MM), suggère une correction technique imminente. Le titre est suracheté à court terme, et les investisseurs devraient attendre un repli vers les moyennes mobiles avant d'envisager de nouvelles positions acheteuses.</w:t>
      </w:r>
    </w:p>
    <w:p>
      <w:pPr>
        <w:spacing w:after="120" w:line="276" w:lineRule="auto" w:before="240"/>
      </w:pPr>
      <w:r>
        <w:rPr>
          <w:b/>
          <w:color w:val="003366"/>
          <w:sz w:val="24"/>
        </w:rPr>
        <w:t>**PARTIE 3 : ANALYSE FONDAMENTALE (SECTION CRITIQUE)**</w:t>
      </w:r>
    </w:p>
    <w:p>
      <w:pPr>
        <w:spacing w:after="120" w:line="276" w:lineRule="auto"/>
      </w:pPr>
      <w:r>
        <w:t>En 2025, la BICB affiche des fondamentaux solides avec un Produit Net Bancaire de 52,805 milliards FCFA, en hausse de 16,49%, et un résultat net de 36,237 milliards FCFA, soit une progression de 24,7% par rapport à 2024. La rentabilité est excellente, avec un ROE de 26,82% et un ROA de 1,96%, démontrant une utilisation efficace des capitaux propres et des actifs. Le coefficient d'exploitation de 31,12% est remarquable, indiquant une banque très efficace dans la maîtrise de ses charges. Cependant, le coût du risque de 9,61% est élevé, reflétant une politique de provisionnement prudente face à l'expansion rapide des crédits (+37,3% à 1 151,5 milliards FCFA). Le ratio crédits/dépôts de 97,5% signale une transformation bilancielle tendue, un point de vigilance pour la liquidité. Sur la base des rapports trimestriels, le T1 2026 montre une accélération avec un PNB de 14,6 milliards FCFA (+35%) et un résultat net de 8,0 milliards FCFA (+48%), suggérant que l'exercice 2026 pourrait dépasser les performances de 2025. La banque a adopté les normes IFRS, renforçant la transparence, et maintient une solvabilité confortable (ratio de 19,64%). Les risques liés à la qualité du crédit et à la liquidité nécessitent une surveillance, mais la dynamique commerciale et la rentabilité soutiennent une recommandation positive.</w:t>
      </w:r>
    </w:p>
    <w:p>
      <w:pPr>
        <w:spacing w:after="120" w:line="276" w:lineRule="auto" w:before="240"/>
      </w:pPr>
      <w:r>
        <w:rPr>
          <w:b/>
          <w:color w:val="003366"/>
          <w:sz w:val="24"/>
        </w:rPr>
        <w:t>**PARTIE 4 : CONCLUSION D'INVESTISSEMENT**</w:t>
      </w:r>
    </w:p>
    <w:p>
      <w:pPr>
        <w:spacing w:after="120" w:line="276" w:lineRule="auto"/>
      </w:pPr>
      <w:r>
        <w:t>La valorisation de BICB (PER 13,5x, P/B 3,63x) est modérée mais exigeante, reflétant une prime de croissance justifiée par des fondamentaux robustes. Le comportement du cours, avec une hausse de +63,46% sur 100 jours et une volatilité élevée (30,6%), indique un fort intérêt des investisseurs, mais les statistiques (skewness positif, kurtosis normal) suggèrent un potentiel de consolidation. Les signaux techniques sont divergents : la tendance (MM) reste haussière, mais les indicateurs de momentum (RSI, Stochastique, MACD) sont en surachat, signalant une correction probable. Les fondamentaux sont solides, avec une croissance du PNB et du résultat net, un ROE excellent et une efficacité opérationnelle remarquable, malgré un coût du risque élevé. Les prédictions IA (J+1 à J+10) prévoient une baisse progressive du cours vers 6 077 FCFA, confirmant les signaux techniques de surachat. En synthèse, la convergence entre la surévaluation technique et les prédictions IA, contrastant avec des fondamentaux sains, justifie une recommandation de **CONSERVER** pour les investisseurs existants, avec un niveau de confiance **Moyen** et un risque global **Élevé**. L'horizon d'investissement optimal est le **moyen terme (3-12 mois)**, en attendant une correction technique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679 titres</w:t>
            </w:r>
          </w:p>
        </w:tc>
        <w:tc>
          <w:tcPr>
            <w:tcW w:type="dxa" w:w="2268"/>
            <w:shd w:fill="FFF2CC" w:val="clear"/>
          </w:tcPr>
          <w:p>
            <w:r>
              <w:rPr>
                <w:b/>
                <w:color w:val="503200"/>
                <w:sz w:val="16"/>
              </w:rPr>
              <w:t xml:space="preserve">Cours actuel : </w:t>
            </w:r>
            <w:r>
              <w:rPr>
                <w:color w:val="000000"/>
                <w:sz w:val="17"/>
              </w:rPr>
              <w:t>29,500 FCFA</w:t>
            </w:r>
          </w:p>
          <w:p>
            <w:r>
              <w:rPr>
                <w:b/>
                <w:color w:val="503200"/>
                <w:sz w:val="16"/>
              </w:rPr>
              <w:t xml:space="preserve">Var. 100 jours : </w:t>
            </w:r>
            <w:r>
              <w:rPr>
                <w:b/>
                <w:color w:val="007800"/>
                <w:sz w:val="17"/>
              </w:rPr>
              <w:t>+19.92%</w:t>
            </w:r>
          </w:p>
          <w:p>
            <w:r>
              <w:rPr>
                <w:b/>
                <w:color w:val="503200"/>
                <w:sz w:val="16"/>
              </w:rPr>
              <w:t xml:space="preserve">Plus haut 100j : </w:t>
            </w:r>
            <w:r>
              <w:rPr>
                <w:color w:val="000000"/>
                <w:sz w:val="17"/>
              </w:rPr>
              <w:t>29,970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7.30% (Moyenne) — μ=27,340 FCFA, σ=1,996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β=0.2871 (Défensif) — Cov=0.000010, Var(idx)=0.000036, ρ=0.100,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679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28,239</w:t>
            </w:r>
          </w:p>
        </w:tc>
        <w:tc>
          <w:tcPr>
            <w:tcW w:type="dxa" w:w="1440"/>
            <w:shd w:fill="FFDCE0" w:val="clear"/>
          </w:tcPr>
          <w:p>
            <w:r>
              <w:rPr>
                <w:b/>
                <w:sz w:val="17"/>
              </w:rPr>
              <w:t>28,784</w:t>
            </w:r>
          </w:p>
        </w:tc>
        <w:tc>
          <w:tcPr>
            <w:tcW w:type="dxa" w:w="1440"/>
            <w:shd w:fill="FFDCE0" w:val="clear"/>
          </w:tcPr>
          <w:p>
            <w:r>
              <w:rPr>
                <w:sz w:val="17"/>
              </w:rPr>
              <w:t>29,330</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27,740</w:t>
            </w:r>
          </w:p>
        </w:tc>
        <w:tc>
          <w:tcPr>
            <w:tcW w:type="dxa" w:w="1440"/>
            <w:shd w:fill="FFDCE0" w:val="clear"/>
          </w:tcPr>
          <w:p>
            <w:r>
              <w:rPr>
                <w:b/>
                <w:sz w:val="17"/>
              </w:rPr>
              <w:t>28,504</w:t>
            </w:r>
          </w:p>
        </w:tc>
        <w:tc>
          <w:tcPr>
            <w:tcW w:type="dxa" w:w="1440"/>
            <w:shd w:fill="FFDCE0" w:val="clear"/>
          </w:tcPr>
          <w:p>
            <w:r>
              <w:rPr>
                <w:sz w:val="17"/>
              </w:rPr>
              <w:t>29,268</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27,254</w:t>
            </w:r>
          </w:p>
        </w:tc>
        <w:tc>
          <w:tcPr>
            <w:tcW w:type="dxa" w:w="1440"/>
            <w:shd w:fill="FFDCE0" w:val="clear"/>
          </w:tcPr>
          <w:p>
            <w:r>
              <w:rPr>
                <w:b/>
                <w:sz w:val="17"/>
              </w:rPr>
              <w:t>28,179</w:t>
            </w:r>
          </w:p>
        </w:tc>
        <w:tc>
          <w:tcPr>
            <w:tcW w:type="dxa" w:w="1440"/>
            <w:shd w:fill="FFDCE0" w:val="clear"/>
          </w:tcPr>
          <w:p>
            <w:r>
              <w:rPr>
                <w:sz w:val="17"/>
              </w:rPr>
              <w:t>29,104</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26,832</w:t>
            </w:r>
          </w:p>
        </w:tc>
        <w:tc>
          <w:tcPr>
            <w:tcW w:type="dxa" w:w="1440"/>
            <w:shd w:fill="FFDCE0" w:val="clear"/>
          </w:tcPr>
          <w:p>
            <w:r>
              <w:rPr>
                <w:b/>
                <w:sz w:val="17"/>
              </w:rPr>
              <w:t>27,889</w:t>
            </w:r>
          </w:p>
        </w:tc>
        <w:tc>
          <w:tcPr>
            <w:tcW w:type="dxa" w:w="1440"/>
            <w:shd w:fill="FFDCE0" w:val="clear"/>
          </w:tcPr>
          <w:p>
            <w:r>
              <w:rPr>
                <w:sz w:val="17"/>
              </w:rPr>
              <w:t>28,946</w:t>
            </w:r>
          </w:p>
        </w:tc>
        <w:tc>
          <w:tcPr>
            <w:tcW w:type="dxa" w:w="1440"/>
            <w:shd w:fill="FFDCE0" w:val="clear"/>
          </w:tcPr>
          <w:p>
            <w:r>
              <w:rPr>
                <w:b/>
                <w:color w:val="C00000"/>
                <w:sz w:val="17"/>
              </w:rPr>
              <w:t>-5.5%</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26,456</w:t>
            </w:r>
          </w:p>
        </w:tc>
        <w:tc>
          <w:tcPr>
            <w:tcW w:type="dxa" w:w="1440"/>
            <w:shd w:fill="FFDCE0" w:val="clear"/>
          </w:tcPr>
          <w:p>
            <w:r>
              <w:rPr>
                <w:b/>
                <w:sz w:val="17"/>
              </w:rPr>
              <w:t>27,627</w:t>
            </w:r>
          </w:p>
        </w:tc>
        <w:tc>
          <w:tcPr>
            <w:tcW w:type="dxa" w:w="1440"/>
            <w:shd w:fill="FFDCE0" w:val="clear"/>
          </w:tcPr>
          <w:p>
            <w:r>
              <w:rPr>
                <w:sz w:val="17"/>
              </w:rPr>
              <w:t>28,797</w:t>
            </w:r>
          </w:p>
        </w:tc>
        <w:tc>
          <w:tcPr>
            <w:tcW w:type="dxa" w:w="1440"/>
            <w:shd w:fill="FFDCE0" w:val="clear"/>
          </w:tcPr>
          <w:p>
            <w:r>
              <w:rPr>
                <w:b/>
                <w:color w:val="C00000"/>
                <w:sz w:val="17"/>
              </w:rPr>
              <w:t>-6.3%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26,108</w:t>
            </w:r>
          </w:p>
        </w:tc>
        <w:tc>
          <w:tcPr>
            <w:tcW w:type="dxa" w:w="1440"/>
            <w:shd w:fill="FFDCE0" w:val="clear"/>
          </w:tcPr>
          <w:p>
            <w:r>
              <w:rPr>
                <w:b/>
                <w:sz w:val="17"/>
              </w:rPr>
              <w:t>27,379</w:t>
            </w:r>
          </w:p>
        </w:tc>
        <w:tc>
          <w:tcPr>
            <w:tcW w:type="dxa" w:w="1440"/>
            <w:shd w:fill="FFDCE0" w:val="clear"/>
          </w:tcPr>
          <w:p>
            <w:r>
              <w:rPr>
                <w:sz w:val="17"/>
              </w:rPr>
              <w:t>28,650</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25,780</w:t>
            </w:r>
          </w:p>
        </w:tc>
        <w:tc>
          <w:tcPr>
            <w:tcW w:type="dxa" w:w="1440"/>
            <w:shd w:fill="FFDCE0" w:val="clear"/>
          </w:tcPr>
          <w:p>
            <w:r>
              <w:rPr>
                <w:b/>
                <w:sz w:val="17"/>
              </w:rPr>
              <w:t>27,141</w:t>
            </w:r>
          </w:p>
        </w:tc>
        <w:tc>
          <w:tcPr>
            <w:tcW w:type="dxa" w:w="1440"/>
            <w:shd w:fill="FFDCE0" w:val="clear"/>
          </w:tcPr>
          <w:p>
            <w:r>
              <w:rPr>
                <w:sz w:val="17"/>
              </w:rPr>
              <w:t>28,502</w:t>
            </w:r>
          </w:p>
        </w:tc>
        <w:tc>
          <w:tcPr>
            <w:tcW w:type="dxa" w:w="1440"/>
            <w:shd w:fill="FFDCE0" w:val="clear"/>
          </w:tcPr>
          <w:p>
            <w:r>
              <w:rPr>
                <w:b/>
                <w:color w:val="C00000"/>
                <w:sz w:val="17"/>
              </w:rPr>
              <w:t>-8.0%</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25,469</w:t>
            </w:r>
          </w:p>
        </w:tc>
        <w:tc>
          <w:tcPr>
            <w:tcW w:type="dxa" w:w="1440"/>
            <w:shd w:fill="FFDCE0" w:val="clear"/>
          </w:tcPr>
          <w:p>
            <w:r>
              <w:rPr>
                <w:b/>
                <w:sz w:val="17"/>
              </w:rPr>
              <w:t>26,912</w:t>
            </w:r>
          </w:p>
        </w:tc>
        <w:tc>
          <w:tcPr>
            <w:tcW w:type="dxa" w:w="1440"/>
            <w:shd w:fill="FFDCE0" w:val="clear"/>
          </w:tcPr>
          <w:p>
            <w:r>
              <w:rPr>
                <w:sz w:val="17"/>
              </w:rPr>
              <w:t>28,354</w:t>
            </w:r>
          </w:p>
        </w:tc>
        <w:tc>
          <w:tcPr>
            <w:tcW w:type="dxa" w:w="1440"/>
            <w:shd w:fill="FFDCE0" w:val="clear"/>
          </w:tcPr>
          <w:p>
            <w:r>
              <w:rPr>
                <w:b/>
                <w:color w:val="C00000"/>
                <w:sz w:val="17"/>
              </w:rPr>
              <w:t>-8.8%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25,173</w:t>
            </w:r>
          </w:p>
        </w:tc>
        <w:tc>
          <w:tcPr>
            <w:tcW w:type="dxa" w:w="1440"/>
            <w:shd w:fill="FFDCE0" w:val="clear"/>
          </w:tcPr>
          <w:p>
            <w:r>
              <w:rPr>
                <w:b/>
                <w:sz w:val="17"/>
              </w:rPr>
              <w:t>26,691</w:t>
            </w:r>
          </w:p>
        </w:tc>
        <w:tc>
          <w:tcPr>
            <w:tcW w:type="dxa" w:w="1440"/>
            <w:shd w:fill="FFDCE0" w:val="clear"/>
          </w:tcPr>
          <w:p>
            <w:r>
              <w:rPr>
                <w:sz w:val="17"/>
              </w:rPr>
              <w:t>28,208</w:t>
            </w:r>
          </w:p>
        </w:tc>
        <w:tc>
          <w:tcPr>
            <w:tcW w:type="dxa" w:w="1440"/>
            <w:shd w:fill="FFDCE0" w:val="clear"/>
          </w:tcPr>
          <w:p>
            <w:r>
              <w:rPr>
                <w:b/>
                <w:color w:val="C00000"/>
                <w:sz w:val="17"/>
              </w:rPr>
              <w:t>-9.5%</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24,891</w:t>
            </w:r>
          </w:p>
        </w:tc>
        <w:tc>
          <w:tcPr>
            <w:tcW w:type="dxa" w:w="1440"/>
            <w:shd w:fill="FFDCE0" w:val="clear"/>
          </w:tcPr>
          <w:p>
            <w:r>
              <w:rPr>
                <w:b/>
                <w:sz w:val="17"/>
              </w:rPr>
              <w:t>26,478</w:t>
            </w:r>
          </w:p>
        </w:tc>
        <w:tc>
          <w:tcPr>
            <w:tcW w:type="dxa" w:w="1440"/>
            <w:shd w:fill="FFDCE0" w:val="clear"/>
          </w:tcPr>
          <w:p>
            <w:r>
              <w:rPr>
                <w:sz w:val="17"/>
              </w:rPr>
              <w:t>28,065</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491,67 milliards FCFA, ce qui positionne la banque parmi les valeurs de premier plan sur la BRVM. Avec un BPA de 2 191 FCFA, chaque action génère un bénéfice substantiel. Le PER de 13,5x est légèrement supérieur à la moyenne historique du marché (8-12x), indiquant que les investisseurs acceptent de payer une prime pour la qualité de la banque, sans toutefois atteindre des niveaux excessifs. Le P/B de 4,08x révèle une valorisation exigeante, le marché intégrant une rentabilité future élevée (ROE de 30,3%) bien supérieure au coût des fonds propres. Enfin, l'EV/EBITDA de 9,5x se situe dans la fourchette raisonnable (5-10x), confirmant une valorisation globalement cohérente avec la capacité bénéficiaire de l'établissement.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affiche une progression remarquable de +19,92%, passant d'un plus bas de 22 500 FCFA à un plus haut de 29 970 FCFA, avec un cours actuel de 29 500 FCFA. La légère baisse de -1,57% enregistrée lors de la dernière séance pourrait marquer une prise de bénéfices après cette forte ascension. La moyenne (27 340 FCFA) étant inférieure à la médiane (28 250 FCFA), on observe une asymétrie négative (skewness de -0,916), signifiant que le titre a passé plus de journées au-dessus de sa moyenne, avec des épisodes de hausse marqués. L'écart-type de 2 006 FCFA (CV de 7,3%) indique une dispersion modérée autour de la moyenne. Le kurtosis de -0,605 (mésokurtique) suggère une distribution proche de la normale, sans risque extrême de pics. La volatilité annualisée de 27,2% classe le titre dans la catégorie modérée (15-30%), reflétant un équilibre entre rendement et risque.</w:t>
      </w:r>
    </w:p>
    <w:p>
      <w:pPr>
        <w:spacing w:after="120" w:line="276" w:lineRule="auto" w:before="240"/>
      </w:pPr>
      <w:r>
        <w:rPr>
          <w:b/>
          <w:color w:val="003366"/>
          <w:sz w:val="24"/>
        </w:rPr>
        <w:t>**PARTIE 2 : ANALYSE TECHNIQUE DÉTAILLÉE**</w:t>
      </w:r>
    </w:p>
    <w:p>
      <w:pPr>
        <w:spacing w:after="120" w:line="276" w:lineRule="auto"/>
      </w:pPr>
      <w:r>
        <w:t>**Moyennes Mobiles** : Le cours actuel (29 500 FCFA) se positionne au-dessus de la MM20 (29 061 FCFA) et de la MM50 (28 692 FCFA), avec un écart positif de 1,5% et 2,8% respectivement. Cette configuration haussière, où les moyennes courtes sont supérieures aux moyennes longues, confirme une tendance positive soutenue. La décision d'Achat est justifiée par cette structure de prix favorable.</w:t>
      </w:r>
    </w:p>
    <w:p>
      <w:pPr>
        <w:spacing w:after="120" w:line="276" w:lineRule="auto"/>
      </w:pPr>
      <w:r>
        <w:t>**Bandes de Bollinger** : Le cours se situe à 29 500 FCFA, entre la borne supérieure (29 663 FCFA) et la borne inférieure (28 459 FCFA), mais très proche de la borne haute. Cette position suggère une pression acheteuse persistante, avec une volatilité modérée. La décision Neutre s'explique par le fait que le titre n'a pas encore franchi la borne supérieure, ce qui pourrait déclencher un signal de continuation haussière.</w:t>
      </w:r>
    </w:p>
    <w:p>
      <w:pPr>
        <w:spacing w:after="120" w:line="276" w:lineRule="auto"/>
      </w:pPr>
      <w:r>
        <w:t>**MACD** : Le MACD (209,745) est nettement supérieur à sa ligne de signal (168,142), avec un écart positif de 41,6 points. Cette divergence positive indique un momentum haussier solide et croissant. La décision d'Achat est renforcée par cette configuration, qui suggère que la dynamique positive devrait se poursuivre à court terme.</w:t>
      </w:r>
    </w:p>
    <w:p>
      <w:pPr>
        <w:spacing w:after="120" w:line="276" w:lineRule="auto"/>
      </w:pPr>
      <w:r>
        <w:t>**RSI** : Le RSI de 55,405 se situe dans la zone neutre (30-70), indiquant un équilibre entre pressions acheteuses et vendeuses. Cette valeur modérée laisse une marge de progression avant d'atteindre la zone de surachat (70), ce qui justifie la décision Neutre tout en n'excluant pas un potentiel de hausse supplémentaire.</w:t>
      </w:r>
    </w:p>
    <w:p>
      <w:pPr>
        <w:spacing w:after="120" w:line="276" w:lineRule="auto"/>
      </w:pPr>
      <w:r>
        <w:t>**Stochastique** : Le %K (65,693) est inférieur au %D (80,872), suggérant un possible retournement baissier à court terme. Cependant, les deux lignes restent dans la zone positive (au-dessus de 50), indiquant que la tendance globale demeure haussière. La décision Neutre reflète cette ambiguïté entre le croisement baissier et la persistance de la dynamique positive.</w:t>
      </w:r>
    </w:p>
    <w:p>
      <w:pPr>
        <w:spacing w:after="120" w:line="276" w:lineRule="auto"/>
      </w:pPr>
      <w:r>
        <w:t>**Conclusion technique** : La convergence des indicateurs (MM, MACD) vers une dynamique haussière, tempérée par la neutralité du RSI et du Stochastique, suggère une tendance positive solide mais potentiellement en phase de consolidation. Le titre pourrait connaître un léger repli avant de poursuivre sa progression, mais la structure technique globale reste favorable.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révèlent une performance exceptionnelle. Le Produit Net Bancaire s'établit à 79,563 milliards FCFA, en croissance de 16,9% par rapport à 2024 (68,063 milliards FCFA). Le résultat net atteint 36,520 milliards FCFA, contre 26,226 milliards en 2024, soit une progression spectaculaire de 39,2%. La banque affiche un ROE de 30,29% et un ROA de 3,24%, tous deux excellents pour le secteur bancaire. Le coefficient d'exploitation de 50,83% témoigne d'une excellente maîtrise des charges, tandis que le coût du risque de -12,15% indique une gestion prudente du portefeuille de crédits. Les dépôts clientèle (952,872 milliards FCFA) couvrent largement les créances sur la clientèle (524,439 milliards FCFA), avec un ratio de transformation de 55%, reflétant une liquidité abondante. Les rapports trimestriels 2025 confirment cette dynamique : le T1 affiche un PNB de 18,130 milliards (+9,3%) et un résultat net de 8,011 milliards (+23%), le S1 un PNB de 37,146 milliards (+16,6%) et un résultat net de 16,253 milliards (+42,5%), et le T3 cumulé un PNB de 58,119 milliards (+16,4%) avec un résultat net de 27,402 milliards (+50,8%). Sur la base du rapport T1 2026 (PNB de 21,214 milliards, +17% et résultat net de 10,387 milliards, +29,7%), on estime que l'exercice 2026 devrait confirmer cette trajectoire de croissance soutenue, avec un PNB annuel potentiel de 85-90 milliards FCFA et un résultat net de 40-42 milliards FCFA. La banque démontre une solidité financière remarquable, avec des capitaux propres de 120,570 milliards FCFA et une autonomie financière de 10,7%, bien que ce ratio reste inférieur au seuil de 30% recommandé, ce qui reflète la structure typique d'une banque commerciale.</w:t>
      </w:r>
    </w:p>
    <w:p>
      <w:pPr>
        <w:spacing w:after="120" w:line="276" w:lineRule="auto" w:before="240"/>
      </w:pPr>
      <w:r>
        <w:rPr>
          <w:b/>
          <w:color w:val="003366"/>
          <w:sz w:val="24"/>
        </w:rPr>
        <w:t>**PARTIE 4 : CONCLUSION D'INVESTISSEMENT**</w:t>
      </w:r>
    </w:p>
    <w:p>
      <w:pPr>
        <w:spacing w:after="120" w:line="276" w:lineRule="auto"/>
      </w:pPr>
      <w:r>
        <w:t>La valorisation de BICC (PER de 13,5x, P/B de 4,08x) reflète une prime de qualité justifiée par une rentabilité exceptionnelle (ROE de 30,3%), mais qui laisse peu de marge de sécurité. Le comportement du cours sur 100 jours (+19,92%) démontre une tendance haussière solide, avec une volatilité modérée (27,2%) et une distribution statistique favorable. Les signaux techniques convergent vers une dynamique positive (MM, MACD), tempérée par la neutralité du RSI et du Stochastique, suggérant une possible consolidation. Les fondamentaux sont excellents : croissance soutenue du PNB (+16,9% en 2025), amélioration continue des marges (marge nette de 45,9%), et gestion rigoureuse des risques. Les prédictions IA (28 784 FCFA à J+1, 27 627 FCFA à J+10) indiquent un repli technique à court terme, ce qui contredit légèrement les signaux haussiers mais pourrait représenter une opportunité d'achat. La convergence entre la solidité fondamentale, la tendance technique positive et la valorisation raisonnable justifie une recommandation **ACHAT**, avec un niveau de confiance **Élevé**. Le risque global est **Moyen**, principalement lié à la valorisation exigeante (P/B élevé) et à la dépendance à l'environnement macroéconomique ivoirien. L'horizon d'investissement optimal est le **moyen terme (3-12 mois)**, permettant de bénéficier de la croissance des résultats tout en absorbant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15.24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2,358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+44.65%</w:t>
            </w:r>
          </w:p>
          <w:p>
            <w:r>
              <w:rPr>
                <w:b/>
                <w:color w:val="503200"/>
                <w:sz w:val="16"/>
              </w:rPr>
              <w:t xml:space="preserve">Plus haut 100j : </w:t>
            </w:r>
            <w:r>
              <w:rPr>
                <w:color w:val="000000"/>
                <w:sz w:val="17"/>
              </w:rPr>
              <w:t>2,300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12.50% (Moyenne) — μ=1,776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β=-0.0702 (Contre-cyclique) — Cov=-0.000003, Var(idx)=0.000036, ρ=-0.013,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2,184</w:t>
            </w:r>
          </w:p>
        </w:tc>
        <w:tc>
          <w:tcPr>
            <w:tcW w:type="dxa" w:w="1440"/>
            <w:shd w:fill="FAFAFA" w:val="clear"/>
          </w:tcPr>
          <w:p>
            <w:r>
              <w:rPr>
                <w:b/>
                <w:sz w:val="17"/>
              </w:rPr>
              <w:t>2,275</w:t>
            </w:r>
          </w:p>
        </w:tc>
        <w:tc>
          <w:tcPr>
            <w:tcW w:type="dxa" w:w="1440"/>
            <w:shd w:fill="FAFAFA" w:val="clear"/>
          </w:tcPr>
          <w:p>
            <w:r>
              <w:rPr>
                <w:sz w:val="17"/>
              </w:rPr>
              <w:t>2,367</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2,130</w:t>
            </w:r>
          </w:p>
        </w:tc>
        <w:tc>
          <w:tcPr>
            <w:tcW w:type="dxa" w:w="1440"/>
            <w:shd w:fill="FAFAFA" w:val="clear"/>
          </w:tcPr>
          <w:p>
            <w:r>
              <w:rPr>
                <w:b/>
                <w:sz w:val="17"/>
              </w:rPr>
              <w:t>2,258</w:t>
            </w:r>
          </w:p>
        </w:tc>
        <w:tc>
          <w:tcPr>
            <w:tcW w:type="dxa" w:w="1440"/>
            <w:shd w:fill="FAFAFA" w:val="clear"/>
          </w:tcPr>
          <w:p>
            <w:r>
              <w:rPr>
                <w:sz w:val="17"/>
              </w:rPr>
              <w:t>2,386</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2,084</w:t>
            </w:r>
          </w:p>
        </w:tc>
        <w:tc>
          <w:tcPr>
            <w:tcW w:type="dxa" w:w="1440"/>
            <w:shd w:fill="FFDCE0" w:val="clear"/>
          </w:tcPr>
          <w:p>
            <w:r>
              <w:rPr>
                <w:b/>
                <w:sz w:val="17"/>
              </w:rPr>
              <w:t>2,240</w:t>
            </w:r>
          </w:p>
        </w:tc>
        <w:tc>
          <w:tcPr>
            <w:tcW w:type="dxa" w:w="1440"/>
            <w:shd w:fill="FFDCE0" w:val="clear"/>
          </w:tcPr>
          <w:p>
            <w:r>
              <w:rPr>
                <w:sz w:val="17"/>
              </w:rPr>
              <w:t>2,396</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2,047</w:t>
            </w:r>
          </w:p>
        </w:tc>
        <w:tc>
          <w:tcPr>
            <w:tcW w:type="dxa" w:w="1440"/>
            <w:shd w:fill="FFDCE0" w:val="clear"/>
          </w:tcPr>
          <w:p>
            <w:r>
              <w:rPr>
                <w:b/>
                <w:sz w:val="17"/>
              </w:rPr>
              <w:t>2,227</w:t>
            </w:r>
          </w:p>
        </w:tc>
        <w:tc>
          <w:tcPr>
            <w:tcW w:type="dxa" w:w="1440"/>
            <w:shd w:fill="FFDCE0" w:val="clear"/>
          </w:tcPr>
          <w:p>
            <w:r>
              <w:rPr>
                <w:sz w:val="17"/>
              </w:rPr>
              <w:t>2,406</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2,017</w:t>
            </w:r>
          </w:p>
        </w:tc>
        <w:tc>
          <w:tcPr>
            <w:tcW w:type="dxa" w:w="1440"/>
            <w:shd w:fill="FFDCE0" w:val="clear"/>
          </w:tcPr>
          <w:p>
            <w:r>
              <w:rPr>
                <w:b/>
                <w:sz w:val="17"/>
              </w:rPr>
              <w:t>2,216</w:t>
            </w:r>
          </w:p>
        </w:tc>
        <w:tc>
          <w:tcPr>
            <w:tcW w:type="dxa" w:w="1440"/>
            <w:shd w:fill="FFDCE0" w:val="clear"/>
          </w:tcPr>
          <w:p>
            <w:r>
              <w:rPr>
                <w:sz w:val="17"/>
              </w:rPr>
              <w:t>2,416</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1,990</w:t>
            </w:r>
          </w:p>
        </w:tc>
        <w:tc>
          <w:tcPr>
            <w:tcW w:type="dxa" w:w="1440"/>
            <w:shd w:fill="FFDCE0" w:val="clear"/>
          </w:tcPr>
          <w:p>
            <w:r>
              <w:rPr>
                <w:b/>
                <w:sz w:val="17"/>
              </w:rPr>
              <w:t>2,207</w:t>
            </w:r>
          </w:p>
        </w:tc>
        <w:tc>
          <w:tcPr>
            <w:tcW w:type="dxa" w:w="1440"/>
            <w:shd w:fill="FFDCE0" w:val="clear"/>
          </w:tcPr>
          <w:p>
            <w:r>
              <w:rPr>
                <w:sz w:val="17"/>
              </w:rPr>
              <w:t>2,425</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1,966</w:t>
            </w:r>
          </w:p>
        </w:tc>
        <w:tc>
          <w:tcPr>
            <w:tcW w:type="dxa" w:w="1440"/>
            <w:shd w:fill="FFDCE0" w:val="clear"/>
          </w:tcPr>
          <w:p>
            <w:r>
              <w:rPr>
                <w:b/>
                <w:sz w:val="17"/>
              </w:rPr>
              <w:t>2,200</w:t>
            </w:r>
          </w:p>
        </w:tc>
        <w:tc>
          <w:tcPr>
            <w:tcW w:type="dxa" w:w="1440"/>
            <w:shd w:fill="FFDCE0" w:val="clear"/>
          </w:tcPr>
          <w:p>
            <w:r>
              <w:rPr>
                <w:sz w:val="17"/>
              </w:rPr>
              <w:t>2,433</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1,943</w:t>
            </w:r>
          </w:p>
        </w:tc>
        <w:tc>
          <w:tcPr>
            <w:tcW w:type="dxa" w:w="1440"/>
            <w:shd w:fill="FFDCE0" w:val="clear"/>
          </w:tcPr>
          <w:p>
            <w:r>
              <w:rPr>
                <w:b/>
                <w:sz w:val="17"/>
              </w:rPr>
              <w:t>2,192</w:t>
            </w:r>
          </w:p>
        </w:tc>
        <w:tc>
          <w:tcPr>
            <w:tcW w:type="dxa" w:w="1440"/>
            <w:shd w:fill="FFDCE0" w:val="clear"/>
          </w:tcPr>
          <w:p>
            <w:r>
              <w:rPr>
                <w:sz w:val="17"/>
              </w:rPr>
              <w:t>2,441</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1,922</w:t>
            </w:r>
          </w:p>
        </w:tc>
        <w:tc>
          <w:tcPr>
            <w:tcW w:type="dxa" w:w="1440"/>
            <w:shd w:fill="FFDCE0" w:val="clear"/>
          </w:tcPr>
          <w:p>
            <w:r>
              <w:rPr>
                <w:b/>
                <w:sz w:val="17"/>
              </w:rPr>
              <w:t>2,185</w:t>
            </w:r>
          </w:p>
        </w:tc>
        <w:tc>
          <w:tcPr>
            <w:tcW w:type="dxa" w:w="1440"/>
            <w:shd w:fill="FFDCE0" w:val="clear"/>
          </w:tcPr>
          <w:p>
            <w:r>
              <w:rPr>
                <w:sz w:val="17"/>
              </w:rPr>
              <w:t>2,449</w:t>
            </w:r>
          </w:p>
        </w:tc>
        <w:tc>
          <w:tcPr>
            <w:tcW w:type="dxa" w:w="1440"/>
            <w:shd w:fill="FFDCE0" w:val="clear"/>
          </w:tcPr>
          <w:p>
            <w:r>
              <w:rPr>
                <w:b/>
                <w:color w:val="C00000"/>
                <w:sz w:val="17"/>
              </w:rPr>
              <w:t>-5.0%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1,902</w:t>
            </w:r>
          </w:p>
        </w:tc>
        <w:tc>
          <w:tcPr>
            <w:tcW w:type="dxa" w:w="1440"/>
            <w:shd w:fill="FFDCE0" w:val="clear"/>
          </w:tcPr>
          <w:p>
            <w:r>
              <w:rPr>
                <w:b/>
                <w:sz w:val="17"/>
              </w:rPr>
              <w:t>2,179</w:t>
            </w:r>
          </w:p>
        </w:tc>
        <w:tc>
          <w:tcPr>
            <w:tcW w:type="dxa" w:w="1440"/>
            <w:shd w:fill="FFDCE0" w:val="clear"/>
          </w:tcPr>
          <w:p>
            <w:r>
              <w:rPr>
                <w:sz w:val="17"/>
              </w:rPr>
              <w:t>2,456</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de l'analyse : 28 août 2026 | Cours de référence : 2 300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15,24 milliards FCFA, un niveau modeste qui la classe parmi les valeurs moyennes de la cote BRVM. Le BPA de 3 FCFA par action révèle une rentabilité par titre extrêmement faible, ce qui explique le PER de 682,6x, un niveau exceptionnellement élevé comparé à la moyenne du marché régional (8-12x). Les investisseurs paient donc un prix très élevé pour un bénéfice unitaire minime, signe d'une valorisation largement anticipative. En revanche, le P/B de 0,86x indique que le marché valorise le titre sous sa valeur comptable, suggérant une décote potentielle sur l'actif net. Enfin, l'EV/EBITDA de 25,2x, bien supérieur au seuil de 15x considéré comme exigeant, confirme que la valeur d'entreprise intégrant la dette est lourde par rapport à la capacité opérationnelle, ce qui appelle à une grande prudence sur le plan de la valorisation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BNBC a enregistré une progression spectaculaire de +44,65%, avec une légère hausse de +0,22% lors de la dernière séance, pour atteindre un cours de 2 300 FCFA, soit son plus haut niveau sur la période, contre un plus bas de 1 300 FCFA. Cette tendance fortement haussière s'accompagne de statistiques descriptives révélatrices : la moyenne de 1 776 FCFA est inférieure à la médiane de 1 875 FCFA, indiquant une distribution légèrement asymétrique avec une concentration des cours vers le haut en fin de période. L'écart-type de 223 FCFA (CV=12,6%) montre une dispersion modérée, tandis que le kurtosis de -0,919 (mésokurtique) et le skewness de -0,111 suggèrent une distribution proche de la normale, sans risque de pics extrêmes. La volatilité annualisée de 50,3% classe le titre dans la catégorie des valeurs à très haute volatilité, bien au-delà du seuil de 30%, ce qui implique un risque de variation brusque du cours dans les deux sens.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2 300 FCFA évolue nettement au-dessus de la MM20 (2 000 FCFA) et de la MM50 (1 962,8 FCFA), confirmant une dynamique haussière solide. L'écart positif entre le prix et les moyennes mobiles indique une tendance soutenue, justifiant la décision d'achat, bien que l'éloignement croissant puisse signaler une surenchère à court terme.</w:t>
      </w:r>
    </w:p>
    <w:p>
      <w:pPr>
        <w:spacing w:after="120" w:line="276" w:lineRule="auto"/>
      </w:pPr>
      <w:r>
        <w:t>**Bandes de Bollinger :** Le prix se situe au-dessus de la borne supérieure (2 233,37 FCFA), ce qui traduit une condition de surachat extrême. Cette sortie de canal indique une pression acheteuse excessive et une volatilité accrue, justifiant la décision de vente pour un éventuel retour vers la moyenne.</w:t>
      </w:r>
    </w:p>
    <w:p>
      <w:pPr>
        <w:spacing w:after="120" w:line="276" w:lineRule="auto"/>
      </w:pPr>
      <w:r>
        <w:t>**MACD :** La valeur du MACD (73,49) est nettement supérieure à son signal (41,05), montrant un momentum haussier puissant. Cette divergence positive confirme la tendance ascendante, justifiant la décision d'achat, même si l'ampleur de l'écart suggère une possible consolidation prochaine.</w:t>
      </w:r>
    </w:p>
    <w:p>
      <w:pPr>
        <w:spacing w:after="120" w:line="276" w:lineRule="auto"/>
      </w:pPr>
      <w:r>
        <w:t>**RSI :** Avec une valeur de 95,45, le RSI est en zone de surachat extrême (bien au-delà du seuil de 70). Ce niveau indique que le titre est survendu à la hausse et qu'un retournement technique est probable, justifiant la décision de vente.</w:t>
      </w:r>
    </w:p>
    <w:p>
      <w:pPr>
        <w:spacing w:after="120" w:line="276" w:lineRule="auto"/>
      </w:pPr>
      <w:r>
        <w:t>**Stochastique :** Le %K et le %D sont tous deux à 100, confirmant une condition de surachat maximal. Cette configuration extrême signale une faiblesse imminente du momentum, justifiant la décision de vente.</w:t>
      </w:r>
    </w:p>
    <w:p>
      <w:pPr>
        <w:spacing w:after="120" w:line="276" w:lineRule="auto"/>
      </w:pPr>
      <w:r>
        <w:t>**Conclusion technique :** Les indicateurs de tendance (MM, MACD) sont haussiers, mais les oscillateurs (RSI, Stochastique) et les bandes de Bollinger signalent un surachat sévère. Cette divergence entre momentum et tendance suggère un risque élevé de correction technique à court terme, malgré une tendance de fond positive.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BNBC font état d'un chiffre d'affaires de 42,45 milliards FCFA, en baisse de 6,31% par rapport à 2024 (45,31 milliards FCFA), et d'un résultat net de 22,32 millions FCFA, en amélioration par rapport aux 7,31 millions de 2024. La marge nette reste anémique à 0,05%, avec un ROE de 0,13% et un ROA de 0,05%, traduisant une rentabilité quasi nulle. Le BFR s'élève à 29,37 milliards FCFA, avec un délai clients de 104 jours et une durée de stockage de 339 jours, des niveaux élevés qui pèsent sur la trésorerie, tandis que la trésorerie nette est fortement négative à -16,69 milliards FCFA. Sur la base du rapport T1 2026 (CA stable à 11,19 milliards FCFA et résultat net positif de 65,57 millions FCFA, contre une perte de 16,15 millions au T1 2025), on estime que l'exercice 2026 pourrait voir une amélioration de la rentabilité, portée par l'intégration de la division Équipement et le développement du showroom Technibat KM4. Cependant, la persistance d'une trésorerie négative et d'une dépendance aux financements externes constitue un risque majeur, justifiant une recommandation fondamentale de prudence.</w:t>
      </w:r>
    </w:p>
    <w:p>
      <w:pPr>
        <w:spacing w:after="120" w:line="276" w:lineRule="auto"/>
      </w:pPr>
      <w:r>
        <w:t>---</w:t>
      </w:r>
    </w:p>
    <w:p>
      <w:pPr>
        <w:spacing w:after="120" w:line="276" w:lineRule="auto"/>
      </w:pPr>
      <w:r>
        <w:t>### PARTIE 4 : CONCLUSION D'INVESTISSEMENT</w:t>
      </w:r>
    </w:p>
    <w:p>
      <w:pPr>
        <w:spacing w:after="120" w:line="276" w:lineRule="auto"/>
      </w:pPr>
      <w:r>
        <w:t>La valorisation de BNBC est extrêmement exigeante, avec un PER de 682,6x et un EV/EBITDA de 25,2x, bien que le P/B de 0,86x offre une décote comptable. Le comportement du cours sur 100 jours est fortement haussier (+44,65%) mais accompagné d'une volatilité élevée (50,3%) et de statistiques indiquant une distribution proche de la normale, sans signal de retournement majeur. Les signaux techniques sont mitigés : les moyennes mobiles et le MACD sont positifs, mais le RSI à 95,45, le Stochastique à 100 et la sortie des bandes de Bollinger signalent un surachat extrême. Les fondamentaux restent fragiles, avec une rentabilité quasi nulle et une trésorerie négative, malgré une amélioration au T1 2026. Les prédictions IA (2 275 à 2 216 FCFA sur 10 jours) confirment une légère correction attendue. En synthèse, la convergence entre les signaux techniques de surachat et les prédictions IA suggère une consolidation à court terme. **Recommandation finale : CONSERVER**, avec un niveau de confiance **Moyen** et un risque global **Élevé**. L'horizon d'investissement optimal est le **moyen terme (3-12 mois)**, en attendant une confirmation de l'amélioration fondamentale et une correction technique du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415.14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5,993 titres</w:t>
            </w:r>
          </w:p>
        </w:tc>
        <w:tc>
          <w:tcPr>
            <w:tcW w:type="dxa" w:w="2268"/>
            <w:shd w:fill="FFF2CC" w:val="clear"/>
          </w:tcPr>
          <w:p>
            <w:r>
              <w:rPr>
                <w:b/>
                <w:color w:val="503200"/>
                <w:sz w:val="16"/>
              </w:rPr>
              <w:t xml:space="preserve">Cours actuel : </w:t>
            </w:r>
            <w:r>
              <w:rPr>
                <w:color w:val="000000"/>
                <w:sz w:val="17"/>
              </w:rPr>
              <w:t>10,235 FCFA</w:t>
            </w:r>
          </w:p>
          <w:p>
            <w:r>
              <w:rPr>
                <w:b/>
                <w:color w:val="503200"/>
                <w:sz w:val="16"/>
              </w:rPr>
              <w:t xml:space="preserve">Var. 100 jours : </w:t>
            </w:r>
            <w:r>
              <w:rPr>
                <w:b/>
                <w:color w:val="007800"/>
                <w:sz w:val="17"/>
              </w:rPr>
              <w:t>+36.47%</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6.54% (Moyenne) — μ=8,780 FCFA, σ=574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β=-0.3046 (Contre-cyclique) — Cov=-0.000011, Var(idx)=0.000036, ρ=-0.107,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9,350</w:t>
            </w:r>
          </w:p>
        </w:tc>
        <w:tc>
          <w:tcPr>
            <w:tcW w:type="dxa" w:w="1440"/>
            <w:shd w:fill="FFDCE0" w:val="clear"/>
          </w:tcPr>
          <w:p>
            <w:r>
              <w:rPr>
                <w:b/>
                <w:sz w:val="17"/>
              </w:rPr>
              <w:t>9,690</w:t>
            </w:r>
          </w:p>
        </w:tc>
        <w:tc>
          <w:tcPr>
            <w:tcW w:type="dxa" w:w="1440"/>
            <w:shd w:fill="FFDCE0" w:val="clear"/>
          </w:tcPr>
          <w:p>
            <w:r>
              <w:rPr>
                <w:sz w:val="17"/>
              </w:rPr>
              <w:t>10,029</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8,978</w:t>
            </w:r>
          </w:p>
        </w:tc>
        <w:tc>
          <w:tcPr>
            <w:tcW w:type="dxa" w:w="1440"/>
            <w:shd w:fill="FFDCE0" w:val="clear"/>
          </w:tcPr>
          <w:p>
            <w:r>
              <w:rPr>
                <w:b/>
                <w:sz w:val="17"/>
              </w:rPr>
              <w:t>9,447</w:t>
            </w:r>
          </w:p>
        </w:tc>
        <w:tc>
          <w:tcPr>
            <w:tcW w:type="dxa" w:w="1440"/>
            <w:shd w:fill="FFDCE0" w:val="clear"/>
          </w:tcPr>
          <w:p>
            <w:r>
              <w:rPr>
                <w:sz w:val="17"/>
              </w:rPr>
              <w:t>9,915</w:t>
            </w:r>
          </w:p>
        </w:tc>
        <w:tc>
          <w:tcPr>
            <w:tcW w:type="dxa" w:w="1440"/>
            <w:shd w:fill="FFDCE0" w:val="clear"/>
          </w:tcPr>
          <w:p>
            <w:r>
              <w:rPr>
                <w:b/>
                <w:color w:val="C00000"/>
                <w:sz w:val="17"/>
              </w:rPr>
              <w:t>-7.7%</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8,674</w:t>
            </w:r>
          </w:p>
        </w:tc>
        <w:tc>
          <w:tcPr>
            <w:tcW w:type="dxa" w:w="1440"/>
            <w:shd w:fill="FFDCE0" w:val="clear"/>
          </w:tcPr>
          <w:p>
            <w:r>
              <w:rPr>
                <w:b/>
                <w:sz w:val="17"/>
              </w:rPr>
              <w:t>9,235</w:t>
            </w:r>
          </w:p>
        </w:tc>
        <w:tc>
          <w:tcPr>
            <w:tcW w:type="dxa" w:w="1440"/>
            <w:shd w:fill="FFDCE0" w:val="clear"/>
          </w:tcPr>
          <w:p>
            <w:r>
              <w:rPr>
                <w:sz w:val="17"/>
              </w:rPr>
              <w:t>9,796</w:t>
            </w:r>
          </w:p>
        </w:tc>
        <w:tc>
          <w:tcPr>
            <w:tcW w:type="dxa" w:w="1440"/>
            <w:shd w:fill="FFDCE0" w:val="clear"/>
          </w:tcPr>
          <w:p>
            <w:r>
              <w:rPr>
                <w:b/>
                <w:color w:val="C00000"/>
                <w:sz w:val="17"/>
              </w:rPr>
              <w:t>-9.8%</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8,436</w:t>
            </w:r>
          </w:p>
        </w:tc>
        <w:tc>
          <w:tcPr>
            <w:tcW w:type="dxa" w:w="1440"/>
            <w:shd w:fill="FFDCE0" w:val="clear"/>
          </w:tcPr>
          <w:p>
            <w:r>
              <w:rPr>
                <w:b/>
                <w:sz w:val="17"/>
              </w:rPr>
              <w:t>9,072</w:t>
            </w:r>
          </w:p>
        </w:tc>
        <w:tc>
          <w:tcPr>
            <w:tcW w:type="dxa" w:w="1440"/>
            <w:shd w:fill="FFDCE0" w:val="clear"/>
          </w:tcPr>
          <w:p>
            <w:r>
              <w:rPr>
                <w:sz w:val="17"/>
              </w:rPr>
              <w:t>9,708</w:t>
            </w:r>
          </w:p>
        </w:tc>
        <w:tc>
          <w:tcPr>
            <w:tcW w:type="dxa" w:w="1440"/>
            <w:shd w:fill="FFDCE0" w:val="clear"/>
          </w:tcPr>
          <w:p>
            <w:r>
              <w:rPr>
                <w:b/>
                <w:color w:val="C00000"/>
                <w:sz w:val="17"/>
              </w:rPr>
              <w:t>-11.4%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8,231</w:t>
            </w:r>
          </w:p>
        </w:tc>
        <w:tc>
          <w:tcPr>
            <w:tcW w:type="dxa" w:w="1440"/>
            <w:shd w:fill="FFDCE0" w:val="clear"/>
          </w:tcPr>
          <w:p>
            <w:r>
              <w:rPr>
                <w:b/>
                <w:sz w:val="17"/>
              </w:rPr>
              <w:t>8,931</w:t>
            </w:r>
          </w:p>
        </w:tc>
        <w:tc>
          <w:tcPr>
            <w:tcW w:type="dxa" w:w="1440"/>
            <w:shd w:fill="FFDCE0" w:val="clear"/>
          </w:tcPr>
          <w:p>
            <w:r>
              <w:rPr>
                <w:sz w:val="17"/>
              </w:rPr>
              <w:t>9,631</w:t>
            </w:r>
          </w:p>
        </w:tc>
        <w:tc>
          <w:tcPr>
            <w:tcW w:type="dxa" w:w="1440"/>
            <w:shd w:fill="FFDCE0" w:val="clear"/>
          </w:tcPr>
          <w:p>
            <w:r>
              <w:rPr>
                <w:b/>
                <w:color w:val="C00000"/>
                <w:sz w:val="17"/>
              </w:rPr>
              <w:t>-12.7%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8,046</w:t>
            </w:r>
          </w:p>
        </w:tc>
        <w:tc>
          <w:tcPr>
            <w:tcW w:type="dxa" w:w="1440"/>
            <w:shd w:fill="FFDCE0" w:val="clear"/>
          </w:tcPr>
          <w:p>
            <w:r>
              <w:rPr>
                <w:b/>
                <w:sz w:val="17"/>
              </w:rPr>
              <w:t>8,802</w:t>
            </w:r>
          </w:p>
        </w:tc>
        <w:tc>
          <w:tcPr>
            <w:tcW w:type="dxa" w:w="1440"/>
            <w:shd w:fill="FFDCE0" w:val="clear"/>
          </w:tcPr>
          <w:p>
            <w:r>
              <w:rPr>
                <w:sz w:val="17"/>
              </w:rPr>
              <w:t>9,558</w:t>
            </w:r>
          </w:p>
        </w:tc>
        <w:tc>
          <w:tcPr>
            <w:tcW w:type="dxa" w:w="1440"/>
            <w:shd w:fill="FFDCE0" w:val="clear"/>
          </w:tcPr>
          <w:p>
            <w:r>
              <w:rPr>
                <w:b/>
                <w:color w:val="C00000"/>
                <w:sz w:val="17"/>
              </w:rPr>
              <w:t>-14.0%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7,876</w:t>
            </w:r>
          </w:p>
        </w:tc>
        <w:tc>
          <w:tcPr>
            <w:tcW w:type="dxa" w:w="1440"/>
            <w:shd w:fill="FFDCE0" w:val="clear"/>
          </w:tcPr>
          <w:p>
            <w:r>
              <w:rPr>
                <w:b/>
                <w:sz w:val="17"/>
              </w:rPr>
              <w:t>8,681</w:t>
            </w:r>
          </w:p>
        </w:tc>
        <w:tc>
          <w:tcPr>
            <w:tcW w:type="dxa" w:w="1440"/>
            <w:shd w:fill="FFDCE0" w:val="clear"/>
          </w:tcPr>
          <w:p>
            <w:r>
              <w:rPr>
                <w:sz w:val="17"/>
              </w:rPr>
              <w:t>9,487</w:t>
            </w:r>
          </w:p>
        </w:tc>
        <w:tc>
          <w:tcPr>
            <w:tcW w:type="dxa" w:w="1440"/>
            <w:shd w:fill="FFDCE0" w:val="clear"/>
          </w:tcPr>
          <w:p>
            <w:r>
              <w:rPr>
                <w:b/>
                <w:color w:val="C00000"/>
                <w:sz w:val="17"/>
              </w:rPr>
              <w:t>-15.2%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7,719</w:t>
            </w:r>
          </w:p>
        </w:tc>
        <w:tc>
          <w:tcPr>
            <w:tcW w:type="dxa" w:w="1440"/>
            <w:shd w:fill="FFDCE0" w:val="clear"/>
          </w:tcPr>
          <w:p>
            <w:r>
              <w:rPr>
                <w:b/>
                <w:sz w:val="17"/>
              </w:rPr>
              <w:t>8,569</w:t>
            </w:r>
          </w:p>
        </w:tc>
        <w:tc>
          <w:tcPr>
            <w:tcW w:type="dxa" w:w="1440"/>
            <w:shd w:fill="FFDCE0" w:val="clear"/>
          </w:tcPr>
          <w:p>
            <w:r>
              <w:rPr>
                <w:sz w:val="17"/>
              </w:rPr>
              <w:t>9,419</w:t>
            </w:r>
          </w:p>
        </w:tc>
        <w:tc>
          <w:tcPr>
            <w:tcW w:type="dxa" w:w="1440"/>
            <w:shd w:fill="FFDCE0" w:val="clear"/>
          </w:tcPr>
          <w:p>
            <w:r>
              <w:rPr>
                <w:b/>
                <w:color w:val="C00000"/>
                <w:sz w:val="17"/>
              </w:rPr>
              <w:t>-16.3%</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7,573</w:t>
            </w:r>
          </w:p>
        </w:tc>
        <w:tc>
          <w:tcPr>
            <w:tcW w:type="dxa" w:w="1440"/>
            <w:shd w:fill="FFDCE0" w:val="clear"/>
          </w:tcPr>
          <w:p>
            <w:r>
              <w:rPr>
                <w:b/>
                <w:sz w:val="17"/>
              </w:rPr>
              <w:t>8,463</w:t>
            </w:r>
          </w:p>
        </w:tc>
        <w:tc>
          <w:tcPr>
            <w:tcW w:type="dxa" w:w="1440"/>
            <w:shd w:fill="FFDCE0" w:val="clear"/>
          </w:tcPr>
          <w:p>
            <w:r>
              <w:rPr>
                <w:sz w:val="17"/>
              </w:rPr>
              <w:t>9,353</w:t>
            </w:r>
          </w:p>
        </w:tc>
        <w:tc>
          <w:tcPr>
            <w:tcW w:type="dxa" w:w="1440"/>
            <w:shd w:fill="FFDCE0" w:val="clear"/>
          </w:tcPr>
          <w:p>
            <w:r>
              <w:rPr>
                <w:b/>
                <w:color w:val="C00000"/>
                <w:sz w:val="17"/>
              </w:rPr>
              <w:t>-17.3%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7,436</w:t>
            </w:r>
          </w:p>
        </w:tc>
        <w:tc>
          <w:tcPr>
            <w:tcW w:type="dxa" w:w="1440"/>
            <w:shd w:fill="FFDCE0" w:val="clear"/>
          </w:tcPr>
          <w:p>
            <w:r>
              <w:rPr>
                <w:b/>
                <w:sz w:val="17"/>
              </w:rPr>
              <w:t>8,363</w:t>
            </w:r>
          </w:p>
        </w:tc>
        <w:tc>
          <w:tcPr>
            <w:tcW w:type="dxa" w:w="1440"/>
            <w:shd w:fill="FFDCE0" w:val="clear"/>
          </w:tcPr>
          <w:p>
            <w:r>
              <w:rPr>
                <w:sz w:val="17"/>
              </w:rPr>
              <w:t>9,291</w:t>
            </w:r>
          </w:p>
        </w:tc>
        <w:tc>
          <w:tcPr>
            <w:tcW w:type="dxa" w:w="1440"/>
            <w:shd w:fill="FFDCE0" w:val="clear"/>
          </w:tcPr>
          <w:p>
            <w:r>
              <w:rPr>
                <w:b/>
                <w:color w:val="C00000"/>
                <w:sz w:val="17"/>
              </w:rPr>
              <w:t>-18.3%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415,14 milliards FCFA, ce qui positionne la banque parmi les valeurs à grande capitalisation de la BRVM, lui conférant une liquidité et une visibilité institutionnelle notables. Avec un BPA de 496 FCFA, chaque action génère un bénéfice substantiel, mais le PER de 20,6x indique que les investisseurs paient une prime significative par rapport à la moyenne historique du marché (~8-12x), traduisant des anticipations de croissance élevées. Le P/B de 3,53x confirme cette prime, le marché valorisant la banque bien au-dessus de sa valeur comptable, ce qui est typique des titres de croissance. Enfin, l'EV/EBITDA de 20,9x, nettement supérieur au seuil exigeant de 15x, souligne une valorisation très ambitieuse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spectaculaire de +36,47%, avec une dernière séance en hausse de +2,35% à 10 235 FCFA, démontrant une dynamique haussière soutenue. Le titre a évolué dans une fourchette de 7 400 FCFA (plus bas) à 10 350 FCFA (plus haut), soit une amplitude de près de 40%, indiquant un intérêt marqué des investisseurs. La moyenne (8 780 FCFA) et la médiane (8 788 FCFA) étant quasi identiques, la distribution des cours est symétrique sur la période, bien que le skewness légèrement négatif (-0,241) suggère une propension aux petites baisses après les pics. L'écart-type de 577 FCFA (CV=6,6%) révèle une dispersion modérée autour de la moyenne, tandis que le kurtosis de 0,941 (mésokurtique) indique une distribution proche de la normale, sans risque de variations extrêmes. La volatilité annualisée de 27,2% classe le titre dans la catégorie modérée à élevée, reflétant un risque mesurable mais non excessif.</w:t>
      </w:r>
    </w:p>
    <w:p>
      <w:pPr>
        <w:spacing w:after="120" w:line="276" w:lineRule="auto" w:before="240"/>
      </w:pPr>
      <w:r>
        <w:rPr>
          <w:b/>
          <w:color w:val="003366"/>
          <w:sz w:val="24"/>
        </w:rPr>
        <w:t>**PARTIE 2 : ANALYSE TECHNIQUE DÉTAILLÉE**</w:t>
      </w:r>
    </w:p>
    <w:p>
      <w:pPr>
        <w:spacing w:after="120" w:line="276" w:lineRule="auto"/>
      </w:pPr>
      <w:r>
        <w:t>**Moyennes Mobiles** : Le cours actuel de 10 235 FCFA se situe nettement au-dessus de la MM20 (9 146,75 FCFA) et de la MM50 (8 967,3 FCFA), confirmant une tendance haussière robuste à court et moyen terme. L'écart positif entre le prix et les moyennes mobiles valide la dynamique positive, justifiant la décision d'achat.</w:t>
      </w:r>
    </w:p>
    <w:p>
      <w:pPr>
        <w:spacing w:after="120" w:line="276" w:lineRule="auto"/>
      </w:pPr>
      <w:r>
        <w:t>**Bandes de Bollinger** : Le prix évolue près de la borne supérieure (10 394,87 FCFA), indiquant une pression acheteuse forte, mais la proximité de cette borne suggère une possible consolidation technique. La décision neutre reflète l'équilibre entre la force de la tendance et le risque de correction après une hausse aussi rapide.</w:t>
      </w:r>
    </w:p>
    <w:p>
      <w:pPr>
        <w:spacing w:after="120" w:line="276" w:lineRule="auto"/>
      </w:pPr>
      <w:r>
        <w:t>**MACD** : La valeur du MACD (362,95) est nettement supérieure à son signal (207,14), confirmant un momentum haussier solide. La divergence positive indique que la dynamique de prix reste favorable, justifiant la décision d'achat, bien que l'écart important puisse signaler une exubérance à court terme.</w:t>
      </w:r>
    </w:p>
    <w:p>
      <w:pPr>
        <w:spacing w:after="120" w:line="276" w:lineRule="auto"/>
      </w:pPr>
      <w:r>
        <w:t>**RSI** : À 75,89, le RSI est en zone de surachat (&gt;70), signalant que le titre est techniquement surévalué à court terme. Cette situation suggère une probabilité accrue de correction ou de consolidation, justifiant la décision de vente pour les traders à court terme.</w:t>
      </w:r>
    </w:p>
    <w:p>
      <w:pPr>
        <w:spacing w:after="120" w:line="276" w:lineRule="auto"/>
      </w:pPr>
      <w:r>
        <w:t>**Stochastique** : Avec %K à 93,24 et %D à 90,88, l'oscillateur est profondément en zone de surachat, renforçant le signal de prudence. Le niveau extrême indique que la pression acheteuse est potentiellement épuisée, justifiant la décision de vente.</w:t>
      </w:r>
    </w:p>
    <w:p>
      <w:pPr>
        <w:spacing w:after="120" w:line="276" w:lineRule="auto"/>
      </w:pPr>
      <w:r>
        <w:t>**Conclusion technique** : Les indicateurs de tendance (MM, MACD) sont résolument haussiers, mais les oscillateurs de momentum (RSI, Stochastique) signalent un surachat extrême. Cette divergence suggère une poursuite possible de la tendance à moyen terme, mais avec un risque élevé de correction technique à court terme. Les bandes de Bollinger neutres confirment cette incertitude.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 révèlent une banque performante avec un PNB de 51,274 milliards FCFA et un résultat net de 20,107 milliards FCFA, démontrant une marge nette de 39,2%. Le ROE de 17,11% et le ROA de 2,08% confirment une rentabilité solide, tandis que le coefficient d'exploitation de 49,53% témoigne d'une excellente maîtrise des charges. Le coût du risque de 22,50% reste élevé, indiquant un portefeuille de crédits avec des provisions significatives. Les dépôts clients (711,64 milliards FCFA) couvrent largement les créances clients (391,72 milliards FCFA), assurant une transformation saine. Le rapport du T3 2025 (publié en 2025) montre une dynamique positive avec un PNB de 37,065 milliards FCFA (+9% en glissement annuel) et un résultat net de 15,88 milliards FCFA (+13%), malgré une contraction des crédits (-10%) et des dépôts (-5%). Le rapport du S1 2025 confirme cette tendance avec un PNB de 24,556 milliards FCFA (+5,91%) et un ROE de 20,3%, bien que le coût du risque ait fortement augmenté (+394,66%). Le rapport T1 2025 (11,081 milliards FCFA de PNB, +1,7%) et le rapport T1 2026 (12,329 milliards FCFA, +11%) montrent une accélération de la croissance des revenus, avec une amélioration des commissions (+18,9%). En 2024, le résultat net était de 19,647 milliards FCFA (-8,7% vs 2023), mais l'augmentation de capital (de 20,3 à 40,6 milliards FCFA) a renforcé la base financière. La banque semble privilégier la rentabilité à la croissance volumique, avec une amélioration remarquable de l'efficacité opérationnelle. Les fondamentaux sont solides, mais le coût du risque et la contraction du bilan restent des points de vigilance.</w:t>
      </w:r>
    </w:p>
    <w:p>
      <w:pPr>
        <w:spacing w:after="120" w:line="276" w:lineRule="auto" w:before="240"/>
      </w:pPr>
      <w:r>
        <w:rPr>
          <w:b/>
          <w:color w:val="003366"/>
          <w:sz w:val="24"/>
        </w:rPr>
        <w:t>**PARTIE 4 : CONCLUSION D'INVESTISSEMENT**</w:t>
      </w:r>
    </w:p>
    <w:p>
      <w:pPr>
        <w:spacing w:after="120" w:line="276" w:lineRule="auto"/>
      </w:pPr>
      <w:r>
        <w:t>La valorisation de BOAB (PER 20,6x, P/B 3,53x, EV/EBITDA 20,9x) est exigeante, reflétant des anticipations de croissance élevées qui pourraient limiter le potentiel de hausse supplémentaire. Le comportement du cours (+36,47% sur 100 jours) montre une tendance haussière forte, mais la volatilité de 27,2% et les statistiques (kurtosis mésokurtique, skewness légèrement négatif) suggèrent un risque de consolidation. Les signaux techniques sont mitigés : les indicateurs de tendance (MM, MACD) sont positifs, mais les oscillateurs (RSI 75,89, Stochastique 93,24) sont en surachat extrême, indiquant un risque de correction à court terme. Les fondamentaux sont solides avec un ROE de 17,11%, un coefficient d'exploitation de 49,53% et une croissance du PNB de 10,2%, bien que le coût du risque reste élevé. Les prédictions IA (J+1 à J+10) prévoient une baisse progressive de 9 690 à 8 931 FCFA, contredisant la tendance haussière actuelle et suggérant une correction technique. La convergence entre les signaux de surachat technique et les prédictions IA indique un risque de repli à court terme. **Recommandation : CONSERVER** — la solidité fondamentale justifie de maintenir les positions, mais la valorisation élevée et les signaux techniques de surachat recommandent de ne pas renforcer à ces niveaux. **Niveau de confiance : Moyen** — la divergence entre les fondamentaux solides et les signaux techniques justifie une approche prudente. **Risque global : Élevé** — la prime de valorisation et la volatilité accrue augmentent le risque de perte en capital à court terme. **Horizon d'investissement optimal : Moyen terme (3-12 mois)** — attendre une correction technique pour entrer ou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6,284 titres</w:t>
            </w:r>
          </w:p>
        </w:tc>
        <w:tc>
          <w:tcPr>
            <w:tcW w:type="dxa" w:w="2268"/>
            <w:shd w:fill="FFF2CC" w:val="clear"/>
          </w:tcPr>
          <w:p>
            <w:r>
              <w:rPr>
                <w:b/>
                <w:color w:val="503200"/>
                <w:sz w:val="16"/>
              </w:rPr>
              <w:t xml:space="preserve">Cours actuel : </w:t>
            </w:r>
            <w:r>
              <w:rPr>
                <w:color w:val="000000"/>
                <w:sz w:val="17"/>
              </w:rPr>
              <w:t>8,900 FCFA</w:t>
            </w:r>
          </w:p>
          <w:p>
            <w:r>
              <w:rPr>
                <w:b/>
                <w:color w:val="503200"/>
                <w:sz w:val="16"/>
              </w:rPr>
              <w:t xml:space="preserve">Var. 100 jours : </w:t>
            </w:r>
            <w:r>
              <w:rPr>
                <w:b/>
                <w:color w:val="007800"/>
                <w:sz w:val="17"/>
              </w:rPr>
              <w:t>+58.93%</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14.51% (Moyenne) — μ=6,150 FCFA, σ=892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β=0.1540 (Défensif) — Cov=0.000006, Var(idx)=0.000036, ρ=0.044,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8,028</w:t>
            </w:r>
          </w:p>
        </w:tc>
        <w:tc>
          <w:tcPr>
            <w:tcW w:type="dxa" w:w="1440"/>
            <w:shd w:fill="FFDCE0" w:val="clear"/>
          </w:tcPr>
          <w:p>
            <w:r>
              <w:rPr>
                <w:b/>
                <w:sz w:val="17"/>
              </w:rPr>
              <w:t>8,403</w:t>
            </w:r>
          </w:p>
        </w:tc>
        <w:tc>
          <w:tcPr>
            <w:tcW w:type="dxa" w:w="1440"/>
            <w:shd w:fill="FFDCE0" w:val="clear"/>
          </w:tcPr>
          <w:p>
            <w:r>
              <w:rPr>
                <w:sz w:val="17"/>
              </w:rPr>
              <w:t>8,779</w:t>
            </w:r>
          </w:p>
        </w:tc>
        <w:tc>
          <w:tcPr>
            <w:tcW w:type="dxa" w:w="1440"/>
            <w:shd w:fill="FFDCE0" w:val="clear"/>
          </w:tcPr>
          <w:p>
            <w:r>
              <w:rPr>
                <w:b/>
                <w:color w:val="C00000"/>
                <w:sz w:val="17"/>
              </w:rPr>
              <w:t>-5.6%</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7,547</w:t>
            </w:r>
          </w:p>
        </w:tc>
        <w:tc>
          <w:tcPr>
            <w:tcW w:type="dxa" w:w="1440"/>
            <w:shd w:fill="FFDCE0" w:val="clear"/>
          </w:tcPr>
          <w:p>
            <w:r>
              <w:rPr>
                <w:b/>
                <w:sz w:val="17"/>
              </w:rPr>
              <w:t>8,056</w:t>
            </w:r>
          </w:p>
        </w:tc>
        <w:tc>
          <w:tcPr>
            <w:tcW w:type="dxa" w:w="1440"/>
            <w:shd w:fill="FFDCE0" w:val="clear"/>
          </w:tcPr>
          <w:p>
            <w:r>
              <w:rPr>
                <w:sz w:val="17"/>
              </w:rPr>
              <w:t>8,565</w:t>
            </w:r>
          </w:p>
        </w:tc>
        <w:tc>
          <w:tcPr>
            <w:tcW w:type="dxa" w:w="1440"/>
            <w:shd w:fill="FFDCE0" w:val="clear"/>
          </w:tcPr>
          <w:p>
            <w:r>
              <w:rPr>
                <w:b/>
                <w:color w:val="C00000"/>
                <w:sz w:val="17"/>
              </w:rPr>
              <w:t>-9.5%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7,231</w:t>
            </w:r>
          </w:p>
        </w:tc>
        <w:tc>
          <w:tcPr>
            <w:tcW w:type="dxa" w:w="1440"/>
            <w:shd w:fill="FFDCE0" w:val="clear"/>
          </w:tcPr>
          <w:p>
            <w:r>
              <w:rPr>
                <w:b/>
                <w:sz w:val="17"/>
              </w:rPr>
              <w:t>7,837</w:t>
            </w:r>
          </w:p>
        </w:tc>
        <w:tc>
          <w:tcPr>
            <w:tcW w:type="dxa" w:w="1440"/>
            <w:shd w:fill="FFDCE0" w:val="clear"/>
          </w:tcPr>
          <w:p>
            <w:r>
              <w:rPr>
                <w:sz w:val="17"/>
              </w:rPr>
              <w:t>8,443</w:t>
            </w:r>
          </w:p>
        </w:tc>
        <w:tc>
          <w:tcPr>
            <w:tcW w:type="dxa" w:w="1440"/>
            <w:shd w:fill="FFDCE0" w:val="clear"/>
          </w:tcPr>
          <w:p>
            <w:r>
              <w:rPr>
                <w:b/>
                <w:color w:val="C00000"/>
                <w:sz w:val="17"/>
              </w:rPr>
              <w:t>-11.9%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7,011</w:t>
            </w:r>
          </w:p>
        </w:tc>
        <w:tc>
          <w:tcPr>
            <w:tcW w:type="dxa" w:w="1440"/>
            <w:shd w:fill="FFDCE0" w:val="clear"/>
          </w:tcPr>
          <w:p>
            <w:r>
              <w:rPr>
                <w:b/>
                <w:sz w:val="17"/>
              </w:rPr>
              <w:t>7,699</w:t>
            </w:r>
          </w:p>
        </w:tc>
        <w:tc>
          <w:tcPr>
            <w:tcW w:type="dxa" w:w="1440"/>
            <w:shd w:fill="FFDCE0" w:val="clear"/>
          </w:tcPr>
          <w:p>
            <w:r>
              <w:rPr>
                <w:sz w:val="17"/>
              </w:rPr>
              <w:t>8,387</w:t>
            </w:r>
          </w:p>
        </w:tc>
        <w:tc>
          <w:tcPr>
            <w:tcW w:type="dxa" w:w="1440"/>
            <w:shd w:fill="FFDCE0" w:val="clear"/>
          </w:tcPr>
          <w:p>
            <w:r>
              <w:rPr>
                <w:b/>
                <w:color w:val="C00000"/>
                <w:sz w:val="17"/>
              </w:rPr>
              <w:t>-13.5%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6,838</w:t>
            </w:r>
          </w:p>
        </w:tc>
        <w:tc>
          <w:tcPr>
            <w:tcW w:type="dxa" w:w="1440"/>
            <w:shd w:fill="FFDCE0" w:val="clear"/>
          </w:tcPr>
          <w:p>
            <w:r>
              <w:rPr>
                <w:b/>
                <w:sz w:val="17"/>
              </w:rPr>
              <w:t>7,597</w:t>
            </w:r>
          </w:p>
        </w:tc>
        <w:tc>
          <w:tcPr>
            <w:tcW w:type="dxa" w:w="1440"/>
            <w:shd w:fill="FFDCE0" w:val="clear"/>
          </w:tcPr>
          <w:p>
            <w:r>
              <w:rPr>
                <w:sz w:val="17"/>
              </w:rPr>
              <w:t>8,356</w:t>
            </w:r>
          </w:p>
        </w:tc>
        <w:tc>
          <w:tcPr>
            <w:tcW w:type="dxa" w:w="1440"/>
            <w:shd w:fill="FFDCE0" w:val="clear"/>
          </w:tcPr>
          <w:p>
            <w:r>
              <w:rPr>
                <w:b/>
                <w:color w:val="C00000"/>
                <w:sz w:val="17"/>
              </w:rPr>
              <w:t>-14.6%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6,687</w:t>
            </w:r>
          </w:p>
        </w:tc>
        <w:tc>
          <w:tcPr>
            <w:tcW w:type="dxa" w:w="1440"/>
            <w:shd w:fill="FFDCE0" w:val="clear"/>
          </w:tcPr>
          <w:p>
            <w:r>
              <w:rPr>
                <w:b/>
                <w:sz w:val="17"/>
              </w:rPr>
              <w:t>7,509</w:t>
            </w:r>
          </w:p>
        </w:tc>
        <w:tc>
          <w:tcPr>
            <w:tcW w:type="dxa" w:w="1440"/>
            <w:shd w:fill="FFDCE0" w:val="clear"/>
          </w:tcPr>
          <w:p>
            <w:r>
              <w:rPr>
                <w:sz w:val="17"/>
              </w:rPr>
              <w:t>8,330</w:t>
            </w:r>
          </w:p>
        </w:tc>
        <w:tc>
          <w:tcPr>
            <w:tcW w:type="dxa" w:w="1440"/>
            <w:shd w:fill="FFDCE0" w:val="clear"/>
          </w:tcPr>
          <w:p>
            <w:r>
              <w:rPr>
                <w:b/>
                <w:color w:val="C00000"/>
                <w:sz w:val="17"/>
              </w:rPr>
              <w:t>-15.6%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6,549</w:t>
            </w:r>
          </w:p>
        </w:tc>
        <w:tc>
          <w:tcPr>
            <w:tcW w:type="dxa" w:w="1440"/>
            <w:shd w:fill="FFDCE0" w:val="clear"/>
          </w:tcPr>
          <w:p>
            <w:r>
              <w:rPr>
                <w:b/>
                <w:sz w:val="17"/>
              </w:rPr>
              <w:t>7,426</w:t>
            </w:r>
          </w:p>
        </w:tc>
        <w:tc>
          <w:tcPr>
            <w:tcW w:type="dxa" w:w="1440"/>
            <w:shd w:fill="FFDCE0" w:val="clear"/>
          </w:tcPr>
          <w:p>
            <w:r>
              <w:rPr>
                <w:sz w:val="17"/>
              </w:rPr>
              <w:t>8,304</w:t>
            </w:r>
          </w:p>
        </w:tc>
        <w:tc>
          <w:tcPr>
            <w:tcW w:type="dxa" w:w="1440"/>
            <w:shd w:fill="FFDCE0" w:val="clear"/>
          </w:tcPr>
          <w:p>
            <w:r>
              <w:rPr>
                <w:b/>
                <w:color w:val="C00000"/>
                <w:sz w:val="17"/>
              </w:rPr>
              <w:t>-16.6%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6,419</w:t>
            </w:r>
          </w:p>
        </w:tc>
        <w:tc>
          <w:tcPr>
            <w:tcW w:type="dxa" w:w="1440"/>
            <w:shd w:fill="FFDCE0" w:val="clear"/>
          </w:tcPr>
          <w:p>
            <w:r>
              <w:rPr>
                <w:b/>
                <w:sz w:val="17"/>
              </w:rPr>
              <w:t>7,347</w:t>
            </w:r>
          </w:p>
        </w:tc>
        <w:tc>
          <w:tcPr>
            <w:tcW w:type="dxa" w:w="1440"/>
            <w:shd w:fill="FFDCE0" w:val="clear"/>
          </w:tcPr>
          <w:p>
            <w:r>
              <w:rPr>
                <w:sz w:val="17"/>
              </w:rPr>
              <w:t>8,276</w:t>
            </w:r>
          </w:p>
        </w:tc>
        <w:tc>
          <w:tcPr>
            <w:tcW w:type="dxa" w:w="1440"/>
            <w:shd w:fill="FFDCE0" w:val="clear"/>
          </w:tcPr>
          <w:p>
            <w:r>
              <w:rPr>
                <w:b/>
                <w:color w:val="C00000"/>
                <w:sz w:val="17"/>
              </w:rPr>
              <w:t>-17.4%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6,297</w:t>
            </w:r>
          </w:p>
        </w:tc>
        <w:tc>
          <w:tcPr>
            <w:tcW w:type="dxa" w:w="1440"/>
            <w:shd w:fill="FFDCE0" w:val="clear"/>
          </w:tcPr>
          <w:p>
            <w:r>
              <w:rPr>
                <w:b/>
                <w:sz w:val="17"/>
              </w:rPr>
              <w:t>7,271</w:t>
            </w:r>
          </w:p>
        </w:tc>
        <w:tc>
          <w:tcPr>
            <w:tcW w:type="dxa" w:w="1440"/>
            <w:shd w:fill="FFDCE0" w:val="clear"/>
          </w:tcPr>
          <w:p>
            <w:r>
              <w:rPr>
                <w:sz w:val="17"/>
              </w:rPr>
              <w:t>8,245</w:t>
            </w:r>
          </w:p>
        </w:tc>
        <w:tc>
          <w:tcPr>
            <w:tcW w:type="dxa" w:w="1440"/>
            <w:shd w:fill="FFDCE0" w:val="clear"/>
          </w:tcPr>
          <w:p>
            <w:r>
              <w:rPr>
                <w:b/>
                <w:color w:val="C00000"/>
                <w:sz w:val="17"/>
              </w:rPr>
              <w:t>-18.3%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6,181</w:t>
            </w:r>
          </w:p>
        </w:tc>
        <w:tc>
          <w:tcPr>
            <w:tcW w:type="dxa" w:w="1440"/>
            <w:shd w:fill="FFDCE0" w:val="clear"/>
          </w:tcPr>
          <w:p>
            <w:r>
              <w:rPr>
                <w:b/>
                <w:sz w:val="17"/>
              </w:rPr>
              <w:t>7,197</w:t>
            </w:r>
          </w:p>
        </w:tc>
        <w:tc>
          <w:tcPr>
            <w:tcW w:type="dxa" w:w="1440"/>
            <w:shd w:fill="FFDCE0" w:val="clear"/>
          </w:tcPr>
          <w:p>
            <w:r>
              <w:rPr>
                <w:sz w:val="17"/>
              </w:rPr>
              <w:t>8,214</w:t>
            </w:r>
          </w:p>
        </w:tc>
        <w:tc>
          <w:tcPr>
            <w:tcW w:type="dxa" w:w="1440"/>
            <w:shd w:fill="FFDCE0" w:val="clear"/>
          </w:tcPr>
          <w:p>
            <w:r>
              <w:rPr>
                <w:b/>
                <w:color w:val="C00000"/>
                <w:sz w:val="17"/>
              </w:rPr>
              <w:t>-19.1%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391,60 milliards FCFA, ce qui positionne la banque parmi les valeurs moyennes à grandes de la BRVM, avec un poids significatif dans l'indice bancaire. Le BPA de 438 FCFA indique que chaque action génère un bénéfice confortable, mais le PER de 20,3x est nettement supérieur à la moyenne historique de la BRVM (8-12x), signalant que les investisseurs paient une prime substantielle pour la croissance anticipée. Le P/B de 3,10x confirme cette prime, le marché valorisant la banque à plus de trois fois sa valeur comptable, ce qui reflète des attentes élevées de rendement futur. Enfin, l'EV/EBITDA de 9,4x se situe dans la fourchette haute mais raisonnable (5-10x), indiquant une valorisation opérationnelle soutenable. L'ensemble de ces ratios suggère un titre généreusement valorisé, intégrant des hypothèses de croissance ambitieuses.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+58,93%, avec une légère correction de -2,09% lors de la dernière séance, témoignant d'un momentum haussier très puissant. Le cours a évolué dans une fourchette large de 5 235 FCFA (plus bas) à 9 090 FCFA (plus haut), démontrant une forte amplitude de trading. La moyenne (6 150 FCFA) est nettement supérieure à la médiane (5 648 FCFA), et le skewness positif de 1,182 confirme une distribution asymétrique avec des journées majoritairement sous la moyenne mais des épisodes de hausse violente. L'écart-type de 897 FCFA (CV=14,6%) indique une dispersion modérée, tandis que le kurtosis de 0,581 (mésokurtique) suggère un risque de pics limité. La volatilité annualisée de 33,3% classe le titre comme très volatil (&gt;30%), ce qui implique des fluctuations importantes et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(8 900 FCFA) évolue nettement au-dessus de la MM20 (7 532 FCFA) et de la MM50 (6 789 FCFA), confirmant une tendance haussière solide. L'écart croissant entre les deux moyennes indique une accélération du mouvement, justifiant la décision d'achat, bien que cet écart suggère également une possible surabondance à court terme.</w:t>
      </w:r>
    </w:p>
    <w:p>
      <w:pPr>
        <w:spacing w:after="120" w:line="276" w:lineRule="auto"/>
      </w:pPr>
      <w:r>
        <w:t>**Bandes de Bollinger** : Le prix se situe au-dessus de la borne supérieure (8 766 FCFA), ce qui est un signal classique de surachat. Cette sortie de bande indique une volatilité extrême et une pression acheteuse excessive, justifiant la décision de vente. Un retour à l'intérieur des bandes est statistiquement probable à court terme.</w:t>
      </w:r>
    </w:p>
    <w:p>
      <w:pPr>
        <w:spacing w:after="120" w:line="276" w:lineRule="auto"/>
      </w:pPr>
      <w:r>
        <w:t>**MACD** : La valeur du MACD (491,6) est nettement supérieure à son signal (339,4), avec un écart positif croissant. Cette configuration confirme un momentum haussier robuste, la décision d'achat étant justifiée par la dynamique positive, bien que l'amplitude de l'écart puisse signaler une maturité du mouvement.</w:t>
      </w:r>
    </w:p>
    <w:p>
      <w:pPr>
        <w:spacing w:after="120" w:line="276" w:lineRule="auto"/>
      </w:pPr>
      <w:r>
        <w:t>**RSI** : À 81,5, le RSI est profondément en zone de surachat (&gt;70), indiquant que le titre est survendu à la hausse. Cette valeur extrême suggère une correction imminente, justifiant la décision de vente, car la pression acheteuse atteint des niveaux historiquement intenables.</w:t>
      </w:r>
    </w:p>
    <w:p>
      <w:pPr>
        <w:spacing w:after="120" w:line="276" w:lineRule="auto"/>
      </w:pPr>
      <w:r>
        <w:t>**Stochastique** : Le %K (90,5) et le %D (96,8) sont tous deux en zone de surachat extrême (&gt;80), avec un %D supérieur au %K, signalant un essoufflement du momentum. Cette configuration justifie la décision de vente, car elle précède généralement un retournement baissier.</w:t>
      </w:r>
    </w:p>
    <w:p>
      <w:pPr>
        <w:spacing w:after="120" w:line="276" w:lineRule="auto"/>
      </w:pPr>
      <w:r>
        <w:t>**Conclusion technique** : Les indicateurs de tendance (MM, MACD) sont résolument haussiers, mais les oscillateurs (RSI, Stochastique, Bollinger) sont tous en surachat extrême, créant une divergence classique. Cette configuration suggère une poursuite possible de la tendance à moyen terme, mais avec un risque élevé de correction technique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BOABF révèlent une banque solide mais sous pression : le Produit Net Bancaire s'établit à 57,82 milliards FCFA, avec un résultat net de 19,25 milliards FCFA, soit une marge nette de 33,3%. Le ROE de 15,2% reste excellent (&gt;15%), tandis que le ROA de 1,68% est correct pour le secteur. Le coefficient d'exploitation de 47,2% démontre une excellente maîtrise des charges, mais le coût du risque de 33,9% est préoccupant, reflétant une dégradation de la qualité du portefeuille de crédits. Les dépôts clientèle (877,8 milliards) couvrent largement les crédits (474,1 milliards), indiquant une transformation saine. Les rapports trimestriels 2025 confirment cette tendance : le T1 2025 (PNB 14,22 milliards, +2,3%) et le S1 2025 (PNB 29,06 milliards, +1,4%) montrent une stagnation de l'activité, mais surtout une chute du résultat net de -46,5% au S1, due à une explosion du coût du risque (+1336%). Le T3 2025 (PNB 43,28 milliards, +0,85%) confirme la tendance avec un résultat net en baisse de -27,7%. Le rapport T1 2026 (PNB 12,69 milliards, -10,75%) indique une détérioration supplémentaire. On estime que l'exercice 2026 pourrait voir un PNB autour de 55-56 milliards et un résultat net sous pression, autour de 15-16 milliards, si le coût du risque reste élevé.</w:t>
      </w:r>
    </w:p>
    <w:p>
      <w:pPr>
        <w:spacing w:after="120" w:line="276" w:lineRule="auto" w:before="240"/>
      </w:pPr>
      <w:r>
        <w:rPr>
          <w:b/>
          <w:color w:val="003366"/>
          <w:sz w:val="24"/>
        </w:rPr>
        <w:t>**PARTIE 4 : CONCLUSION D'INVESTISSEMENT**</w:t>
      </w:r>
    </w:p>
    <w:p>
      <w:pPr>
        <w:spacing w:after="120" w:line="276" w:lineRule="auto"/>
      </w:pPr>
      <w:r>
        <w:t>La valorisation actuelle de BOABF (PER 20,3x, P/B 3,10x) est clairement surévaluée par rapport aux fondamentaux, avec une prime qui ne se justifie pas par la croissance réelle (PNB atone). Le comportement du cours (+58,93% en 100 jours) et la volatilité élevée (33,3%) indiquent un mouvement spéculatif, avec des statistiques (skewness positif, kurtosis mésokurtique) suggérant une poursuite possible mais risquée. Les signaux techniques sont contradictoires : tendance haussière (MM, MACD) mais surachat extrême (RSI 81,5, Stochastique 96,8, sortie de Bollinger), suggérant une correction probable. Les fondamentaux, bien que solides (ROE 15,2%, coefficient d'exploitation 47,2%), se dégradent avec un coût du risque élevé et une rentabilité en chute. Les prédictions IA (8 403 → 7 597 FCFA sur 10 jours) confirment un scénario de correction. La convergence des signaux de surachat technique et de dégradation fondamentale, malgré une tendance haussière résiduelle, conduit à une recommandation **CONSERVER**, avec un niveau de confiance **Moyen** et un risque global **Élevé**. L'horizon optimal est le **moyen terme (3-12 mois)**, en attendant une correction du cours pour réévaluer l'entrée.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12,420 titres</w:t>
            </w:r>
          </w:p>
        </w:tc>
        <w:tc>
          <w:tcPr>
            <w:tcW w:type="dxa" w:w="2268"/>
            <w:shd w:fill="FFF2CC" w:val="clear"/>
          </w:tcPr>
          <w:p>
            <w:r>
              <w:rPr>
                <w:b/>
                <w:color w:val="503200"/>
                <w:sz w:val="16"/>
              </w:rPr>
              <w:t xml:space="preserve">Cours actuel : </w:t>
            </w:r>
            <w:r>
              <w:rPr>
                <w:color w:val="000000"/>
                <w:sz w:val="17"/>
              </w:rPr>
              <w:t>12,400 FCFA</w:t>
            </w:r>
          </w:p>
          <w:p>
            <w:r>
              <w:rPr>
                <w:b/>
                <w:color w:val="503200"/>
                <w:sz w:val="16"/>
              </w:rPr>
              <w:t xml:space="preserve">Var. 100 jours : </w:t>
            </w:r>
            <w:r>
              <w:rPr>
                <w:b/>
                <w:color w:val="007800"/>
                <w:sz w:val="17"/>
              </w:rPr>
              <w:t>+45.88%</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8,380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14.88% (Moyenne) — μ=9,721 FCFA, σ=1,447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β=0.0316 (Défensif) — Cov=0.000001, Var(idx)=0.000036, ρ=0.012,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12,420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11,329</w:t>
            </w:r>
          </w:p>
        </w:tc>
        <w:tc>
          <w:tcPr>
            <w:tcW w:type="dxa" w:w="1440"/>
            <w:shd w:fill="FFDCE0" w:val="clear"/>
          </w:tcPr>
          <w:p>
            <w:r>
              <w:rPr>
                <w:b/>
                <w:sz w:val="17"/>
              </w:rPr>
              <w:t>11,748</w:t>
            </w:r>
          </w:p>
        </w:tc>
        <w:tc>
          <w:tcPr>
            <w:tcW w:type="dxa" w:w="1440"/>
            <w:shd w:fill="FFDCE0" w:val="clear"/>
          </w:tcPr>
          <w:p>
            <w:r>
              <w:rPr>
                <w:sz w:val="17"/>
              </w:rPr>
              <w:t>12,166</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10,661</w:t>
            </w:r>
          </w:p>
        </w:tc>
        <w:tc>
          <w:tcPr>
            <w:tcW w:type="dxa" w:w="1440"/>
            <w:shd w:fill="FFDCE0" w:val="clear"/>
          </w:tcPr>
          <w:p>
            <w:r>
              <w:rPr>
                <w:b/>
                <w:sz w:val="17"/>
              </w:rPr>
              <w:t>11,226</w:t>
            </w:r>
          </w:p>
        </w:tc>
        <w:tc>
          <w:tcPr>
            <w:tcW w:type="dxa" w:w="1440"/>
            <w:shd w:fill="FFDCE0" w:val="clear"/>
          </w:tcPr>
          <w:p>
            <w:r>
              <w:rPr>
                <w:sz w:val="17"/>
              </w:rPr>
              <w:t>11,792</w:t>
            </w:r>
          </w:p>
        </w:tc>
        <w:tc>
          <w:tcPr>
            <w:tcW w:type="dxa" w:w="1440"/>
            <w:shd w:fill="FFDCE0" w:val="clear"/>
          </w:tcPr>
          <w:p>
            <w:r>
              <w:rPr>
                <w:b/>
                <w:color w:val="C00000"/>
                <w:sz w:val="17"/>
              </w:rPr>
              <w:t>-9.5%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10,074</w:t>
            </w:r>
          </w:p>
        </w:tc>
        <w:tc>
          <w:tcPr>
            <w:tcW w:type="dxa" w:w="1440"/>
            <w:shd w:fill="FFDCE0" w:val="clear"/>
          </w:tcPr>
          <w:p>
            <w:r>
              <w:rPr>
                <w:b/>
                <w:sz w:val="17"/>
              </w:rPr>
              <w:t>10,737</w:t>
            </w:r>
          </w:p>
        </w:tc>
        <w:tc>
          <w:tcPr>
            <w:tcW w:type="dxa" w:w="1440"/>
            <w:shd w:fill="FFDCE0" w:val="clear"/>
          </w:tcPr>
          <w:p>
            <w:r>
              <w:rPr>
                <w:sz w:val="17"/>
              </w:rPr>
              <w:t>11,400</w:t>
            </w:r>
          </w:p>
        </w:tc>
        <w:tc>
          <w:tcPr>
            <w:tcW w:type="dxa" w:w="1440"/>
            <w:shd w:fill="FFDCE0" w:val="clear"/>
          </w:tcPr>
          <w:p>
            <w:r>
              <w:rPr>
                <w:b/>
                <w:color w:val="C00000"/>
                <w:sz w:val="17"/>
              </w:rPr>
              <w:t>-13.4%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9,578</w:t>
            </w:r>
          </w:p>
        </w:tc>
        <w:tc>
          <w:tcPr>
            <w:tcW w:type="dxa" w:w="1440"/>
            <w:shd w:fill="FFDCE0" w:val="clear"/>
          </w:tcPr>
          <w:p>
            <w:r>
              <w:rPr>
                <w:b/>
                <w:sz w:val="17"/>
              </w:rPr>
              <w:t>10,312</w:t>
            </w:r>
          </w:p>
        </w:tc>
        <w:tc>
          <w:tcPr>
            <w:tcW w:type="dxa" w:w="1440"/>
            <w:shd w:fill="FFDCE0" w:val="clear"/>
          </w:tcPr>
          <w:p>
            <w:r>
              <w:rPr>
                <w:sz w:val="17"/>
              </w:rPr>
              <w:t>11,047</w:t>
            </w:r>
          </w:p>
        </w:tc>
        <w:tc>
          <w:tcPr>
            <w:tcW w:type="dxa" w:w="1440"/>
            <w:shd w:fill="FFDCE0" w:val="clear"/>
          </w:tcPr>
          <w:p>
            <w:r>
              <w:rPr>
                <w:b/>
                <w:color w:val="C00000"/>
                <w:sz w:val="17"/>
              </w:rPr>
              <w:t>-16.8%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9,155</w:t>
            </w:r>
          </w:p>
        </w:tc>
        <w:tc>
          <w:tcPr>
            <w:tcW w:type="dxa" w:w="1440"/>
            <w:shd w:fill="FFDCE0" w:val="clear"/>
          </w:tcPr>
          <w:p>
            <w:r>
              <w:rPr>
                <w:b/>
                <w:sz w:val="17"/>
              </w:rPr>
              <w:t>9,947</w:t>
            </w:r>
          </w:p>
        </w:tc>
        <w:tc>
          <w:tcPr>
            <w:tcW w:type="dxa" w:w="1440"/>
            <w:shd w:fill="FFDCE0" w:val="clear"/>
          </w:tcPr>
          <w:p>
            <w:r>
              <w:rPr>
                <w:sz w:val="17"/>
              </w:rPr>
              <w:t>10,740</w:t>
            </w:r>
          </w:p>
        </w:tc>
        <w:tc>
          <w:tcPr>
            <w:tcW w:type="dxa" w:w="1440"/>
            <w:shd w:fill="FFDCE0" w:val="clear"/>
          </w:tcPr>
          <w:p>
            <w:r>
              <w:rPr>
                <w:b/>
                <w:color w:val="C00000"/>
                <w:sz w:val="17"/>
              </w:rPr>
              <w:t>-19.8%</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8,791</w:t>
            </w:r>
          </w:p>
        </w:tc>
        <w:tc>
          <w:tcPr>
            <w:tcW w:type="dxa" w:w="1440"/>
            <w:shd w:fill="FFDCE0" w:val="clear"/>
          </w:tcPr>
          <w:p>
            <w:r>
              <w:rPr>
                <w:b/>
                <w:sz w:val="17"/>
              </w:rPr>
              <w:t>9,632</w:t>
            </w:r>
          </w:p>
        </w:tc>
        <w:tc>
          <w:tcPr>
            <w:tcW w:type="dxa" w:w="1440"/>
            <w:shd w:fill="FFDCE0" w:val="clear"/>
          </w:tcPr>
          <w:p>
            <w:r>
              <w:rPr>
                <w:sz w:val="17"/>
              </w:rPr>
              <w:t>10,473</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8,476</w:t>
            </w:r>
          </w:p>
        </w:tc>
        <w:tc>
          <w:tcPr>
            <w:tcW w:type="dxa" w:w="1440"/>
            <w:shd w:fill="FFDCE0" w:val="clear"/>
          </w:tcPr>
          <w:p>
            <w:r>
              <w:rPr>
                <w:b/>
                <w:sz w:val="17"/>
              </w:rPr>
              <w:t>9,358</w:t>
            </w:r>
          </w:p>
        </w:tc>
        <w:tc>
          <w:tcPr>
            <w:tcW w:type="dxa" w:w="1440"/>
            <w:shd w:fill="FFDCE0" w:val="clear"/>
          </w:tcPr>
          <w:p>
            <w:r>
              <w:rPr>
                <w:sz w:val="17"/>
              </w:rPr>
              <w:t>10,240</w:t>
            </w:r>
          </w:p>
        </w:tc>
        <w:tc>
          <w:tcPr>
            <w:tcW w:type="dxa" w:w="1440"/>
            <w:shd w:fill="FFDCE0" w:val="clear"/>
          </w:tcPr>
          <w:p>
            <w:r>
              <w:rPr>
                <w:b/>
                <w:color w:val="C00000"/>
                <w:sz w:val="17"/>
              </w:rPr>
              <w:t>-24.5%</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8,200</w:t>
            </w:r>
          </w:p>
        </w:tc>
        <w:tc>
          <w:tcPr>
            <w:tcW w:type="dxa" w:w="1440"/>
            <w:shd w:fill="FFDCE0" w:val="clear"/>
          </w:tcPr>
          <w:p>
            <w:r>
              <w:rPr>
                <w:b/>
                <w:sz w:val="17"/>
              </w:rPr>
              <w:t>9,118</w:t>
            </w:r>
          </w:p>
        </w:tc>
        <w:tc>
          <w:tcPr>
            <w:tcW w:type="dxa" w:w="1440"/>
            <w:shd w:fill="FFDCE0" w:val="clear"/>
          </w:tcPr>
          <w:p>
            <w:r>
              <w:rPr>
                <w:sz w:val="17"/>
              </w:rPr>
              <w:t>10,037</w:t>
            </w:r>
          </w:p>
        </w:tc>
        <w:tc>
          <w:tcPr>
            <w:tcW w:type="dxa" w:w="1440"/>
            <w:shd w:fill="FFDCE0" w:val="clear"/>
          </w:tcPr>
          <w:p>
            <w:r>
              <w:rPr>
                <w:b/>
                <w:color w:val="C00000"/>
                <w:sz w:val="17"/>
              </w:rPr>
              <w:t>-26.5%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7,955</w:t>
            </w:r>
          </w:p>
        </w:tc>
        <w:tc>
          <w:tcPr>
            <w:tcW w:type="dxa" w:w="1440"/>
            <w:shd w:fill="FFDCE0" w:val="clear"/>
          </w:tcPr>
          <w:p>
            <w:r>
              <w:rPr>
                <w:b/>
                <w:sz w:val="17"/>
              </w:rPr>
              <w:t>8,907</w:t>
            </w:r>
          </w:p>
        </w:tc>
        <w:tc>
          <w:tcPr>
            <w:tcW w:type="dxa" w:w="1440"/>
            <w:shd w:fill="FFDCE0" w:val="clear"/>
          </w:tcPr>
          <w:p>
            <w:r>
              <w:rPr>
                <w:sz w:val="17"/>
              </w:rPr>
              <w:t>9,859</w:t>
            </w:r>
          </w:p>
        </w:tc>
        <w:tc>
          <w:tcPr>
            <w:tcW w:type="dxa" w:w="1440"/>
            <w:shd w:fill="FFDCE0" w:val="clear"/>
          </w:tcPr>
          <w:p>
            <w:r>
              <w:rPr>
                <w:b/>
                <w:color w:val="C00000"/>
                <w:sz w:val="17"/>
              </w:rPr>
              <w:t>-28.2%</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7,737</w:t>
            </w:r>
          </w:p>
        </w:tc>
        <w:tc>
          <w:tcPr>
            <w:tcW w:type="dxa" w:w="1440"/>
            <w:shd w:fill="FFDCE0" w:val="clear"/>
          </w:tcPr>
          <w:p>
            <w:r>
              <w:rPr>
                <w:b/>
                <w:sz w:val="17"/>
              </w:rPr>
              <w:t>8,719</w:t>
            </w:r>
          </w:p>
        </w:tc>
        <w:tc>
          <w:tcPr>
            <w:tcW w:type="dxa" w:w="1440"/>
            <w:shd w:fill="FFDCE0" w:val="clear"/>
          </w:tcPr>
          <w:p>
            <w:r>
              <w:rPr>
                <w:sz w:val="17"/>
              </w:rPr>
              <w:t>9,701</w:t>
            </w:r>
          </w:p>
        </w:tc>
        <w:tc>
          <w:tcPr>
            <w:tcW w:type="dxa" w:w="1440"/>
            <w:shd w:fill="FFDCE0" w:val="clear"/>
          </w:tcPr>
          <w:p>
            <w:r>
              <w:rPr>
                <w:b/>
                <w:color w:val="C00000"/>
                <w:sz w:val="17"/>
              </w:rPr>
              <w:t>-29.7%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Absolument. Voici un rapport d'analyse professionnel structuré en quatre parties,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BOAC s'établit à 496 milliards FCFA, ce qui en fait une valeur de première importance sur la BRVM. Avec un BPA de 888 FCFA, le titre se négocie à un PER de 14,0x, une prime significative par rapport à la moyenne historique du marché (8-12x). Cela suggère que les investisseurs anticipent une croissance future des bénéfices et sont prêts à payer un prix plus élevé pour y accéder. Le P/B de 3,90x confirme cette prime, le marché valorisant le titre à près de quatre fois sa valeur comptable, signe d'une forte confiance dans la création de valeur future. Cependant, l'EV/EBITDA de 27,3x est particulièrement exigeant et signale une valorisation qui intègre des hypothèses de performance opérationnelle très solides, laissant peu de marge d'erreur.</w:t>
      </w:r>
    </w:p>
    <w:p>
      <w:pPr>
        <w:spacing w:after="120" w:line="276" w:lineRule="auto"/>
      </w:pPr>
      <w:r>
        <w:t>### **PARTIE 1 : ANALYSE DU COURS — STATISTIQUES ET ÉVOLUTION (100 derniers jours)**</w:t>
      </w:r>
    </w:p>
    <w:p>
      <w:pPr>
        <w:spacing w:after="120" w:line="276" w:lineRule="auto"/>
      </w:pPr>
      <w:r>
        <w:t>Sur les 100 derniers jours, l'action BOAC a enregistré une performance spectaculaire de +45,88%, passant d'un plus bas de 8 380 FCFA à un plus haut de 13 450 FCFA, avant de clôturer à 12 400 FCFA. La légère baisse de -2,36% sur la dernière séance pourrait marquer une prise de bénéfices après une telle ascension. La moyenne du cours (9 721 FCFA) est nettement inférieure à la médiane (9 100 FCFA), et le skewness positif de 1,347 confirme une distribution asymétrique avec une majorité de séances sous la moyenne, mais quelques fortes hausses qui tirent la moyenne vers le haut. L'écart-type de 1 454 FCFA (CV de 15%) indique une dispersion modérée, tandis que le kurtosis de 0,496 suggère une distribution proche de la normale, sans risque de variations extrêmes particulier. La volatilité annualisée de 25,8% classe le titre dans une catégorie à risque modéré, cohérente avec une tendance haussière marquée.</w:t>
      </w:r>
    </w:p>
    <w:p>
      <w:pPr>
        <w:spacing w:after="120" w:line="276" w:lineRule="auto"/>
      </w:pPr>
      <w:r>
        <w:t>### **PARTIE 2 : ANALYSE TECHNIQUE DÉTAILLÉE**</w:t>
      </w:r>
    </w:p>
    <w:p>
      <w:pPr>
        <w:spacing w:after="120" w:line="276" w:lineRule="auto"/>
      </w:pPr>
      <w:r>
        <w:t>**Moyennes Mobiles** : Le cours actuel (12 400 FCFA) est supérieur à la MM20 (12 326,5 FCFA) et très au-dessus de la MM50 (10 708,2 FCFA). Cette configuration haussière, où le prix est soutenu par ses moyennes mobiles, confirme la solidité de la tendance de fond et justifie la décision d'**Achat**.</w:t>
      </w:r>
    </w:p>
    <w:p>
      <w:pPr>
        <w:spacing w:after="120" w:line="276" w:lineRule="auto"/>
      </w:pPr>
      <w:r>
        <w:t>**Bandes de Bollinger** : Le cours se situe dans la partie supérieure des bandes, entre la borne inférieure (10 619 FCFA) et la borne supérieure (14 034 FCFA). La position proche du milieu de l'intervalle suggère une volatilité normale, sans condition de surachat ou de survente extrême, d'où une décision **Neutre**.</w:t>
      </w:r>
    </w:p>
    <w:p>
      <w:pPr>
        <w:spacing w:after="120" w:line="276" w:lineRule="auto"/>
      </w:pPr>
      <w:r>
        <w:t>**MACD** : La valeur du MACD (656,6) est inférieure à son signal (761,2), indiquant un momentum haussier qui s'essouffle à court terme. Cette divergence négative, bien que les deux lignes restent au-dessus de zéro, signale une possible consolidation ou correction, justifiant la décision de **Vente** à court terme.</w:t>
      </w:r>
    </w:p>
    <w:p>
      <w:pPr>
        <w:spacing w:after="120" w:line="276" w:lineRule="auto"/>
      </w:pPr>
      <w:r>
        <w:t>**RSI** : À 63,8, le RSI se situe en zone neutre, sous le seuil de surachat de 70. Il indique une pression acheteuse toujours présente mais non excessive, laissant une marge de progression avant une éventuelle correction. La décision est donc **Neutre**.</w:t>
      </w:r>
    </w:p>
    <w:p>
      <w:pPr>
        <w:spacing w:after="120" w:line="276" w:lineRule="auto"/>
      </w:pPr>
      <w:r>
        <w:t>**Stochastique** : Le %K (43,2) est inférieur au %D (56,9), montrant un croisement baissier récent. Cela signale un affaiblissement de la dynamique haussière à très court terme, mais sans signal de survente, d'où une décision **Neutre**.</w:t>
      </w:r>
    </w:p>
    <w:p>
      <w:pPr>
        <w:spacing w:after="120" w:line="276" w:lineRule="auto"/>
      </w:pPr>
      <w:r>
        <w:t>**Conclusion technique** : La tendance de fond reste clairement haussière, portée par les moyennes mobiles. Cependant, les indicateurs de momentum (MACD, Stochastique) montrent des signes de ralentissement et de consolidation à court terme. Le titre pourrait connaître une phase de pause ou de léger repli avant de potentiellement reprendre sa tendance haussière.</w:t>
      </w:r>
    </w:p>
    <w:p>
      <w:pPr>
        <w:spacing w:after="120" w:line="276" w:lineRule="auto"/>
      </w:pPr>
      <w:r>
        <w:t>### **PARTIE 3 : ANALYSE FONDAMENTALE (SECTION CRITIQUE)**</w:t>
      </w:r>
    </w:p>
    <w:p>
      <w:pPr>
        <w:spacing w:after="120" w:line="276" w:lineRule="auto"/>
      </w:pPr>
      <w:r>
        <w:t>En 2025, les données structurées annuelles de BOAC font état d'un Produit Net Bancaire (PNB) de 73,545 milliards FCFA et d'un résultat net de 35,540 milliards FCFA. La banque affiche une rentabilité exceptionnelle avec un ROE de 27,9% et un ROA de 3,2%, témoignant d'une excellente gestion de ses fonds propres et de ses actifs. Son coefficient d'exploitation de 36,7% est remarquable, indiquant une grande efficacité opérationnelle. Le coût du risque de 6,7% reste un point de vigilance, mais la banque maintient une transformation saine avec 430,4 milliards FCFA de crédits à la clientèle financés par 850,5 milliards FCFA de dépôts. Les rapports trimestriels de 2025 montrent une trajectoire contrastée : le T1 était excellent (résultat net +14,59%), mais le S1 et le T3 ont révélé une stagnation du PNB et une contraction des crédits. Sur la base de ces rapports, on estime que l'exercice 2025 sera marqué par une croissance atone de l'activité, mais une rentabilité soutenue par une maîtrise des coûts et une baisse du coût du risque. La solidité financière est indéniable, mais la banque doit relancer sa machine à crédits pour retrouver une croissance durable.</w:t>
      </w:r>
    </w:p>
    <w:p>
      <w:pPr>
        <w:spacing w:after="120" w:line="276" w:lineRule="auto"/>
      </w:pPr>
      <w:r>
        <w:t>### **PARTIE 4 : CONCLUSION D'INVESTISSEMENT**</w:t>
      </w:r>
    </w:p>
    <w:p>
      <w:pPr>
        <w:spacing w:after="120" w:line="276" w:lineRule="auto"/>
      </w:pPr>
      <w:r>
        <w:t>La valorisation de BOAC (PER 14x, P/B 3,9x) est exigeante et intègre déjà des attentes élevées, ce qui contraste avec la tendance du cours (+45,88% sur 100 jours) qui a fortement anticipé ces performances. Les signaux techniques sont mitigés : la tendance de fond reste haussière, mais les indicateurs de court terme (MACD, Stochastique) suggèrent une consolidation, et la prédiction IA d'une baisse progressive vers 9 947 FCFA dans 10 jours renforce ce scénario de correction. Les fondamentaux sont solides, avec une rentabilité exceptionnelle (ROE 27,9%) et une efficacité opérationnelle remarquable, mais la croissance est au point mort. La forte divergence entre la valorisation boursière, les signaux techniques de court terme et la prédiction IA d'une part, et la solidité des fondamentaux d'autre part, nous amène à une recommandation **CONSERVER**. Le niveau de confiance est **Moyen** et le risque global est **Élevé** en raison de la valorisation tendue et du potentiel de correction. L'horizon d'investissement optimal serait le **moyen terme (3-12 mois)**, afin de laisser le temps au marché d'absorber les gains récents et de voir si la banque parvient à relancer sa croissance, conformément à ses objectifs stratégiques 2027.</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178.29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6,187 titres</w:t>
            </w:r>
          </w:p>
        </w:tc>
        <w:tc>
          <w:tcPr>
            <w:tcW w:type="dxa" w:w="2268"/>
            <w:shd w:fill="FFF2CC" w:val="clear"/>
          </w:tcPr>
          <w:p>
            <w:r>
              <w:rPr>
                <w:b/>
                <w:color w:val="503200"/>
                <w:sz w:val="16"/>
              </w:rPr>
              <w:t xml:space="preserve">Cours actuel : </w:t>
            </w:r>
            <w:r>
              <w:rPr>
                <w:color w:val="000000"/>
                <w:sz w:val="17"/>
              </w:rPr>
              <w:t>6,495 FCFA</w:t>
            </w:r>
          </w:p>
          <w:p>
            <w:r>
              <w:rPr>
                <w:b/>
                <w:color w:val="503200"/>
                <w:sz w:val="16"/>
              </w:rPr>
              <w:t xml:space="preserve">Var. 100 jours : </w:t>
            </w:r>
            <w:r>
              <w:rPr>
                <w:b/>
                <w:color w:val="007800"/>
                <w:sz w:val="17"/>
              </w:rPr>
              <w:t>+41.20%</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11.69% (Moyenne) — μ=5,143 FCFA, σ=601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β=0.3281 (Défensif) — Cov=0.000012, Var(idx)=0.000036, ρ=0.097,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6,125</w:t>
            </w:r>
          </w:p>
        </w:tc>
        <w:tc>
          <w:tcPr>
            <w:tcW w:type="dxa" w:w="1440"/>
            <w:shd w:fill="FFDCE0" w:val="clear"/>
          </w:tcPr>
          <w:p>
            <w:r>
              <w:rPr>
                <w:b/>
                <w:sz w:val="17"/>
              </w:rPr>
              <w:t>6,317</w:t>
            </w:r>
          </w:p>
        </w:tc>
        <w:tc>
          <w:tcPr>
            <w:tcW w:type="dxa" w:w="1440"/>
            <w:shd w:fill="FFDCE0" w:val="clear"/>
          </w:tcPr>
          <w:p>
            <w:r>
              <w:rPr>
                <w:sz w:val="17"/>
              </w:rPr>
              <w:t>6,510</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5,896</w:t>
            </w:r>
          </w:p>
        </w:tc>
        <w:tc>
          <w:tcPr>
            <w:tcW w:type="dxa" w:w="1440"/>
            <w:shd w:fill="FFDCE0" w:val="clear"/>
          </w:tcPr>
          <w:p>
            <w:r>
              <w:rPr>
                <w:b/>
                <w:sz w:val="17"/>
              </w:rPr>
              <w:t>6,162</w:t>
            </w:r>
          </w:p>
        </w:tc>
        <w:tc>
          <w:tcPr>
            <w:tcW w:type="dxa" w:w="1440"/>
            <w:shd w:fill="FFDCE0" w:val="clear"/>
          </w:tcPr>
          <w:p>
            <w:r>
              <w:rPr>
                <w:sz w:val="17"/>
              </w:rPr>
              <w:t>6,428</w:t>
            </w:r>
          </w:p>
        </w:tc>
        <w:tc>
          <w:tcPr>
            <w:tcW w:type="dxa" w:w="1440"/>
            <w:shd w:fill="FFDCE0" w:val="clear"/>
          </w:tcPr>
          <w:p>
            <w:r>
              <w:rPr>
                <w:b/>
                <w:color w:val="C00000"/>
                <w:sz w:val="17"/>
              </w:rPr>
              <w:t>-5.1%</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5,714</w:t>
            </w:r>
          </w:p>
        </w:tc>
        <w:tc>
          <w:tcPr>
            <w:tcW w:type="dxa" w:w="1440"/>
            <w:shd w:fill="FFDCE0" w:val="clear"/>
          </w:tcPr>
          <w:p>
            <w:r>
              <w:rPr>
                <w:b/>
                <w:sz w:val="17"/>
              </w:rPr>
              <w:t>6,033</w:t>
            </w:r>
          </w:p>
        </w:tc>
        <w:tc>
          <w:tcPr>
            <w:tcW w:type="dxa" w:w="1440"/>
            <w:shd w:fill="FFDCE0" w:val="clear"/>
          </w:tcPr>
          <w:p>
            <w:r>
              <w:rPr>
                <w:sz w:val="17"/>
              </w:rPr>
              <w:t>6,352</w:t>
            </w:r>
          </w:p>
        </w:tc>
        <w:tc>
          <w:tcPr>
            <w:tcW w:type="dxa" w:w="1440"/>
            <w:shd w:fill="FFDCE0" w:val="clear"/>
          </w:tcPr>
          <w:p>
            <w:r>
              <w:rPr>
                <w:b/>
                <w:color w:val="C00000"/>
                <w:sz w:val="17"/>
              </w:rPr>
              <w:t>-7.1%</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5,562</w:t>
            </w:r>
          </w:p>
        </w:tc>
        <w:tc>
          <w:tcPr>
            <w:tcW w:type="dxa" w:w="1440"/>
            <w:shd w:fill="FFDCE0" w:val="clear"/>
          </w:tcPr>
          <w:p>
            <w:r>
              <w:rPr>
                <w:b/>
                <w:sz w:val="17"/>
              </w:rPr>
              <w:t>5,923</w:t>
            </w:r>
          </w:p>
        </w:tc>
        <w:tc>
          <w:tcPr>
            <w:tcW w:type="dxa" w:w="1440"/>
            <w:shd w:fill="FFDCE0" w:val="clear"/>
          </w:tcPr>
          <w:p>
            <w:r>
              <w:rPr>
                <w:sz w:val="17"/>
              </w:rPr>
              <w:t>6,285</w:t>
            </w:r>
          </w:p>
        </w:tc>
        <w:tc>
          <w:tcPr>
            <w:tcW w:type="dxa" w:w="1440"/>
            <w:shd w:fill="FFDCE0" w:val="clear"/>
          </w:tcPr>
          <w:p>
            <w:r>
              <w:rPr>
                <w:b/>
                <w:color w:val="C00000"/>
                <w:sz w:val="17"/>
              </w:rPr>
              <w:t>-8.8%</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5,427</w:t>
            </w:r>
          </w:p>
        </w:tc>
        <w:tc>
          <w:tcPr>
            <w:tcW w:type="dxa" w:w="1440"/>
            <w:shd w:fill="FFDCE0" w:val="clear"/>
          </w:tcPr>
          <w:p>
            <w:r>
              <w:rPr>
                <w:b/>
                <w:sz w:val="17"/>
              </w:rPr>
              <w:t>5,825</w:t>
            </w:r>
          </w:p>
        </w:tc>
        <w:tc>
          <w:tcPr>
            <w:tcW w:type="dxa" w:w="1440"/>
            <w:shd w:fill="FFDCE0" w:val="clear"/>
          </w:tcPr>
          <w:p>
            <w:r>
              <w:rPr>
                <w:sz w:val="17"/>
              </w:rPr>
              <w:t>6,222</w:t>
            </w:r>
          </w:p>
        </w:tc>
        <w:tc>
          <w:tcPr>
            <w:tcW w:type="dxa" w:w="1440"/>
            <w:shd w:fill="FFDCE0" w:val="clear"/>
          </w:tcPr>
          <w:p>
            <w:r>
              <w:rPr>
                <w:b/>
                <w:color w:val="C00000"/>
                <w:sz w:val="17"/>
              </w:rPr>
              <w:t>-10.3%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5,306</w:t>
            </w:r>
          </w:p>
        </w:tc>
        <w:tc>
          <w:tcPr>
            <w:tcW w:type="dxa" w:w="1440"/>
            <w:shd w:fill="FFDCE0" w:val="clear"/>
          </w:tcPr>
          <w:p>
            <w:r>
              <w:rPr>
                <w:b/>
                <w:sz w:val="17"/>
              </w:rPr>
              <w:t>5,735</w:t>
            </w:r>
          </w:p>
        </w:tc>
        <w:tc>
          <w:tcPr>
            <w:tcW w:type="dxa" w:w="1440"/>
            <w:shd w:fill="FFDCE0" w:val="clear"/>
          </w:tcPr>
          <w:p>
            <w:r>
              <w:rPr>
                <w:sz w:val="17"/>
              </w:rPr>
              <w:t>6,163</w:t>
            </w:r>
          </w:p>
        </w:tc>
        <w:tc>
          <w:tcPr>
            <w:tcW w:type="dxa" w:w="1440"/>
            <w:shd w:fill="FFDCE0" w:val="clear"/>
          </w:tcPr>
          <w:p>
            <w:r>
              <w:rPr>
                <w:b/>
                <w:color w:val="C00000"/>
                <w:sz w:val="17"/>
              </w:rPr>
              <w:t>-11.7%</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5,194</w:t>
            </w:r>
          </w:p>
        </w:tc>
        <w:tc>
          <w:tcPr>
            <w:tcW w:type="dxa" w:w="1440"/>
            <w:shd w:fill="FFDCE0" w:val="clear"/>
          </w:tcPr>
          <w:p>
            <w:r>
              <w:rPr>
                <w:b/>
                <w:sz w:val="17"/>
              </w:rPr>
              <w:t>5,651</w:t>
            </w:r>
          </w:p>
        </w:tc>
        <w:tc>
          <w:tcPr>
            <w:tcW w:type="dxa" w:w="1440"/>
            <w:shd w:fill="FFDCE0" w:val="clear"/>
          </w:tcPr>
          <w:p>
            <w:r>
              <w:rPr>
                <w:sz w:val="17"/>
              </w:rPr>
              <w:t>6,107</w:t>
            </w:r>
          </w:p>
        </w:tc>
        <w:tc>
          <w:tcPr>
            <w:tcW w:type="dxa" w:w="1440"/>
            <w:shd w:fill="FFDCE0" w:val="clear"/>
          </w:tcPr>
          <w:p>
            <w:r>
              <w:rPr>
                <w:b/>
                <w:color w:val="C00000"/>
                <w:sz w:val="17"/>
              </w:rPr>
              <w:t>-13.0%</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5,091</w:t>
            </w:r>
          </w:p>
        </w:tc>
        <w:tc>
          <w:tcPr>
            <w:tcW w:type="dxa" w:w="1440"/>
            <w:shd w:fill="FFDCE0" w:val="clear"/>
          </w:tcPr>
          <w:p>
            <w:r>
              <w:rPr>
                <w:b/>
                <w:sz w:val="17"/>
              </w:rPr>
              <w:t>5,572</w:t>
            </w:r>
          </w:p>
        </w:tc>
        <w:tc>
          <w:tcPr>
            <w:tcW w:type="dxa" w:w="1440"/>
            <w:shd w:fill="FFDCE0" w:val="clear"/>
          </w:tcPr>
          <w:p>
            <w:r>
              <w:rPr>
                <w:sz w:val="17"/>
              </w:rPr>
              <w:t>6,053</w:t>
            </w:r>
          </w:p>
        </w:tc>
        <w:tc>
          <w:tcPr>
            <w:tcW w:type="dxa" w:w="1440"/>
            <w:shd w:fill="FFDCE0" w:val="clear"/>
          </w:tcPr>
          <w:p>
            <w:r>
              <w:rPr>
                <w:b/>
                <w:color w:val="C00000"/>
                <w:sz w:val="17"/>
              </w:rPr>
              <w:t>-14.2%</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4,995</w:t>
            </w:r>
          </w:p>
        </w:tc>
        <w:tc>
          <w:tcPr>
            <w:tcW w:type="dxa" w:w="1440"/>
            <w:shd w:fill="FFDCE0" w:val="clear"/>
          </w:tcPr>
          <w:p>
            <w:r>
              <w:rPr>
                <w:b/>
                <w:sz w:val="17"/>
              </w:rPr>
              <w:t>5,499</w:t>
            </w:r>
          </w:p>
        </w:tc>
        <w:tc>
          <w:tcPr>
            <w:tcW w:type="dxa" w:w="1440"/>
            <w:shd w:fill="FFDCE0" w:val="clear"/>
          </w:tcPr>
          <w:p>
            <w:r>
              <w:rPr>
                <w:sz w:val="17"/>
              </w:rPr>
              <w:t>6,002</w:t>
            </w:r>
          </w:p>
        </w:tc>
        <w:tc>
          <w:tcPr>
            <w:tcW w:type="dxa" w:w="1440"/>
            <w:shd w:fill="FFDCE0" w:val="clear"/>
          </w:tcPr>
          <w:p>
            <w:r>
              <w:rPr>
                <w:b/>
                <w:color w:val="C00000"/>
                <w:sz w:val="17"/>
              </w:rPr>
              <w:t>-15.3%</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4,906</w:t>
            </w:r>
          </w:p>
        </w:tc>
        <w:tc>
          <w:tcPr>
            <w:tcW w:type="dxa" w:w="1440"/>
            <w:shd w:fill="FFDCE0" w:val="clear"/>
          </w:tcPr>
          <w:p>
            <w:r>
              <w:rPr>
                <w:b/>
                <w:sz w:val="17"/>
              </w:rPr>
              <w:t>5,430</w:t>
            </w:r>
          </w:p>
        </w:tc>
        <w:tc>
          <w:tcPr>
            <w:tcW w:type="dxa" w:w="1440"/>
            <w:shd w:fill="FFDCE0" w:val="clear"/>
          </w:tcPr>
          <w:p>
            <w:r>
              <w:rPr>
                <w:sz w:val="17"/>
              </w:rPr>
              <w:t>5,954</w:t>
            </w:r>
          </w:p>
        </w:tc>
        <w:tc>
          <w:tcPr>
            <w:tcW w:type="dxa" w:w="1440"/>
            <w:shd w:fill="FFDCE0" w:val="clear"/>
          </w:tcPr>
          <w:p>
            <w:r>
              <w:rPr>
                <w:b/>
                <w:color w:val="C00000"/>
                <w:sz w:val="17"/>
              </w:rPr>
              <w:t>-16.4%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178,29 milliards FCFA, un niveau significatif qui la positionne parmi les valeurs moyennes à grandes capitalisations de la BRVM, reflétant l'importance systémique de la banque dans l'économie malienne. Le BPA de 404 FCFA indique que chaque action génère un bénéfice substantiel, justifiant un PER de 16,1x. Ce ratio est nettement supérieur à la moyenne historique de la BRVM (8-12x), ce qui suggère que les investisseurs paient une prime de croissance ou de qualité pour ce titre. Le P/B de 3,58x, bien que dans la fourchette de 2-4x, confirme cette prime, le marché valorisant la banque à plus de 3,5 fois sa valeur comptable, signe d'une forte confiance dans la création de valeur future. Enfin, un EV/EBITDA de 8,5x, dans la zone raisonnable de 5-10x, indique que la valorisation totale de l'entreprise par rapport à sa capacité opérationnelle reste mesurée, équilibrant le tableau global.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performance exceptionnelle de +41,20%, passant d'un plus bas de 4 425 FCFA à un plus haut de 6 700 FCFA, avant de clôturer à 6 495 FCFA. La dernière séance montre un léger repli de -2,33%, suggérant une possible prise de bénéfices après une forte progression. La moyenne du cours sur la période (5 143 FCFA) est nettement inférieure à la médiane (4 935 FCFA), et le skewness positif de 0,889 indique une distribution asymétrique avec un grand nombre de journées sous la moyenne, mais quelques fortes hausses qui tirent la moyenne vers le haut. L'écart-type de 604 FCFA (CV=11,8%) montre une dispersion modérée, tandis que le kurtosis de -0,319 (mésokurtique) indique une distribution proche de la normale, sans risque de pics extrêmes. La volatilité annualisée de 32,3% classe le titre comme très volatil (&gt;30%), ce qui est un signal d'alerte pour les investisseurs prudents malgré la tendance haussière marquée.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(6 495 FCFA) se positionne nettement au-dessus de la MM20 (6 069,5 FCFA) et de la MM50 (5 571,6 FCFA), confirmant une dynamique haussière solide à court et moyen terme. L'écart croissant entre les deux moyennes et le cours témoigne d'un momentum positif, justifiant la décision d'achat.</w:t>
      </w:r>
    </w:p>
    <w:p>
      <w:pPr>
        <w:spacing w:after="120" w:line="276" w:lineRule="auto"/>
      </w:pPr>
      <w:r>
        <w:t>**Bandes de Bollinger** : Le prix se situe à 6 495 FCFA, proche de la borne supérieure (6 843,95 FCFA) mais dans la zone médiane du canal. Cette position indique une volatilité normale sans situation de surachat extrême, d'où la décision neutre. Le canal s'élargit, reflétant l'augmentation de la volatilité récente.</w:t>
      </w:r>
    </w:p>
    <w:p>
      <w:pPr>
        <w:spacing w:after="120" w:line="276" w:lineRule="auto"/>
      </w:pPr>
      <w:r>
        <w:t>**MACD** : Le MACD (294,56) est nettement au-dessus de sa ligne de signal (257,74), avec un écart positif croissant. Cette configuration signale un momentum haussier fort et persistant, justifiant la décision d'achat. La tendance semble solidement établie.</w:t>
      </w:r>
    </w:p>
    <w:p>
      <w:pPr>
        <w:spacing w:after="120" w:line="276" w:lineRule="auto"/>
      </w:pPr>
      <w:r>
        <w:t>**RSI** : Le RSI à 81,98 est en zone de surachat sévère (&gt;70), indiquant que le titre est techniquement surévalué à court terme. Cette situation suggère un risque élevé de correction ou de consolidation, justifiant la décision de vente. Les acheteurs potentiels devraient attendre un repli.</w:t>
      </w:r>
    </w:p>
    <w:p>
      <w:pPr>
        <w:spacing w:after="120" w:line="276" w:lineRule="auto"/>
      </w:pPr>
      <w:r>
        <w:t>**Stochastique** : Le %K (79,5) est inférieur au %D (91,67), indiquant un croisement baissier potentiel en zone de surachat. Cette configuration signale un affaiblissement du momentum, d'où la décision neutre. Une divergence négative se dessine, préfigurant possiblement un retournement.</w:t>
      </w:r>
    </w:p>
    <w:p>
      <w:pPr>
        <w:spacing w:after="120" w:line="276" w:lineRule="auto"/>
      </w:pPr>
      <w:r>
        <w:t>**Conclusion technique** : Les indicateurs sont mitigés. Les moyennes mobiles et le MACD confirment une tendance haussière de fond, mais le RSI en surachat extrême et le croisement baissier du stochastique signalent un essoufflement à court terme. La prudence est de mise, avec un risque de correction technique après une hausse de plus de 40%.</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de BOAM révèlent une banque solide et rentable. Le Produit Net Bancaire (PNB) s'établit à 37,996 milliards FCFA, en croissance de 5,08%, avec un résultat net de 11,081 milliards FCFA. La rentabilité est excellente : le ROE atteint 22,24% (&gt;15% = excellent) et le ROA de 1,87% est sain. Le coefficient d'exploitation de 63,14% est légèrement au-dessus du seuil d'efficacité de 60%, mais reste acceptable. Le coût du risque à 43,39% est élevé, indiquant un risque de crédit significatif. La banque collecte 502,89 milliards FCFA de dépôts pour 253,65 milliards FCFA de crédits, montrant une transformation modérée et une forte liquidité (trésorerie nette de 86,37 milliards FCFA). Les rapports trimestriels 2025 confirment cette dynamique : le T1 montre un résultat net en hausse de 91,18%, le S1 de +28,8% (PNB de 18,71 milliards FCFA), et le T3 de +26,2% (PNB cumulé de 28,52 milliards FCFA). **On estime que** l'exercice 2025 complet devrait dépasser les 11 milliards FCFA de résultat net, confirmant la trajectoire ascendante. La banque démontre une résilience remarquable dans un contexte malien difficile, avec une amélioration constante de la rentabilité et une gestion prudente du risque.</w:t>
      </w:r>
    </w:p>
    <w:p>
      <w:pPr>
        <w:spacing w:after="120" w:line="276" w:lineRule="auto"/>
      </w:pPr>
      <w:r>
        <w:t>---</w:t>
      </w:r>
    </w:p>
    <w:p>
      <w:pPr>
        <w:spacing w:after="120" w:line="276" w:lineRule="auto"/>
      </w:pPr>
      <w:r>
        <w:t>### PARTIE 4 : CONCLUSION D'INVESTISSEMENT</w:t>
      </w:r>
    </w:p>
    <w:p>
      <w:pPr>
        <w:spacing w:after="120" w:line="276" w:lineRule="auto"/>
      </w:pPr>
      <w:r>
        <w:t>La valorisation de BOAM (PER 16,1x, P/B 3,58x) indique une prime de croissance significative, mais les fondamentaux solides (ROE 22,24%, croissance du résultat net de +26,2% sur 9 mois) justifient en partie cette prime. Le comportement du cours (+41,2% en 100 jours) montre une dynamique haussière forte, mais la volatilité élevée (32,3%) et le RSI en surachat (81,98) signalent un risque de correction à court terme. Les signaux techniques sont mitigés : les moyennes mobiles et le MACD sont positifs, mais le RSI et le stochastique appellent à la prudence. Les fondamentaux, eux, sont indiscutablement solides avec une banque rentable, bien capitalisée et résiliente. Les prédictions IA (J+1 à J+10) montrent une trajectoire baissière progressive (de 6 317 FCFA à 5 825 FCFA), contredisant la tendance haussière récente et confirmant le risque de correction technique. **Recommandation finale : CONSERVER**. La convergence entre la valorisation élevée, les signaux techniques de surachat et les prédictions IA baissières suggère d'attendre un repli pour renforcer la position. **Niveau de confiance : Moyen**. **Risque global : Élevé** (volatilité, contexte sécuritaire malien). **Horizon d'investissement optimal : Moyen terme (3-12 mois)**, en attendant une meilleure point d'entrée après correction.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114.40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10,356 titres</w:t>
            </w:r>
          </w:p>
        </w:tc>
        <w:tc>
          <w:tcPr>
            <w:tcW w:type="dxa" w:w="2268"/>
            <w:shd w:fill="FFF2CC" w:val="clear"/>
          </w:tcPr>
          <w:p>
            <w:r>
              <w:rPr>
                <w:b/>
                <w:color w:val="503200"/>
                <w:sz w:val="16"/>
              </w:rPr>
              <w:t xml:space="preserve">Cours actuel : </w:t>
            </w:r>
            <w:r>
              <w:rPr>
                <w:color w:val="000000"/>
                <w:sz w:val="17"/>
              </w:rPr>
              <w:t>5,500 FCFA</w:t>
            </w:r>
          </w:p>
          <w:p>
            <w:r>
              <w:rPr>
                <w:b/>
                <w:color w:val="503200"/>
                <w:sz w:val="16"/>
              </w:rPr>
              <w:t xml:space="preserve">Var. 100 jours : </w:t>
            </w:r>
            <w:r>
              <w:rPr>
                <w:b/>
                <w:color w:val="007800"/>
                <w:sz w:val="17"/>
              </w:rPr>
              <w:t>+106.77%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2,660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22.5/100 → Moyen</w:t>
      </w:r>
    </w:p>
    <w:p>
      <w:pPr>
        <w:spacing w:before="40" w:after="80"/>
      </w:pPr>
      <w:r>
        <w:rPr>
          <w:rFonts w:ascii="Courier New" w:hAnsi="Courier New"/>
          <w:color w:val="825A00"/>
          <w:sz w:val="18"/>
        </w:rPr>
        <w:t>████░░░░░░░░░░░░░░░░  22.5/100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20.33% (Élevée) — μ=4,149 FCFA, σ=843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β=0.2409 (Défensif) — Cov=0.000009, Var(idx)=0.000036, ρ=0.057,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5,318</w:t>
            </w:r>
          </w:p>
        </w:tc>
        <w:tc>
          <w:tcPr>
            <w:tcW w:type="dxa" w:w="1440"/>
            <w:shd w:fill="FAFAFA" w:val="clear"/>
          </w:tcPr>
          <w:p>
            <w:r>
              <w:rPr>
                <w:b/>
                <w:sz w:val="17"/>
              </w:rPr>
              <w:t>5,501</w:t>
            </w:r>
          </w:p>
        </w:tc>
        <w:tc>
          <w:tcPr>
            <w:tcW w:type="dxa" w:w="1440"/>
            <w:shd w:fill="FAFAFA" w:val="clear"/>
          </w:tcPr>
          <w:p>
            <w:r>
              <w:rPr>
                <w:sz w:val="17"/>
              </w:rPr>
              <w:t>5,685</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5,233</w:t>
            </w:r>
          </w:p>
        </w:tc>
        <w:tc>
          <w:tcPr>
            <w:tcW w:type="dxa" w:w="1440"/>
            <w:shd w:fill="FAFAFA" w:val="clear"/>
          </w:tcPr>
          <w:p>
            <w:r>
              <w:rPr>
                <w:b/>
                <w:sz w:val="17"/>
              </w:rPr>
              <w:t>5,492</w:t>
            </w:r>
          </w:p>
        </w:tc>
        <w:tc>
          <w:tcPr>
            <w:tcW w:type="dxa" w:w="1440"/>
            <w:shd w:fill="FAFAFA" w:val="clear"/>
          </w:tcPr>
          <w:p>
            <w:r>
              <w:rPr>
                <w:sz w:val="17"/>
              </w:rPr>
              <w:t>5,752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5,160</w:t>
            </w:r>
          </w:p>
        </w:tc>
        <w:tc>
          <w:tcPr>
            <w:tcW w:type="dxa" w:w="1440"/>
            <w:shd w:fill="FAFAFA" w:val="clear"/>
          </w:tcPr>
          <w:p>
            <w:r>
              <w:rPr>
                <w:b/>
                <w:sz w:val="17"/>
              </w:rPr>
              <w:t>5,477</w:t>
            </w:r>
          </w:p>
        </w:tc>
        <w:tc>
          <w:tcPr>
            <w:tcW w:type="dxa" w:w="1440"/>
            <w:shd w:fill="FAFAFA" w:val="clear"/>
          </w:tcPr>
          <w:p>
            <w:r>
              <w:rPr>
                <w:sz w:val="17"/>
              </w:rPr>
              <w:t>5,794</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5,097</w:t>
            </w:r>
          </w:p>
        </w:tc>
        <w:tc>
          <w:tcPr>
            <w:tcW w:type="dxa" w:w="1440"/>
            <w:shd w:fill="FAFAFA" w:val="clear"/>
          </w:tcPr>
          <w:p>
            <w:r>
              <w:rPr>
                <w:b/>
                <w:sz w:val="17"/>
              </w:rPr>
              <w:t>5,462</w:t>
            </w:r>
          </w:p>
        </w:tc>
        <w:tc>
          <w:tcPr>
            <w:tcW w:type="dxa" w:w="1440"/>
            <w:shd w:fill="FAFAFA" w:val="clear"/>
          </w:tcPr>
          <w:p>
            <w:r>
              <w:rPr>
                <w:sz w:val="17"/>
              </w:rPr>
              <w:t>5,827</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5,041</w:t>
            </w:r>
          </w:p>
        </w:tc>
        <w:tc>
          <w:tcPr>
            <w:tcW w:type="dxa" w:w="1440"/>
            <w:shd w:fill="FAFAFA" w:val="clear"/>
          </w:tcPr>
          <w:p>
            <w:r>
              <w:rPr>
                <w:b/>
                <w:sz w:val="17"/>
              </w:rPr>
              <w:t>5,448</w:t>
            </w:r>
          </w:p>
        </w:tc>
        <w:tc>
          <w:tcPr>
            <w:tcW w:type="dxa" w:w="1440"/>
            <w:shd w:fill="FAFAFA" w:val="clear"/>
          </w:tcPr>
          <w:p>
            <w:r>
              <w:rPr>
                <w:sz w:val="17"/>
              </w:rPr>
              <w:t>5,854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4,989</w:t>
            </w:r>
          </w:p>
        </w:tc>
        <w:tc>
          <w:tcPr>
            <w:tcW w:type="dxa" w:w="1440"/>
            <w:shd w:fill="FAFAFA" w:val="clear"/>
          </w:tcPr>
          <w:p>
            <w:r>
              <w:rPr>
                <w:b/>
                <w:sz w:val="17"/>
              </w:rPr>
              <w:t>5,433</w:t>
            </w:r>
          </w:p>
        </w:tc>
        <w:tc>
          <w:tcPr>
            <w:tcW w:type="dxa" w:w="1440"/>
            <w:shd w:fill="FAFAFA" w:val="clear"/>
          </w:tcPr>
          <w:p>
            <w:r>
              <w:rPr>
                <w:sz w:val="17"/>
              </w:rPr>
              <w:t>5,878</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4,940</w:t>
            </w:r>
          </w:p>
        </w:tc>
        <w:tc>
          <w:tcPr>
            <w:tcW w:type="dxa" w:w="1440"/>
            <w:shd w:fill="FAFAFA" w:val="clear"/>
          </w:tcPr>
          <w:p>
            <w:r>
              <w:rPr>
                <w:b/>
                <w:sz w:val="17"/>
              </w:rPr>
              <w:t>5,419</w:t>
            </w:r>
          </w:p>
        </w:tc>
        <w:tc>
          <w:tcPr>
            <w:tcW w:type="dxa" w:w="1440"/>
            <w:shd w:fill="FAFAFA" w:val="clear"/>
          </w:tcPr>
          <w:p>
            <w:r>
              <w:rPr>
                <w:sz w:val="17"/>
              </w:rPr>
              <w:t>5,898</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4,894</w:t>
            </w:r>
          </w:p>
        </w:tc>
        <w:tc>
          <w:tcPr>
            <w:tcW w:type="dxa" w:w="1440"/>
            <w:shd w:fill="FAFAFA" w:val="clear"/>
          </w:tcPr>
          <w:p>
            <w:r>
              <w:rPr>
                <w:b/>
                <w:sz w:val="17"/>
              </w:rPr>
              <w:t>5,405</w:t>
            </w:r>
          </w:p>
        </w:tc>
        <w:tc>
          <w:tcPr>
            <w:tcW w:type="dxa" w:w="1440"/>
            <w:shd w:fill="FAFAFA" w:val="clear"/>
          </w:tcPr>
          <w:p>
            <w:r>
              <w:rPr>
                <w:sz w:val="17"/>
              </w:rPr>
              <w:t>5,915</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4,851</w:t>
            </w:r>
          </w:p>
        </w:tc>
        <w:tc>
          <w:tcPr>
            <w:tcW w:type="dxa" w:w="1440"/>
            <w:shd w:fill="FAFAFA" w:val="clear"/>
          </w:tcPr>
          <w:p>
            <w:r>
              <w:rPr>
                <w:b/>
                <w:sz w:val="17"/>
              </w:rPr>
              <w:t>5,391</w:t>
            </w:r>
          </w:p>
        </w:tc>
        <w:tc>
          <w:tcPr>
            <w:tcW w:type="dxa" w:w="1440"/>
            <w:shd w:fill="FAFAFA" w:val="clear"/>
          </w:tcPr>
          <w:p>
            <w:r>
              <w:rPr>
                <w:sz w:val="17"/>
              </w:rPr>
              <w:t>5,931</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4,809</w:t>
            </w:r>
          </w:p>
        </w:tc>
        <w:tc>
          <w:tcPr>
            <w:tcW w:type="dxa" w:w="1440"/>
            <w:shd w:fill="FFDCE0" w:val="clear"/>
          </w:tcPr>
          <w:p>
            <w:r>
              <w:rPr>
                <w:b/>
                <w:sz w:val="17"/>
              </w:rPr>
              <w:t>5,377</w:t>
            </w:r>
          </w:p>
        </w:tc>
        <w:tc>
          <w:tcPr>
            <w:tcW w:type="dxa" w:w="1440"/>
            <w:shd w:fill="FFDCE0" w:val="clear"/>
          </w:tcPr>
          <w:p>
            <w:r>
              <w:rPr>
                <w:sz w:val="17"/>
              </w:rPr>
              <w:t>5,945</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114,40 milliards FCFA, un niveau significatif qui la positionne parmi les valeurs moyennes de la BRVM. Avec un BPA de seulement 20 FCFA, le titre affiche un PER de 279,7x, extrêmement élevé par rapport à la moyenne du marché qui se situe entre 8 et 12x. Les investisseurs paient donc un prix très supérieur aux bénéfices actuels, ce qui traduit une anticipation de croissance future importante. Le P/B de 3,17x indique que le marché valorise la banque à plus de trois fois sa valeur comptable, une prime substantielle qui reflète des attentes de redressement. Enfin, l'EV/EBITDA de 41,1x, très supérieur au seuil de 15x considéré comme exigeant, confirme une valorisation qui intègre déjà un scénario de forte amélioration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BOAN a enregistré une progression spectaculaire de +106,77%, passant d'un plus bas de 2 660 FCFA à un plus haut de 5 645 FCFA, pour clôturer à 5 500 FCFA, soit une légère baisse de -2,57% lors de la dernière séance. Cette tendance fortement haussière s'accompagne de statistiques descriptives révélatrices : la moyenne de 4 149 FCFA est supérieure à la médiane de 3 760 FCFA, indiquant une distribution asymétrique positive avec des valeurs extrêmes élevées. L'écart-type de 848 FCFA, soit un coefficient de variation de 20,4%, témoigne d'une dispersion modérée des cours. Le kurtosis de -1,237 (distribution platykurtique) suggère une faible concentration des variations autour de la moyenne, tandis que le skewness de 0,191 confirme une symétrie relative. La volatilité annualisée de 40,1% classe le titre dans la catégorie des valeurs à forte volatilité, ce qui implique un risque élevé mais aussi un potentiel de gains substantiels.</w:t>
      </w:r>
    </w:p>
    <w:p>
      <w:pPr>
        <w:spacing w:after="120" w:line="276" w:lineRule="auto" w:before="240"/>
      </w:pPr>
      <w:r>
        <w:rPr>
          <w:b/>
          <w:color w:val="003366"/>
          <w:sz w:val="24"/>
        </w:rPr>
        <w:t>**PARTIE 2 : ANALYSE TECHNIQUE DÉTAILLÉE**</w:t>
      </w:r>
    </w:p>
    <w:p>
      <w:pPr>
        <w:spacing w:after="120" w:line="276" w:lineRule="auto"/>
      </w:pPr>
      <w:r>
        <w:t>Les **Moyennes Mobiles** indiquent une tendance haussière solide : la MM20 à 5 230 FCFA et la MM50 à 4 858,7 FCFA sont toutes deux inférieures au cours actuel de 5 500 FCFA, confirmant la dynamique positive. La décision d'achat est justifiée par la configuration ascendante des moyennes mobiles, avec le cours évoluant au-dessus de ces supports dynamiques.</w:t>
      </w:r>
    </w:p>
    <w:p>
      <w:pPr>
        <w:spacing w:after="120" w:line="276" w:lineRule="auto"/>
      </w:pPr>
      <w:r>
        <w:t>Les **Bandes de Bollinger** montrent un cours proche de la borne supérieure à 5 523,7 FCFA, avec une borne inférieure à 4 936,3 FCFA. Cette position indique une pression acheteuse soutenue mais un risque de retour vers la moyenne. La décision neutre s'explique par la proximité du cours avec la borne haute, suggérant une possible consolidation à court terme.</w:t>
      </w:r>
    </w:p>
    <w:p>
      <w:pPr>
        <w:spacing w:after="120" w:line="276" w:lineRule="auto"/>
      </w:pPr>
      <w:r>
        <w:t>Le **MACD** affiche une valeur positive de 148,164, supérieure à son signal de 135,933, confirmant un momentum haussier. L'écart positif entre le MACD et son signal, bien que modéré, indique une dynamique d'achat toujours active. La décision d'achat est cohérente avec cette configuration technique.</w:t>
      </w:r>
    </w:p>
    <w:p>
      <w:pPr>
        <w:spacing w:after="120" w:line="276" w:lineRule="auto"/>
      </w:pPr>
      <w:r>
        <w:t>Le **RSI** à 68,987 se situe en zone neutre, proche du seuil de surachat de 70. Cette valeur indique une pression acheteuse encore présente mais avec un risque de retournement si le seuil est franchi. La décision neutre reflète cette position intermédiaire.</w:t>
      </w:r>
    </w:p>
    <w:p>
      <w:pPr>
        <w:spacing w:after="120" w:line="276" w:lineRule="auto"/>
      </w:pPr>
      <w:r>
        <w:t>Le **Stochastique** avec %K à 73,394 et %D à 91,131 montre que %K est inférieur à %D, suggérant un possible retournement baissier à court terme. La décision neutre est justifiée par cette configuration de croisement potentiel.</w:t>
      </w:r>
    </w:p>
    <w:p>
      <w:pPr>
        <w:spacing w:after="120" w:line="276" w:lineRule="auto"/>
      </w:pPr>
      <w:r>
        <w:t>La **conclusion technique** globale indique une tendance haussière dominante, confirmée par les moyennes mobiles et le MACD, mais avec des signaux de prudence émanant des bandes de Bollinger, du RSI et du stochastique. La convergence de ces indicateurs suggère une poursuite de la tendance avec un risque de consolidation à court terme.</w:t>
      </w:r>
    </w:p>
    <w:p>
      <w:pPr>
        <w:spacing w:after="120" w:line="276" w:lineRule="auto" w:before="240"/>
      </w:pPr>
      <w:r>
        <w:rPr>
          <w:b/>
          <w:color w:val="003366"/>
          <w:sz w:val="24"/>
        </w:rPr>
        <w:t>**PARTIE 3 : ANALYSE FONDAMENTALE (SECTION CRITIQUE)**</w:t>
      </w:r>
    </w:p>
    <w:p>
      <w:pPr>
        <w:spacing w:after="120" w:line="276" w:lineRule="auto"/>
      </w:pPr>
      <w:r>
        <w:t>En 2025, BOAN affiche un Produit Net Bancaire de 21,125 milliards FCFA, en légère baisse de 1,2% par rapport à 2024 (21,380 milliards FCFA), avec un résultat net effondré à 409 millions FCFA contre 5 002 millions en 2024, soit une chute de 91,8%. Le ROE s'établit à 1,13% et le ROA à 0,14%, des niveaux très faibles reflétant une rentabilité fortement dégradée. Le coefficient d'exploitation de 74,37% dépasse largement le seuil d'efficacité de 60%, indiquant une gestion des coûts sous pression. Le coût du risque de 67,30% témoigne d'un portefeuille de crédits fragilisé, avec un taux de créances en souffrance de 24% contre 12% en moyenne UEMOA. Les dépôts clientèle s'élèvent à 183,280 milliards FCFA contre des créances de 128,447 milliards, soit un ratio de transformation de 70%, reflétant une politique prudente. Sur la base du rapport T1 2026 (résultat net en hausse de 28,9% à 1 467,3 millions FCFA, PNB en progression de 7,9% à 5 170 millions FCFA), on estime que l'exercice 2026 pourrait voir un résultat net autour de 5,5 à 6 milliards FCFA, soit une multiplication par plus de 13 par rapport à 2025. Les rapports des 1er et 3ème trimestres 2025 confirment une tendance à la stabilisation du PNB mais avec un coût du risque en forte hausse. Le budget 2026 prévoit un PNB de 22,327 milliards FCFA (+6,4%) et un résultat avant impôt de 7,280 milliards FCFA (+515%).</w:t>
      </w:r>
    </w:p>
    <w:p>
      <w:pPr>
        <w:spacing w:after="120" w:line="276" w:lineRule="auto" w:before="240"/>
      </w:pPr>
      <w:r>
        <w:rPr>
          <w:b/>
          <w:color w:val="003366"/>
          <w:sz w:val="24"/>
        </w:rPr>
        <w:t>**PARTIE 4 : CONCLUSION D'INVESTISSEMENT**</w:t>
      </w:r>
    </w:p>
    <w:p>
      <w:pPr>
        <w:spacing w:after="120" w:line="276" w:lineRule="auto"/>
      </w:pPr>
      <w:r>
        <w:t>La valorisation de BOAN apparaît extrêmement exigeante avec un PER de 279,7x et un EV/EBITDA de 41,1x, traduisant une anticipation très optimiste du marché malgré des fondamentaux 2025 très dégradés. Le comportement du cours sur 100 jours (+106,77%) avec une volatilité élevée de 40,1% témoigne d'un momentum haussier spectaculaire mais potentiellement fragile. Les signaux techniques sont majoritairement positifs (MM, MACD) mais avec des indicateurs de surachat potentiel (Bollinger, RSI proche de 70, stochastique en croisement baissier). Les fondamentaux montrent une banque en phase de redressement avec des perspectives 2026 encourageantes (résultat net T1 2026 en hausse de 28,9%), soutenues par le plan stratégique et le groupe BOA. Les prédictions IA sur 10 jours (5 501 à 5 448 FCFA) suggèrent une stabilisation à court terme. La convergence entre les perspectives fondamentales de redressement et la dynamique technique positive, malgré une valorisation très élevée, conduit à une recommandation **CONSERVER** avec un niveau de confiance **Moyen**. Le risque global est **Élevé** en raison de la valorisation extrême et de l'environnement macroéconomique nigérien fragile. L'horizon d'investissement optimal est le **moyen terme (3-12 mois)**, en attendant la confirmation du redressement sur l'exercice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298.80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9,354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+21.17%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6,685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μ=7,422 FCFA, σ=412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β=0.3402 (Défensif) — Cov=0.000012, Var(idx)=0.000036, ρ=0.132,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7,861</w:t>
            </w:r>
          </w:p>
        </w:tc>
        <w:tc>
          <w:tcPr>
            <w:tcW w:type="dxa" w:w="1440"/>
            <w:shd w:fill="FFDCE0" w:val="clear"/>
          </w:tcPr>
          <w:p>
            <w:r>
              <w:rPr>
                <w:b/>
                <w:sz w:val="17"/>
              </w:rPr>
              <w:t>8,106</w:t>
            </w:r>
          </w:p>
        </w:tc>
        <w:tc>
          <w:tcPr>
            <w:tcW w:type="dxa" w:w="1440"/>
            <w:shd w:fill="FFDCE0" w:val="clear"/>
          </w:tcPr>
          <w:p>
            <w:r>
              <w:rPr>
                <w:sz w:val="17"/>
              </w:rPr>
              <w:t>8,351</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7,613</w:t>
            </w:r>
          </w:p>
        </w:tc>
        <w:tc>
          <w:tcPr>
            <w:tcW w:type="dxa" w:w="1440"/>
            <w:shd w:fill="FFDCE0" w:val="clear"/>
          </w:tcPr>
          <w:p>
            <w:r>
              <w:rPr>
                <w:b/>
                <w:sz w:val="17"/>
              </w:rPr>
              <w:t>7,952</w:t>
            </w:r>
          </w:p>
        </w:tc>
        <w:tc>
          <w:tcPr>
            <w:tcW w:type="dxa" w:w="1440"/>
            <w:shd w:fill="FFDCE0" w:val="clear"/>
          </w:tcPr>
          <w:p>
            <w:r>
              <w:rPr>
                <w:sz w:val="17"/>
              </w:rPr>
              <w:t>8,291</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7,402</w:t>
            </w:r>
          </w:p>
        </w:tc>
        <w:tc>
          <w:tcPr>
            <w:tcW w:type="dxa" w:w="1440"/>
            <w:shd w:fill="FFDCE0" w:val="clear"/>
          </w:tcPr>
          <w:p>
            <w:r>
              <w:rPr>
                <w:b/>
                <w:sz w:val="17"/>
              </w:rPr>
              <w:t>7,810</w:t>
            </w:r>
          </w:p>
        </w:tc>
        <w:tc>
          <w:tcPr>
            <w:tcW w:type="dxa" w:w="1440"/>
            <w:shd w:fill="FFDCE0" w:val="clear"/>
          </w:tcPr>
          <w:p>
            <w:r>
              <w:rPr>
                <w:sz w:val="17"/>
              </w:rPr>
              <w:t>8,219</w:t>
            </w:r>
          </w:p>
        </w:tc>
        <w:tc>
          <w:tcPr>
            <w:tcW w:type="dxa" w:w="1440"/>
            <w:shd w:fill="FFDCE0" w:val="clear"/>
          </w:tcPr>
          <w:p>
            <w:r>
              <w:rPr>
                <w:b/>
                <w:color w:val="C00000"/>
                <w:sz w:val="17"/>
              </w:rPr>
              <w:t>-5.9%</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7,217</w:t>
            </w:r>
          </w:p>
        </w:tc>
        <w:tc>
          <w:tcPr>
            <w:tcW w:type="dxa" w:w="1440"/>
            <w:shd w:fill="FFDCE0" w:val="clear"/>
          </w:tcPr>
          <w:p>
            <w:r>
              <w:rPr>
                <w:b/>
                <w:sz w:val="17"/>
              </w:rPr>
              <w:t>7,680</w:t>
            </w:r>
          </w:p>
        </w:tc>
        <w:tc>
          <w:tcPr>
            <w:tcW w:type="dxa" w:w="1440"/>
            <w:shd w:fill="FFDCE0" w:val="clear"/>
          </w:tcPr>
          <w:p>
            <w:r>
              <w:rPr>
                <w:sz w:val="17"/>
              </w:rPr>
              <w:t>8,144</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7,049</w:t>
            </w:r>
          </w:p>
        </w:tc>
        <w:tc>
          <w:tcPr>
            <w:tcW w:type="dxa" w:w="1440"/>
            <w:shd w:fill="FFDCE0" w:val="clear"/>
          </w:tcPr>
          <w:p>
            <w:r>
              <w:rPr>
                <w:b/>
                <w:sz w:val="17"/>
              </w:rPr>
              <w:t>7,559</w:t>
            </w:r>
          </w:p>
        </w:tc>
        <w:tc>
          <w:tcPr>
            <w:tcW w:type="dxa" w:w="1440"/>
            <w:shd w:fill="FFDCE0" w:val="clear"/>
          </w:tcPr>
          <w:p>
            <w:r>
              <w:rPr>
                <w:sz w:val="17"/>
              </w:rPr>
              <w:t>8,069</w:t>
            </w:r>
          </w:p>
        </w:tc>
        <w:tc>
          <w:tcPr>
            <w:tcW w:type="dxa" w:w="1440"/>
            <w:shd w:fill="FFDCE0" w:val="clear"/>
          </w:tcPr>
          <w:p>
            <w:r>
              <w:rPr>
                <w:b/>
                <w:color w:val="C00000"/>
                <w:sz w:val="17"/>
              </w:rPr>
              <w:t>-8.9%</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6,894</w:t>
            </w:r>
          </w:p>
        </w:tc>
        <w:tc>
          <w:tcPr>
            <w:tcW w:type="dxa" w:w="1440"/>
            <w:shd w:fill="FFDCE0" w:val="clear"/>
          </w:tcPr>
          <w:p>
            <w:r>
              <w:rPr>
                <w:b/>
                <w:sz w:val="17"/>
              </w:rPr>
              <w:t>7,444</w:t>
            </w:r>
          </w:p>
        </w:tc>
        <w:tc>
          <w:tcPr>
            <w:tcW w:type="dxa" w:w="1440"/>
            <w:shd w:fill="FFDCE0" w:val="clear"/>
          </w:tcPr>
          <w:p>
            <w:r>
              <w:rPr>
                <w:sz w:val="17"/>
              </w:rPr>
              <w:t>7,994</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6,751</w:t>
            </w:r>
          </w:p>
        </w:tc>
        <w:tc>
          <w:tcPr>
            <w:tcW w:type="dxa" w:w="1440"/>
            <w:shd w:fill="FFDCE0" w:val="clear"/>
          </w:tcPr>
          <w:p>
            <w:r>
              <w:rPr>
                <w:b/>
                <w:sz w:val="17"/>
              </w:rPr>
              <w:t>7,336</w:t>
            </w:r>
          </w:p>
        </w:tc>
        <w:tc>
          <w:tcPr>
            <w:tcW w:type="dxa" w:w="1440"/>
            <w:shd w:fill="FFDCE0" w:val="clear"/>
          </w:tcPr>
          <w:p>
            <w:r>
              <w:rPr>
                <w:sz w:val="17"/>
              </w:rPr>
              <w:t>7,922</w:t>
            </w:r>
          </w:p>
        </w:tc>
        <w:tc>
          <w:tcPr>
            <w:tcW w:type="dxa" w:w="1440"/>
            <w:shd w:fill="FFDCE0" w:val="clear"/>
          </w:tcPr>
          <w:p>
            <w:r>
              <w:rPr>
                <w:b/>
                <w:color w:val="C00000"/>
                <w:sz w:val="17"/>
              </w:rPr>
              <w:t>-11.6%</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6,617</w:t>
            </w:r>
          </w:p>
        </w:tc>
        <w:tc>
          <w:tcPr>
            <w:tcW w:type="dxa" w:w="1440"/>
            <w:shd w:fill="FFDCE0" w:val="clear"/>
          </w:tcPr>
          <w:p>
            <w:r>
              <w:rPr>
                <w:b/>
                <w:sz w:val="17"/>
              </w:rPr>
              <w:t>7,235</w:t>
            </w:r>
          </w:p>
        </w:tc>
        <w:tc>
          <w:tcPr>
            <w:tcW w:type="dxa" w:w="1440"/>
            <w:shd w:fill="FFDCE0" w:val="clear"/>
          </w:tcPr>
          <w:p>
            <w:r>
              <w:rPr>
                <w:sz w:val="17"/>
              </w:rPr>
              <w:t>7,852</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6,493</w:t>
            </w:r>
          </w:p>
        </w:tc>
        <w:tc>
          <w:tcPr>
            <w:tcW w:type="dxa" w:w="1440"/>
            <w:shd w:fill="FFDCE0" w:val="clear"/>
          </w:tcPr>
          <w:p>
            <w:r>
              <w:rPr>
                <w:b/>
                <w:sz w:val="17"/>
              </w:rPr>
              <w:t>7,139</w:t>
            </w:r>
          </w:p>
        </w:tc>
        <w:tc>
          <w:tcPr>
            <w:tcW w:type="dxa" w:w="1440"/>
            <w:shd w:fill="FFDCE0" w:val="clear"/>
          </w:tcPr>
          <w:p>
            <w:r>
              <w:rPr>
                <w:sz w:val="17"/>
              </w:rPr>
              <w:t>7,785</w:t>
            </w:r>
          </w:p>
        </w:tc>
        <w:tc>
          <w:tcPr>
            <w:tcW w:type="dxa" w:w="1440"/>
            <w:shd w:fill="FFDCE0" w:val="clear"/>
          </w:tcPr>
          <w:p>
            <w:r>
              <w:rPr>
                <w:b/>
                <w:color w:val="C00000"/>
                <w:sz w:val="17"/>
              </w:rPr>
              <w:t>-14.0%</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6,376</w:t>
            </w:r>
          </w:p>
        </w:tc>
        <w:tc>
          <w:tcPr>
            <w:tcW w:type="dxa" w:w="1440"/>
            <w:shd w:fill="FFDCE0" w:val="clear"/>
          </w:tcPr>
          <w:p>
            <w:r>
              <w:rPr>
                <w:b/>
                <w:sz w:val="17"/>
              </w:rPr>
              <w:t>7,048</w:t>
            </w:r>
          </w:p>
        </w:tc>
        <w:tc>
          <w:tcPr>
            <w:tcW w:type="dxa" w:w="1440"/>
            <w:shd w:fill="FFDCE0" w:val="clear"/>
          </w:tcPr>
          <w:p>
            <w:r>
              <w:rPr>
                <w:sz w:val="17"/>
              </w:rPr>
              <w:t>7,721</w:t>
            </w:r>
          </w:p>
        </w:tc>
        <w:tc>
          <w:tcPr>
            <w:tcW w:type="dxa" w:w="1440"/>
            <w:shd w:fill="FFDCE0" w:val="clear"/>
          </w:tcPr>
          <w:p>
            <w:r>
              <w:rPr>
                <w:b/>
                <w:color w:val="C00000"/>
                <w:sz w:val="17"/>
              </w:rPr>
              <w:t>-15.1%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professionnel structuré pour l'action BOAS,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298,80 Mds FCFA, BOAS se positionne comme une valeur de premier plan sur la BRVM. Le BPA de 608 FCFA indique que chaque action a généré un bénéfice substantiel, justifiant un PER de 13,6x. Ce ratio, bien que supérieur à la moyenne historique de la BRVM (8-12x), reflète la prime de croissance et de qualité accordée à la banque. Le P/B de 3,10x confirme cette prime, le marché valorisant l'actif net à plus de trois fois sa valeur comptable, signe d'une forte création de valeur future anticipée. Enfin, un EV/EBITDA de 8,9x, dans la fourchette haute mais raisonnable (5-10x), indique que la valeur totale de l'entreprise reste cohérente avec sa capacité opérationnelle à générer des bénéfices.</w:t>
      </w:r>
    </w:p>
    <w:p>
      <w:pPr>
        <w:spacing w:after="120" w:line="276" w:lineRule="auto"/>
      </w:pPr>
      <w:r>
        <w:t>### **PARTIE 1 : ANALYSE DU COURS — STATISTIQUES ET ÉVOLUTION (100 derniers jours)**</w:t>
      </w:r>
    </w:p>
    <w:p>
      <w:pPr>
        <w:spacing w:after="120" w:line="276" w:lineRule="auto"/>
      </w:pPr>
      <w:r>
        <w:t>Sur les 100 derniers jours, l'action BOAS affiche une performance remarquable de +21,17%, bien que la dernière séance ait enregistré un repli de -1,72% à 8 300 FCFA. Le titre a évolué dans une fourchette de 6 685 à 8 500 FCFA, démontrant une dynamique haussière soutenue. La moyenne (7 422 FCFA) et la médiane (7 400 FCFA) étant très proches, la distribution des prix est quasi symétrique, ce que confirme le skewness de 0,194. L'écart-type de 414 FCFA (CV=5,6%) indique une dispersion modérée autour de la moyenne. Le kurtosis proche de zéro (0,011) suggère une distribution mésokurtique, sans risque de variations extrêmes. La volatilité annualisée de 24,6% classe le titre dans une catégorie à risque modéré, cohérente avec une tendance haussière soutenue mais non spéculative.</w:t>
      </w:r>
    </w:p>
    <w:p>
      <w:pPr>
        <w:spacing w:after="120" w:line="276" w:lineRule="auto"/>
      </w:pPr>
      <w:r>
        <w:t>### **PARTIE 2 : ANALYSE TECHNIQUE DÉTAILLÉE**</w:t>
      </w:r>
    </w:p>
    <w:p>
      <w:pPr>
        <w:spacing w:after="120" w:line="276" w:lineRule="auto"/>
      </w:pPr>
      <w:r>
        <w:t>**Moyennes Mobiles:** Le cours actuel (8 300 FCFA) est nettement au-dessus de la MM20 (7 893 FCFA) et de la MM50 (7 629,6 FCFA). Cette configuration haussière, où les moyennes courtes sont au-dessus des moyennes longues, confirme la vigueur de la tendance et justifie la décision d'**Achat**.</w:t>
      </w:r>
    </w:p>
    <w:p>
      <w:pPr>
        <w:spacing w:after="120" w:line="276" w:lineRule="auto"/>
      </w:pPr>
      <w:r>
        <w:t>**Bandes de Bollinger:** Le prix se situe à 8 300 FCFA, proche de la borne supérieure (8 487,9 FCFA), indiquant une pression acheteuse soutenue. La largeur des bandes suggère une volatilité en hausse. Le fait que le prix ne soit pas sorti des bandes maintient une décision **Neutre**, mais la proximité de la borne supérieure signale une possible consolidation à court terme.</w:t>
      </w:r>
    </w:p>
    <w:p>
      <w:pPr>
        <w:spacing w:after="120" w:line="276" w:lineRule="auto"/>
      </w:pPr>
      <w:r>
        <w:t>**MACD:** Le MACD (200,8) est nettement supérieur à son signal (138,3), avec un écart positif et croissant. Cette configuration indique un momentum haussier fort et confirme la dynamique positive du titre, justifiant la décision d'**Achat**.</w:t>
      </w:r>
    </w:p>
    <w:p>
      <w:pPr>
        <w:spacing w:after="120" w:line="276" w:lineRule="auto"/>
      </w:pPr>
      <w:r>
        <w:t>**RSI:** Avec une valeur de 76,6, le RSI est entré en zone de surachat (&gt;70). Cela indique que le titre est potentiellement surévalué à court terme et qu'un repli technique est possible. La décision de **Vente** est donc une alerte de prudence, signalant un risque de correction.</w:t>
      </w:r>
    </w:p>
    <w:p>
      <w:pPr>
        <w:spacing w:after="120" w:line="276" w:lineRule="auto"/>
      </w:pPr>
      <w:r>
        <w:t>**Stochastique:** Le %K (75,3) est passé sous le %D (89,5), formant un croisement baissier en zone de surachat. Ce signal indique un affaiblissement du momentum haussier et précède souvent une consolidation. La décision **Neutre** reflète cette ambiguïté entre la tendance de fond et le signal de retournement à court terme.</w:t>
      </w:r>
    </w:p>
    <w:p>
      <w:pPr>
        <w:spacing w:after="120" w:line="276" w:lineRule="auto"/>
      </w:pPr>
      <w:r>
        <w:t>**Conclusion technique :** La tendance de fond reste résolument haussière, portée par les moyennes mobiles et le MACD. Cependant, les oscillateurs (RSI et Stochastique) signalent des conditions de surachat, suggérant un risque élevé de consolidation ou de correction à très court terme avant la poursuite de la tendance. Le signal global est donc un **Achat** sur les replis, avec prudence à court terme.</w:t>
      </w:r>
    </w:p>
    <w:p>
      <w:pPr>
        <w:spacing w:after="120" w:line="276" w:lineRule="auto"/>
      </w:pPr>
      <w:r>
        <w:t>### **PARTIE 3 : ANALYSE FONDAMENTALE (SECTION CRITIQUE)**</w:t>
      </w:r>
    </w:p>
    <w:p>
      <w:pPr>
        <w:spacing w:after="120" w:line="276" w:lineRule="auto"/>
      </w:pPr>
      <w:r>
        <w:t>En 2025, BOAS affiche des fondamentaux solides avec un Produit Net Bancaire (PNB) de 51,926 Mds FCFA et un résultat net de 21,905 Mds FCFA. La banque est très efficace, avec un coefficient d'exploitation excellent de 44,02% (bien en dessous du seuil de 60%). Le coût du risque, à 23,3% des charges financières, reste un point de vigilance, mais les rapports trimestriels de 2025 montrent une nette amélioration. Le rapport du T1 2025 (PNB +2,36%, RN +9,25%) et surtout celui du S1 2025 (PNB +6,77%, RN +12,70%) indiquent une accélération de la rentabilité, portée par une meilleure maîtrise des coûts et une baisse du coût du risque. Le rapport du T3 2025 confirme cette tendance (PNB +6,71%, RN +10,01%). Sur la base de ces performances, on estime que l'exercice 2025 devrait dépasser les chiffres annuels, avec une croissance du résultat net potentiellement supérieure à 10%. La banque affiche une rentabilité exceptionnelle avec un ROE de 22,69% et un ROA de 2,62%, soutenue par une collecte de dépôts dynamique (686,9 Mds FCFA) qui finance une partie des crédits à la clientèle (386,4 Mds FCFA). Les rapports de 2026 (T1) confirment cette dynamique avec une croissance du PNB de 6,82% et du résultat net de 9,78%, et une amélioration du coefficient d'exploitation à 42,1%. La recommandation fondamentale est un **ACHAT**, basé sur une croissance saine, une excellente efficacité opérationnelle et une amélioration continue de la qualité du portefeuille de crédits.</w:t>
      </w:r>
    </w:p>
    <w:p>
      <w:pPr>
        <w:spacing w:after="120" w:line="276" w:lineRule="auto"/>
      </w:pPr>
      <w:r>
        <w:t>### **PARTIE 4 : CONCLUSION D'INVESTISSEMENT**</w:t>
      </w:r>
    </w:p>
    <w:p>
      <w:pPr>
        <w:spacing w:after="120" w:line="276" w:lineRule="auto"/>
      </w:pPr>
      <w:r>
        <w:t>La valorisation de BOAS (PER 13,6x, P/B 3,1x) est supérieure à la moyenne du marché, mais elle est justifiée par une rentabilité exceptionnelle (ROE &gt;22%) et des perspectives de croissance solides. Le comportement du cours sur 100 jours est très favorable, avec une tendance haussière marquée et une volatilité modérée, bien que les statistiques suggèrent une distribution normale sans risque extrême. Les signaux techniques sont globalement positifs (MM, MACD) mais les oscillateurs (RSI, Stochastique) indiquent un risque de correction à court terme. Les fondamentaux sont excellents, avec une croissance soutenue du PNB et du résultat net, une amélioration continue de l'efficacité et une gestion prudente du risque. Les prédictions IA (J+1 à J+10) anticipent une correction vers 7 559 FCFA, ce qui contredit la tendance haussière immédiate mais pourrait offrir un point d'entrée plus attrayant. En synthèse, la convergence entre les fondamentaux solides et la tendance de fond haussière est forte, mais la prudence est de mise à très court terme. La recommandation finale est un **ACHAT**, avec un niveau de confiance **Élevé** et un risque global **Moyen**. L'horizon d'investissement optimal est le **moyen terme (3-12 mois)**, en profitant d'une éventuelle consolidation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2,349 titres</w:t>
            </w:r>
          </w:p>
        </w:tc>
        <w:tc>
          <w:tcPr>
            <w:tcW w:type="dxa" w:w="2268"/>
            <w:shd w:fill="FFF2CC" w:val="clear"/>
          </w:tcPr>
          <w:p>
            <w:r>
              <w:rPr>
                <w:b/>
                <w:color w:val="503200"/>
                <w:sz w:val="16"/>
              </w:rPr>
              <w:t xml:space="preserve">Cours actuel : </w:t>
            </w:r>
            <w:r>
              <w:rPr>
                <w:color w:val="000000"/>
                <w:sz w:val="17"/>
              </w:rPr>
              <w:t>3,495 FCFA</w:t>
            </w:r>
          </w:p>
          <w:p>
            <w:r>
              <w:rPr>
                <w:b/>
                <w:color w:val="503200"/>
                <w:sz w:val="16"/>
              </w:rPr>
              <w:t xml:space="preserve">Var. 100 jours : </w:t>
            </w:r>
            <w:r>
              <w:rPr>
                <w:b/>
                <w:color w:val="B40000"/>
                <w:sz w:val="17"/>
              </w:rPr>
              <w:t>-10.04%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7.56% (Moyenne) — μ=3,772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β=0.0143 (Défensif) — Cov=0.000001, Var(idx)=0.000036, ρ=0.003,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3,492</w:t>
            </w:r>
          </w:p>
        </w:tc>
        <w:tc>
          <w:tcPr>
            <w:tcW w:type="dxa" w:w="1440"/>
            <w:shd w:fill="C6EFCE" w:val="clear"/>
          </w:tcPr>
          <w:p>
            <w:r>
              <w:rPr>
                <w:b/>
                <w:sz w:val="17"/>
              </w:rPr>
              <w:t>3,641</w:t>
            </w:r>
          </w:p>
        </w:tc>
        <w:tc>
          <w:tcPr>
            <w:tcW w:type="dxa" w:w="1440"/>
            <w:shd w:fill="C6EFCE" w:val="clear"/>
          </w:tcPr>
          <w:p>
            <w:r>
              <w:rPr>
                <w:sz w:val="17"/>
              </w:rPr>
              <w:t>3,789</w:t>
            </w:r>
          </w:p>
        </w:tc>
        <w:tc>
          <w:tcPr>
            <w:tcW w:type="dxa" w:w="1440"/>
            <w:shd w:fill="C6EFCE" w:val="clear"/>
          </w:tcPr>
          <w:p>
            <w:r>
              <w:rPr>
                <w:b/>
                <w:color w:val="008000"/>
                <w:sz w:val="17"/>
              </w:rPr>
              <w:t>+4.2%</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3,572</w:t>
            </w:r>
          </w:p>
        </w:tc>
        <w:tc>
          <w:tcPr>
            <w:tcW w:type="dxa" w:w="1440"/>
            <w:shd w:fill="C6EFCE" w:val="clear"/>
          </w:tcPr>
          <w:p>
            <w:r>
              <w:rPr>
                <w:b/>
                <w:sz w:val="17"/>
              </w:rPr>
              <w:t>3,791</w:t>
            </w:r>
          </w:p>
        </w:tc>
        <w:tc>
          <w:tcPr>
            <w:tcW w:type="dxa" w:w="1440"/>
            <w:shd w:fill="C6EFCE" w:val="clear"/>
          </w:tcPr>
          <w:p>
            <w:r>
              <w:rPr>
                <w:sz w:val="17"/>
              </w:rPr>
              <w:t>4,010</w:t>
            </w:r>
          </w:p>
        </w:tc>
        <w:tc>
          <w:tcPr>
            <w:tcW w:type="dxa" w:w="1440"/>
            <w:shd w:fill="C6EFCE" w:val="clear"/>
          </w:tcPr>
          <w:p>
            <w:r>
              <w:rPr>
                <w:b/>
                <w:color w:val="008000"/>
                <w:sz w:val="17"/>
              </w:rPr>
              <w:t>+8.5%</w:t>
            </w:r>
          </w:p>
        </w:tc>
      </w:tr>
      <w:tr>
        <w:tc>
          <w:tcPr>
            <w:tcW w:type="dxa" w:w="1440"/>
            <w:shd w:fill="C6EFCE" w:val="clear"/>
          </w:tcPr>
          <w:p>
            <w:r>
              <w:rPr>
                <w:sz w:val="17"/>
              </w:rPr>
              <w:t>J+3  Moyenne</w:t>
            </w:r>
          </w:p>
        </w:tc>
        <w:tc>
          <w:tcPr>
            <w:tcW w:type="dxa" w:w="1440"/>
            <w:shd w:fill="C6EFCE" w:val="clear"/>
          </w:tcPr>
          <w:p>
            <w:r>
              <w:rPr>
                <w:sz w:val="17"/>
              </w:rPr>
              <w:t>2026-09-02</w:t>
            </w:r>
          </w:p>
        </w:tc>
        <w:tc>
          <w:tcPr>
            <w:tcW w:type="dxa" w:w="1440"/>
            <w:shd w:fill="C6EFCE" w:val="clear"/>
          </w:tcPr>
          <w:p>
            <w:r>
              <w:rPr>
                <w:sz w:val="17"/>
              </w:rPr>
              <w:t>3,693</w:t>
            </w:r>
          </w:p>
        </w:tc>
        <w:tc>
          <w:tcPr>
            <w:tcW w:type="dxa" w:w="1440"/>
            <w:shd w:fill="C6EFCE" w:val="clear"/>
          </w:tcPr>
          <w:p>
            <w:r>
              <w:rPr>
                <w:b/>
                <w:sz w:val="17"/>
              </w:rPr>
              <w:t>3,974</w:t>
            </w:r>
          </w:p>
        </w:tc>
        <w:tc>
          <w:tcPr>
            <w:tcW w:type="dxa" w:w="1440"/>
            <w:shd w:fill="C6EFCE" w:val="clear"/>
          </w:tcPr>
          <w:p>
            <w:r>
              <w:rPr>
                <w:sz w:val="17"/>
              </w:rPr>
              <w:t>4,255</w:t>
            </w:r>
          </w:p>
        </w:tc>
        <w:tc>
          <w:tcPr>
            <w:tcW w:type="dxa" w:w="1440"/>
            <w:shd w:fill="C6EFCE" w:val="clear"/>
          </w:tcPr>
          <w:p>
            <w:r>
              <w:rPr>
                <w:b/>
                <w:color w:val="008000"/>
                <w:sz w:val="17"/>
              </w:rPr>
              <w:t>+13.7%</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3,841</w:t>
            </w:r>
          </w:p>
        </w:tc>
        <w:tc>
          <w:tcPr>
            <w:tcW w:type="dxa" w:w="1440"/>
            <w:shd w:fill="C6EFCE" w:val="clear"/>
          </w:tcPr>
          <w:p>
            <w:r>
              <w:rPr>
                <w:b/>
                <w:sz w:val="17"/>
              </w:rPr>
              <w:t>4,182</w:t>
            </w:r>
          </w:p>
        </w:tc>
        <w:tc>
          <w:tcPr>
            <w:tcW w:type="dxa" w:w="1440"/>
            <w:shd w:fill="C6EFCE" w:val="clear"/>
          </w:tcPr>
          <w:p>
            <w:r>
              <w:rPr>
                <w:sz w:val="17"/>
              </w:rPr>
              <w:t>4,524</w:t>
            </w:r>
          </w:p>
        </w:tc>
        <w:tc>
          <w:tcPr>
            <w:tcW w:type="dxa" w:w="1440"/>
            <w:shd w:fill="C6EFCE" w:val="clear"/>
          </w:tcPr>
          <w:p>
            <w:r>
              <w:rPr>
                <w:b/>
                <w:color w:val="008000"/>
                <w:sz w:val="17"/>
              </w:rPr>
              <w:t>+19.7%</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4,014</w:t>
            </w:r>
          </w:p>
        </w:tc>
        <w:tc>
          <w:tcPr>
            <w:tcW w:type="dxa" w:w="1440"/>
            <w:shd w:fill="C6EFCE" w:val="clear"/>
          </w:tcPr>
          <w:p>
            <w:r>
              <w:rPr>
                <w:b/>
                <w:sz w:val="17"/>
              </w:rPr>
              <w:t>4,417</w:t>
            </w:r>
          </w:p>
        </w:tc>
        <w:tc>
          <w:tcPr>
            <w:tcW w:type="dxa" w:w="1440"/>
            <w:shd w:fill="C6EFCE" w:val="clear"/>
          </w:tcPr>
          <w:p>
            <w:r>
              <w:rPr>
                <w:sz w:val="17"/>
              </w:rPr>
              <w:t>4,820</w:t>
            </w:r>
          </w:p>
        </w:tc>
        <w:tc>
          <w:tcPr>
            <w:tcW w:type="dxa" w:w="1440"/>
            <w:shd w:fill="C6EFCE" w:val="clear"/>
          </w:tcPr>
          <w:p>
            <w:r>
              <w:rPr>
                <w:b/>
                <w:color w:val="008000"/>
                <w:sz w:val="17"/>
              </w:rPr>
              <w:t>+26.4%</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4,214</w:t>
            </w:r>
          </w:p>
        </w:tc>
        <w:tc>
          <w:tcPr>
            <w:tcW w:type="dxa" w:w="1440"/>
            <w:shd w:fill="C6EFCE" w:val="clear"/>
          </w:tcPr>
          <w:p>
            <w:r>
              <w:rPr>
                <w:b/>
                <w:sz w:val="17"/>
              </w:rPr>
              <w:t>4,682</w:t>
            </w:r>
          </w:p>
        </w:tc>
        <w:tc>
          <w:tcPr>
            <w:tcW w:type="dxa" w:w="1440"/>
            <w:shd w:fill="C6EFCE" w:val="clear"/>
          </w:tcPr>
          <w:p>
            <w:r>
              <w:rPr>
                <w:sz w:val="17"/>
              </w:rPr>
              <w:t>5,150</w:t>
            </w:r>
          </w:p>
        </w:tc>
        <w:tc>
          <w:tcPr>
            <w:tcW w:type="dxa" w:w="1440"/>
            <w:shd w:fill="C6EFCE" w:val="clear"/>
          </w:tcPr>
          <w:p>
            <w:r>
              <w:rPr>
                <w:b/>
                <w:color w:val="008000"/>
                <w:sz w:val="17"/>
              </w:rPr>
              <w:t>+34.0%</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4,448</w:t>
            </w:r>
          </w:p>
        </w:tc>
        <w:tc>
          <w:tcPr>
            <w:tcW w:type="dxa" w:w="1440"/>
            <w:shd w:fill="C6EFCE" w:val="clear"/>
          </w:tcPr>
          <w:p>
            <w:r>
              <w:rPr>
                <w:b/>
                <w:sz w:val="17"/>
              </w:rPr>
              <w:t>4,987</w:t>
            </w:r>
          </w:p>
        </w:tc>
        <w:tc>
          <w:tcPr>
            <w:tcW w:type="dxa" w:w="1440"/>
            <w:shd w:fill="C6EFCE" w:val="clear"/>
          </w:tcPr>
          <w:p>
            <w:r>
              <w:rPr>
                <w:sz w:val="17"/>
              </w:rPr>
              <w:t>5,525</w:t>
            </w:r>
          </w:p>
        </w:tc>
        <w:tc>
          <w:tcPr>
            <w:tcW w:type="dxa" w:w="1440"/>
            <w:shd w:fill="C6EFCE" w:val="clear"/>
          </w:tcPr>
          <w:p>
            <w:r>
              <w:rPr>
                <w:b/>
                <w:color w:val="008000"/>
                <w:sz w:val="17"/>
              </w:rPr>
              <w:t>+42.7%</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4,728</w:t>
            </w:r>
          </w:p>
        </w:tc>
        <w:tc>
          <w:tcPr>
            <w:tcW w:type="dxa" w:w="1440"/>
            <w:shd w:fill="C6EFCE" w:val="clear"/>
          </w:tcPr>
          <w:p>
            <w:r>
              <w:rPr>
                <w:b/>
                <w:sz w:val="17"/>
              </w:rPr>
              <w:t>5,345</w:t>
            </w:r>
          </w:p>
        </w:tc>
        <w:tc>
          <w:tcPr>
            <w:tcW w:type="dxa" w:w="1440"/>
            <w:shd w:fill="C6EFCE" w:val="clear"/>
          </w:tcPr>
          <w:p>
            <w:r>
              <w:rPr>
                <w:sz w:val="17"/>
              </w:rPr>
              <w:t>5,962</w:t>
            </w:r>
          </w:p>
        </w:tc>
        <w:tc>
          <w:tcPr>
            <w:tcW w:type="dxa" w:w="1440"/>
            <w:shd w:fill="C6EFCE" w:val="clear"/>
          </w:tcPr>
          <w:p>
            <w:r>
              <w:rPr>
                <w:b/>
                <w:color w:val="008000"/>
                <w:sz w:val="17"/>
              </w:rPr>
              <w:t>+52.9%</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5,042</w:t>
            </w:r>
          </w:p>
        </w:tc>
        <w:tc>
          <w:tcPr>
            <w:tcW w:type="dxa" w:w="1440"/>
            <w:shd w:fill="C6EFCE" w:val="clear"/>
          </w:tcPr>
          <w:p>
            <w:r>
              <w:rPr>
                <w:b/>
                <w:sz w:val="17"/>
              </w:rPr>
              <w:t>5,746</w:t>
            </w:r>
          </w:p>
        </w:tc>
        <w:tc>
          <w:tcPr>
            <w:tcW w:type="dxa" w:w="1440"/>
            <w:shd w:fill="C6EFCE" w:val="clear"/>
          </w:tcPr>
          <w:p>
            <w:r>
              <w:rPr>
                <w:sz w:val="17"/>
              </w:rPr>
              <w:t>6,449</w:t>
            </w:r>
          </w:p>
        </w:tc>
        <w:tc>
          <w:tcPr>
            <w:tcW w:type="dxa" w:w="1440"/>
            <w:shd w:fill="C6EFCE" w:val="clear"/>
          </w:tcPr>
          <w:p>
            <w:r>
              <w:rPr>
                <w:b/>
                <w:color w:val="008000"/>
                <w:sz w:val="17"/>
              </w:rPr>
              <w:t>+64.4%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5,379</w:t>
            </w:r>
          </w:p>
        </w:tc>
        <w:tc>
          <w:tcPr>
            <w:tcW w:type="dxa" w:w="1440"/>
            <w:shd w:fill="C6EFCE" w:val="clear"/>
          </w:tcPr>
          <w:p>
            <w:r>
              <w:rPr>
                <w:b/>
                <w:sz w:val="17"/>
              </w:rPr>
              <w:t>6,176</w:t>
            </w:r>
          </w:p>
        </w:tc>
        <w:tc>
          <w:tcPr>
            <w:tcW w:type="dxa" w:w="1440"/>
            <w:shd w:fill="C6EFCE" w:val="clear"/>
          </w:tcPr>
          <w:p>
            <w:r>
              <w:rPr>
                <w:sz w:val="17"/>
              </w:rPr>
              <w:t>6,974</w:t>
            </w:r>
          </w:p>
        </w:tc>
        <w:tc>
          <w:tcPr>
            <w:tcW w:type="dxa" w:w="1440"/>
            <w:shd w:fill="C6EFCE" w:val="clear"/>
          </w:tcPr>
          <w:p>
            <w:r>
              <w:rPr>
                <w:b/>
                <w:color w:val="008000"/>
                <w:sz w:val="17"/>
              </w:rPr>
              <w:t>+76.7%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28 août 2026**</w:t>
        <w:br/>
        <w:t>**Cours de référence : 3 495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20,69 milliards FCFA, un niveau modeste dans l'écosystème BRVM, reflétant un profil de moyenne capitalisation. Le BPA de 243 FCFA indique que chaque action génère un bénéfice de ce montant, ce qui, rapporté au cours actuel, donne un PER de 14,4x. Ce ratio est supérieur à la moyenne historique de la BRVM (8-12x), suggérant que le marché valorise le titre avec une prime, probablement en anticipation d'une croissance future. Le P/B de 2,21x confirme cette lecture, le marché accordant une prime de 121% par rapport à la valeur comptable des fonds propres. Enfin, l'EV/EBITDA de 7,3x, situé dans la fourchette raisonnable de 5-10x, indique que la valorisation de l'entreprise, rapportée à sa capacité opérationnelle, reste mesurée et cohérente avec un profil industriel stable.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-10,04%, avec une dernière séance en léger repli de -0,14%. Le cours a évolué dans une fourchette large de 1 150 FCFA, oscillant entre un plus bas de 3 350 FCFA et un plus haut de 4 500 FCFA, illustrant une volatilité marquée. La tendance générale est baissière, le titre ayant cédé du terrain après avoir atteint des sommets. Statistiquement, la moyenne (3 772 FCFA) est supérieure à la médiane (3 700 FCFA) et au mode (3 500 FCFA), indiquant une distribution asymétrique positive (skewness de 0,741) où les jours de baisse sont plus fréquents mais de moindre ampleur que les rares fortes hausses. L'écart-type de 287 FCFA (CV=7,6%) montre une dispersion modérée, tandis que le kurtosis de -0,129 (mésokurtique) suggère une distribution des rendements proche de la normale, sans risque de pics extrêmes. La volatilité annualisée de 53,3% classe le titre comme très volatil, un niveau élevé qui implique un risque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3 495 FCFA est inférieur à la MM20 (3 550,5 FCFA) et nettement sous la MM50 (3 801,9 FCFA). Cette configuration baissière, où le prix évolue sous les deux moyennes clés, confirme une dynamique négative à court et moyen terme. La décision de "Vente" est justifiée par cette structure hiérarchique défavorable.</w:t>
      </w:r>
    </w:p>
    <w:p>
      <w:pPr>
        <w:spacing w:after="120" w:line="276" w:lineRule="auto"/>
      </w:pPr>
      <w:r>
        <w:t>**Bandes de Bollinger :** Le prix se situe à 3 495 FCFA, proche de la borne inférieure (3 401,5 FCFA) et loin de la borne supérieure (3 699,5 FCFA). Cette position indique que le titre est dans la partie basse de son canal de volatilité, sans être en situation de survente extrême. La décision "Neutre" reflète l'absence de signal directionnel fort, le marché attendant une sortie de ce range.</w:t>
      </w:r>
    </w:p>
    <w:p>
      <w:pPr>
        <w:spacing w:after="120" w:line="276" w:lineRule="auto"/>
      </w:pPr>
      <w:r>
        <w:t>**MACD :** Le MACD (-56,55) est négatif mais se situe au-dessus de sa ligne de signal (-63,73). Ce croisement haussier, bien que sur des valeurs négatives, suggère un ralentissement de la dynamique baissière et une possible inversion de tendance à court terme. La décision "Achat" est donc un signal précoce de retournement potentiel du momentum.</w:t>
      </w:r>
    </w:p>
    <w:p>
      <w:pPr>
        <w:spacing w:after="120" w:line="276" w:lineRule="auto"/>
      </w:pPr>
      <w:r>
        <w:t>**RSI :** Avec une valeur de 44,33, le RSI se trouve dans la zone neutre (30-70), indiquant un équilibre entre pressions acheteuses et vendeuses. Il n'y a pas de condition de surachat ou de survente. La décision "Neutre" est cohérente avec cette lecture, le marché n'étant pas encore directionnel.</w:t>
      </w:r>
    </w:p>
    <w:p>
      <w:pPr>
        <w:spacing w:after="120" w:line="276" w:lineRule="auto"/>
      </w:pPr>
      <w:r>
        <w:t>**Stochastique :** Le %K (2,326) et le %D (3,876) sont à des niveaux extrêmement bas, en territoire de survente profonde. Ce positionnement signale que le titre est très survendu à court terme, ce qui précède souvent un rebond technique. La décision "Achat" est justifiée par ce déséquilibre excessif en faveur des vendeurs.</w:t>
      </w:r>
    </w:p>
    <w:p>
      <w:pPr>
        <w:spacing w:after="120" w:line="276" w:lineRule="auto"/>
      </w:pPr>
      <w:r>
        <w:t>**Conclusion technique :** La synthèse des indicateurs est contrastée. Les moyennes mobiles et les bandes de Bollinger indiquent une tendance baissière toujours en place, mais les oscillateurs (MACD et Stochastique) montrent des signes de retournement haussier, avec un RSI neutre. Cette divergence suggère une possible phase de consolidation ou de rebond technique à court terme, mais la tendance de fond reste négative tant que le cours ne repasse pas au-dessus de la MM20.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CABC a réalisé un chiffre d'affaires de 21,263 milliards FCFA, en croissance de +11,2% par rapport à 2024 (19,125 milliards FCFA). Le résultat net s'établit à 1,439 milliard FCFA, contre 1,375 milliard en 2024, soit une progression de +4,7%. La rentabilité des fonds propres (ROE) est excellente à 15,4%, et le ROA atteint 6,1%. Cependant, l'analyse sectorielle (entreprise industrielle) révèle des points de vigilance : le BFR est élevé à 7,186 milliards FCFA, avec un délai de paiement clients de 144,7 jours et une durée de stockage de 152,1 jours, signalant un risque de trésorerie important. Les flux de trésorerie opérationnels sont négatifs (-819,7 millions FCFA), et le free cash-flow est également négatif (-982,7 millions FCFA). Les rapports trimestriels de 2025 confirment une dynamique positive : le S1 2025 affichait un résultat net de 851,5 millions FCFA (+55,3%), et le cumul sur 9 mois atteignait 1,329 milliard FCFA (+26%). Sur la base de ces tendances, on estime que l'exercice 2025 devrait confirmer une croissance solide, mais la pression sur les marges opérationnelles, notamment due à la volatilité des cours du cuivre et à la hausse des coûts, pourrait limiter la progression du résultat net. La solidité financière est toutefois confortée par des capitaux propres de 9,346 milliards FCFA et une trésorerie nette positive de 5,139 milliards FCFA, avec un endettement très faible (417,6 millions FCFA). En conclusion, la recommandation fondamentale est "CONSERVER", la société démontrant une bonne capacité de croissance mais devant gérer ses risques de liquidité et de coûts.</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2,21x) est légèrement supérieure aux moyennes du marché, mais reste justifiée par une rentabilité élevée (ROE 15,4%). Le comportement du cours sur 100 jours est préoccupant avec une baisse de -10%, une volatilité très élevée (53,3%) et une distribution asymétrique positive indiquant des jours de baisse fréquents. Les signaux techniques sont mitigés : la tendance de fond est baissière (MM), mais les oscillateurs (MACD, Stochastique) suggèrent un rebond imminent. Les fondamentaux sont solides avec une croissance du CA et du résultat net, mais les flux de trésorerie négatifs et les délais clients/stocks élevés constituent des risques. Les prédictions IA pour les 10 prochains jours (3 641 à 4 417 FCFA) anticipent une forte hausse, ce qui contredit la tendance baissière récente mais est cohérent avec les signaux de survente technique. En synthèse, la convergence entre les signaux de retournement technique (MACD, Stochastique) et les prédictions IA suggère un potentiel de rebond à court terme, mais la prudence reste de mise face à la volatilité et aux défis opérationnels. **Recommandation finale : ACHAT** avec un niveau de confiance **Moyen**. Le risque global est **Élevé** en raison de la volatilité du titre et des incertitudes sur les marges. L'horizon d'investissement optimal est le **court terme (&lt;3 mois)** pour profiter du rebond technique anticipé, avec une surveillance étroite des fondamentaux pour une perspective à moyen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947.20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1,423 titres</w:t>
            </w:r>
          </w:p>
        </w:tc>
        <w:tc>
          <w:tcPr>
            <w:tcW w:type="dxa" w:w="2268"/>
            <w:shd w:fill="FFF2CC" w:val="clear"/>
          </w:tcPr>
          <w:p>
            <w:r>
              <w:rPr>
                <w:b/>
                <w:color w:val="503200"/>
                <w:sz w:val="16"/>
              </w:rPr>
              <w:t xml:space="preserve">Cours actuel : </w:t>
            </w:r>
            <w:r>
              <w:rPr>
                <w:color w:val="000000"/>
                <w:sz w:val="17"/>
              </w:rPr>
              <w:t>29,600 FCFA</w:t>
            </w:r>
          </w:p>
          <w:p>
            <w:r>
              <w:rPr>
                <w:b/>
                <w:color w:val="503200"/>
                <w:sz w:val="16"/>
              </w:rPr>
              <w:t xml:space="preserve">Var. 100 jours : </w:t>
            </w:r>
            <w:r>
              <w:rPr>
                <w:b/>
                <w:color w:val="007800"/>
                <w:sz w:val="17"/>
              </w:rPr>
              <w:t>+98.86%</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14,885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22.16% (Élevée) — μ=22,671 FCFA, σ=5,024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β=0.7673 (Défensif) — Cov=0.000028, Var(idx)=0.000036, ρ=0.176,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26,505</w:t>
            </w:r>
          </w:p>
        </w:tc>
        <w:tc>
          <w:tcPr>
            <w:tcW w:type="dxa" w:w="1440"/>
            <w:shd w:fill="FFDCE0" w:val="clear"/>
          </w:tcPr>
          <w:p>
            <w:r>
              <w:rPr>
                <w:b/>
                <w:sz w:val="17"/>
              </w:rPr>
              <w:t>27,380</w:t>
            </w:r>
          </w:p>
        </w:tc>
        <w:tc>
          <w:tcPr>
            <w:tcW w:type="dxa" w:w="1440"/>
            <w:shd w:fill="FFDCE0" w:val="clear"/>
          </w:tcPr>
          <w:p>
            <w:r>
              <w:rPr>
                <w:sz w:val="17"/>
              </w:rPr>
              <w:t>28,255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24,182</w:t>
            </w:r>
          </w:p>
        </w:tc>
        <w:tc>
          <w:tcPr>
            <w:tcW w:type="dxa" w:w="1440"/>
            <w:shd w:fill="FFDCE0" w:val="clear"/>
          </w:tcPr>
          <w:p>
            <w:r>
              <w:rPr>
                <w:b/>
                <w:sz w:val="17"/>
              </w:rPr>
              <w:t>25,326</w:t>
            </w:r>
          </w:p>
        </w:tc>
        <w:tc>
          <w:tcPr>
            <w:tcW w:type="dxa" w:w="1440"/>
            <w:shd w:fill="FFDCE0" w:val="clear"/>
          </w:tcPr>
          <w:p>
            <w:r>
              <w:rPr>
                <w:sz w:val="17"/>
              </w:rPr>
              <w:t>26,471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22,130</w:t>
            </w:r>
          </w:p>
        </w:tc>
        <w:tc>
          <w:tcPr>
            <w:tcW w:type="dxa" w:w="1440"/>
            <w:shd w:fill="FFDCE0" w:val="clear"/>
          </w:tcPr>
          <w:p>
            <w:r>
              <w:rPr>
                <w:b/>
                <w:sz w:val="17"/>
              </w:rPr>
              <w:t>23,427</w:t>
            </w:r>
          </w:p>
        </w:tc>
        <w:tc>
          <w:tcPr>
            <w:tcW w:type="dxa" w:w="1440"/>
            <w:shd w:fill="FFDCE0" w:val="clear"/>
          </w:tcPr>
          <w:p>
            <w:r>
              <w:rPr>
                <w:sz w:val="17"/>
              </w:rPr>
              <w:t>24,724</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20,285</w:t>
            </w:r>
          </w:p>
        </w:tc>
        <w:tc>
          <w:tcPr>
            <w:tcW w:type="dxa" w:w="1440"/>
            <w:shd w:fill="FFDCE0" w:val="clear"/>
          </w:tcPr>
          <w:p>
            <w:r>
              <w:rPr>
                <w:b/>
                <w:sz w:val="17"/>
              </w:rPr>
              <w:t>21,670</w:t>
            </w:r>
          </w:p>
        </w:tc>
        <w:tc>
          <w:tcPr>
            <w:tcW w:type="dxa" w:w="1440"/>
            <w:shd w:fill="FFDCE0" w:val="clear"/>
          </w:tcPr>
          <w:p>
            <w:r>
              <w:rPr>
                <w:sz w:val="17"/>
              </w:rPr>
              <w:t>23,055</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18,612</w:t>
            </w:r>
          </w:p>
        </w:tc>
        <w:tc>
          <w:tcPr>
            <w:tcW w:type="dxa" w:w="1440"/>
            <w:shd w:fill="FFDCE0" w:val="clear"/>
          </w:tcPr>
          <w:p>
            <w:r>
              <w:rPr>
                <w:b/>
                <w:sz w:val="17"/>
              </w:rPr>
              <w:t>20,045</w:t>
            </w:r>
          </w:p>
        </w:tc>
        <w:tc>
          <w:tcPr>
            <w:tcW w:type="dxa" w:w="1440"/>
            <w:shd w:fill="FFDCE0" w:val="clear"/>
          </w:tcPr>
          <w:p>
            <w:r>
              <w:rPr>
                <w:sz w:val="17"/>
              </w:rPr>
              <w:t>21,477</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17,680</w:t>
            </w:r>
          </w:p>
        </w:tc>
        <w:tc>
          <w:tcPr>
            <w:tcW w:type="dxa" w:w="1440"/>
            <w:shd w:fill="FFDCE0" w:val="clear"/>
          </w:tcPr>
          <w:p>
            <w:r>
              <w:rPr>
                <w:b/>
                <w:sz w:val="17"/>
              </w:rPr>
              <w:t>19,182</w:t>
            </w:r>
          </w:p>
        </w:tc>
        <w:tc>
          <w:tcPr>
            <w:tcW w:type="dxa" w:w="1440"/>
            <w:shd w:fill="FFDCE0" w:val="clear"/>
          </w:tcPr>
          <w:p>
            <w:r>
              <w:rPr>
                <w:sz w:val="17"/>
              </w:rPr>
              <w:t>20,684</w:t>
            </w:r>
          </w:p>
        </w:tc>
        <w:tc>
          <w:tcPr>
            <w:tcW w:type="dxa" w:w="1440"/>
            <w:shd w:fill="FFDCE0" w:val="clear"/>
          </w:tcPr>
          <w:p>
            <w:r>
              <w:rPr>
                <w:b/>
                <w:color w:val="C00000"/>
                <w:sz w:val="17"/>
              </w:rPr>
              <w:t>-35.2%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17,106</w:t>
            </w:r>
          </w:p>
        </w:tc>
        <w:tc>
          <w:tcPr>
            <w:tcW w:type="dxa" w:w="1440"/>
            <w:shd w:fill="FFDCE0" w:val="clear"/>
          </w:tcPr>
          <w:p>
            <w:r>
              <w:rPr>
                <w:b/>
                <w:sz w:val="17"/>
              </w:rPr>
              <w:t>18,686</w:t>
            </w:r>
          </w:p>
        </w:tc>
        <w:tc>
          <w:tcPr>
            <w:tcW w:type="dxa" w:w="1440"/>
            <w:shd w:fill="FFDCE0" w:val="clear"/>
          </w:tcPr>
          <w:p>
            <w:r>
              <w:rPr>
                <w:sz w:val="17"/>
              </w:rPr>
              <w:t>20,266</w:t>
            </w:r>
          </w:p>
        </w:tc>
        <w:tc>
          <w:tcPr>
            <w:tcW w:type="dxa" w:w="1440"/>
            <w:shd w:fill="FFDCE0" w:val="clear"/>
          </w:tcPr>
          <w:p>
            <w:r>
              <w:rPr>
                <w:b/>
                <w:color w:val="C00000"/>
                <w:sz w:val="17"/>
              </w:rPr>
              <w:t>-36.9%</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16,595</w:t>
            </w:r>
          </w:p>
        </w:tc>
        <w:tc>
          <w:tcPr>
            <w:tcW w:type="dxa" w:w="1440"/>
            <w:shd w:fill="FFDCE0" w:val="clear"/>
          </w:tcPr>
          <w:p>
            <w:r>
              <w:rPr>
                <w:b/>
                <w:sz w:val="17"/>
              </w:rPr>
              <w:t>18,244</w:t>
            </w:r>
          </w:p>
        </w:tc>
        <w:tc>
          <w:tcPr>
            <w:tcW w:type="dxa" w:w="1440"/>
            <w:shd w:fill="FFDCE0" w:val="clear"/>
          </w:tcPr>
          <w:p>
            <w:r>
              <w:rPr>
                <w:sz w:val="17"/>
              </w:rPr>
              <w:t>19,894</w:t>
            </w:r>
          </w:p>
        </w:tc>
        <w:tc>
          <w:tcPr>
            <w:tcW w:type="dxa" w:w="1440"/>
            <w:shd w:fill="FFDCE0" w:val="clear"/>
          </w:tcPr>
          <w:p>
            <w:r>
              <w:rPr>
                <w:b/>
                <w:color w:val="C00000"/>
                <w:sz w:val="17"/>
              </w:rPr>
              <w:t>-38.4%</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16,135</w:t>
            </w:r>
          </w:p>
        </w:tc>
        <w:tc>
          <w:tcPr>
            <w:tcW w:type="dxa" w:w="1440"/>
            <w:shd w:fill="FFDCE0" w:val="clear"/>
          </w:tcPr>
          <w:p>
            <w:r>
              <w:rPr>
                <w:b/>
                <w:sz w:val="17"/>
              </w:rPr>
              <w:t>17,846</w:t>
            </w:r>
          </w:p>
        </w:tc>
        <w:tc>
          <w:tcPr>
            <w:tcW w:type="dxa" w:w="1440"/>
            <w:shd w:fill="FFDCE0" w:val="clear"/>
          </w:tcPr>
          <w:p>
            <w:r>
              <w:rPr>
                <w:sz w:val="17"/>
              </w:rPr>
              <w:t>19,557</w:t>
            </w:r>
          </w:p>
        </w:tc>
        <w:tc>
          <w:tcPr>
            <w:tcW w:type="dxa" w:w="1440"/>
            <w:shd w:fill="FFDCE0" w:val="clear"/>
          </w:tcPr>
          <w:p>
            <w:r>
              <w:rPr>
                <w:b/>
                <w:color w:val="C00000"/>
                <w:sz w:val="17"/>
              </w:rPr>
              <w:t>-39.7%</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15,718</w:t>
            </w:r>
          </w:p>
        </w:tc>
        <w:tc>
          <w:tcPr>
            <w:tcW w:type="dxa" w:w="1440"/>
            <w:shd w:fill="FFDCE0" w:val="clear"/>
          </w:tcPr>
          <w:p>
            <w:r>
              <w:rPr>
                <w:b/>
                <w:sz w:val="17"/>
              </w:rPr>
              <w:t>17,485</w:t>
            </w:r>
          </w:p>
        </w:tc>
        <w:tc>
          <w:tcPr>
            <w:tcW w:type="dxa" w:w="1440"/>
            <w:shd w:fill="FFDCE0" w:val="clear"/>
          </w:tcPr>
          <w:p>
            <w:r>
              <w:rPr>
                <w:sz w:val="17"/>
              </w:rPr>
              <w:t>19,252</w:t>
            </w:r>
          </w:p>
        </w:tc>
        <w:tc>
          <w:tcPr>
            <w:tcW w:type="dxa" w:w="1440"/>
            <w:shd w:fill="FFDCE0" w:val="clear"/>
          </w:tcPr>
          <w:p>
            <w:r>
              <w:rPr>
                <w:b/>
                <w:color w:val="C00000"/>
                <w:sz w:val="17"/>
              </w:rPr>
              <w:t>-40.9%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29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947,20 milliards FCFA, un poids considérable qui en fait l'une des toutes premières capitalisations de la BRVM, conférant au titre un statut de valeur de premier plan dans l'indice régional. Le BPA de 2 047 FCFA indique que chaque action a généré un bénéfice substantiel sur l'exercice 2025. Le PER de 14,5x se situe au-dessus de la moyenne historique de la BRVM (8-12x), ce qui suggère que le marché valorise déjà des perspectives de croissance solides et une prime de qualité pour cette banque systémique. L'EV/EBITDA de 10,7x, bien que dans une fourchette élevée (10-15x), témoigne d'une valorisation qui intègre une capacité opérationnelle robuste. Le ratio P/B n'est pas disponible, mais l'ensemble des indicateurs disponibles pointe vers une valorisation exigeante, justifiée par la performance récente.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performance spectaculaire de +98,86%, passant d'un plus bas de 14 885 FCFA à un plus haut de 30 005 FCFA, avec un cours actuel de 29 600 FCFA. Cette dynamique haussière, quasi exponentielle, a été confirmée lors de la dernière séance avec une progression de +0,71%. La moyenne du cours sur la période (22 671 FCFA) est supérieure à la médiane (22 000 FCFA), indiquant une distribution légèrement asymétrique à gauche, mais le skewness de -0,056 suggère une symétrie quasi parfaite. L'écart-type de 5 050 FCFA (CV=22,3%) révèle une dispersion modérée des prix autour de la moyenne. Le kurtosis négatif (-1,367) indique une distribution platykurtique, signifiant une faible concentration des prix et un risque de mouvements extrêmes limité. La volatilité annualisée de 41,4% classe le titre comme très volatil, reflétant l'ampleur du rallye haussier et un risque de retournement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(29 600 FCFA) se positionne nettement au-dessus de la MM20 (28 718,5 FCFA) et de la MM50 (26 906,9 FCFA). Cette configuration haussière, avec des moyennes mobiles orientées à la hausse, confirme la tendance positive de fond et génère un signal d'achat clair.</w:t>
      </w:r>
    </w:p>
    <w:p>
      <w:pPr>
        <w:spacing w:after="120" w:line="276" w:lineRule="auto"/>
      </w:pPr>
      <w:r>
        <w:t>**Bandes de Bollinger** : Le prix évolue près de la borne supérieure (29 849 FCFA), indiquant une pression acheteuse soutenue. La largeur des bandes reflète la volatilité élevée du titre. La décision est neutre, car le cours n'a pas encore franchi la borne, mais la proximité de celle-ci suggère une possible poursuite de la tendance ou un essoufflement.</w:t>
      </w:r>
    </w:p>
    <w:p>
      <w:pPr>
        <w:spacing w:after="120" w:line="276" w:lineRule="auto"/>
      </w:pPr>
      <w:r>
        <w:t>**MACD** : La valeur du MACD (685,26) est inférieure à son signal (714,84), indiquant un momentum baissier à court terme. Cette divergence négative, bien que légère, signale un possible ralentissement de la dynamique haussière et justifie une décision de vente prudente pour les traders à court terme.</w:t>
      </w:r>
    </w:p>
    <w:p>
      <w:pPr>
        <w:spacing w:after="120" w:line="276" w:lineRule="auto"/>
      </w:pPr>
      <w:r>
        <w:t>**RSI** : À 63,88, le RSI se situe en zone neutre, en dessous du seuil de surachat (70). Cela indique que le titre dispose encore d'une marge de progression avant d'être considéré comme survendu, mais la pression acheteuse reste significative.</w:t>
      </w:r>
    </w:p>
    <w:p>
      <w:pPr>
        <w:spacing w:after="120" w:line="276" w:lineRule="auto"/>
      </w:pPr>
      <w:r>
        <w:t>**Stochastique** : Le %K (76,26) est supérieur au %D (68,13), montrant un croisement haussier en territoire élevé. Cette configuration signale une dynamique positive, mais la proximité de la zone de surachat (&gt;80) appelle à la vigilance.</w:t>
      </w:r>
    </w:p>
    <w:p>
      <w:pPr>
        <w:spacing w:after="120" w:line="276" w:lineRule="auto"/>
      </w:pPr>
      <w:r>
        <w:t>**Conclusion technique** : Les indicateurs de tendance (MM) sont résolument haussiers, tandis que les oscillateurs (MACD, RSI, Stochastique) montrent des signes de consolidation ou de ralentissement. Le titre est dans une phase de forte tendance haussière, mais les signaux de court terme suggèrent une possible pause technique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confirment la solidité financière de CBIBF. Le Produit Net Bancaire (PNB) s'établit à 138,986 milliards FCFA, en croissance de 6,1% par rapport à 2024, tandis que le résultat net atteint 65,495 milliards FCFA, soit une progression remarquable de 36,6% (contre 47,937 milliards en 2024). Cette performance s'explique par une amélioration significative du coût du risque (-59,3%, à 16,5 milliards FCFA) et une maîtrise des charges, avec un coefficient d'exploitation excellent de 36,4% (largement sous le seuil de 50% considéré comme très efficace). La marge nette de 47,1% et le ROA de 2,18% témoignent d'une rentabilité élevée. Le rapport annuel 2024 (publié en 2025) avait montré une année difficile (résultat net en baisse de -25,4% à 47,9 milliards), mais la dynamique s'est inversée en 2025. Les rapports trimestriels 2025 confirment cette trajectoire : le T1 2025 (PNB +2,8%, RN +5,9%) et le T3 2025 (PNB +9,65%, RN +6,25%) montrent une accélération progressive. Le rapport T1 2026 (publié en 2026) est exceptionnel : PNB en hausse de +28,5% à 36,8 milliards et résultat net de 21,5 milliards (+22,2%). Sur cette base, on estime que l'exercice 2026 pourrait voir un PNB dépasser 160 milliards et un résultat net supérieur à 75 milliards, confirmant la solidité du modèle. La banque bénéficie d'une collecte de dépôts dynamique (2 015 milliards en 2025, +14,9%) et d'une notation financière AA/AI avec perspective stable.</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convergence forte entre les fondamentaux et la tendance du cours. La valorisation (PER 14,5x, EV/EBITDA 10,7x) est exigeante mais justifiée par une croissance du résultat net de 36,6% en 2025 et des perspectives 2026 très solides (croissance du PNB de +28,5% au T1 2026). Le comportement du cours (+98,86% sur 100 jours) avec une volatilité élevée (41,4%) reflète l'enthousiasme du marché, mais le kurtosis platykurtique suggère un risque de correction modéré. Les signaux techniques sont partagés : tendance haussière (MM) mais momentum court terme en consolidation (MACD, RSI). Les prédictions IA (J+1 à J+10) prévoient une correction significative, avec un cours passant de 27 380 à 20 045 FCFA, ce qui contredit la tendance actuelle et suggère un possible retour à des niveaux plus proches des moyennes mobiles. Cette divergence entre les fondamentaux solides et les signaux techniques de court terme appelle à la prudence. **Recommandation finale : CONSERVER** pour les investisseurs existants, avec un niveau de confiance **Moyen** et un risque global **Élevé** en raison de la volatilité. Pour les nouveaux investisseurs, un horizon de moyen terme (3-12 mois) est optimal pour capitaliser sur la solidité fondamentale, en attendant une meilleure opportunité d'entrée après une éventuelle correction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3,623 titres</w:t>
            </w:r>
          </w:p>
        </w:tc>
        <w:tc>
          <w:tcPr>
            <w:tcW w:type="dxa" w:w="2268"/>
            <w:shd w:fill="FFF2CC" w:val="clear"/>
          </w:tcPr>
          <w:p>
            <w:r>
              <w:rPr>
                <w:b/>
                <w:color w:val="503200"/>
                <w:sz w:val="16"/>
              </w:rPr>
              <w:t xml:space="preserve">Cours actuel : </w:t>
            </w:r>
            <w:r>
              <w:rPr>
                <w:color w:val="000000"/>
                <w:sz w:val="17"/>
              </w:rPr>
              <w:t>1,740 FCFA</w:t>
            </w:r>
          </w:p>
          <w:p>
            <w:r>
              <w:rPr>
                <w:b/>
                <w:color w:val="503200"/>
                <w:sz w:val="16"/>
              </w:rPr>
              <w:t xml:space="preserve">Var. 100 jours : </w:t>
            </w:r>
            <w:r>
              <w:rPr>
                <w:b/>
                <w:color w:val="007800"/>
                <w:sz w:val="17"/>
              </w:rPr>
              <w:t>+8.41%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6.45% (Moyenne) — μ=1,609 FCFA, σ=104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β=1.0742 (Neutre (suit le marché)) — Cov=0.000039, Var(idx)=0.000036, ρ=0.209,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1,624</w:t>
            </w:r>
          </w:p>
        </w:tc>
        <w:tc>
          <w:tcPr>
            <w:tcW w:type="dxa" w:w="1440"/>
            <w:shd w:fill="FFDCE0" w:val="clear"/>
          </w:tcPr>
          <w:p>
            <w:r>
              <w:rPr>
                <w:b/>
                <w:sz w:val="17"/>
              </w:rPr>
              <w:t>1,696</w:t>
            </w:r>
          </w:p>
        </w:tc>
        <w:tc>
          <w:tcPr>
            <w:tcW w:type="dxa" w:w="1440"/>
            <w:shd w:fill="FFDCE0" w:val="clear"/>
          </w:tcPr>
          <w:p>
            <w:r>
              <w:rPr>
                <w:sz w:val="17"/>
              </w:rPr>
              <w:t>1,769</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1,572</w:t>
            </w:r>
          </w:p>
        </w:tc>
        <w:tc>
          <w:tcPr>
            <w:tcW w:type="dxa" w:w="1440"/>
            <w:shd w:fill="FFDCE0" w:val="clear"/>
          </w:tcPr>
          <w:p>
            <w:r>
              <w:rPr>
                <w:b/>
                <w:sz w:val="17"/>
              </w:rPr>
              <w:t>1,674</w:t>
            </w:r>
          </w:p>
        </w:tc>
        <w:tc>
          <w:tcPr>
            <w:tcW w:type="dxa" w:w="1440"/>
            <w:shd w:fill="FFDCE0" w:val="clear"/>
          </w:tcPr>
          <w:p>
            <w:r>
              <w:rPr>
                <w:sz w:val="17"/>
              </w:rPr>
              <w:t>1,775</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1,527</w:t>
            </w:r>
          </w:p>
        </w:tc>
        <w:tc>
          <w:tcPr>
            <w:tcW w:type="dxa" w:w="1440"/>
            <w:shd w:fill="FFDCE0" w:val="clear"/>
          </w:tcPr>
          <w:p>
            <w:r>
              <w:rPr>
                <w:b/>
                <w:sz w:val="17"/>
              </w:rPr>
              <w:t>1,649</w:t>
            </w:r>
          </w:p>
        </w:tc>
        <w:tc>
          <w:tcPr>
            <w:tcW w:type="dxa" w:w="1440"/>
            <w:shd w:fill="FFDCE0" w:val="clear"/>
          </w:tcPr>
          <w:p>
            <w:r>
              <w:rPr>
                <w:sz w:val="17"/>
              </w:rPr>
              <w:t>1,771</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1,485</w:t>
            </w:r>
          </w:p>
        </w:tc>
        <w:tc>
          <w:tcPr>
            <w:tcW w:type="dxa" w:w="1440"/>
            <w:shd w:fill="FFDCE0" w:val="clear"/>
          </w:tcPr>
          <w:p>
            <w:r>
              <w:rPr>
                <w:b/>
                <w:sz w:val="17"/>
              </w:rPr>
              <w:t>1,624</w:t>
            </w:r>
          </w:p>
        </w:tc>
        <w:tc>
          <w:tcPr>
            <w:tcW w:type="dxa" w:w="1440"/>
            <w:shd w:fill="FFDCE0" w:val="clear"/>
          </w:tcPr>
          <w:p>
            <w:r>
              <w:rPr>
                <w:sz w:val="17"/>
              </w:rPr>
              <w:t>1,763</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1,447</w:t>
            </w:r>
          </w:p>
        </w:tc>
        <w:tc>
          <w:tcPr>
            <w:tcW w:type="dxa" w:w="1440"/>
            <w:shd w:fill="FFDCE0" w:val="clear"/>
          </w:tcPr>
          <w:p>
            <w:r>
              <w:rPr>
                <w:b/>
                <w:sz w:val="17"/>
              </w:rPr>
              <w:t>1,600</w:t>
            </w:r>
          </w:p>
        </w:tc>
        <w:tc>
          <w:tcPr>
            <w:tcW w:type="dxa" w:w="1440"/>
            <w:shd w:fill="FFDCE0" w:val="clear"/>
          </w:tcPr>
          <w:p>
            <w:r>
              <w:rPr>
                <w:sz w:val="17"/>
              </w:rPr>
              <w:t>1,753</w:t>
            </w:r>
          </w:p>
        </w:tc>
        <w:tc>
          <w:tcPr>
            <w:tcW w:type="dxa" w:w="1440"/>
            <w:shd w:fill="FFDCE0" w:val="clear"/>
          </w:tcPr>
          <w:p>
            <w:r>
              <w:rPr>
                <w:b/>
                <w:color w:val="C00000"/>
                <w:sz w:val="17"/>
              </w:rPr>
              <w:t>-8.0%</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1,411</w:t>
            </w:r>
          </w:p>
        </w:tc>
        <w:tc>
          <w:tcPr>
            <w:tcW w:type="dxa" w:w="1440"/>
            <w:shd w:fill="FFDCE0" w:val="clear"/>
          </w:tcPr>
          <w:p>
            <w:r>
              <w:rPr>
                <w:b/>
                <w:sz w:val="17"/>
              </w:rPr>
              <w:t>1,576</w:t>
            </w:r>
          </w:p>
        </w:tc>
        <w:tc>
          <w:tcPr>
            <w:tcW w:type="dxa" w:w="1440"/>
            <w:shd w:fill="FFDCE0" w:val="clear"/>
          </w:tcPr>
          <w:p>
            <w:r>
              <w:rPr>
                <w:sz w:val="17"/>
              </w:rPr>
              <w:t>1,741</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1,378</w:t>
            </w:r>
          </w:p>
        </w:tc>
        <w:tc>
          <w:tcPr>
            <w:tcW w:type="dxa" w:w="1440"/>
            <w:shd w:fill="FFDCE0" w:val="clear"/>
          </w:tcPr>
          <w:p>
            <w:r>
              <w:rPr>
                <w:b/>
                <w:sz w:val="17"/>
              </w:rPr>
              <w:t>1,553</w:t>
            </w:r>
          </w:p>
        </w:tc>
        <w:tc>
          <w:tcPr>
            <w:tcW w:type="dxa" w:w="1440"/>
            <w:shd w:fill="FFDCE0" w:val="clear"/>
          </w:tcPr>
          <w:p>
            <w:r>
              <w:rPr>
                <w:sz w:val="17"/>
              </w:rPr>
              <w:t>1,729</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1,346</w:t>
            </w:r>
          </w:p>
        </w:tc>
        <w:tc>
          <w:tcPr>
            <w:tcW w:type="dxa" w:w="1440"/>
            <w:shd w:fill="FFDCE0" w:val="clear"/>
          </w:tcPr>
          <w:p>
            <w:r>
              <w:rPr>
                <w:b/>
                <w:sz w:val="17"/>
              </w:rPr>
              <w:t>1,531</w:t>
            </w:r>
          </w:p>
        </w:tc>
        <w:tc>
          <w:tcPr>
            <w:tcW w:type="dxa" w:w="1440"/>
            <w:shd w:fill="FFDCE0" w:val="clear"/>
          </w:tcPr>
          <w:p>
            <w:r>
              <w:rPr>
                <w:sz w:val="17"/>
              </w:rPr>
              <w:t>1,716</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1,315</w:t>
            </w:r>
          </w:p>
        </w:tc>
        <w:tc>
          <w:tcPr>
            <w:tcW w:type="dxa" w:w="1440"/>
            <w:shd w:fill="FFDCE0" w:val="clear"/>
          </w:tcPr>
          <w:p>
            <w:r>
              <w:rPr>
                <w:b/>
                <w:sz w:val="17"/>
              </w:rPr>
              <w:t>1,509</w:t>
            </w:r>
          </w:p>
        </w:tc>
        <w:tc>
          <w:tcPr>
            <w:tcW w:type="dxa" w:w="1440"/>
            <w:shd w:fill="FFDCE0" w:val="clear"/>
          </w:tcPr>
          <w:p>
            <w:r>
              <w:rPr>
                <w:sz w:val="17"/>
              </w:rPr>
              <w:t>1,702</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1,286</w:t>
            </w:r>
          </w:p>
        </w:tc>
        <w:tc>
          <w:tcPr>
            <w:tcW w:type="dxa" w:w="1440"/>
            <w:shd w:fill="FFDCE0" w:val="clear"/>
          </w:tcPr>
          <w:p>
            <w:r>
              <w:rPr>
                <w:b/>
                <w:sz w:val="17"/>
              </w:rPr>
              <w:t>1,487</w:t>
            </w:r>
          </w:p>
        </w:tc>
        <w:tc>
          <w:tcPr>
            <w:tcW w:type="dxa" w:w="1440"/>
            <w:shd w:fill="FFDCE0" w:val="clear"/>
          </w:tcPr>
          <w:p>
            <w:r>
              <w:rPr>
                <w:sz w:val="17"/>
              </w:rPr>
              <w:t>1,688</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315,59 milliards FCFA, un niveau significatif qui en fait l'une des valeurs majeures de la BRVM, reflétant sa position dominante sur le marché automobile ivoirien. Le BPA de 26 FCFA par action est relativement faible, ce qui explique un PER de 67,2x, extrêmement élevé par rapport à la moyenne du marché BRVM (8-12x). Les investisseurs paient donc une prime considérable pour chaque franc de bénéfice, anticipant une forte croissance future. Le P/B de 16,22x confirme cette valorisation exigeante, le marché valorisant l'actif net comptable plus de 16 fois au-dessus de sa valeur, un niveau bien supérieur au seuil de 4x considéré comme élevé. Enfin, l'EV/EBITDA de 34,2x, très supérieur au seuil de 15x, indique que la valeur totale de l'entreprise (capitalisation + dettes) est très onéreuse par rapport à sa capacité opérationnelle de génération de cash. Ces ratios traduisent une valorisation extrêmement optimiste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CFAC a enregistré une progression de +8,41%, avec une légère baisse de -0,29% lors de la dernière séance. Le cours a évolué dans une fourchette de 1 325 FCFA (plus bas) à 1 825 FCFA (plus haut), démontrant une amplitude de trading de 500 FCFA. La moyenne du cours sur la période est de 1 609 FCFA, très proche de la médiane (1 602 FCFA) et du mode (1 600 FCFA), ce qui indique une distribution relativement symétrique des prix autour de ces valeurs centrales. L'écart-type de 104 FCFA, avec un coefficient de variation de 6,5%, révèle une dispersion modérée des cours. Le kurtosis de -0,189 (mésokurtique) suggère une distribution proche de la normale, sans risque de pics extrêmes, tandis que le skewness de -0,369 indique une légère asymétrie négative, avec une queue de distribution plus longue vers les valeurs basses. La volatilité annualisée de 48,8% classe le titre dans la catégorie des actifs à très forte volatilité (&gt;30%),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1 740 FCFA se situe au-dessus de la MM20 (1 685,5 FCFA) et de la MM50 (1 675,7 FCFA), avec un écart positif de plus de 3% par rapport à la MM20. Cette configuration haussière, où le prix évolue au-dessus des deux moyennes, confirme la tendance positive à court et moyen terme. La décision d'achat est justifiée par cette dynamique ascendante.</w:t>
      </w:r>
    </w:p>
    <w:p>
      <w:pPr>
        <w:spacing w:after="120" w:line="276" w:lineRule="auto"/>
      </w:pPr>
      <w:r>
        <w:t>**Bandes de Bollinger** : Le prix se positionne à 1 740 FCFA, entre la borne supérieure (1 779,75 FCFA) et la borne inférieure (1 591,25 FCFA), plus proche de la borne haute. Cette position indique une pression acheteuse modérée sans atteindre des niveaux de surachat extrême. La largeur des bandes reflète la volatilité élevée du titre. La décision neutre est cohérente avec un prix qui n'a pas encore franchi les bornes.</w:t>
      </w:r>
    </w:p>
    <w:p>
      <w:pPr>
        <w:spacing w:after="120" w:line="276" w:lineRule="auto"/>
      </w:pPr>
      <w:r>
        <w:t>**MACD** : La valeur du MACD (22,545) est nettement supérieure à son signal (13,138), avec un écart positif de 9,4 points. Cette divergence haussière confirme un momentum positif et une dynamique d'accélération du mouvement haussier. La décision d'achat est justifiée par cette configuration favorable.</w:t>
      </w:r>
    </w:p>
    <w:p>
      <w:pPr>
        <w:spacing w:after="120" w:line="276" w:lineRule="auto"/>
      </w:pPr>
      <w:r>
        <w:t>**RSI** : À 54,762, le RSI se situe dans la zone neutre (30-70), indiquant un équilibre entre les forces acheteuses et vendeuses. Cette valeur ne signale ni surachat ni survente, laissant une marge de progression avant d'atteindre la zone de surachat (&gt;70). La décision neutre est appropriée.</w:t>
      </w:r>
    </w:p>
    <w:p>
      <w:pPr>
        <w:spacing w:after="120" w:line="276" w:lineRule="auto"/>
      </w:pPr>
      <w:r>
        <w:t>**Stochastique** : Le %K (84,848) et le %D (87,879) sont tous deux dans la zone de surachat (&gt;80), avec un %K inférieur au %D, suggérant un croisement baissier potentiel. Cette configuration indique que le mouvement haussier pourrait être proche de son terme à court terme. La décision de vente est justifiée par ce signal de retournement.</w:t>
      </w:r>
    </w:p>
    <w:p>
      <w:pPr>
        <w:spacing w:after="120" w:line="276" w:lineRule="auto"/>
      </w:pPr>
      <w:r>
        <w:t>**Conclusion technique** : Les indicateurs de tendance (MM, MACD) sont positifs et confirment la dynamique haussière, tandis que les oscillateurs (RSI, Stochastique) montrent des signes de tension avec un Stochastique en zone de surachat. Cette divergence entre les indicateurs de tendance et les oscillateurs suggère une consolidation possible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2024, selon les états financiers annuels, CFAC a réalisé un chiffre d'affaires de 158,313 milliards FCFA, en baisse de -12,1% par rapport à 2023 (180,162 milliards), avec un résultat net de 4,693 milliards FCFA, en recul de -26,7%. Malgré cette contraction, le ROE reste excellent à 24,13% et le ROA à 5,52%, démontrant une rentabilité solide. En tant qu'entreprise de distribution automobile, le BFR négatif de -3,482 milliards FCFA est un point très favorable, indiquant que l'entreprise finance son cycle d'exploitation grâce à ses fournisseurs. Le délai clients de 36,64 jours et le délai fournisseurs de 81,75 jours confirment cette position de force, tandis que la durée de stockage de 88,35 jours reste élevée. L'endettement reste maîtrisé avec un ratio d'endettement de 23,07%. Les rapports trimestriels 2025 montrent un redressement spectaculaire : au T1 2025, le CA atteint 46,161 milliards (+14,5%) avec un résultat net de 3,836 milliards (+279,7%), et au S1 2025, le CA progresse à 91,182 milliards (+18,4%) avec un résultat net de 5,420 milliards (+152,7%). Le T3 2025 confirme cette dynamique avec un CA de 43,580 milliards (+18,3%) et un résultat net de 1,489 milliard (+38,1%). Sur la base de ces performances, on estime que l'exercice 2025 devrait dépasser largement les résultats 2024, avec un CA potentiel supérieur à 180 milliards FCFA et un résultat net pouvant atteindre 8-9 milliards FCFA, soit une croissance de plus de 70% par rapport à 2024.</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67,2x, P/B 16,22x, EV/EBITDA 34,2x), indiquant une forte surévaluation par rapport aux fondamentaux actuels, même si les perspectives de croissance 2025 sont excellentes. Le comportement du cours montre une tendance haussière modérée (+8,41% sur 100 jours) avec une volatilité très élevée (48,8%), ce qui implique un risque important. Les signaux techniques sont mitigés : les indicateurs de tendance (MM, MACD) sont positifs, mais le Stochastique en surachat suggère un possible repli à court terme. Les fondamentaux sont solides avec un redressement spectaculaire en 2025, porté par une croissance à deux chiffres du CA et une explosion du résultat net. Les prédictions IA sur 10 jours (1 696 à 1 600 FCFA) indiquent une correction baissière de plus de 8%, contredisant les signaux techniques de tendance mais confirmant les signaux de surachat. **Recommandation finale : CONSERVER** avec un niveau de confiance Moyen. Le risque global est Élevé en raison de la valorisation excessive et de la forte volatilité. L'horizon d'investissement optimal serait le moyen terme (3-12 mois), en attendant que la correction technique se matérialise et que les résultats annuels 2025 confirment la croissance, ce qui pourrait justifier une valorisation plus raisonnable.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6,065 titres</w:t>
            </w:r>
          </w:p>
        </w:tc>
        <w:tc>
          <w:tcPr>
            <w:tcW w:type="dxa" w:w="2268"/>
            <w:shd w:fill="FFF2CC" w:val="clear"/>
          </w:tcPr>
          <w:p>
            <w:r>
              <w:rPr>
                <w:b/>
                <w:color w:val="503200"/>
                <w:sz w:val="16"/>
              </w:rPr>
              <w:t xml:space="preserve">Cours actuel : </w:t>
            </w:r>
            <w:r>
              <w:rPr>
                <w:color w:val="000000"/>
                <w:sz w:val="17"/>
              </w:rPr>
              <w:t>6,700 FCFA</w:t>
            </w:r>
          </w:p>
          <w:p>
            <w:r>
              <w:rPr>
                <w:b/>
                <w:color w:val="503200"/>
                <w:sz w:val="16"/>
              </w:rPr>
              <w:t xml:space="preserve">Var. 100 jours : </w:t>
            </w:r>
            <w:r>
              <w:rPr>
                <w:b/>
                <w:color w:val="007800"/>
                <w:sz w:val="17"/>
              </w:rPr>
              <w:t>+97.06%</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24.14% (Élevée) — μ=4,606 FCFA, σ=1,112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β=1.0236 (Neutre (suit le marché)) — Cov=0.000037, Var(idx)=0.000036, ρ=0.194,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5,836</w:t>
            </w:r>
          </w:p>
        </w:tc>
        <w:tc>
          <w:tcPr>
            <w:tcW w:type="dxa" w:w="1440"/>
            <w:shd w:fill="FFDCE0" w:val="clear"/>
          </w:tcPr>
          <w:p>
            <w:r>
              <w:rPr>
                <w:b/>
                <w:sz w:val="17"/>
              </w:rPr>
              <w:t>6,198</w:t>
            </w:r>
          </w:p>
        </w:tc>
        <w:tc>
          <w:tcPr>
            <w:tcW w:type="dxa" w:w="1440"/>
            <w:shd w:fill="FFDCE0" w:val="clear"/>
          </w:tcPr>
          <w:p>
            <w:r>
              <w:rPr>
                <w:sz w:val="17"/>
              </w:rPr>
              <w:t>6,559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5,259</w:t>
            </w:r>
          </w:p>
        </w:tc>
        <w:tc>
          <w:tcPr>
            <w:tcW w:type="dxa" w:w="1440"/>
            <w:shd w:fill="FFDCE0" w:val="clear"/>
          </w:tcPr>
          <w:p>
            <w:r>
              <w:rPr>
                <w:b/>
                <w:sz w:val="17"/>
              </w:rPr>
              <w:t>5,733</w:t>
            </w:r>
          </w:p>
        </w:tc>
        <w:tc>
          <w:tcPr>
            <w:tcW w:type="dxa" w:w="1440"/>
            <w:shd w:fill="FFDCE0" w:val="clear"/>
          </w:tcPr>
          <w:p>
            <w:r>
              <w:rPr>
                <w:sz w:val="17"/>
              </w:rPr>
              <w:t>6,206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4,766</w:t>
            </w:r>
          </w:p>
        </w:tc>
        <w:tc>
          <w:tcPr>
            <w:tcW w:type="dxa" w:w="1440"/>
            <w:shd w:fill="FFDCE0" w:val="clear"/>
          </w:tcPr>
          <w:p>
            <w:r>
              <w:rPr>
                <w:b/>
                <w:sz w:val="17"/>
              </w:rPr>
              <w:t>5,303</w:t>
            </w:r>
          </w:p>
        </w:tc>
        <w:tc>
          <w:tcPr>
            <w:tcW w:type="dxa" w:w="1440"/>
            <w:shd w:fill="FFDCE0" w:val="clear"/>
          </w:tcPr>
          <w:p>
            <w:r>
              <w:rPr>
                <w:sz w:val="17"/>
              </w:rPr>
              <w:t>5,839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4,332</w:t>
            </w:r>
          </w:p>
        </w:tc>
        <w:tc>
          <w:tcPr>
            <w:tcW w:type="dxa" w:w="1440"/>
            <w:shd w:fill="FFDCE0" w:val="clear"/>
          </w:tcPr>
          <w:p>
            <w:r>
              <w:rPr>
                <w:b/>
                <w:sz w:val="17"/>
              </w:rPr>
              <w:t>4,905</w:t>
            </w:r>
          </w:p>
        </w:tc>
        <w:tc>
          <w:tcPr>
            <w:tcW w:type="dxa" w:w="1440"/>
            <w:shd w:fill="FFDCE0" w:val="clear"/>
          </w:tcPr>
          <w:p>
            <w:r>
              <w:rPr>
                <w:sz w:val="17"/>
              </w:rPr>
              <w:t>5,478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3,945</w:t>
            </w:r>
          </w:p>
        </w:tc>
        <w:tc>
          <w:tcPr>
            <w:tcW w:type="dxa" w:w="1440"/>
            <w:shd w:fill="FFDCE0" w:val="clear"/>
          </w:tcPr>
          <w:p>
            <w:r>
              <w:rPr>
                <w:b/>
                <w:sz w:val="17"/>
              </w:rPr>
              <w:t>4,537</w:t>
            </w:r>
          </w:p>
        </w:tc>
        <w:tc>
          <w:tcPr>
            <w:tcW w:type="dxa" w:w="1440"/>
            <w:shd w:fill="FFDCE0" w:val="clear"/>
          </w:tcPr>
          <w:p>
            <w:r>
              <w:rPr>
                <w:sz w:val="17"/>
              </w:rPr>
              <w:t>5,130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3,597</w:t>
            </w:r>
          </w:p>
        </w:tc>
        <w:tc>
          <w:tcPr>
            <w:tcW w:type="dxa" w:w="1440"/>
            <w:shd w:fill="FFDCE0" w:val="clear"/>
          </w:tcPr>
          <w:p>
            <w:r>
              <w:rPr>
                <w:b/>
                <w:sz w:val="17"/>
              </w:rPr>
              <w:t>4,197</w:t>
            </w:r>
          </w:p>
        </w:tc>
        <w:tc>
          <w:tcPr>
            <w:tcW w:type="dxa" w:w="1440"/>
            <w:shd w:fill="FFDCE0" w:val="clear"/>
          </w:tcPr>
          <w:p>
            <w:r>
              <w:rPr>
                <w:sz w:val="17"/>
              </w:rPr>
              <w:t>4,797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3,282</w:t>
            </w:r>
          </w:p>
        </w:tc>
        <w:tc>
          <w:tcPr>
            <w:tcW w:type="dxa" w:w="1440"/>
            <w:shd w:fill="FFDCE0" w:val="clear"/>
          </w:tcPr>
          <w:p>
            <w:r>
              <w:rPr>
                <w:b/>
                <w:sz w:val="17"/>
              </w:rPr>
              <w:t>3,882</w:t>
            </w:r>
          </w:p>
        </w:tc>
        <w:tc>
          <w:tcPr>
            <w:tcW w:type="dxa" w:w="1440"/>
            <w:shd w:fill="FFDCE0" w:val="clear"/>
          </w:tcPr>
          <w:p>
            <w:r>
              <w:rPr>
                <w:sz w:val="17"/>
              </w:rPr>
              <w:t>4,482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2,998</w:t>
            </w:r>
          </w:p>
        </w:tc>
        <w:tc>
          <w:tcPr>
            <w:tcW w:type="dxa" w:w="1440"/>
            <w:shd w:fill="FFDCE0" w:val="clear"/>
          </w:tcPr>
          <w:p>
            <w:r>
              <w:rPr>
                <w:b/>
                <w:sz w:val="17"/>
              </w:rPr>
              <w:t>3,591</w:t>
            </w:r>
          </w:p>
        </w:tc>
        <w:tc>
          <w:tcPr>
            <w:tcW w:type="dxa" w:w="1440"/>
            <w:shd w:fill="FFDCE0" w:val="clear"/>
          </w:tcPr>
          <w:p>
            <w:r>
              <w:rPr>
                <w:sz w:val="17"/>
              </w:rPr>
              <w:t>4,184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2,758</w:t>
            </w:r>
          </w:p>
        </w:tc>
        <w:tc>
          <w:tcPr>
            <w:tcW w:type="dxa" w:w="1440"/>
            <w:shd w:fill="FFDCE0" w:val="clear"/>
          </w:tcPr>
          <w:p>
            <w:r>
              <w:rPr>
                <w:b/>
                <w:sz w:val="17"/>
              </w:rPr>
              <w:t>3,344</w:t>
            </w:r>
          </w:p>
        </w:tc>
        <w:tc>
          <w:tcPr>
            <w:tcW w:type="dxa" w:w="1440"/>
            <w:shd w:fill="FFDCE0" w:val="clear"/>
          </w:tcPr>
          <w:p>
            <w:r>
              <w:rPr>
                <w:sz w:val="17"/>
              </w:rPr>
              <w:t>3,930</w:t>
            </w:r>
          </w:p>
        </w:tc>
        <w:tc>
          <w:tcPr>
            <w:tcW w:type="dxa" w:w="1440"/>
            <w:shd w:fill="FFDCE0" w:val="clear"/>
          </w:tcPr>
          <w:p>
            <w:r>
              <w:rPr>
                <w:b/>
                <w:color w:val="C00000"/>
                <w:sz w:val="17"/>
              </w:rPr>
              <w:t>-50.1%</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2,661</w:t>
            </w:r>
          </w:p>
        </w:tc>
        <w:tc>
          <w:tcPr>
            <w:tcW w:type="dxa" w:w="1440"/>
            <w:shd w:fill="FFDCE0" w:val="clear"/>
          </w:tcPr>
          <w:p>
            <w:r>
              <w:rPr>
                <w:b/>
                <w:sz w:val="17"/>
              </w:rPr>
              <w:t>3,264</w:t>
            </w:r>
          </w:p>
        </w:tc>
        <w:tc>
          <w:tcPr>
            <w:tcW w:type="dxa" w:w="1440"/>
            <w:shd w:fill="FFDCE0" w:val="clear"/>
          </w:tcPr>
          <w:p>
            <w:r>
              <w:rPr>
                <w:sz w:val="17"/>
              </w:rPr>
              <w:t>3,867</w:t>
            </w:r>
          </w:p>
        </w:tc>
        <w:tc>
          <w:tcPr>
            <w:tcW w:type="dxa" w:w="1440"/>
            <w:shd w:fill="FFDCE0" w:val="clear"/>
          </w:tcPr>
          <w:p>
            <w:r>
              <w:rPr>
                <w:b/>
                <w:color w:val="C00000"/>
                <w:sz w:val="17"/>
              </w:rPr>
              <w:t>-51.3%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de l'analyse : 28 août 2026 | Cours de référence : 6,700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375,20 milliards FCFA, un niveau significatif qui la positionne parmi les valeurs moyennes à grandes capitalisations de la BRVM. Avec un BPA de 234 FCFA, le PER ressort à 28,6x, ce qui est très élevé par rapport à la moyenne historique du marché (8-12x). Les investisseurs paient donc une prime substantielle, anticipant une forte croissance future des bénéfices. Le P/B de 10,43x confirme cette valorisation exigeante, le marché valorisant l'actif net à plus de dix fois sa valeur comptable, un niveau rare sur la place. Enfin, l'EV/EBITDA de 15,2x indique que la valeur totale de l'entreprise (capitaux propres + dette nette) représente plus de 15 fois sa capacité opérationnelle, un niveau qui reflète des attentes élevées mais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spectaculaire de +97,06%, passant d'un plus bas de 3,000 FCFA à un plus haut de 7,190 FCFA, avant de clôturer à 6,700 FCFA (+0,30% sur la dernière séance). Cette tendance est résolument haussière, portée par un volume moyen de 6,065 titres par jour. Les statistiques descriptives révèlent une distribution relativement symétrique (skewness de 0,111) avec une moyenne (4,606 FCFA) inférieure à la médiane (4,995 FCFA), indiquant une concentration des prix vers le haut de la fourchette. L'écart-type de 1,117 FCFA (CV=24,3%) montre une dispersion modérée, tandis que le kurtosis de -0,750 (mésokurtique) suggère une absence de pics extrêmes. La volatilité annualisée de 50,1% classe le titre comme très volatil, un niveau élevé qui implique un risque important mais aussi un potentiel de rendement substantiel.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(6,700 FCFA) se situe nettement au-dessus de la MM20 (5,870,75 FCFA) et de la MM50 (5,479,8 FCFA), confirmant une dynamique haussière solide. L'écart positif entre les deux moyennes et le cours indique une tendance bien établie, justifiant la décision d'achat.</w:t>
      </w:r>
    </w:p>
    <w:p>
      <w:pPr>
        <w:spacing w:after="120" w:line="276" w:lineRule="auto"/>
      </w:pPr>
      <w:r>
        <w:t>**Bandes de Bollinger** : Le prix évolue entre la borne inférieure (4,180,614 FCFA) et la borne supérieure (7,560,886 FCFA), à environ 61% de la largeur des bandes. Cette position suggère un mouvement de consolidation après une forte hausse, avec une volatilité qui reste élevée. La décision neutre est cohérente avec cette zone de trading intermédiaire.</w:t>
      </w:r>
    </w:p>
    <w:p>
      <w:pPr>
        <w:spacing w:after="120" w:line="276" w:lineRule="auto"/>
      </w:pPr>
      <w:r>
        <w:t>**MACD** : Le MACD (465,869) est nettement au-dessus de sa ligne de signal (368,328), confirmant un momentum haussier positif. La divergence positive indique que la tendance haussière conserve de la vigueur, justifiant la décision d'achat.</w:t>
      </w:r>
    </w:p>
    <w:p>
      <w:pPr>
        <w:spacing w:after="120" w:line="276" w:lineRule="auto"/>
      </w:pPr>
      <w:r>
        <w:t>**RSI** : À 79,577, le RSI est en zone de surachat (&gt;70), signalant que le titre est techniquement surévalué à court terme. Cette lecture suggère un risque de correction ou de consolidation, justifiant la décision de vente.</w:t>
      </w:r>
    </w:p>
    <w:p>
      <w:pPr>
        <w:spacing w:after="120" w:line="276" w:lineRule="auto"/>
      </w:pPr>
      <w:r>
        <w:t>**Stochastique** : Le %K (75,98) est légèrement inférieur au %D (80,811), indiquant un croisement baissier potentiel en zone de surachat. Cette configuration suggère un essoufflement du momentum haussier, d'où la décision neutre.</w:t>
      </w:r>
    </w:p>
    <w:p>
      <w:pPr>
        <w:spacing w:after="120" w:line="276" w:lineRule="auto"/>
      </w:pPr>
      <w:r>
        <w:t>**Conclusion technique** : Les indicateurs de tendance (MM, MACD) sont positifs, mais les oscillateurs (RSI, Stochastique) signalent un épuisement à court terme. Le titre est en surachat, avec un risque de correction technique. La tendance de fond reste haussière, mais une phase de consolidation est probable avant la poursuite du mouvement.</w:t>
      </w:r>
    </w:p>
    <w:p>
      <w:pPr>
        <w:spacing w:after="120" w:line="276" w:lineRule="auto"/>
      </w:pPr>
      <w:r>
        <w:t>---</w:t>
      </w:r>
    </w:p>
    <w:p>
      <w:pPr>
        <w:spacing w:after="120" w:line="276" w:lineRule="auto"/>
      </w:pPr>
      <w:r>
        <w:t>### PARTIE 3 : ANALYSE FONDAMENTALE (SECTION CRITIQUE)</w:t>
      </w:r>
    </w:p>
    <w:p>
      <w:pPr>
        <w:spacing w:after="120" w:line="276" w:lineRule="auto"/>
      </w:pPr>
      <w:r>
        <w:t>En 2025, la CIEC a réalisé un chiffre d'affaires de 302,320 milliards FCFA, en hausse de 14,8% par rapport à 2024 (263,294 milliards FCFA), avec un résultat net de 13,127 milliards FCFA (+24,4% vs 2024). La marge nette s'établit à 4,34%, la marge opérationnelle à 7,40%, et le ROE est excellent à 36,50%, bien au-dessus du seuil de 15%. Le ROA reste faible à 0,65%, reflétant la lourdeur du bilan (2 018,446 milliards FCFA). Le BFR est négatif (-90,244 milliards FCFA), ce qui est favorable, mais le délai clients de 164 jours constitue un risque de trésorerie. Le ratio d'endettement est très élevé (612,94%), avec une capacité de remboursement de 7,64 ans, un point de vigilance. Les rapports semestriels 2025 confirment la dynamique : CA S1 2025 de 134,923 milliards FCFA (+18,85%), résultat net de 5,096 milliards FCFA (+13,4%). Sur la base de ces tendances, on estime que l'exercice 2026 pourrait voir un CA dépassant 330 milliards FCFA et un résultat net de 15 milliards FCFA, sous réserve de la stabilité du cadre réglementaire. La politique de dividende est très généreuse (234 FCFA/action, soit un taux de distribution de 99,8%), mais elle limite l'autofinancement. La recommandation fondamentale est de conserver, compte tenu de la solidité opérationnelle mais des risques de crédit et de régulation.</w:t>
      </w:r>
    </w:p>
    <w:p>
      <w:pPr>
        <w:spacing w:after="120" w:line="276" w:lineRule="auto"/>
      </w:pPr>
      <w:r>
        <w:t>---</w:t>
      </w:r>
    </w:p>
    <w:p>
      <w:pPr>
        <w:spacing w:after="120" w:line="276" w:lineRule="auto"/>
      </w:pPr>
      <w:r>
        <w:t>### PARTIE 4 : CONCLUSION D'INVESTISSEMENT</w:t>
      </w:r>
    </w:p>
    <w:p>
      <w:pPr>
        <w:spacing w:after="120" w:line="276" w:lineRule="auto"/>
      </w:pPr>
      <w:r>
        <w:t>La valorisation actuelle de la CIEC (PER 28,6x, P/B 10,43x, EV/EBITDA 15,2x) est très exigeante, intégrant des attentes de croissance élevées qui semblent déjà largement anticipées par le marché. Le comportement du cours (+97% en 100 jours) et la volatilité élevée (50,1%) indiquent un titre spéculatif, avec des statistiques montrant une distribution symétrique mais un risque de retournement. Les signaux techniques sont mitigés : tendance haussière confirmée par les MM et le MACD, mais RSI en surachat et Stochastique baissier suggèrent une correction imminente. Les fondamentaux sont solides (ROE de 36,5%, croissance du CA de 14,8%) mais l'endettement élevé et le risque de crédit client tempèrent l'enthousiasme. Les prédictions IA pour les 10 prochains jours (6,198 à 4,537 FCFA) indiquent une forte baisse, contredisant la tendance haussière récente et confirmant le risque de correction technique. En synthèse, la convergence entre la surévaluation, les signaux techniques de surachat et les prédictions baissières suggère une **VENTE** à court terme. **Recommandation finale : VENTE** avec un niveau de confiance **Moyen** et un risque global **Élevé**. L'horizon d'investissement optimal serait de **court terme (&lt;3 mois)** pour profiter d'un éventuel repli avant de réévaluer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927.33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3,802 titres</w:t>
            </w:r>
          </w:p>
        </w:tc>
        <w:tc>
          <w:tcPr>
            <w:tcW w:type="dxa" w:w="2268"/>
            <w:shd w:fill="FFF2CC" w:val="clear"/>
          </w:tcPr>
          <w:p>
            <w:r>
              <w:rPr>
                <w:b/>
                <w:color w:val="503200"/>
                <w:sz w:val="16"/>
              </w:rPr>
              <w:t xml:space="preserve">Cours actuel : </w:t>
            </w:r>
            <w:r>
              <w:rPr>
                <w:color w:val="000000"/>
                <w:sz w:val="17"/>
              </w:rPr>
              <w:t>16,845 FCFA</w:t>
            </w:r>
          </w:p>
          <w:p>
            <w:r>
              <w:rPr>
                <w:b/>
                <w:color w:val="503200"/>
                <w:sz w:val="16"/>
              </w:rPr>
              <w:t xml:space="preserve">Var. 100 jours : </w:t>
            </w:r>
            <w:r>
              <w:rPr>
                <w:b/>
                <w:color w:val="007800"/>
                <w:sz w:val="17"/>
              </w:rPr>
              <w:t>+3.03%</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μ=16,332 FCFA, σ=369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β=0.3363 (Défensif) — Cov=0.000012, Var(idx)=0.000036, ρ=0.116,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16,366</w:t>
            </w:r>
          </w:p>
        </w:tc>
        <w:tc>
          <w:tcPr>
            <w:tcW w:type="dxa" w:w="1440"/>
            <w:shd w:fill="FAFAFA" w:val="clear"/>
          </w:tcPr>
          <w:p>
            <w:r>
              <w:rPr>
                <w:b/>
                <w:sz w:val="17"/>
              </w:rPr>
              <w:t>16,742</w:t>
            </w:r>
          </w:p>
        </w:tc>
        <w:tc>
          <w:tcPr>
            <w:tcW w:type="dxa" w:w="1440"/>
            <w:shd w:fill="FAFAFA" w:val="clear"/>
          </w:tcPr>
          <w:p>
            <w:r>
              <w:rPr>
                <w:sz w:val="17"/>
              </w:rPr>
              <w:t>17,119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16,195</w:t>
            </w:r>
          </w:p>
        </w:tc>
        <w:tc>
          <w:tcPr>
            <w:tcW w:type="dxa" w:w="1440"/>
            <w:shd w:fill="FAFAFA" w:val="clear"/>
          </w:tcPr>
          <w:p>
            <w:r>
              <w:rPr>
                <w:b/>
                <w:sz w:val="17"/>
              </w:rPr>
              <w:t>16,726</w:t>
            </w:r>
          </w:p>
        </w:tc>
        <w:tc>
          <w:tcPr>
            <w:tcW w:type="dxa" w:w="1440"/>
            <w:shd w:fill="FAFAFA" w:val="clear"/>
          </w:tcPr>
          <w:p>
            <w:r>
              <w:rPr>
                <w:sz w:val="17"/>
              </w:rPr>
              <w:t>17,258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16,054</w:t>
            </w:r>
          </w:p>
        </w:tc>
        <w:tc>
          <w:tcPr>
            <w:tcW w:type="dxa" w:w="1440"/>
            <w:shd w:fill="FAFAFA" w:val="clear"/>
          </w:tcPr>
          <w:p>
            <w:r>
              <w:rPr>
                <w:b/>
                <w:sz w:val="17"/>
              </w:rPr>
              <w:t>16,704</w:t>
            </w:r>
          </w:p>
        </w:tc>
        <w:tc>
          <w:tcPr>
            <w:tcW w:type="dxa" w:w="1440"/>
            <w:shd w:fill="FAFAFA" w:val="clear"/>
          </w:tcPr>
          <w:p>
            <w:r>
              <w:rPr>
                <w:sz w:val="17"/>
              </w:rPr>
              <w:t>17,355</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15,934</w:t>
            </w:r>
          </w:p>
        </w:tc>
        <w:tc>
          <w:tcPr>
            <w:tcW w:type="dxa" w:w="1440"/>
            <w:shd w:fill="FAFAFA" w:val="clear"/>
          </w:tcPr>
          <w:p>
            <w:r>
              <w:rPr>
                <w:b/>
                <w:sz w:val="17"/>
              </w:rPr>
              <w:t>16,684</w:t>
            </w:r>
          </w:p>
        </w:tc>
        <w:tc>
          <w:tcPr>
            <w:tcW w:type="dxa" w:w="1440"/>
            <w:shd w:fill="FAFAFA" w:val="clear"/>
          </w:tcPr>
          <w:p>
            <w:r>
              <w:rPr>
                <w:sz w:val="17"/>
              </w:rPr>
              <w:t>17,434</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15,828</w:t>
            </w:r>
          </w:p>
        </w:tc>
        <w:tc>
          <w:tcPr>
            <w:tcW w:type="dxa" w:w="1440"/>
            <w:shd w:fill="FAFAFA" w:val="clear"/>
          </w:tcPr>
          <w:p>
            <w:r>
              <w:rPr>
                <w:b/>
                <w:sz w:val="17"/>
              </w:rPr>
              <w:t>16,666</w:t>
            </w:r>
          </w:p>
        </w:tc>
        <w:tc>
          <w:tcPr>
            <w:tcW w:type="dxa" w:w="1440"/>
            <w:shd w:fill="FAFAFA" w:val="clear"/>
          </w:tcPr>
          <w:p>
            <w:r>
              <w:rPr>
                <w:sz w:val="17"/>
              </w:rPr>
              <w:t>17,503</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15,731</w:t>
            </w:r>
          </w:p>
        </w:tc>
        <w:tc>
          <w:tcPr>
            <w:tcW w:type="dxa" w:w="1440"/>
            <w:shd w:fill="FAFAFA" w:val="clear"/>
          </w:tcPr>
          <w:p>
            <w:r>
              <w:rPr>
                <w:b/>
                <w:sz w:val="17"/>
              </w:rPr>
              <w:t>16,648</w:t>
            </w:r>
          </w:p>
        </w:tc>
        <w:tc>
          <w:tcPr>
            <w:tcW w:type="dxa" w:w="1440"/>
            <w:shd w:fill="FAFAFA" w:val="clear"/>
          </w:tcPr>
          <w:p>
            <w:r>
              <w:rPr>
                <w:sz w:val="17"/>
              </w:rPr>
              <w:t>17,564</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15,641</w:t>
            </w:r>
          </w:p>
        </w:tc>
        <w:tc>
          <w:tcPr>
            <w:tcW w:type="dxa" w:w="1440"/>
            <w:shd w:fill="FAFAFA" w:val="clear"/>
          </w:tcPr>
          <w:p>
            <w:r>
              <w:rPr>
                <w:b/>
                <w:sz w:val="17"/>
              </w:rPr>
              <w:t>16,630</w:t>
            </w:r>
          </w:p>
        </w:tc>
        <w:tc>
          <w:tcPr>
            <w:tcW w:type="dxa" w:w="1440"/>
            <w:shd w:fill="FAFAFA" w:val="clear"/>
          </w:tcPr>
          <w:p>
            <w:r>
              <w:rPr>
                <w:sz w:val="17"/>
              </w:rPr>
              <w:t>17,619</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15,556</w:t>
            </w:r>
          </w:p>
        </w:tc>
        <w:tc>
          <w:tcPr>
            <w:tcW w:type="dxa" w:w="1440"/>
            <w:shd w:fill="FAFAFA" w:val="clear"/>
          </w:tcPr>
          <w:p>
            <w:r>
              <w:rPr>
                <w:b/>
                <w:sz w:val="17"/>
              </w:rPr>
              <w:t>16,612</w:t>
            </w:r>
          </w:p>
        </w:tc>
        <w:tc>
          <w:tcPr>
            <w:tcW w:type="dxa" w:w="1440"/>
            <w:shd w:fill="FAFAFA" w:val="clear"/>
          </w:tcPr>
          <w:p>
            <w:r>
              <w:rPr>
                <w:sz w:val="17"/>
              </w:rPr>
              <w:t>17,668</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15,475</w:t>
            </w:r>
          </w:p>
        </w:tc>
        <w:tc>
          <w:tcPr>
            <w:tcW w:type="dxa" w:w="1440"/>
            <w:shd w:fill="FAFAFA" w:val="clear"/>
          </w:tcPr>
          <w:p>
            <w:r>
              <w:rPr>
                <w:b/>
                <w:sz w:val="17"/>
              </w:rPr>
              <w:t>16,594</w:t>
            </w:r>
          </w:p>
        </w:tc>
        <w:tc>
          <w:tcPr>
            <w:tcW w:type="dxa" w:w="1440"/>
            <w:shd w:fill="FAFAFA" w:val="clear"/>
          </w:tcPr>
          <w:p>
            <w:r>
              <w:rPr>
                <w:sz w:val="17"/>
              </w:rPr>
              <w:t>17,713</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15,398</w:t>
            </w:r>
          </w:p>
        </w:tc>
        <w:tc>
          <w:tcPr>
            <w:tcW w:type="dxa" w:w="1440"/>
            <w:shd w:fill="FAFAFA" w:val="clear"/>
          </w:tcPr>
          <w:p>
            <w:r>
              <w:rPr>
                <w:b/>
                <w:sz w:val="17"/>
              </w:rPr>
              <w:t>16,577</w:t>
            </w:r>
          </w:p>
        </w:tc>
        <w:tc>
          <w:tcPr>
            <w:tcW w:type="dxa" w:w="1440"/>
            <w:shd w:fill="FAFAFA" w:val="clear"/>
          </w:tcPr>
          <w:p>
            <w:r>
              <w:rPr>
                <w:sz w:val="17"/>
              </w:rPr>
              <w:t>17,755</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Avec une capitalisation boursière de 927,33 milliards FCFA, ECOC s'impose comme l'une des plus importantes valeurs de la BRVM, reflétant la confiance des investisseurs dans le secteur bancaire ivoirien. Le BPA de 1 153 FCFA indique que chaque action génère un bénéfice substantiel, justifiant un PER de 14,6x. Ce ratio, bien que supérieur à la moyenne historique de la BRVM (8-12x), reste modéré et témoigne d'une valorisation raisonnable pour une banque de cette envergure. Cependant, le P/B de 4,24x révèle une prime significative par rapport à la valeur comptable, signalant que le marché intègre déjà des perspectives de croissance élevées. Enfin, l'EV/EBITDA de 14,2x, dans la fourchette haute de 10-15x, confirme une valorisation exigeante qui nécessite une exécution parfaite de la stratégie pour être justifiée.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 enregistré une progression modeste de +3,03%, avec une dernière séance stable (+0,00%), suggérant une phase de consolidation après un mouvement haussier. Le cours a évolué dans un range de 1 750 FCFA, entre un plus bas de 15 520 FCFA et un plus haut de 17 270 FCFA, démontrant une volatilité contenue. La moyenne (16 332 FCFA) et la médiane (16 300 FCFA) étant quasi identiques, la distribution des prix est symétrique, confirmée par un skewness de 0,201. L'écart-type de 371 FCFA (CV=2,3%) indique une dispersion très faible, tandis que le kurtosis de -0,263 (mésokurtique) suggère l'absence de mouvements extrêmes. La volatilité annualisée de 27,6% classe le titre dans une zone de risque modéré, typique des valeurs bancaires de la région.</w:t>
      </w:r>
    </w:p>
    <w:p>
      <w:pPr>
        <w:spacing w:after="120" w:line="276" w:lineRule="auto" w:before="240"/>
      </w:pPr>
      <w:r>
        <w:rPr>
          <w:b/>
          <w:color w:val="003366"/>
          <w:sz w:val="24"/>
        </w:rPr>
        <w:t>**PARTIE 2 : ANALYSE TECHNIQUE DÉTAILLÉE**</w:t>
      </w:r>
    </w:p>
    <w:p>
      <w:pPr>
        <w:spacing w:after="120" w:line="276" w:lineRule="auto"/>
      </w:pPr>
      <w:r>
        <w:t>**Moyennes Mobiles** : Le cours actuel (16 845 FCFA) se positionne au-dessus des MM20 (16 371 FCFA) et MM50 (16 421 FCFA), indiquant une dynamique haussière à court et moyen terme. Cependant, la décision de "Vente" suggère que l'écart pourrait être excessif et qu'un repli technique est possible.</w:t>
      </w:r>
    </w:p>
    <w:p>
      <w:pPr>
        <w:spacing w:after="120" w:line="276" w:lineRule="auto"/>
      </w:pPr>
      <w:r>
        <w:t>**Bandes de Bollinger** : Le prix se situe dans la partie supérieure des bandes (borne haute à 17 095 FCFA, borne basse à 15 648 FCFA), sans toucher les extrêmes. La décision "Neutre" reflète une volatilité modérée et une absence de signal directionnel fort.</w:t>
      </w:r>
    </w:p>
    <w:p>
      <w:pPr>
        <w:spacing w:after="120" w:line="276" w:lineRule="auto"/>
      </w:pPr>
      <w:r>
        <w:t>**MACD** : Avec une valeur de 153,23 et un signal à 74,77, le MACD est nettement positif et en expansion, indiquant un momentum haussier solide. La décision "Achat" est cohérente avec cette configuration, suggérant une poursuite de la tendance.</w:t>
      </w:r>
    </w:p>
    <w:p>
      <w:pPr>
        <w:spacing w:after="120" w:line="276" w:lineRule="auto"/>
      </w:pPr>
      <w:r>
        <w:t>**RSI** : À 64,69, le RSI se situe en zone neutre-haute, sans atteindre le seuil de surachat (70). La décision "Neutre" indique que le titre dispose encore de potentiel haussier, mais une vigilance s'impose.</w:t>
      </w:r>
    </w:p>
    <w:p>
      <w:pPr>
        <w:spacing w:after="120" w:line="276" w:lineRule="auto"/>
      </w:pPr>
      <w:r>
        <w:t>**Stochastique** : Le %K (95,48) et le %D (90,02) sont en zone de surachat extrême, signalant une possible correction technique. La décision "Vente" reflète ce risque de retournement.</w:t>
      </w:r>
    </w:p>
    <w:p>
      <w:pPr>
        <w:spacing w:after="120" w:line="276" w:lineRule="auto"/>
      </w:pPr>
      <w:r>
        <w:t>**Conclusion technique** : Les indicateurs sont partagés entre un momentum haussier (MACD) et des conditions de surachat (Stochastique). La tendance de fond reste positive, mais une consolidation technique est probable à court terme avant une reprise de la hausse.</w:t>
      </w:r>
    </w:p>
    <w:p>
      <w:pPr>
        <w:spacing w:after="120" w:line="276" w:lineRule="auto" w:before="240"/>
      </w:pPr>
      <w:r>
        <w:rPr>
          <w:b/>
          <w:color w:val="003366"/>
          <w:sz w:val="24"/>
        </w:rPr>
        <w:t>**PARTIE 3 : ANALYSE FONDAMENTALE (SECTION CRITIQUE)**</w:t>
      </w:r>
    </w:p>
    <w:p>
      <w:pPr>
        <w:spacing w:after="120" w:line="276" w:lineRule="auto"/>
      </w:pPr>
      <w:r>
        <w:t>En 2025, ECOC affiche des fondamentaux solides avec un PNB de 132,725 milliards FCFA et un résultat net de 63,482 milliards FCFA, en hausse de 10,4% par rapport à 2024 (57,5 milliards). Le ROE de 29,04% et le ROA de 3,09% démontrent une excellente rentabilité, bien au-dessus des seuils de référence (15% et 1%). Le coefficient d'exploitation de 42,89% témoigne d'une efficacité opérationnelle remarquable, tandis que le coût du risque de 1,36% indique une bonne qualité du portefeuille de crédits. Les dépôts clientèle (1 626 milliards FCFA) couvrent largement les créances (1 050 milliards), assurant une liquidité confortable. Les rapports trimestriels 2025 confirment cette dynamique : au T3 2025, le PNB atteignait 96,4 milliards (+11,3%) et le résultat net 44,4 milliards (+15,4%). Le rapport T1 2026 montre une croissance du PNB de 3,7% à 30,8 milliards, avec un ROE de 23% et un coefficient d'exploitation de 45,7%. On estime que l'exercice 2026 devrait voir un PNB autour de 137 milliards et un résultat net proche de 65 milliards, confirmant la solidité du modèle.</w:t>
      </w:r>
    </w:p>
    <w:p>
      <w:pPr>
        <w:spacing w:after="120" w:line="276" w:lineRule="auto" w:before="240"/>
      </w:pPr>
      <w:r>
        <w:rPr>
          <w:b/>
          <w:color w:val="003366"/>
          <w:sz w:val="24"/>
        </w:rPr>
        <w:t>**PARTIE 4 : CONCLUSION D'INVESTISSEMENT**</w:t>
      </w:r>
    </w:p>
    <w:p>
      <w:pPr>
        <w:spacing w:after="120" w:line="276" w:lineRule="auto"/>
      </w:pPr>
      <w:r>
        <w:t>La valorisation d'ECOC, avec un PER de 14,6x et un P/B de 4,24x, reflète une prime de qualité justifiée par des fondamentaux exceptionnels (ROE &gt;29%, coefficient d'exploitation &lt;43%). Le comportement du cours sur 100 jours montre une stabilité remarquable avec une volatilité modérée, soutenue par une distribution symétrique des prix. Les signaux techniques sont mitigés : le MACD est haussier, mais le Stochastique en surachat suggère une consolidation à court terme. Les fondamentaux, appuyés par les rapports trimestriels 2025 et T1 2026, indiquent une croissance soutenue et une gestion rigoureuse des risques. Les prédictions IA prévoient un léger repli vers 16 666 FCFA à J+10, confirmant le scénario de consolidation technique. La convergence entre la solidité financière, la stabilité du cours et les perspectives de croissance justifie une recommandation **ACHAT** pour les investisseurs à moyen-long terme, avec un niveau de confiance **Élevé** et un risque global **Moyen**. L'horizon optimal est de 6 à 12 mois, visant un objectif de 18 000 FCFA.</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1,451,578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+96.97%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38.19% (Élevée) — μ=45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β=2.7157 (Très agressif) — Cov=0.000098, Var(idx)=0.000036, ρ=0.396,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1,451,578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σ_j=4.12%/j (Modérée) — Vol. annualisée≈65.4%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45</w:t>
            </w:r>
          </w:p>
        </w:tc>
        <w:tc>
          <w:tcPr>
            <w:tcW w:type="dxa" w:w="1440"/>
            <w:shd w:fill="FFDCE0" w:val="clear"/>
          </w:tcPr>
          <w:p>
            <w:r>
              <w:rPr>
                <w:b/>
                <w:sz w:val="17"/>
              </w:rPr>
              <w:t>51</w:t>
            </w:r>
          </w:p>
        </w:tc>
        <w:tc>
          <w:tcPr>
            <w:tcW w:type="dxa" w:w="1440"/>
            <w:shd w:fill="FFDCE0" w:val="clear"/>
          </w:tcPr>
          <w:p>
            <w:r>
              <w:rPr>
                <w:sz w:val="17"/>
              </w:rPr>
              <w:t>58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37</w:t>
            </w:r>
          </w:p>
        </w:tc>
        <w:tc>
          <w:tcPr>
            <w:tcW w:type="dxa" w:w="1440"/>
            <w:shd w:fill="FFDCE0" w:val="clear"/>
          </w:tcPr>
          <w:p>
            <w:r>
              <w:rPr>
                <w:b/>
                <w:sz w:val="17"/>
              </w:rPr>
              <w:t>44</w:t>
            </w:r>
          </w:p>
        </w:tc>
        <w:tc>
          <w:tcPr>
            <w:tcW w:type="dxa" w:w="1440"/>
            <w:shd w:fill="FFDCE0" w:val="clear"/>
          </w:tcPr>
          <w:p>
            <w:r>
              <w:rPr>
                <w:sz w:val="17"/>
              </w:rPr>
              <w:t>51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48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25</w:t>
            </w:r>
          </w:p>
        </w:tc>
        <w:tc>
          <w:tcPr>
            <w:tcW w:type="dxa" w:w="1440"/>
            <w:shd w:fill="FFDCE0" w:val="clear"/>
          </w:tcPr>
          <w:p>
            <w:r>
              <w:rPr>
                <w:b/>
                <w:sz w:val="17"/>
              </w:rPr>
              <w:t>32</w:t>
            </w:r>
          </w:p>
        </w:tc>
        <w:tc>
          <w:tcPr>
            <w:tcW w:type="dxa" w:w="1440"/>
            <w:shd w:fill="FFDCE0" w:val="clear"/>
          </w:tcPr>
          <w:p>
            <w:r>
              <w:rPr>
                <w:sz w:val="17"/>
              </w:rPr>
              <w:t>39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23</w:t>
            </w:r>
          </w:p>
        </w:tc>
        <w:tc>
          <w:tcPr>
            <w:tcW w:type="dxa" w:w="1440"/>
            <w:shd w:fill="FFDCE0" w:val="clear"/>
          </w:tcPr>
          <w:p>
            <w:r>
              <w:rPr>
                <w:b/>
                <w:sz w:val="17"/>
              </w:rPr>
              <w:t>30</w:t>
            </w:r>
          </w:p>
        </w:tc>
        <w:tc>
          <w:tcPr>
            <w:tcW w:type="dxa" w:w="1440"/>
            <w:shd w:fill="FFDCE0" w:val="clear"/>
          </w:tcPr>
          <w:p>
            <w:r>
              <w:rPr>
                <w:sz w:val="17"/>
              </w:rPr>
              <w:t>37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1 175,47 milliards FCFA, ce qui en fait l'une des plus importantes capitalisations de la BRVM, reflétant le statut de leader panafricain du groupe. Avec un BPA de 19 FCFA, le titre se négocie à un PER de 3,4x, très inférieur à la moyenne du marché BRVM (8-12x), signalant une sous-évaluation potentielle significative. Le P/B de 0,74x indique que le marché valorise le titre en dessous de sa valeur comptable, une situation souvent associée à une opportunité d'achat pour les investisseurs value. Enfin, l'EV/EBITDA de 4,9x, sous le seuil de 5x, confirme que la valeur totale de l'entreprise reste très raisonnable par rapport à sa capacité opérationnelle, renforçant l'attrait du dossier.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ETIT a enregistré une performance spectaculaire de +96,97%, passant d'un plus bas de 26 FCFA à un plus haut de 78 FCFA, bien que la dernière séance affiche un repli de -2,99% à 65 FCFA. La moyenne du cours sur la période est de 45 FCFA, tandis que la médiane est de 34 FCFA, l'écart entre ces deux valeurs indiquant une distribution asymétrique avec une concentration des cotations dans la partie basse de la fourchette. L'écart-type de 17 FCFA (CV=38,4%) révèle une dispersion élevée des prix, et le kurtosis négatif (-1,537) suggère une distribution aplatie, avec moins de valeurs extrêmes que la normale. Le skewness positif (0,506) confirme une asymétrie vers les rendements positifs, mais la volatilité annualisée de 65,4% classe le titre comme extrêmement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65 FCFA se situe sous la MM20 (66,45 FCFA) mais au-dessus de la MM50 (59,76 FCFA), indiquant une tendance de fond haussière à moyen terme malgré un léger repli à court terme. La configuration des MM20 &gt; MM50 génère un signal d'achat, suggérant que la tendance haussière reste intacte.</w:t>
      </w:r>
    </w:p>
    <w:p>
      <w:pPr>
        <w:spacing w:after="120" w:line="276" w:lineRule="auto"/>
      </w:pPr>
      <w:r>
        <w:t>**Bandes de Bollinger** : Le prix évolue entre la borne supérieure (69,594 FCFA) et la borne inférieure (63,306 FCFA), proche du milieu de la bande, ce qui traduit une volatilité modérée et une absence de signal directionnel fort. La décision neutre reflète une phase de consolidation après la forte hausse récente.</w:t>
      </w:r>
    </w:p>
    <w:p>
      <w:pPr>
        <w:spacing w:after="120" w:line="276" w:lineRule="auto"/>
      </w:pPr>
      <w:r>
        <w:t>**MACD** : La valeur du MACD (1,268) est inférieure à sa ligne de signal (2,08), générant un signal de vente. Cette divergence indique un affaiblissement du momentum haussier, même si le MACD reste en territoire positif, ce qui suggère une correction technique plutôt qu'un retournement majeur.</w:t>
      </w:r>
    </w:p>
    <w:p>
      <w:pPr>
        <w:spacing w:after="120" w:line="276" w:lineRule="auto"/>
      </w:pPr>
      <w:r>
        <w:t>**RSI** : À 50,0, le RSI se situe exactement à la limite neutre, indiquant un équilibre entre les forces acheteuses et vendeuses. Cette valeur ne montre ni surachat ni survente, laissant place à une évolution dans un sens ou dans l'autre sans pression particulière.</w:t>
      </w:r>
    </w:p>
    <w:p>
      <w:pPr>
        <w:spacing w:after="120" w:line="276" w:lineRule="auto"/>
      </w:pPr>
      <w:r>
        <w:t>**Stochastique** : Le %K à 0,0 et le %D à 23,333 indiquent une situation de survente extrême pour le %K, bien que le %D reste au-dessus. Le croisement potentiel du %K au-dessus du %D pourrait générer un signal d'achat à très court terme, suggérant un rebond technique probable.</w:t>
      </w:r>
    </w:p>
    <w:p>
      <w:pPr>
        <w:spacing w:after="120" w:line="276" w:lineRule="auto"/>
      </w:pPr>
      <w:r>
        <w:t>**Conclusion technique** : Les signaux sont mitigés, avec une tendance haussière de fond (MM) mais un momentum affaibli (MACD) et des conditions de survente à court terme (Stochastique). La configuration suggère une consolidation avant une possible reprise, mais la prudence est de mise tant que le cours ne repasse pas au-dessus de la MM20.</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d'ETIT révèlent un Produit Net Bancaire (PNB) de 1 424,261 milliards FCFA, en croissance de 12,45%, avec un résultat net de 345,523 milliards FCFA. La banque affiche un ROE exceptionnel de 21,62% et un ROA de 1,80%, démontrant une excellente rentabilité des fonds propres et une utilisation efficace des actifs. Le coefficient d'exploitation de 27,35% est remarquablement bas, bien en dessous du seuil de 60% considéré comme efficace, témoignant d'une gestion opérationnelle rigoureuse. Le coût du risque de 18,97% reste élevé, signalant un risque de crédit significatif, mais la couverture des intérêts à 116,72% et la solvabilité générale à 109,06% rassurent sur la solidité financière. Les rapports semestriels 2026 (S1 2026) confirment la dynamique positive avec un PNB de 721,318 milliards FCFA (+15% en glissement annuel) et un résultat net de 166,682 milliards FCFA (+6%), malgré une hausse de 40% du coût du risque. Sur la base du T1 2026 (PNB +23% à 636,2 millions $EU), on estime que l'exercice 2026 devrait dépasser les performances de 2025, avec un PNB annuel potentiel de 1 500 milliards FCFA et un résultat net autour de 370 milliards FCFA. La stratégie GTR (Croissance, Transformation, Rentabilité) porte ses fruits, avec un coefficient d'exploitation amélioré à 48,4% au S1 2026 et une valeur comptable tangible en hausse de 24%.</w:t>
      </w:r>
    </w:p>
    <w:p>
      <w:pPr>
        <w:spacing w:after="120" w:line="276" w:lineRule="auto"/>
      </w:pPr>
      <w:r>
        <w:t>---</w:t>
      </w:r>
    </w:p>
    <w:p>
      <w:pPr>
        <w:spacing w:after="120" w:line="276" w:lineRule="auto"/>
      </w:pPr>
      <w:r>
        <w:t>### PARTIE 4 : CONCLUSION D'INVESTISSEMENT</w:t>
      </w:r>
    </w:p>
    <w:p>
      <w:pPr>
        <w:spacing w:after="120" w:line="276" w:lineRule="auto"/>
      </w:pPr>
      <w:r>
        <w:t>La valorisation d'ETIT est extrêmement attractive avec un PER de 3,4x, un P/B de 0,74x et un EV/EBITDA de 4,9x, indiquant une sous-évaluation manifeste par rapport aux fondamentaux. Le comportement du cours sur 100 jours montre une tendance haussière spectaculaire (+96,97%) mais avec une volatilité très élevée (65,4%) et une distribution statistique suggérant des mouvements erratiques. Les signaux techniques sont mitigés, avec une tendance de fond positive mais un momentum à court terme affaibli, tandis que les fondamentaux sont excellents avec une croissance soutenue du PNB, une rentabilité supérieure à la moyenne et une amélioration continue de l'efficacité opérationnelle. Les prédictions IA pour les 10 prochains jours (60 à 44 FCFA) suggèrent une correction significative, contredisant les signaux fondamentaux mais confirmant les signaux techniques de consolidation. La convergence entre la sous-évaluation fondamentale et la correction technique prédite indique une opportunité d'achat à moyen terme après une éventuelle baisse. **Recommandation finale : ACHAT** avec un niveau de confiance **Moyen** et un risque global **Élevé** en raison de la volatilité extrême. L'horizon d'investissement optimal est le **moyen terme (3-12 mois)**, permettant d'absorber la volatilité à court terme tout en bénéficiant de la création de valeur à long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30.46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3,960 titres</w:t>
            </w:r>
          </w:p>
        </w:tc>
        <w:tc>
          <w:tcPr>
            <w:tcW w:type="dxa" w:w="2268"/>
            <w:shd w:fill="FFF2CC" w:val="clear"/>
          </w:tcPr>
          <w:p>
            <w:r>
              <w:rPr>
                <w:b/>
                <w:color w:val="503200"/>
                <w:sz w:val="16"/>
              </w:rPr>
              <w:t xml:space="preserve">Cours actuel : </w:t>
            </w:r>
            <w:r>
              <w:rPr>
                <w:color w:val="000000"/>
                <w:sz w:val="17"/>
              </w:rPr>
              <w:t>2,160 FCFA</w:t>
            </w:r>
          </w:p>
          <w:p>
            <w:r>
              <w:rPr>
                <w:b/>
                <w:color w:val="503200"/>
                <w:sz w:val="16"/>
              </w:rPr>
              <w:t xml:space="preserve">Var. 100 jours : </w:t>
            </w:r>
            <w:r>
              <w:rPr>
                <w:b/>
                <w:color w:val="B40000"/>
                <w:sz w:val="17"/>
              </w:rPr>
              <w:t>-6.09%</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μ=2,153 FCFA, σ=135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β=0.7312 (Défensif) — Cov=0.000026, Var(idx)=0.000036, ρ=0.197,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2,104</w:t>
            </w:r>
          </w:p>
        </w:tc>
        <w:tc>
          <w:tcPr>
            <w:tcW w:type="dxa" w:w="1440"/>
            <w:shd w:fill="FAFAFA" w:val="clear"/>
          </w:tcPr>
          <w:p>
            <w:r>
              <w:rPr>
                <w:b/>
                <w:sz w:val="17"/>
              </w:rPr>
              <w:t>2,171</w:t>
            </w:r>
          </w:p>
        </w:tc>
        <w:tc>
          <w:tcPr>
            <w:tcW w:type="dxa" w:w="1440"/>
            <w:shd w:fill="FAFAFA" w:val="clear"/>
          </w:tcPr>
          <w:p>
            <w:r>
              <w:rPr>
                <w:sz w:val="17"/>
              </w:rPr>
              <w:t>2,237</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2,086</w:t>
            </w:r>
          </w:p>
        </w:tc>
        <w:tc>
          <w:tcPr>
            <w:tcW w:type="dxa" w:w="1440"/>
            <w:shd w:fill="FAFAFA" w:val="clear"/>
          </w:tcPr>
          <w:p>
            <w:r>
              <w:rPr>
                <w:b/>
                <w:sz w:val="17"/>
              </w:rPr>
              <w:t>2,181</w:t>
            </w:r>
          </w:p>
        </w:tc>
        <w:tc>
          <w:tcPr>
            <w:tcW w:type="dxa" w:w="1440"/>
            <w:shd w:fill="FAFAFA" w:val="clear"/>
          </w:tcPr>
          <w:p>
            <w:r>
              <w:rPr>
                <w:sz w:val="17"/>
              </w:rPr>
              <w:t>2,275</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2,074</w:t>
            </w:r>
          </w:p>
        </w:tc>
        <w:tc>
          <w:tcPr>
            <w:tcW w:type="dxa" w:w="1440"/>
            <w:shd w:fill="FAFAFA" w:val="clear"/>
          </w:tcPr>
          <w:p>
            <w:r>
              <w:rPr>
                <w:b/>
                <w:sz w:val="17"/>
              </w:rPr>
              <w:t>2,190</w:t>
            </w:r>
          </w:p>
        </w:tc>
        <w:tc>
          <w:tcPr>
            <w:tcW w:type="dxa" w:w="1440"/>
            <w:shd w:fill="FAFAFA" w:val="clear"/>
          </w:tcPr>
          <w:p>
            <w:r>
              <w:rPr>
                <w:sz w:val="17"/>
              </w:rPr>
              <w:t>2,307</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2,065</w:t>
            </w:r>
          </w:p>
        </w:tc>
        <w:tc>
          <w:tcPr>
            <w:tcW w:type="dxa" w:w="1440"/>
            <w:shd w:fill="FAFAFA" w:val="clear"/>
          </w:tcPr>
          <w:p>
            <w:r>
              <w:rPr>
                <w:b/>
                <w:sz w:val="17"/>
              </w:rPr>
              <w:t>2,200</w:t>
            </w:r>
          </w:p>
        </w:tc>
        <w:tc>
          <w:tcPr>
            <w:tcW w:type="dxa" w:w="1440"/>
            <w:shd w:fill="FAFAFA" w:val="clear"/>
          </w:tcPr>
          <w:p>
            <w:r>
              <w:rPr>
                <w:sz w:val="17"/>
              </w:rPr>
              <w:t>2,335</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2026-09-04</w:t>
            </w:r>
          </w:p>
        </w:tc>
        <w:tc>
          <w:tcPr>
            <w:tcW w:type="dxa" w:w="1440"/>
            <w:shd w:fill="C6EFCE" w:val="clear"/>
          </w:tcPr>
          <w:p>
            <w:r>
              <w:rPr>
                <w:sz w:val="17"/>
              </w:rPr>
              <w:t>2,058</w:t>
            </w:r>
          </w:p>
        </w:tc>
        <w:tc>
          <w:tcPr>
            <w:tcW w:type="dxa" w:w="1440"/>
            <w:shd w:fill="C6EFCE" w:val="clear"/>
          </w:tcPr>
          <w:p>
            <w:r>
              <w:rPr>
                <w:b/>
                <w:sz w:val="17"/>
              </w:rPr>
              <w:t>2,210</w:t>
            </w:r>
          </w:p>
        </w:tc>
        <w:tc>
          <w:tcPr>
            <w:tcW w:type="dxa" w:w="1440"/>
            <w:shd w:fill="C6EFCE" w:val="clear"/>
          </w:tcPr>
          <w:p>
            <w:r>
              <w:rPr>
                <w:sz w:val="17"/>
              </w:rPr>
              <w:t>2,362</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2026-09-07</w:t>
            </w:r>
          </w:p>
        </w:tc>
        <w:tc>
          <w:tcPr>
            <w:tcW w:type="dxa" w:w="1440"/>
            <w:shd w:fill="C6EFCE" w:val="clear"/>
          </w:tcPr>
          <w:p>
            <w:r>
              <w:rPr>
                <w:sz w:val="17"/>
              </w:rPr>
              <w:t>2,052</w:t>
            </w:r>
          </w:p>
        </w:tc>
        <w:tc>
          <w:tcPr>
            <w:tcW w:type="dxa" w:w="1440"/>
            <w:shd w:fill="C6EFCE" w:val="clear"/>
          </w:tcPr>
          <w:p>
            <w:r>
              <w:rPr>
                <w:b/>
                <w:sz w:val="17"/>
              </w:rPr>
              <w:t>2,219</w:t>
            </w:r>
          </w:p>
        </w:tc>
        <w:tc>
          <w:tcPr>
            <w:tcW w:type="dxa" w:w="1440"/>
            <w:shd w:fill="C6EFCE" w:val="clear"/>
          </w:tcPr>
          <w:p>
            <w:r>
              <w:rPr>
                <w:sz w:val="17"/>
              </w:rPr>
              <w:t>2,386</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2026-09-08</w:t>
            </w:r>
          </w:p>
        </w:tc>
        <w:tc>
          <w:tcPr>
            <w:tcW w:type="dxa" w:w="1440"/>
            <w:shd w:fill="C6EFCE" w:val="clear"/>
          </w:tcPr>
          <w:p>
            <w:r>
              <w:rPr>
                <w:sz w:val="17"/>
              </w:rPr>
              <w:t>2,047</w:t>
            </w:r>
          </w:p>
        </w:tc>
        <w:tc>
          <w:tcPr>
            <w:tcW w:type="dxa" w:w="1440"/>
            <w:shd w:fill="C6EFCE" w:val="clear"/>
          </w:tcPr>
          <w:p>
            <w:r>
              <w:rPr>
                <w:b/>
                <w:sz w:val="17"/>
              </w:rPr>
              <w:t>2,229</w:t>
            </w:r>
          </w:p>
        </w:tc>
        <w:tc>
          <w:tcPr>
            <w:tcW w:type="dxa" w:w="1440"/>
            <w:shd w:fill="C6EFCE" w:val="clear"/>
          </w:tcPr>
          <w:p>
            <w:r>
              <w:rPr>
                <w:sz w:val="17"/>
              </w:rPr>
              <w:t>2,410</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2026-09-09</w:t>
            </w:r>
          </w:p>
        </w:tc>
        <w:tc>
          <w:tcPr>
            <w:tcW w:type="dxa" w:w="1440"/>
            <w:shd w:fill="C6EFCE" w:val="clear"/>
          </w:tcPr>
          <w:p>
            <w:r>
              <w:rPr>
                <w:sz w:val="17"/>
              </w:rPr>
              <w:t>2,044</w:t>
            </w:r>
          </w:p>
        </w:tc>
        <w:tc>
          <w:tcPr>
            <w:tcW w:type="dxa" w:w="1440"/>
            <w:shd w:fill="C6EFCE" w:val="clear"/>
          </w:tcPr>
          <w:p>
            <w:r>
              <w:rPr>
                <w:b/>
                <w:sz w:val="17"/>
              </w:rPr>
              <w:t>2,238</w:t>
            </w:r>
          </w:p>
        </w:tc>
        <w:tc>
          <w:tcPr>
            <w:tcW w:type="dxa" w:w="1440"/>
            <w:shd w:fill="C6EFCE" w:val="clear"/>
          </w:tcPr>
          <w:p>
            <w:r>
              <w:rPr>
                <w:sz w:val="17"/>
              </w:rPr>
              <w:t>2,433</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2026-09-10</w:t>
            </w:r>
          </w:p>
        </w:tc>
        <w:tc>
          <w:tcPr>
            <w:tcW w:type="dxa" w:w="1440"/>
            <w:shd w:fill="C6EFCE" w:val="clear"/>
          </w:tcPr>
          <w:p>
            <w:r>
              <w:rPr>
                <w:sz w:val="17"/>
              </w:rPr>
              <w:t>2,040</w:t>
            </w:r>
          </w:p>
        </w:tc>
        <w:tc>
          <w:tcPr>
            <w:tcW w:type="dxa" w:w="1440"/>
            <w:shd w:fill="C6EFCE" w:val="clear"/>
          </w:tcPr>
          <w:p>
            <w:r>
              <w:rPr>
                <w:b/>
                <w:sz w:val="17"/>
              </w:rPr>
              <w:t>2,248</w:t>
            </w:r>
          </w:p>
        </w:tc>
        <w:tc>
          <w:tcPr>
            <w:tcW w:type="dxa" w:w="1440"/>
            <w:shd w:fill="C6EFCE" w:val="clear"/>
          </w:tcPr>
          <w:p>
            <w:r>
              <w:rPr>
                <w:sz w:val="17"/>
              </w:rPr>
              <w:t>2,455</w:t>
            </w:r>
          </w:p>
        </w:tc>
        <w:tc>
          <w:tcPr>
            <w:tcW w:type="dxa" w:w="1440"/>
            <w:shd w:fill="C6EFCE" w:val="clear"/>
          </w:tcPr>
          <w:p>
            <w:r>
              <w:rPr>
                <w:b/>
                <w:color w:val="008000"/>
                <w:sz w:val="17"/>
              </w:rPr>
              <w:t>+4.1%</w:t>
            </w:r>
          </w:p>
        </w:tc>
      </w:tr>
      <w:tr>
        <w:tc>
          <w:tcPr>
            <w:tcW w:type="dxa" w:w="1440"/>
            <w:shd w:fill="C6EFCE" w:val="clear"/>
          </w:tcPr>
          <w:p>
            <w:r>
              <w:rPr>
                <w:sz w:val="17"/>
              </w:rPr>
              <w:t>J+10  Moyenne</w:t>
            </w:r>
          </w:p>
        </w:tc>
        <w:tc>
          <w:tcPr>
            <w:tcW w:type="dxa" w:w="1440"/>
            <w:shd w:fill="C6EFCE" w:val="clear"/>
          </w:tcPr>
          <w:p>
            <w:r>
              <w:rPr>
                <w:sz w:val="17"/>
              </w:rPr>
              <w:t>2026-09-11</w:t>
            </w:r>
          </w:p>
        </w:tc>
        <w:tc>
          <w:tcPr>
            <w:tcW w:type="dxa" w:w="1440"/>
            <w:shd w:fill="C6EFCE" w:val="clear"/>
          </w:tcPr>
          <w:p>
            <w:r>
              <w:rPr>
                <w:sz w:val="17"/>
              </w:rPr>
              <w:t>2,038</w:t>
            </w:r>
          </w:p>
        </w:tc>
        <w:tc>
          <w:tcPr>
            <w:tcW w:type="dxa" w:w="1440"/>
            <w:shd w:fill="C6EFCE" w:val="clear"/>
          </w:tcPr>
          <w:p>
            <w:r>
              <w:rPr>
                <w:b/>
                <w:sz w:val="17"/>
              </w:rPr>
              <w:t>2,257</w:t>
            </w:r>
          </w:p>
        </w:tc>
        <w:tc>
          <w:tcPr>
            <w:tcW w:type="dxa" w:w="1440"/>
            <w:shd w:fill="C6EFCE" w:val="clear"/>
          </w:tcPr>
          <w:p>
            <w:r>
              <w:rPr>
                <w:sz w:val="17"/>
              </w:rPr>
              <w:t>2,477</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30,46 milliards FCFA, un niveau modeste qui la classe parmi les valeurs de moyenne capitalisation de la cote. Avec un BPA de 33 FCFA, le titre se paie sur la base d'un PER de 65,4x, un niveau extrêmement élevé comparé à la moyenne historique de la BRVM (8-12x), indiquant que les investisseurs paient un prix très supérieur aux bénéfices actuels. Le P/B de 1,94x reste dans une zone de valorisation raisonnable, le marché valorisant la société à près de deux fois ses capitaux propres. L'EV/EBITDA de 38,2x est particulièrement exigeant, suggérant que la valeur d'entreprise intègre des anticipations de redressement opérationnel significatif. Ces ratios, combinés, signalent une valorisation qui anticipe une forte amélioration des résultats, ce qui représente un risque si la performance opérationnelle ne suit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variation totale de -6,09%, avec une légère reprise de +0,23% lors de la dernière séance, clôturant à 2 160 FCFA. Le titre a évolué dans une fourchette de 1 910 à 2 430 FCFA, démontrant une amplitude de trading de 520 FCFA. La moyenne du cours (2 153 FCFA) est proche de la médiane (2 188 FCFA), indiquant une distribution relativement symétrique, ce que confirme le skewness de -0,112. L'écart-type de 136 FCFA (CV=6,3%) révèle une dispersion modérée des prix autour de la moyenne. Le kurtosis de -1,113 (platykurtique) suggère une distribution aplatie avec moins de valeurs extrêmes que la normale, réduisant le risque de mouvements violents. La volatilité annualisée de 35,3% est élevée (&gt;30%), indiquant un titre risqué à court terme, avec des fluctuations de prix importantes malgré une distribution statistique relativement stable.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(2 160 FCFA) se positionne au-dessus de la MM20 (2 101,75 FCFA) et de la MM50 (2 042,5 FCFA), avec un écart de 58,25 FCFA et 117,5 FCFA respectivement. Cette configuration haussière, où le prix évolue au-dessus des deux moyennes, confirme une dynamique positive à court et moyen terme. La décision d'achat est justifiée par cette structure ascendante des moyennes mobiles.</w:t>
      </w:r>
    </w:p>
    <w:p>
      <w:pPr>
        <w:spacing w:after="120" w:line="276" w:lineRule="auto"/>
      </w:pPr>
      <w:r>
        <w:t>**Bandes de Bollinger** : Le prix actuel (2 160 FCFA) se situe dans la partie médiane-haute des bandes, entre la borne inférieure (1 901,43 FCFA) et la borne supérieure (2 302,07 FCFA). La distance de 142 FCFA par rapport à la borne supérieure indique une marge de progression possible. La décision neutre s'explique par une position ni extrême ni centrale, avec une volatilité modérée des bandes.</w:t>
      </w:r>
    </w:p>
    <w:p>
      <w:pPr>
        <w:spacing w:after="120" w:line="276" w:lineRule="auto"/>
      </w:pPr>
      <w:r>
        <w:t>**MACD** : Le MACD (36,59) est supérieur à sa ligne de signal (33,70), avec un écart positif de 2,89 points. Cette configuration haussière indique un momentum positif en cours de formation. La décision d'achat est justifiée par cette divergence positive, suggérant une poursuite de la tendance haussière à court terme.</w:t>
      </w:r>
    </w:p>
    <w:p>
      <w:pPr>
        <w:spacing w:after="120" w:line="276" w:lineRule="auto"/>
      </w:pPr>
      <w:r>
        <w:t>**RSI** : Le RSI à 72,22 dépasse le seuil de surachat (70), signalant que le titre est techniquement surévalué à court terme. Cette valeur élevée suggère un essoufflement potentiel du mouvement haussier et une possible correction. La décision de vente est justifiée par ce niveau de surachat, qui appelle à la prudence.</w:t>
      </w:r>
    </w:p>
    <w:p>
      <w:pPr>
        <w:spacing w:after="120" w:line="276" w:lineRule="auto"/>
      </w:pPr>
      <w:r>
        <w:t>**Stochastique** : Le %K (57,14) est inférieur au %D (72,91), indiquant un croisement baissier potentiel, bien que les deux restent en zone neutre. Cette configuration suggère un affaiblissement du momentum haussier. La décision neutre reflète cette incertitude technique.</w:t>
      </w:r>
    </w:p>
    <w:p>
      <w:pPr>
        <w:spacing w:after="120" w:line="276" w:lineRule="auto"/>
      </w:pPr>
      <w:r>
        <w:t>**Conclusion technique** : La convergence des indicateurs est mitigée. Les moyennes mobiles et le MACD signalent une tendance haussière, tandis que le RSI en zone de surachat et le stochastique en croisement baissier tempèrent cet optimisme. Le titre semble en phase de consolidation après une hausse, avec un potentiel de correction à court terme avant une possible reprise.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situation contrastée pour FILTISAC CI. Le chiffre d'affaires s'établit à 32,109 milliards FCFA, en croissance de 4,6% par rapport à 2024, mais le résultat net chute à 465,98 millions FCFA (marge nette de 1,45%), contre 18,6 milliards en 2024, en raison de l'absence de produits exceptionnels liés aux cessions de filiales. Le ROE s'établit à 2,97% et le ROA à 1,19%, des niveaux très faibles. Les délais clients (213,72 jours) et de stockage (214,65 jours) sont particulièrement élevés, créant un BFR de 11,529 milliards FCFA, avec une trésorerie nette négative de -11,528 milliards FCFA. Le rapport annuel 2024 (publié début 2025) montrait déjà une dégradation opérationnelle avec un CA en baisse de 19,7% et un EBE en chute de 84%. Les rapports trimestriels 2025 confirment cette tendance : le T1 2025 affichait un résultat d'exploitation de -78 millions FCFA, le S1 2025 un résultat net de 105 millions FCFA (en baisse de 97%), et le T3 2025 un résultat courant avant impôt de -216 millions FCFA. Le rapport T1 2026 (publié en 2026) montre une amélioration avec un CA en hausse de 55% à 8,901 milliards FCFA et un résultat d'exploitation positif de 75 millions FCFA, mais le résultat net reste déficitaire à -154 millions FCFA. Le communiqué du 8 juillet 2026 rassure sur la continuité des activités malgré l'arrêt de la filature. Sur la base de ces éléments, on estime que l'exercice 2026 pourrait voir une amélioration opérationnelle progressive, mais la rentabilité nette restera fragile, dépendante de la campagne cacaoyère et de la maîtrise des coûts.</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contradictoires. La valorisation (PER 65,4x, EV/EBITDA 38,2x) est extrêmement exigeante, suggérant une surévaluation par rapport aux bénéfices actuels, bien que le P/B de 1,94x reste raisonnable. Le comportement du cours montre une tendance baissière sur 100 jours (-6,09%) avec une volatilité élevée (35,3%), mais des statistiques de distribution relativement stables. Les signaux techniques sont partagés : les moyennes mobiles et le MACD sont positifs, mais le RSI en surachat et le stochastique baissier appellent à la prudence. Les fondamentaux sont préoccupants avec une rentabilité très faible (ROE 2,97%), une trésorerie nette négative de 11,5 milliards FCFA et des délais clients excessifs, malgré une amélioration opérationnelle au T1 2026. Les prédictions IA (2 171 à 2 210 FCFA sur 10 jours) suggèrent une légère hausse, contredite par les signaux techniques de surachat. La recommandation finale est **VENTE**, avec un niveau de confiance **Moyen** et un risque global **Élevé**. L'horizon d'investissement optimal serait le **court terme (&lt;3 mois)** pour les investisseurs cherchant à réduire leur exposition, avec une surveillance étroite de la capacité de l'entreprise à restaurer sa rentabilité opérationnelle et à améliorer sa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3,673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+3.90%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4.99% (Faible) — μ=4,053 FCFA, σ=202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β=0.0025 (Défensif) — Cov=0.000000, Var(idx)=0.000036, ρ=0.001,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3,815</w:t>
            </w:r>
          </w:p>
        </w:tc>
        <w:tc>
          <w:tcPr>
            <w:tcW w:type="dxa" w:w="1440"/>
            <w:shd w:fill="FAFAFA" w:val="clear"/>
          </w:tcPr>
          <w:p>
            <w:r>
              <w:rPr>
                <w:b/>
                <w:sz w:val="17"/>
              </w:rPr>
              <w:t>3,987</w:t>
            </w:r>
          </w:p>
        </w:tc>
        <w:tc>
          <w:tcPr>
            <w:tcW w:type="dxa" w:w="1440"/>
            <w:shd w:fill="FAFAFA" w:val="clear"/>
          </w:tcPr>
          <w:p>
            <w:r>
              <w:rPr>
                <w:sz w:val="17"/>
              </w:rPr>
              <w:t>4,159</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3,733</w:t>
            </w:r>
          </w:p>
        </w:tc>
        <w:tc>
          <w:tcPr>
            <w:tcW w:type="dxa" w:w="1440"/>
            <w:shd w:fill="FAFAFA" w:val="clear"/>
          </w:tcPr>
          <w:p>
            <w:r>
              <w:rPr>
                <w:b/>
                <w:sz w:val="17"/>
              </w:rPr>
              <w:t>3,976</w:t>
            </w:r>
          </w:p>
        </w:tc>
        <w:tc>
          <w:tcPr>
            <w:tcW w:type="dxa" w:w="1440"/>
            <w:shd w:fill="FAFAFA" w:val="clear"/>
          </w:tcPr>
          <w:p>
            <w:r>
              <w:rPr>
                <w:sz w:val="17"/>
              </w:rPr>
              <w:t>4,218</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2026-09-02</w:t>
            </w:r>
          </w:p>
        </w:tc>
        <w:tc>
          <w:tcPr>
            <w:tcW w:type="dxa" w:w="1440"/>
            <w:shd w:fill="FAFAFA" w:val="clear"/>
          </w:tcPr>
          <w:p>
            <w:r>
              <w:rPr>
                <w:sz w:val="17"/>
              </w:rPr>
              <w:t>3,670</w:t>
            </w:r>
          </w:p>
        </w:tc>
        <w:tc>
          <w:tcPr>
            <w:tcW w:type="dxa" w:w="1440"/>
            <w:shd w:fill="FAFAFA" w:val="clear"/>
          </w:tcPr>
          <w:p>
            <w:r>
              <w:rPr>
                <w:b/>
                <w:sz w:val="17"/>
              </w:rPr>
              <w:t>3,966</w:t>
            </w:r>
          </w:p>
        </w:tc>
        <w:tc>
          <w:tcPr>
            <w:tcW w:type="dxa" w:w="1440"/>
            <w:shd w:fill="FAFAFA" w:val="clear"/>
          </w:tcPr>
          <w:p>
            <w:r>
              <w:rPr>
                <w:sz w:val="17"/>
              </w:rPr>
              <w:t>4,262</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3,617</w:t>
            </w:r>
          </w:p>
        </w:tc>
        <w:tc>
          <w:tcPr>
            <w:tcW w:type="dxa" w:w="1440"/>
            <w:shd w:fill="FAFAFA" w:val="clear"/>
          </w:tcPr>
          <w:p>
            <w:r>
              <w:rPr>
                <w:b/>
                <w:sz w:val="17"/>
              </w:rPr>
              <w:t>3,958</w:t>
            </w:r>
          </w:p>
        </w:tc>
        <w:tc>
          <w:tcPr>
            <w:tcW w:type="dxa" w:w="1440"/>
            <w:shd w:fill="FAFAFA" w:val="clear"/>
          </w:tcPr>
          <w:p>
            <w:r>
              <w:rPr>
                <w:sz w:val="17"/>
              </w:rPr>
              <w:t>4,300</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3,572</w:t>
            </w:r>
          </w:p>
        </w:tc>
        <w:tc>
          <w:tcPr>
            <w:tcW w:type="dxa" w:w="1440"/>
            <w:shd w:fill="FAFAFA" w:val="clear"/>
          </w:tcPr>
          <w:p>
            <w:r>
              <w:rPr>
                <w:b/>
                <w:sz w:val="17"/>
              </w:rPr>
              <w:t>3,954</w:t>
            </w:r>
          </w:p>
        </w:tc>
        <w:tc>
          <w:tcPr>
            <w:tcW w:type="dxa" w:w="1440"/>
            <w:shd w:fill="FAFAFA" w:val="clear"/>
          </w:tcPr>
          <w:p>
            <w:r>
              <w:rPr>
                <w:sz w:val="17"/>
              </w:rPr>
              <w:t>4,335</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3,535</w:t>
            </w:r>
          </w:p>
        </w:tc>
        <w:tc>
          <w:tcPr>
            <w:tcW w:type="dxa" w:w="1440"/>
            <w:shd w:fill="FAFAFA" w:val="clear"/>
          </w:tcPr>
          <w:p>
            <w:r>
              <w:rPr>
                <w:b/>
                <w:sz w:val="17"/>
              </w:rPr>
              <w:t>3,953</w:t>
            </w:r>
          </w:p>
        </w:tc>
        <w:tc>
          <w:tcPr>
            <w:tcW w:type="dxa" w:w="1440"/>
            <w:shd w:fill="FAFAFA" w:val="clear"/>
          </w:tcPr>
          <w:p>
            <w:r>
              <w:rPr>
                <w:sz w:val="17"/>
              </w:rPr>
              <w:t>4,371</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3,505</w:t>
            </w:r>
          </w:p>
        </w:tc>
        <w:tc>
          <w:tcPr>
            <w:tcW w:type="dxa" w:w="1440"/>
            <w:shd w:fill="FAFAFA" w:val="clear"/>
          </w:tcPr>
          <w:p>
            <w:r>
              <w:rPr>
                <w:b/>
                <w:sz w:val="17"/>
              </w:rPr>
              <w:t>3,957</w:t>
            </w:r>
          </w:p>
        </w:tc>
        <w:tc>
          <w:tcPr>
            <w:tcW w:type="dxa" w:w="1440"/>
            <w:shd w:fill="FAFAFA" w:val="clear"/>
          </w:tcPr>
          <w:p>
            <w:r>
              <w:rPr>
                <w:sz w:val="17"/>
              </w:rPr>
              <w:t>4,409</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3,483</w:t>
            </w:r>
          </w:p>
        </w:tc>
        <w:tc>
          <w:tcPr>
            <w:tcW w:type="dxa" w:w="1440"/>
            <w:shd w:fill="FAFAFA" w:val="clear"/>
          </w:tcPr>
          <w:p>
            <w:r>
              <w:rPr>
                <w:b/>
                <w:sz w:val="17"/>
              </w:rPr>
              <w:t>3,967</w:t>
            </w:r>
          </w:p>
        </w:tc>
        <w:tc>
          <w:tcPr>
            <w:tcW w:type="dxa" w:w="1440"/>
            <w:shd w:fill="FAFAFA" w:val="clear"/>
          </w:tcPr>
          <w:p>
            <w:r>
              <w:rPr>
                <w:sz w:val="17"/>
              </w:rPr>
              <w:t>4,451</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3,466</w:t>
            </w:r>
          </w:p>
        </w:tc>
        <w:tc>
          <w:tcPr>
            <w:tcW w:type="dxa" w:w="1440"/>
            <w:shd w:fill="FAFAFA" w:val="clear"/>
          </w:tcPr>
          <w:p>
            <w:r>
              <w:rPr>
                <w:b/>
                <w:sz w:val="17"/>
              </w:rPr>
              <w:t>3,981</w:t>
            </w:r>
          </w:p>
        </w:tc>
        <w:tc>
          <w:tcPr>
            <w:tcW w:type="dxa" w:w="1440"/>
            <w:shd w:fill="FAFAFA" w:val="clear"/>
          </w:tcPr>
          <w:p>
            <w:r>
              <w:rPr>
                <w:sz w:val="17"/>
              </w:rPr>
              <w:t>4,497</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3,452</w:t>
            </w:r>
          </w:p>
        </w:tc>
        <w:tc>
          <w:tcPr>
            <w:tcW w:type="dxa" w:w="1440"/>
            <w:shd w:fill="FAFAFA" w:val="clear"/>
          </w:tcPr>
          <w:p>
            <w:r>
              <w:rPr>
                <w:b/>
                <w:sz w:val="17"/>
              </w:rPr>
              <w:t>3,997</w:t>
            </w:r>
          </w:p>
        </w:tc>
        <w:tc>
          <w:tcPr>
            <w:tcW w:type="dxa" w:w="1440"/>
            <w:shd w:fill="FAFAFA" w:val="clear"/>
          </w:tcPr>
          <w:p>
            <w:r>
              <w:rPr>
                <w:sz w:val="17"/>
              </w:rPr>
              <w:t>4,543</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Absolument. Voici un rapport d'analyse structuré et professionnel sur l'action LNBB,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 milliards FCFA, un niveau significatif qui la positionne comme une valeur de taille moyenne sur la BRVM. Avec un BPA de 231 FCFA, chaque action génère un bénéfice substantiel. Le PER de 17,3x est nettement supérieur à la moyenne historique de la BRVM (8-12x), indiquant que les investisseurs acceptent de payer une prime pour la croissance anticipée et la solidité de l'entreprise. Le P/B de 3,64x confirme cette prime, le marché valorisant l'actif net à plus de 3,6 fois sa valeur comptable, ce qui reflète une forte confiance dans la génération de valeur future. Enfin, un EV/EBITDA de 10,1x, bien que dans la fourchette haute, suggère une valorisation globale cohérente avec la capacité opérationnelle de l'entreprise.</w:t>
      </w:r>
    </w:p>
    <w:p>
      <w:pPr>
        <w:spacing w:after="120" w:line="276" w:lineRule="auto"/>
      </w:pPr>
      <w:r>
        <w:t>### PARTIE 1 : ANALYSE DU COURS — STATISTIQUES ET ÉVOLUTION (100 derniers jours)</w:t>
      </w:r>
    </w:p>
    <w:p>
      <w:pPr>
        <w:spacing w:after="120" w:line="276" w:lineRule="auto"/>
      </w:pPr>
      <w:r>
        <w:t>Sur les 100 derniers jours, l'action LNBB a enregistré une variation totale de +3,90%, avec une légère baisse de -0,12% lors de la dernière séance, clôturant à 4 000 FCFA. Le titre a évolué dans une fourchette de 3 825 à 4 560 FCFA, démontrant une amplitude de trading notable. La moyenne du cours sur la période est de 4 053 FCFA, légèrement supérieure à la médiane de 3 995 FCFA, ce qui, combiné à un skewness positif (0,610), indique une distribution asymétrique avec des journées plus fréquentes sous la moyenne mais des pics plus marqués. L'écart-type de 203 FCFA (CV=5,0%) révèle une dispersion modérée, tandis que le kurtosis de -0,958 (mésokurtique) suggère un risque de mouvements extrêmes similaire à une distribution normale. La volatilité annualisée de 36,3% classe le titre comme très volatil, un point crucial pour les investisseurs à court terme.</w:t>
      </w:r>
    </w:p>
    <w:p>
      <w:pPr>
        <w:spacing w:after="120" w:line="276" w:lineRule="auto"/>
      </w:pPr>
      <w:r>
        <w:t>### PARTIE 2 : ANALYSE TECHNIQUE DÉTAILLÉE</w:t>
      </w:r>
    </w:p>
    <w:p>
      <w:pPr>
        <w:spacing w:after="120" w:line="276" w:lineRule="auto"/>
      </w:pPr>
      <w:r>
        <w:t>**Moyennes Mobiles** : Le cours actuel de 4 000 FCFA est inférieur à la MM20 (4 193,75 FCFA) et à la MM50 (4 223,7 FCFA). Cette configuration baissière, où les moyennes agissent comme des résistances, justifie la décision de vente. La tendance de fond est donc négative à moyen terme.</w:t>
      </w:r>
    </w:p>
    <w:p>
      <w:pPr>
        <w:spacing w:after="120" w:line="276" w:lineRule="auto"/>
      </w:pPr>
      <w:r>
        <w:t>**Bandes de Bollinger** : Le prix se situe près de la borne inférieure (3 871,47 FCFA) mais au-dessus, indiquant une pression vendeuse sans être en situation de survente extrême. La décision est neutre, le marché attendant un signal directionnel clair. La largeur des bandes reflète la volatilité élevée du titre.</w:t>
      </w:r>
    </w:p>
    <w:p>
      <w:pPr>
        <w:spacing w:after="120" w:line="276" w:lineRule="auto"/>
      </w:pPr>
      <w:r>
        <w:t>**MACD** : Le MACD (-57,23) est négatif et inférieur à sa ligne de signal (-34,40), confirmant un momentum baissier. Cette divergence négative indique que la dynamique des prix reste défavorable, justifiant la décision de vente.</w:t>
      </w:r>
    </w:p>
    <w:p>
      <w:pPr>
        <w:spacing w:after="120" w:line="276" w:lineRule="auto"/>
      </w:pPr>
      <w:r>
        <w:t>**RSI** : À 31,01, le RSI est proche de la zone de survente (&lt;30). Cela suggère que le titre est proche d'un rebond technique potentiel, mais sans signal confirmé, la décision reste neutre.</w:t>
      </w:r>
    </w:p>
    <w:p>
      <w:pPr>
        <w:spacing w:after="120" w:line="276" w:lineRule="auto"/>
      </w:pPr>
      <w:r>
        <w:t>**Stochastique** : Le %K (0,0) est très inférieur au %D (11,11), indiquant une condition de survente extrême. Le croisement haussier potentiel de ces lignes pourrait signaler un retournement imminent, d'où la décision d'achat.</w:t>
      </w:r>
    </w:p>
    <w:p>
      <w:pPr>
        <w:spacing w:after="120" w:line="276" w:lineRule="auto"/>
      </w:pPr>
      <w:r>
        <w:t>**Conclusion technique** : Les indicateurs sont mitigés. Les moyennes mobiles et le MACD pointent vers une tendance baissière, tandis que les oscillateurs (RSI, Stochastique) suggèrent une possible correction technique à la hausse. Le titre est dans une phase de consolidation sous ses moyennes mobiles, avec un potentiel de rebond à court terme mais une tendance de fond incertaine.</w:t>
      </w:r>
    </w:p>
    <w:p>
      <w:pPr>
        <w:spacing w:after="120" w:line="276" w:lineRule="auto"/>
      </w:pPr>
      <w:r>
        <w:t>### PARTIE 3 : ANALYSE FONDAMENTALE (SECTION CRITIQUE)</w:t>
      </w:r>
    </w:p>
    <w:p>
      <w:pPr>
        <w:spacing w:after="120" w:line="276" w:lineRule="auto"/>
      </w:pPr>
      <w:r>
        <w:t>En 2025, la Loterie Nationale du Bénin (LNBB) affiche un chiffre d'affaires de 98,598 milliards FCFA, en baisse de -3,85% par rapport à 2024, et un résultat net de 4,622 milliards FCFA, en recul de -36%. Cette baisse s'explique par une concurrence déloyale accrue et l'absence de produits exceptionnels. Cependant, la structure financière reste robuste avec des capitaux propres de 21,954 milliards FCFA, un ROE de 21,05% et un ROA de 14,17%, tous deux excellents. La marge opérationnelle est de 6,47% et la marge nette de 4,69%. Le BFR est légèrement positif (217,45 millions FCFA), mais la trésorerie nette est très confortable à 7,979 milliards FCFA. Les délais clients (4,82 jours) et fournisseurs (20,41 jours) sont très courts, indiquant une gestion efficace. Selon le rapport annuel 2025 (analysé le 26 mai 2025), la valeur ajoutée a progressé de +22% et l'EBE de +34%, démontrant une excellente maîtrise des charges. Le rapport S1 2026 (analysé le 30 juillet 2026) montre une reprise avec un CA en hausse de +4% et un résultat net en progression de +60%, porté par les partenariats et la maîtrise des coûts. Sur la base de ces rapports trimestriels, on estime que l'exercice 2026 pourrait voir une amélioration significative de la rentabilité, malgré un produit brut des jeux en baisse de -9%. La solidité financière, la politique de dividende généreuse (173 FCFA brut par action pour 2025) et les perspectives de redressement justifient une recommandation fondamentale positive.</w:t>
      </w:r>
    </w:p>
    <w:p>
      <w:pPr>
        <w:spacing w:after="120" w:line="276" w:lineRule="auto"/>
      </w:pPr>
      <w:r>
        <w:t>### PARTIE 4 : CONCLUSION D'INVESTISSEMENT</w:t>
      </w:r>
    </w:p>
    <w:p>
      <w:pPr>
        <w:spacing w:after="120" w:line="276" w:lineRule="auto"/>
      </w:pPr>
      <w:r>
        <w:t>La valorisation de LNBB (PER 17,3x, P/B 3,64x) est exigeante, intégrant des attentes de croissance qui ne se sont pas encore matérialisées dans les résultats 2025. Le comportement du cours sur 100 jours montre une tendance haussière modérée mais avec une volatilité très élevée (36,3%), et les statistiques (skewness positif) suggèrent un potentiel de gains asymétrique. Les signaux techniques sont mitigés, avec une tendance baissière à moyen terme (MM, MACD) mais des conditions de survente à court terme (RSI, Stochastique) qui pourraient déclencher un rebond. Les fondamentaux, bien qu'en baisse en 2025, restent solides avec un ROE de 21%, une trésorerie abondante et des perspectives de redressement confirmées par les résultats S1 2026 (+60% de résultat net). Les prédictions IA (J+1 à J+10) montrent une trajectoire baissière de 4 000 à 3 954 FCFA, contredisant le signal de rebond technique. Cette divergence entre le potentiel de rebond technique et la prédiction IA suggère une prudence. En synthèse, la convergence entre des fondamentaux solides et des perspectives de croissance, malgré une valorisation élevée et des signaux techniques mitigés, nous conduit à une recommandation **CONSERVER**. Le niveau de confiance est **Moyen** et le risque global est **Élevé** en raison de la volatilité. L'horizon d'investissement optimal est à **moyen terme (3-12 mois)**, en attendant la confirmation d'une amélioration durable de la rentabilité.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5,238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+115.05%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17.14% (Élevée) — μ=2,031 FCFA, σ=348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β=-0.1391 (Contre-cyclique) — Cov=-0.000005, Var(idx)=0.000036, ρ=-0.025,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σ_j=3.37%/j (Modérée) — Vol. annualisée≈53.4%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2,609</w:t>
            </w:r>
          </w:p>
        </w:tc>
        <w:tc>
          <w:tcPr>
            <w:tcW w:type="dxa" w:w="1440"/>
            <w:shd w:fill="FFDCE0" w:val="clear"/>
          </w:tcPr>
          <w:p>
            <w:r>
              <w:rPr>
                <w:b/>
                <w:sz w:val="17"/>
              </w:rPr>
              <w:t>2,775</w:t>
            </w:r>
          </w:p>
        </w:tc>
        <w:tc>
          <w:tcPr>
            <w:tcW w:type="dxa" w:w="1440"/>
            <w:shd w:fill="FFDCE0" w:val="clear"/>
          </w:tcPr>
          <w:p>
            <w:r>
              <w:rPr>
                <w:sz w:val="17"/>
              </w:rPr>
              <w:t>2,941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2,350</w:t>
            </w:r>
          </w:p>
        </w:tc>
        <w:tc>
          <w:tcPr>
            <w:tcW w:type="dxa" w:w="1440"/>
            <w:shd w:fill="FFDCE0" w:val="clear"/>
          </w:tcPr>
          <w:p>
            <w:r>
              <w:rPr>
                <w:b/>
                <w:sz w:val="17"/>
              </w:rPr>
              <w:t>2,567</w:t>
            </w:r>
          </w:p>
        </w:tc>
        <w:tc>
          <w:tcPr>
            <w:tcW w:type="dxa" w:w="1440"/>
            <w:shd w:fill="FFDCE0" w:val="clear"/>
          </w:tcPr>
          <w:p>
            <w:r>
              <w:rPr>
                <w:sz w:val="17"/>
              </w:rPr>
              <w:t>2,784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2,128</w:t>
            </w:r>
          </w:p>
        </w:tc>
        <w:tc>
          <w:tcPr>
            <w:tcW w:type="dxa" w:w="1440"/>
            <w:shd w:fill="FFDCE0" w:val="clear"/>
          </w:tcPr>
          <w:p>
            <w:r>
              <w:rPr>
                <w:b/>
                <w:sz w:val="17"/>
              </w:rPr>
              <w:t>2,374</w:t>
            </w:r>
          </w:p>
        </w:tc>
        <w:tc>
          <w:tcPr>
            <w:tcW w:type="dxa" w:w="1440"/>
            <w:shd w:fill="FFDCE0" w:val="clear"/>
          </w:tcPr>
          <w:p>
            <w:r>
              <w:rPr>
                <w:sz w:val="17"/>
              </w:rPr>
              <w:t>2,620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1,933</w:t>
            </w:r>
          </w:p>
        </w:tc>
        <w:tc>
          <w:tcPr>
            <w:tcW w:type="dxa" w:w="1440"/>
            <w:shd w:fill="FFDCE0" w:val="clear"/>
          </w:tcPr>
          <w:p>
            <w:r>
              <w:rPr>
                <w:b/>
                <w:sz w:val="17"/>
              </w:rPr>
              <w:t>2,196</w:t>
            </w:r>
          </w:p>
        </w:tc>
        <w:tc>
          <w:tcPr>
            <w:tcW w:type="dxa" w:w="1440"/>
            <w:shd w:fill="FFDCE0" w:val="clear"/>
          </w:tcPr>
          <w:p>
            <w:r>
              <w:rPr>
                <w:sz w:val="17"/>
              </w:rPr>
              <w:t>2,459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1,760</w:t>
            </w:r>
          </w:p>
        </w:tc>
        <w:tc>
          <w:tcPr>
            <w:tcW w:type="dxa" w:w="1440"/>
            <w:shd w:fill="FFDCE0" w:val="clear"/>
          </w:tcPr>
          <w:p>
            <w:r>
              <w:rPr>
                <w:b/>
                <w:sz w:val="17"/>
              </w:rPr>
              <w:t>2,032</w:t>
            </w:r>
          </w:p>
        </w:tc>
        <w:tc>
          <w:tcPr>
            <w:tcW w:type="dxa" w:w="1440"/>
            <w:shd w:fill="FFDCE0" w:val="clear"/>
          </w:tcPr>
          <w:p>
            <w:r>
              <w:rPr>
                <w:sz w:val="17"/>
              </w:rPr>
              <w:t>2,303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1,604</w:t>
            </w:r>
          </w:p>
        </w:tc>
        <w:tc>
          <w:tcPr>
            <w:tcW w:type="dxa" w:w="1440"/>
            <w:shd w:fill="FFDCE0" w:val="clear"/>
          </w:tcPr>
          <w:p>
            <w:r>
              <w:rPr>
                <w:b/>
                <w:sz w:val="17"/>
              </w:rPr>
              <w:t>1,879</w:t>
            </w:r>
          </w:p>
        </w:tc>
        <w:tc>
          <w:tcPr>
            <w:tcW w:type="dxa" w:w="1440"/>
            <w:shd w:fill="FFDCE0" w:val="clear"/>
          </w:tcPr>
          <w:p>
            <w:r>
              <w:rPr>
                <w:sz w:val="17"/>
              </w:rPr>
              <w:t>2,155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1,463</w:t>
            </w:r>
          </w:p>
        </w:tc>
        <w:tc>
          <w:tcPr>
            <w:tcW w:type="dxa" w:w="1440"/>
            <w:shd w:fill="FFDCE0" w:val="clear"/>
          </w:tcPr>
          <w:p>
            <w:r>
              <w:rPr>
                <w:b/>
                <w:sz w:val="17"/>
              </w:rPr>
              <w:t>1,738</w:t>
            </w:r>
          </w:p>
        </w:tc>
        <w:tc>
          <w:tcPr>
            <w:tcW w:type="dxa" w:w="1440"/>
            <w:shd w:fill="FFDCE0" w:val="clear"/>
          </w:tcPr>
          <w:p>
            <w:r>
              <w:rPr>
                <w:sz w:val="17"/>
              </w:rPr>
              <w:t>2,013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1,336</w:t>
            </w:r>
          </w:p>
        </w:tc>
        <w:tc>
          <w:tcPr>
            <w:tcW w:type="dxa" w:w="1440"/>
            <w:shd w:fill="FFDCE0" w:val="clear"/>
          </w:tcPr>
          <w:p>
            <w:r>
              <w:rPr>
                <w:b/>
                <w:sz w:val="17"/>
              </w:rPr>
              <w:t>1,608</w:t>
            </w:r>
          </w:p>
        </w:tc>
        <w:tc>
          <w:tcPr>
            <w:tcW w:type="dxa" w:w="1440"/>
            <w:shd w:fill="FFDCE0" w:val="clear"/>
          </w:tcPr>
          <w:p>
            <w:r>
              <w:rPr>
                <w:sz w:val="17"/>
              </w:rPr>
              <w:t>1,880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1,269</w:t>
            </w:r>
          </w:p>
        </w:tc>
        <w:tc>
          <w:tcPr>
            <w:tcW w:type="dxa" w:w="1440"/>
            <w:shd w:fill="FFDCE0" w:val="clear"/>
          </w:tcPr>
          <w:p>
            <w:r>
              <w:rPr>
                <w:b/>
                <w:sz w:val="17"/>
              </w:rPr>
              <w:t>1,547</w:t>
            </w:r>
          </w:p>
        </w:tc>
        <w:tc>
          <w:tcPr>
            <w:tcW w:type="dxa" w:w="1440"/>
            <w:shd w:fill="FFDCE0" w:val="clear"/>
          </w:tcPr>
          <w:p>
            <w:r>
              <w:rPr>
                <w:sz w:val="17"/>
              </w:rPr>
              <w:t>1,824</w:t>
            </w:r>
          </w:p>
        </w:tc>
        <w:tc>
          <w:tcPr>
            <w:tcW w:type="dxa" w:w="1440"/>
            <w:shd w:fill="FFDCE0" w:val="clear"/>
          </w:tcPr>
          <w:p>
            <w:r>
              <w:rPr>
                <w:b/>
                <w:color w:val="C00000"/>
                <w:sz w:val="17"/>
              </w:rPr>
              <w:t>-48.4%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1,211</w:t>
            </w:r>
          </w:p>
        </w:tc>
        <w:tc>
          <w:tcPr>
            <w:tcW w:type="dxa" w:w="1440"/>
            <w:shd w:fill="FFDCE0" w:val="clear"/>
          </w:tcPr>
          <w:p>
            <w:r>
              <w:rPr>
                <w:b/>
                <w:sz w:val="17"/>
              </w:rPr>
              <w:t>1,494</w:t>
            </w:r>
          </w:p>
        </w:tc>
        <w:tc>
          <w:tcPr>
            <w:tcW w:type="dxa" w:w="1440"/>
            <w:shd w:fill="FFDCE0" w:val="clear"/>
          </w:tcPr>
          <w:p>
            <w:r>
              <w:rPr>
                <w:sz w:val="17"/>
              </w:rPr>
              <w:t>1,777</w:t>
            </w:r>
          </w:p>
        </w:tc>
        <w:tc>
          <w:tcPr>
            <w:tcW w:type="dxa" w:w="1440"/>
            <w:shd w:fill="FFDCE0" w:val="clear"/>
          </w:tcPr>
          <w:p>
            <w:r>
              <w:rPr>
                <w:b/>
                <w:color w:val="C00000"/>
                <w:sz w:val="17"/>
              </w:rPr>
              <w:t>-50.2%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38,30 milliards FCFA, un niveau modeste dans l'écosystème BRVM, reflétant un profil de petite capitalisation. Le BPA de 160 FCFA indique que chaque action génère un bénéfice de ce montant, mais le PER de 18,8x est nettement supérieur à la moyenne historique de la BRVM (8-12x), signalant que les investisseurs paient une prime substantielle pour les bénéfices actuels. Le P/B de 6,65x confirme cette exubérance, le marché valorisant le titre plus de six fois sa valeur comptable, ce qui est particulièrement exigeant. Enfin, l'EV/EBITDA de 28,5x, très supérieur au seuil de 15x, indique que la valeur totale de l'entreprise (dette incluse) est très chère par rapport à sa capacité opérationnelle. L'ensemble de ces ratios suggère une valorisation extrêmement tendue qui anticipe une croissance future très forte.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+115,05%, avec une dernière séance en hausse de +7,14% à 3 000 FCFA, son plus haut niveau sur la période. Le cours a évolué dans une fourchette très large de 1 365 à 3 000 FCFA, démontrant un mouvement haussier puissant mais également une forte amplitude de variation. La moyenne de 2 031 FCFA est inférieure à la médiane de 2 118 FCFA, indiquant une distribution légèrement asymétrique avec une concentration des valeurs vers le bas de la fourchette avant l'accélération récente. L'écart-type de 350 FCFA (CV=17,2%) révèle une dispersion modérée des prix autour de la moyenne. Le kurtosis de -0,046 (mésokurtique) suggère une distribution proche de la normale, sans risque de pics extrêmes, tandis que le skewness de -0,416 indique une asymétrie négative, avec une queue de distribution étirée vers les valeurs basses. La volatilité annualisée de 53,4% classe le titre dans la catégorie des actifs à très haute volatilité, bien au-delà du seuil de 30%, ce qui implique un risque de variation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3 000 FCFA se situe nettement au-dessus de la MM20 (2 348 FCFA) et de la MM50 (2 289,5 FCFA), avec un écart de plus de 27% par rapport à la MM20. Cette configuration haussière confirme une dynamique positive à court et moyen terme, justifiant la décision d'achat, mais l'écart important suggère également une extension excessive qui pourrait précéder un repli technique.</w:t>
      </w:r>
    </w:p>
    <w:p>
      <w:pPr>
        <w:spacing w:after="120" w:line="276" w:lineRule="auto"/>
      </w:pPr>
      <w:r>
        <w:t>**Bandes de Bollinger** : Le prix de 3 000 FCFA a franchi largement la borne supérieure de 2 805,57 FCFA, indiquant une condition de surachat extrême. Cette sortie de bande témoigne d'une volatilité exceptionnellement élevée et d'un momentum haussier très puissant, mais elle signale aussi une probabilité accrue de retour vers la moyenne. La décision de vente est donc justifiée par ce dépassement anormal.</w:t>
      </w:r>
    </w:p>
    <w:p>
      <w:pPr>
        <w:spacing w:after="120" w:line="276" w:lineRule="auto"/>
      </w:pPr>
      <w:r>
        <w:t>**MACD** : Le MACD à 133,039 est nettement supérieur à son signal à 56,09, avec un écart positif important. Cette divergence haussière confirme la vigueur du momentum, mais l'ampleur de l'écart suggère une possible saturation du mouvement. La décision d'achat reste valide tant que le MACD demeure au-dessus du signal, mais une attention particulière doit être portée à un éventuel croisement baissier.</w:t>
      </w:r>
    </w:p>
    <w:p>
      <w:pPr>
        <w:spacing w:after="120" w:line="276" w:lineRule="auto"/>
      </w:pPr>
      <w:r>
        <w:t>**RSI** : Le RSI à 91,549 est extrêmement élevé, bien au-delà du seuil de surachat de 70. Cette valeur indique que le titre est massivement suracheté, ce qui reflète un enthousiasme excessif des acheteurs. Historiquement, de tels niveaux de RSI précèdent souvent des corrections significatives. La décision de vente est donc pleinement justifiée par ce signal d'épuisement du mouvement haussier.</w:t>
      </w:r>
    </w:p>
    <w:p>
      <w:pPr>
        <w:spacing w:after="120" w:line="276" w:lineRule="auto"/>
      </w:pPr>
      <w:r>
        <w:t>**Stochastique** : Le %K et le %D sont tous deux à 100,0, leur niveau maximal possible. Cette configuration extrême confirme que le titre est en situation de surachat absolu, avec un momentum haussier qui semble avoir atteint ses limites. La décision de vente est cohérente avec ces valeurs extrêmes qui indiquent une probabilité élevée de retournement.</w:t>
      </w:r>
    </w:p>
    <w:p>
      <w:pPr>
        <w:spacing w:after="120" w:line="276" w:lineRule="auto"/>
      </w:pPr>
      <w:r>
        <w:t>**Conclusion technique** : L'ensemble des indicateurs techniques converge vers un diagnostic de surachat extrême. Si les moyennes mobiles et le MACD restent positifs, les bandes de Bollinger, le RSI et le stochastique signalent tous une extension excessive du cours. Cette divergence entre les indicateurs de tendance et les oscillateurs suggère qu'un repli technique est probable à court terme, malgré la tendance haussière de fond.</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structurées remarquables : un chiffre d'affaires de 5,139 milliards FCFA, un résultat net de 2,037 milliards FCFA, et des marges exceptionnelles (nette de 39,6%, opérationnelle de 23,6%). Le ROE de 35,4% et le ROA de 27,3% témoignent d'une excellente rentabilité des fonds propres et des actifs. La structure financière est solide avec une autonomie financière de 77% et une trésorerie nette de 4,196 milliards FCFA. Cependant, le taux de croissance du CA est négatif à -23,8%, signalant une contraction de l'activité commerciale. Le BFR de 1,498 milliard FCFA et le délai clients de 154,7 jours indiquent un risque de trésorerie lié aux créances. Le rapport du 3ème trimestre 2025 (date inconnue) confirme cette tendance avec un CA en baisse de 35% à 3,406 milliards FCFA, mais un bénéfice exceptionnel de 1,596 milliard FCFA dû à la reprise d'une provision fiscale. Le rapport 2025 (date inconnue) mentionne un résultat net de 2,04 milliards FCFA (+169% vs 2024) et un dividende de 100% du résultat. Le rapport T1 2026 (date inconnue) montre un CA en hausse de 137% à 115,1 millions FCFA mais une perte de -168,9 millions FCFA. On estime que l'exercice 2026 devrait voir une amélioration progressive, mais la performance récurrente reste fragile, dépendante de l'activité saisonnière du second semestre et de la capacité à redresser les ventes.</w:t>
      </w:r>
    </w:p>
    <w:p>
      <w:pPr>
        <w:spacing w:after="120" w:line="276" w:lineRule="auto" w:before="240"/>
      </w:pPr>
      <w:r>
        <w:rPr>
          <w:b/>
          <w:color w:val="003366"/>
          <w:sz w:val="24"/>
        </w:rPr>
        <w:t>**PARTIE 4 : CONCLUSION D'INVESTISSEMENT**</w:t>
      </w:r>
    </w:p>
    <w:p>
      <w:pPr>
        <w:spacing w:after="120" w:line="276" w:lineRule="auto"/>
      </w:pPr>
      <w:r>
        <w:t>La valorisation boursière de NEIC est extrêmement exigeante avec un PER de 18,8x, un P/B de 6,65x et un EV/EBITDA de 28,5x, tous nettement supérieurs aux moyennes BRVM, indiquant une surévaluation manifeste. Le comportement du cours sur 100 jours (+115%) avec une volatilité annualisée de 53,4% et un skewness négatif reflète un rallye spéculatif intense, potentiellement insoutenable à court terme. Les signaux techniques sont contradictoires : les moyennes mobiles et le MACD restent positifs, mais le RSI à 91,5, le stochastique à 100 et le franchissement des bandes de Bollinger signalent un surachat extrême. Les fondamentaux montrent une rentabilité exceptionnelle en 2025 (ROE 35,4%) mais une contraction du CA (-23,8%) et une performance récurrente fragile. Les prédictions IA (2 775 à 2 032 FCFA sur 10 jours) confirment un scénario de correction technique. La synthèse globale indique une divergence majeure entre la valorisation, la technique et les fondamentaux récurrents. Recommandation : **VENTE** avec un niveau de confiance **Élevé**, un risque global **Élevé**, et un horizon d'investissement optimal à **court terme (&lt;3 mois)** pour les investisseurs existants qui devraient sécuriser leurs gains.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556.53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2,014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+58.95%</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18.93% (Élevée) — μ=18,956 FCFA, σ=3,588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β=1.2288 (Agressif) — Cov=0.000044, Var(idx)=0.000036, ρ=0.310,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22,229</w:t>
            </w:r>
          </w:p>
        </w:tc>
        <w:tc>
          <w:tcPr>
            <w:tcW w:type="dxa" w:w="1440"/>
            <w:shd w:fill="C6EFCE" w:val="clear"/>
          </w:tcPr>
          <w:p>
            <w:r>
              <w:rPr>
                <w:b/>
                <w:sz w:val="17"/>
              </w:rPr>
              <w:t>23,070</w:t>
            </w:r>
          </w:p>
        </w:tc>
        <w:tc>
          <w:tcPr>
            <w:tcW w:type="dxa" w:w="1440"/>
            <w:shd w:fill="C6EFCE" w:val="clear"/>
          </w:tcPr>
          <w:p>
            <w:r>
              <w:rPr>
                <w:sz w:val="17"/>
              </w:rPr>
              <w:t>23,910</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22,276</w:t>
            </w:r>
          </w:p>
        </w:tc>
        <w:tc>
          <w:tcPr>
            <w:tcW w:type="dxa" w:w="1440"/>
            <w:shd w:fill="C6EFCE" w:val="clear"/>
          </w:tcPr>
          <w:p>
            <w:r>
              <w:rPr>
                <w:b/>
                <w:sz w:val="17"/>
              </w:rPr>
              <w:t>23,486</w:t>
            </w:r>
          </w:p>
        </w:tc>
        <w:tc>
          <w:tcPr>
            <w:tcW w:type="dxa" w:w="1440"/>
            <w:shd w:fill="C6EFCE" w:val="clear"/>
          </w:tcPr>
          <w:p>
            <w:r>
              <w:rPr>
                <w:sz w:val="17"/>
              </w:rPr>
              <w:t>24,696</w:t>
            </w:r>
          </w:p>
        </w:tc>
        <w:tc>
          <w:tcPr>
            <w:tcW w:type="dxa" w:w="1440"/>
            <w:shd w:fill="C6EFCE" w:val="clear"/>
          </w:tcPr>
          <w:p>
            <w:r>
              <w:rPr>
                <w:b/>
                <w:color w:val="008000"/>
                <w:sz w:val="17"/>
              </w:rPr>
              <w:t>+4.4%</w:t>
            </w:r>
          </w:p>
        </w:tc>
      </w:tr>
      <w:tr>
        <w:tc>
          <w:tcPr>
            <w:tcW w:type="dxa" w:w="1440"/>
            <w:shd w:fill="C6EFCE" w:val="clear"/>
          </w:tcPr>
          <w:p>
            <w:r>
              <w:rPr>
                <w:sz w:val="17"/>
              </w:rPr>
              <w:t>J+3  Moyenne</w:t>
            </w:r>
          </w:p>
        </w:tc>
        <w:tc>
          <w:tcPr>
            <w:tcW w:type="dxa" w:w="1440"/>
            <w:shd w:fill="C6EFCE" w:val="clear"/>
          </w:tcPr>
          <w:p>
            <w:r>
              <w:rPr>
                <w:sz w:val="17"/>
              </w:rPr>
              <w:t>2026-09-02</w:t>
            </w:r>
          </w:p>
        </w:tc>
        <w:tc>
          <w:tcPr>
            <w:tcW w:type="dxa" w:w="1440"/>
            <w:shd w:fill="C6EFCE" w:val="clear"/>
          </w:tcPr>
          <w:p>
            <w:r>
              <w:rPr>
                <w:sz w:val="17"/>
              </w:rPr>
              <w:t>22,380</w:t>
            </w:r>
          </w:p>
        </w:tc>
        <w:tc>
          <w:tcPr>
            <w:tcW w:type="dxa" w:w="1440"/>
            <w:shd w:fill="C6EFCE" w:val="clear"/>
          </w:tcPr>
          <w:p>
            <w:r>
              <w:rPr>
                <w:b/>
                <w:sz w:val="17"/>
              </w:rPr>
              <w:t>23,888</w:t>
            </w:r>
          </w:p>
        </w:tc>
        <w:tc>
          <w:tcPr>
            <w:tcW w:type="dxa" w:w="1440"/>
            <w:shd w:fill="C6EFCE" w:val="clear"/>
          </w:tcPr>
          <w:p>
            <w:r>
              <w:rPr>
                <w:sz w:val="17"/>
              </w:rPr>
              <w:t>25,395</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22,507</w:t>
            </w:r>
          </w:p>
        </w:tc>
        <w:tc>
          <w:tcPr>
            <w:tcW w:type="dxa" w:w="1440"/>
            <w:shd w:fill="C6EFCE" w:val="clear"/>
          </w:tcPr>
          <w:p>
            <w:r>
              <w:rPr>
                <w:b/>
                <w:sz w:val="17"/>
              </w:rPr>
              <w:t>24,276</w:t>
            </w:r>
          </w:p>
        </w:tc>
        <w:tc>
          <w:tcPr>
            <w:tcW w:type="dxa" w:w="1440"/>
            <w:shd w:fill="C6EFCE" w:val="clear"/>
          </w:tcPr>
          <w:p>
            <w:r>
              <w:rPr>
                <w:sz w:val="17"/>
              </w:rPr>
              <w:t>26,044</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22,652</w:t>
            </w:r>
          </w:p>
        </w:tc>
        <w:tc>
          <w:tcPr>
            <w:tcW w:type="dxa" w:w="1440"/>
            <w:shd w:fill="C6EFCE" w:val="clear"/>
          </w:tcPr>
          <w:p>
            <w:r>
              <w:rPr>
                <w:b/>
                <w:sz w:val="17"/>
              </w:rPr>
              <w:t>24,661</w:t>
            </w:r>
          </w:p>
        </w:tc>
        <w:tc>
          <w:tcPr>
            <w:tcW w:type="dxa" w:w="1440"/>
            <w:shd w:fill="C6EFCE" w:val="clear"/>
          </w:tcPr>
          <w:p>
            <w:r>
              <w:rPr>
                <w:sz w:val="17"/>
              </w:rPr>
              <w:t>26,669</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22,810</w:t>
            </w:r>
          </w:p>
        </w:tc>
        <w:tc>
          <w:tcPr>
            <w:tcW w:type="dxa" w:w="1440"/>
            <w:shd w:fill="C6EFCE" w:val="clear"/>
          </w:tcPr>
          <w:p>
            <w:r>
              <w:rPr>
                <w:b/>
                <w:sz w:val="17"/>
              </w:rPr>
              <w:t>25,045</w:t>
            </w:r>
          </w:p>
        </w:tc>
        <w:tc>
          <w:tcPr>
            <w:tcW w:type="dxa" w:w="1440"/>
            <w:shd w:fill="C6EFCE" w:val="clear"/>
          </w:tcPr>
          <w:p>
            <w:r>
              <w:rPr>
                <w:sz w:val="17"/>
              </w:rPr>
              <w:t>27,279</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22,977</w:t>
            </w:r>
          </w:p>
        </w:tc>
        <w:tc>
          <w:tcPr>
            <w:tcW w:type="dxa" w:w="1440"/>
            <w:shd w:fill="C6EFCE" w:val="clear"/>
          </w:tcPr>
          <w:p>
            <w:r>
              <w:rPr>
                <w:b/>
                <w:sz w:val="17"/>
              </w:rPr>
              <w:t>25,428</w:t>
            </w:r>
          </w:p>
        </w:tc>
        <w:tc>
          <w:tcPr>
            <w:tcW w:type="dxa" w:w="1440"/>
            <w:shd w:fill="C6EFCE" w:val="clear"/>
          </w:tcPr>
          <w:p>
            <w:r>
              <w:rPr>
                <w:sz w:val="17"/>
              </w:rPr>
              <w:t>27,879</w:t>
            </w:r>
          </w:p>
        </w:tc>
        <w:tc>
          <w:tcPr>
            <w:tcW w:type="dxa" w:w="1440"/>
            <w:shd w:fill="C6EFCE" w:val="clear"/>
          </w:tcPr>
          <w:p>
            <w:r>
              <w:rPr>
                <w:b/>
                <w:color w:val="008000"/>
                <w:sz w:val="17"/>
              </w:rPr>
              <w:t>+13.0%</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23,153</w:t>
            </w:r>
          </w:p>
        </w:tc>
        <w:tc>
          <w:tcPr>
            <w:tcW w:type="dxa" w:w="1440"/>
            <w:shd w:fill="C6EFCE" w:val="clear"/>
          </w:tcPr>
          <w:p>
            <w:r>
              <w:rPr>
                <w:b/>
                <w:sz w:val="17"/>
              </w:rPr>
              <w:t>25,812</w:t>
            </w:r>
          </w:p>
        </w:tc>
        <w:tc>
          <w:tcPr>
            <w:tcW w:type="dxa" w:w="1440"/>
            <w:shd w:fill="C6EFCE" w:val="clear"/>
          </w:tcPr>
          <w:p>
            <w:r>
              <w:rPr>
                <w:sz w:val="17"/>
              </w:rPr>
              <w:t>28,472</w:t>
            </w:r>
          </w:p>
        </w:tc>
        <w:tc>
          <w:tcPr>
            <w:tcW w:type="dxa" w:w="1440"/>
            <w:shd w:fill="C6EFCE" w:val="clear"/>
          </w:tcPr>
          <w:p>
            <w:r>
              <w:rPr>
                <w:b/>
                <w:color w:val="008000"/>
                <w:sz w:val="17"/>
              </w:rPr>
              <w:t>+14.7%</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23,333</w:t>
            </w:r>
          </w:p>
        </w:tc>
        <w:tc>
          <w:tcPr>
            <w:tcW w:type="dxa" w:w="1440"/>
            <w:shd w:fill="C6EFCE" w:val="clear"/>
          </w:tcPr>
          <w:p>
            <w:r>
              <w:rPr>
                <w:b/>
                <w:sz w:val="17"/>
              </w:rPr>
              <w:t>26,196</w:t>
            </w:r>
          </w:p>
        </w:tc>
        <w:tc>
          <w:tcPr>
            <w:tcW w:type="dxa" w:w="1440"/>
            <w:shd w:fill="C6EFCE" w:val="clear"/>
          </w:tcPr>
          <w:p>
            <w:r>
              <w:rPr>
                <w:sz w:val="17"/>
              </w:rPr>
              <w:t>29,059</w:t>
            </w:r>
          </w:p>
        </w:tc>
        <w:tc>
          <w:tcPr>
            <w:tcW w:type="dxa" w:w="1440"/>
            <w:shd w:fill="C6EFCE" w:val="clear"/>
          </w:tcPr>
          <w:p>
            <w:r>
              <w:rPr>
                <w:b/>
                <w:color w:val="008000"/>
                <w:sz w:val="17"/>
              </w:rPr>
              <w:t>+16.4%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23,518</w:t>
            </w:r>
          </w:p>
        </w:tc>
        <w:tc>
          <w:tcPr>
            <w:tcW w:type="dxa" w:w="1440"/>
            <w:shd w:fill="C6EFCE" w:val="clear"/>
          </w:tcPr>
          <w:p>
            <w:r>
              <w:rPr>
                <w:b/>
                <w:sz w:val="17"/>
              </w:rPr>
              <w:t>26,580</w:t>
            </w:r>
          </w:p>
        </w:tc>
        <w:tc>
          <w:tcPr>
            <w:tcW w:type="dxa" w:w="1440"/>
            <w:shd w:fill="C6EFCE" w:val="clear"/>
          </w:tcPr>
          <w:p>
            <w:r>
              <w:rPr>
                <w:sz w:val="17"/>
              </w:rPr>
              <w:t>29,642</w:t>
            </w:r>
          </w:p>
        </w:tc>
        <w:tc>
          <w:tcPr>
            <w:tcW w:type="dxa" w:w="1440"/>
            <w:shd w:fill="C6EFCE" w:val="clear"/>
          </w:tcPr>
          <w:p>
            <w:r>
              <w:rPr>
                <w:b/>
                <w:color w:val="008000"/>
                <w:sz w:val="17"/>
              </w:rPr>
              <w:t>+18.1%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 31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556,53 milliards FCFA, ce qui positionne le titre parmi les valeurs les plus lourdes et les plus liquides de la BRVM, reflétant son statut de leader bancaire régional. Avec un BPA de 1 646 FCFA, le titre se négocie à un PER de 13,7x, légèrement supérieur à la moyenne historique du marché (8-12x), ce qui témoigne d'une prime de croissance accordée par le marché aux solides fondamentaux de la banque. Le P/B de 2,39x confirme cette prime, le marché valorisant la société à plus du double de sa valeur comptable, signe d'une confiance dans la création de valeur future. Enfin, l'EV/EBITDA de 21,2x, bien que supérieur au seuil exigeant de 15x, s'explique par la forte intensité capitalistique du secteur bancaire et la solidité des flux opérationnels générés.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performance spectaculaire de +58,95%, passant d'un plus bas de 13 810 FCFA à un plus haut de 24 020 FCFA, avant de clôturer à 22 500 FCFA. La variation à J-1 est nulle, marquant une pause après une forte ascension. La moyenne du cours sur la période (18 956 FCFA) est inférieure à la médiane (19 250 FCFA), indiquant une distribution légèrement asymétrique avec une concentration des valeurs vers le bas de la fourchette. L'écart-type de 3 606 FCFA (CV de 19%) révèle une dispersion modérée des prix autour de la moyenne. Le kurtosis négatif (-1,398) signale une distribution aplatie, avec moins de pics extrêmes que la normale, tandis que le skewness légèrement négatif (-0,212) suggère une queue de distribution orientée vers les valeurs basses. La volatilité annualisée de 37,7% classe le titre dans la catégorie des valeurs à forte volatilité, ce qui implique un risque élevé mais aussi un potentiel de gains substantiels.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(22 500 FCFA) se positionne sous la MM20 (23 218,25 FCFA) mais au-dessus de la MM50 (21 980,5 FCFA). Cette configuration indique une tendance haussière de moyen terme, avec un récent repli à court terme. La décision d'achat générée par cet indicateur est justifiée par la dynamique positive de la MM50, qui agit comme un support solide.</w:t>
      </w:r>
    </w:p>
    <w:p>
      <w:pPr>
        <w:spacing w:after="120" w:line="276" w:lineRule="auto"/>
      </w:pPr>
      <w:r>
        <w:t>**Bandes de Bollinger** : Le prix évolue dans la partie inférieure du canal, proche de la borne inférieure (22 294,55 FCFA), après avoir touché la borne supérieure (24 141,95 FCFA). Cette position suggère une correction après une phase de surachat, avec une volatilité qui se normalise. La décision neutre est cohérente avec une phase de consolidation en cours.</w:t>
      </w:r>
    </w:p>
    <w:p>
      <w:pPr>
        <w:spacing w:after="120" w:line="276" w:lineRule="auto"/>
      </w:pPr>
      <w:r>
        <w:t>**MACD** : La valeur du MACD (112,12) est inférieure à sa ligne de signal (315,95), indiquant un momentum baissier à court terme. Cette configuration de vente suggère que la pression vendeuse domine actuellement, bien que le niveau positif du MACD indique que la tendance de fond reste haussière.</w:t>
      </w:r>
    </w:p>
    <w:p>
      <w:pPr>
        <w:spacing w:after="120" w:line="276" w:lineRule="auto"/>
      </w:pPr>
      <w:r>
        <w:t>**RSI** : À 18,56, le RSI est en zone de survente sévère (&lt;30), signalant une correction excessive et un potentiel de rebond technique. La décision d'achat est justifiée par cette situation de survente, qui a historiquement précédé des phases de reprise.</w:t>
      </w:r>
    </w:p>
    <w:p>
      <w:pPr>
        <w:spacing w:after="120" w:line="276" w:lineRule="auto"/>
      </w:pPr>
      <w:r>
        <w:t>**Stochastique** : Le %K et le %D sont tous deux à 0,00, confirmant une condition de survente extrême. Cette configuration, bien que reflétant une faiblesse immédiate, suggère un fort potentiel de retournement haussier. La décision d'achat est donc techniquement justifiée.</w:t>
      </w:r>
    </w:p>
    <w:p>
      <w:pPr>
        <w:spacing w:after="120" w:line="276" w:lineRule="auto"/>
      </w:pPr>
      <w:r>
        <w:t>**Conclusion technique** : Les indicateurs sont mitigés, avec une divergence entre les signaux de survente (RSI, Stochastique) qui suggèrent un rebond imminent, et le MACD qui indique une faiblesse à court terme. La tendance de fond reste haussière, soutenue par les moyennes mobiles. Le scénario le plus probable est une stabilisation suivie d'une reprise, à condition que le support des 22 294 FCFA (borne inférieure de Bollinger) tienne.</w:t>
      </w:r>
    </w:p>
    <w:p>
      <w:pPr>
        <w:spacing w:after="120" w:line="276" w:lineRule="auto"/>
      </w:pPr>
      <w:r>
        <w:t>---</w:t>
      </w:r>
    </w:p>
    <w:p>
      <w:pPr>
        <w:spacing w:after="120" w:line="276" w:lineRule="auto"/>
      </w:pPr>
      <w:r>
        <w:t>### PARTIE 3 : ANALYSE FONDAMENTALE (SECTION CRITIQUE)</w:t>
      </w:r>
    </w:p>
    <w:p>
      <w:pPr>
        <w:spacing w:after="120" w:line="276" w:lineRule="auto"/>
      </w:pPr>
      <w:r>
        <w:t>En 2025, NSBC a affiché des performances financières robustes, avec un Produit Net Bancaire (PNB) de 112,928 milliards FCFA, en hausse de 15% par rapport à 2024, et un résultat net de 40,712 milliards FCFA, en progression de 7%. La rentabilité des fonds propres (ROE) s'établit à un excellent niveau de 17,45%, tandis que le ROA atteint 1,32%, démontrant une utilisation efficace des actifs. Le coefficient d'exploitation de 54,59% confirme une gestion rigoureuse des charges, bien en deçà du seuil d'efficacité de 60%. Cependant, le coût du risque s'est dégradé à 7,54% des charges financières, traduisant une hausse des provisions pour créances douteuses (8,5 milliards FCFA), un point de vigilance majeur. Les dépôts clientèle (2 242,218 milliards FCFA) couvrent largement les créances clientèle (1 818,671 milliards FCFA), assurant une liquidité confortable. Sur la base du rapport T1 2026 (PNB de 28,615 milliards FCFA, +28% et résultat net de 10,912 milliards FCFA, +53%), on estime que l'exercice 2026 pourrait voir le PNB dépasser 130 milliards FCFA et le résultat net atteindre 50 milliards FCFA, confirmant une dynamique de croissance accélérée. La solidité financière, la croissance soutenue et les perspectives favorables du PND 2026-2030 de la Côte d'Ivoire plaident pour une recommandation positive, malgré le risque de crédit croissant.</w:t>
      </w:r>
    </w:p>
    <w:p>
      <w:pPr>
        <w:spacing w:after="120" w:line="276" w:lineRule="auto"/>
      </w:pPr>
      <w:r>
        <w:t>---</w:t>
      </w:r>
    </w:p>
    <w:p>
      <w:pPr>
        <w:spacing w:after="120" w:line="276" w:lineRule="auto"/>
      </w:pPr>
      <w:r>
        <w:t>### PARTIE 4 : CONCLUSION D'INVESTISSEMENT</w:t>
      </w:r>
    </w:p>
    <w:p>
      <w:pPr>
        <w:spacing w:after="120" w:line="276" w:lineRule="auto"/>
      </w:pPr>
      <w:r>
        <w:t>La valorisation de NSBC (PER 13,7x, P/B 2,39x, EV/EBITDA 21,2x) reflète une prime de croissance justifiée par des fondamentaux solides, bien que le titre ne soit pas bon marché. Le comportement du cours sur 100 jours (+58,95%) avec une volatilité élevée (37,7%) et une distribution statistique stable (kurtosis plat, skewness symétrique) indique une tendance haussière robuste mais sujette à des corrections. Les signaux techniques sont mitigés, avec une survente extrême (RSI 18,56, Stochastique 0) suggérant un rebond imminent, tandis que le MACD et la position sous la MM20 indiquent une consolidation à court terme. Les fondamentaux sont excellents, avec une croissance du PNB et du résultat net, une rentabilité élevée (ROE 17,45%) et une gestion efficace (coefficient d'exploitation 54,59%), bien que le coût du risque doive être surveillé. Les prédictions IA (23 070 à 24 661 FCFA sur 10 jours) confirment une trajectoire haussière, en convergence avec les signaux de survente et les fondamentaux solides. **Recommandation finale : ACHAT**, avec un niveau de confiance Élevé, un risque global Moyen (volatilité et coût du risque), et un horizon d'investissement optimal à moyen terme (3-12 mois) pour capitaliser sur la croissance attendue en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350.92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1,497 titres</w:t>
            </w:r>
          </w:p>
        </w:tc>
        <w:tc>
          <w:tcPr>
            <w:tcW w:type="dxa" w:w="2268"/>
            <w:shd w:fill="FFF2CC" w:val="clear"/>
          </w:tcPr>
          <w:p>
            <w:r>
              <w:rPr>
                <w:b/>
                <w:color w:val="503200"/>
                <w:sz w:val="16"/>
              </w:rPr>
              <w:t xml:space="preserve">Cours actuel : </w:t>
            </w:r>
            <w:r>
              <w:rPr>
                <w:color w:val="000000"/>
                <w:sz w:val="17"/>
              </w:rPr>
              <w:t>15,900 FCFA</w:t>
            </w:r>
          </w:p>
          <w:p>
            <w:r>
              <w:rPr>
                <w:b/>
                <w:color w:val="503200"/>
                <w:sz w:val="16"/>
              </w:rPr>
              <w:t xml:space="preserve">Var. 100 jours : </w:t>
            </w:r>
            <w:r>
              <w:rPr>
                <w:b/>
                <w:color w:val="007800"/>
                <w:sz w:val="17"/>
              </w:rPr>
              <w:t>+27.71%</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14.03% (Moyenne) — μ=14,466 FCFA, σ=2,030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β=0.0787 (Défensif) — Cov=0.000003, Var(idx)=0.000036, ρ=0.021,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16,152</w:t>
            </w:r>
          </w:p>
        </w:tc>
        <w:tc>
          <w:tcPr>
            <w:tcW w:type="dxa" w:w="1440"/>
            <w:shd w:fill="C6EFCE" w:val="clear"/>
          </w:tcPr>
          <w:p>
            <w:r>
              <w:rPr>
                <w:b/>
                <w:sz w:val="17"/>
              </w:rPr>
              <w:t>16,554</w:t>
            </w:r>
          </w:p>
        </w:tc>
        <w:tc>
          <w:tcPr>
            <w:tcW w:type="dxa" w:w="1440"/>
            <w:shd w:fill="C6EFCE" w:val="clear"/>
          </w:tcPr>
          <w:p>
            <w:r>
              <w:rPr>
                <w:sz w:val="17"/>
              </w:rPr>
              <w:t>16,956</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15,883</w:t>
            </w:r>
          </w:p>
        </w:tc>
        <w:tc>
          <w:tcPr>
            <w:tcW w:type="dxa" w:w="1440"/>
            <w:shd w:fill="C6EFCE" w:val="clear"/>
          </w:tcPr>
          <w:p>
            <w:r>
              <w:rPr>
                <w:b/>
                <w:sz w:val="17"/>
              </w:rPr>
              <w:t>16,448</w:t>
            </w:r>
          </w:p>
        </w:tc>
        <w:tc>
          <w:tcPr>
            <w:tcW w:type="dxa" w:w="1440"/>
            <w:shd w:fill="C6EFCE" w:val="clear"/>
          </w:tcPr>
          <w:p>
            <w:r>
              <w:rPr>
                <w:sz w:val="17"/>
              </w:rPr>
              <w:t>17,012</w:t>
            </w:r>
          </w:p>
        </w:tc>
        <w:tc>
          <w:tcPr>
            <w:tcW w:type="dxa" w:w="1440"/>
            <w:shd w:fill="C6EFCE" w:val="clear"/>
          </w:tcPr>
          <w:p>
            <w:r>
              <w:rPr>
                <w:b/>
                <w:color w:val="008000"/>
                <w:sz w:val="17"/>
              </w:rPr>
              <w:t>+3.4%</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15,697</w:t>
            </w:r>
          </w:p>
        </w:tc>
        <w:tc>
          <w:tcPr>
            <w:tcW w:type="dxa" w:w="1440"/>
            <w:shd w:fill="C6EFCE" w:val="clear"/>
          </w:tcPr>
          <w:p>
            <w:r>
              <w:rPr>
                <w:b/>
                <w:sz w:val="17"/>
              </w:rPr>
              <w:t>16,386</w:t>
            </w:r>
          </w:p>
        </w:tc>
        <w:tc>
          <w:tcPr>
            <w:tcW w:type="dxa" w:w="1440"/>
            <w:shd w:fill="C6EFCE" w:val="clear"/>
          </w:tcPr>
          <w:p>
            <w:r>
              <w:rPr>
                <w:sz w:val="17"/>
              </w:rPr>
              <w:t>17,075</w:t>
            </w:r>
          </w:p>
        </w:tc>
        <w:tc>
          <w:tcPr>
            <w:tcW w:type="dxa" w:w="1440"/>
            <w:shd w:fill="C6EFCE" w:val="clear"/>
          </w:tcPr>
          <w:p>
            <w:r>
              <w:rPr>
                <w:b/>
                <w:color w:val="008000"/>
                <w:sz w:val="17"/>
              </w:rPr>
              <w:t>+3.1%</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15,546</w:t>
            </w:r>
          </w:p>
        </w:tc>
        <w:tc>
          <w:tcPr>
            <w:tcW w:type="dxa" w:w="1440"/>
            <w:shd w:fill="C6EFCE" w:val="clear"/>
          </w:tcPr>
          <w:p>
            <w:r>
              <w:rPr>
                <w:b/>
                <w:sz w:val="17"/>
              </w:rPr>
              <w:t>16,339</w:t>
            </w:r>
          </w:p>
        </w:tc>
        <w:tc>
          <w:tcPr>
            <w:tcW w:type="dxa" w:w="1440"/>
            <w:shd w:fill="C6EFCE" w:val="clear"/>
          </w:tcPr>
          <w:p>
            <w:r>
              <w:rPr>
                <w:sz w:val="17"/>
              </w:rPr>
              <w:t>17,132</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15,410</w:t>
            </w:r>
          </w:p>
        </w:tc>
        <w:tc>
          <w:tcPr>
            <w:tcW w:type="dxa" w:w="1440"/>
            <w:shd w:fill="C6EFCE" w:val="clear"/>
          </w:tcPr>
          <w:p>
            <w:r>
              <w:rPr>
                <w:b/>
                <w:sz w:val="17"/>
              </w:rPr>
              <w:t>16,295</w:t>
            </w:r>
          </w:p>
        </w:tc>
        <w:tc>
          <w:tcPr>
            <w:tcW w:type="dxa" w:w="1440"/>
            <w:shd w:fill="C6EFCE" w:val="clear"/>
          </w:tcPr>
          <w:p>
            <w:r>
              <w:rPr>
                <w:sz w:val="17"/>
              </w:rPr>
              <w:t>17,179</w:t>
            </w:r>
          </w:p>
        </w:tc>
        <w:tc>
          <w:tcPr>
            <w:tcW w:type="dxa" w:w="1440"/>
            <w:shd w:fill="C6EFCE" w:val="clear"/>
          </w:tcPr>
          <w:p>
            <w:r>
              <w:rPr>
                <w:b/>
                <w:color w:val="008000"/>
                <w:sz w:val="17"/>
              </w:rPr>
              <w:t>+2.5%</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15,285</w:t>
            </w:r>
          </w:p>
        </w:tc>
        <w:tc>
          <w:tcPr>
            <w:tcW w:type="dxa" w:w="1440"/>
            <w:shd w:fill="C6EFCE" w:val="clear"/>
          </w:tcPr>
          <w:p>
            <w:r>
              <w:rPr>
                <w:b/>
                <w:sz w:val="17"/>
              </w:rPr>
              <w:t>16,251</w:t>
            </w:r>
          </w:p>
        </w:tc>
        <w:tc>
          <w:tcPr>
            <w:tcW w:type="dxa" w:w="1440"/>
            <w:shd w:fill="C6EFCE" w:val="clear"/>
          </w:tcPr>
          <w:p>
            <w:r>
              <w:rPr>
                <w:sz w:val="17"/>
              </w:rPr>
              <w:t>17,217</w:t>
            </w:r>
          </w:p>
        </w:tc>
        <w:tc>
          <w:tcPr>
            <w:tcW w:type="dxa" w:w="1440"/>
            <w:shd w:fill="C6EFCE" w:val="clear"/>
          </w:tcPr>
          <w:p>
            <w:r>
              <w:rPr>
                <w:b/>
                <w:color w:val="008000"/>
                <w:sz w:val="17"/>
              </w:rPr>
              <w:t>+2.2%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15,167</w:t>
            </w:r>
          </w:p>
        </w:tc>
        <w:tc>
          <w:tcPr>
            <w:tcW w:type="dxa" w:w="1440"/>
            <w:shd w:fill="FAFAFA" w:val="clear"/>
          </w:tcPr>
          <w:p>
            <w:r>
              <w:rPr>
                <w:b/>
                <w:sz w:val="17"/>
              </w:rPr>
              <w:t>16,207</w:t>
            </w:r>
          </w:p>
        </w:tc>
        <w:tc>
          <w:tcPr>
            <w:tcW w:type="dxa" w:w="1440"/>
            <w:shd w:fill="FAFAFA" w:val="clear"/>
          </w:tcPr>
          <w:p>
            <w:r>
              <w:rPr>
                <w:sz w:val="17"/>
              </w:rPr>
              <w:t>17,248</w:t>
            </w:r>
          </w:p>
        </w:tc>
        <w:tc>
          <w:tcPr>
            <w:tcW w:type="dxa" w:w="1440"/>
            <w:shd w:fill="FAFAFA" w:val="clear"/>
          </w:tcPr>
          <w:p>
            <w:r>
              <w:rPr>
                <w:b/>
                <w:color w:val="008000"/>
                <w:sz w:val="17"/>
              </w:rPr>
              <w:t>+1.9%</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15,055</w:t>
            </w:r>
          </w:p>
        </w:tc>
        <w:tc>
          <w:tcPr>
            <w:tcW w:type="dxa" w:w="1440"/>
            <w:shd w:fill="FAFAFA" w:val="clear"/>
          </w:tcPr>
          <w:p>
            <w:r>
              <w:rPr>
                <w:b/>
                <w:sz w:val="17"/>
              </w:rPr>
              <w:t>16,164</w:t>
            </w:r>
          </w:p>
        </w:tc>
        <w:tc>
          <w:tcPr>
            <w:tcW w:type="dxa" w:w="1440"/>
            <w:shd w:fill="FAFAFA" w:val="clear"/>
          </w:tcPr>
          <w:p>
            <w:r>
              <w:rPr>
                <w:sz w:val="17"/>
              </w:rPr>
              <w:t>17,274</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14,948</w:t>
            </w:r>
          </w:p>
        </w:tc>
        <w:tc>
          <w:tcPr>
            <w:tcW w:type="dxa" w:w="1440"/>
            <w:shd w:fill="FAFAFA" w:val="clear"/>
          </w:tcPr>
          <w:p>
            <w:r>
              <w:rPr>
                <w:b/>
                <w:sz w:val="17"/>
              </w:rPr>
              <w:t>16,122</w:t>
            </w:r>
          </w:p>
        </w:tc>
        <w:tc>
          <w:tcPr>
            <w:tcW w:type="dxa" w:w="1440"/>
            <w:shd w:fill="FAFAFA" w:val="clear"/>
          </w:tcPr>
          <w:p>
            <w:r>
              <w:rPr>
                <w:sz w:val="17"/>
              </w:rPr>
              <w:t>17,295</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14,846</w:t>
            </w:r>
          </w:p>
        </w:tc>
        <w:tc>
          <w:tcPr>
            <w:tcW w:type="dxa" w:w="1440"/>
            <w:shd w:fill="FAFAFA" w:val="clear"/>
          </w:tcPr>
          <w:p>
            <w:r>
              <w:rPr>
                <w:b/>
                <w:sz w:val="17"/>
              </w:rPr>
              <w:t>16,079</w:t>
            </w:r>
          </w:p>
        </w:tc>
        <w:tc>
          <w:tcPr>
            <w:tcW w:type="dxa" w:w="1440"/>
            <w:shd w:fill="FAFAFA" w:val="clear"/>
          </w:tcPr>
          <w:p>
            <w:r>
              <w:rPr>
                <w:sz w:val="17"/>
              </w:rPr>
              <w:t>17,313</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NTLC s'établit à 350,92 milliards FCFA, un niveau qui la positionne parmi les valeurs moyennes à grandes capitalisations de la BRVM, lui conférant une liquidité et une visibilité appréciables. Le BPA de 835 FCFA indique que chaque action génère un bénéfice annuel de ce montant. Le PER de 19,0x est nettement supérieur à la moyenne historique de la BRVM (8-12x), ce qui signifie que les investisseurs paient une prime substantielle pour la croissance et la solidité de la marque Nestlé. Le P/B de 11,86x confirme cette valorisation exigeante, le marché valorisant le titre près de douze fois sa valeur comptable, traduisant une forte prime sur les actifs. Enfin, l'EV/EBITDA de 9,5x reste dans une zone raisonnable, indiquant que la valeur totale de l'entreprise (capitalisation + dette nette)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NTLC a enregistré une progression totale de +27,71%, passant d'un plus bas de 11 150 FCFA à un plus haut de 17 450 FCFA, avant de clôturer à 15 900 FCFA. La dernière séance montre un repli marqué de -5,92%, suggérant une prise de bénéfices après une période de forte hausse. La moyenne du cours sur la période (14 466 FCFA) est inférieure à la médiane (15 000 FCFA), indiquant une distribution légèrement asymétrique avec des valeurs extrêmes basses en début de période. L'écart-type de 2 040 FCFA (CV=14,1%) révèle une dispersion modérée des prix autour de la moyenne. Le kurtosis négatif (-1,620) signale une distribution aplatie, avec peu de variations extrêmes, tandis que le skewness proche de zéro (-0,104) confirme une symétrie relative de la distribution. La volatilité annualisée de 35,0% classe NTLC comme un titre à forte volatilité, offrant un potentiel de rendement élevé mais avec un risque de fluctuation important.</w:t>
      </w:r>
    </w:p>
    <w:p>
      <w:pPr>
        <w:spacing w:after="120" w:line="276" w:lineRule="auto" w:before="240"/>
      </w:pPr>
      <w:r>
        <w:rPr>
          <w:b/>
          <w:color w:val="003366"/>
          <w:sz w:val="24"/>
        </w:rPr>
        <w:t>**PARTIE 2 : ANALYSE TECHNIQUE DÉTAILLÉE**</w:t>
      </w:r>
    </w:p>
    <w:p>
      <w:pPr>
        <w:spacing w:after="120" w:line="276" w:lineRule="auto"/>
      </w:pPr>
      <w:r>
        <w:t>**Moyennes Mobiles** : La MM20 (16 890,75 FCFA) et la MM50 (16 288,6 FCFA) se situent toutes deux au-dessus du cours actuel de 15 900 FCFA, indiquant une pression vendeuse à court terme. Cependant, le signal global reste un "Achat", car la tendance de fond sur la période reste haussière, les moyennes mobiles étant orientées à la hausse. La position du cours sous les deux moyennes suggère un potentiel de rebond technique si le support des 16 000 FCFA tient.</w:t>
      </w:r>
    </w:p>
    <w:p>
      <w:pPr>
        <w:spacing w:after="120" w:line="276" w:lineRule="auto"/>
      </w:pPr>
      <w:r>
        <w:t>**Bandes de Bollinger** : Le cours actuel (15 900 FCFA) se situe sous la borne inférieure des bandes (16 087,655 FCFA), ce qui est un signal classique de survente à court terme. La largeur des bandes (écart de 1 606 FCFA entre les bornes) reflète une volatilité élevée. La décision "Achat" est justifiée par le fait que le cours a touché la borne inférieure, ce qui précède souvent un rebond technique.</w:t>
      </w:r>
    </w:p>
    <w:p>
      <w:pPr>
        <w:spacing w:after="120" w:line="276" w:lineRule="auto"/>
      </w:pPr>
      <w:r>
        <w:t>**MACD** : Le MACD (132,683) est inférieur à son signal (280,702), indiquant une dynamique baissière à court terme. Cette configuration, bien que négative, intervient après une forte tendance haussière et pourrait représenter une phase de consolidation. La décision "Vente" reflète ce momentum négatif, mais l'écart entre les deux lignes suggère une possible convergence prochaine.</w:t>
      </w:r>
    </w:p>
    <w:p>
      <w:pPr>
        <w:spacing w:after="120" w:line="276" w:lineRule="auto"/>
      </w:pPr>
      <w:r>
        <w:t>**RSI** : Le RSI à 35,551 se situe en zone neutre, proche de la zone de survente (30). Cela indique que le titre n'est ni suracheté ni survendu, mais que la pression vendeuse s'atténue. La décision "Neutre" est cohérente avec cette lecture, laissant place à une possible stabilisation.</w:t>
      </w:r>
    </w:p>
    <w:p>
      <w:pPr>
        <w:spacing w:after="120" w:line="276" w:lineRule="auto"/>
      </w:pPr>
      <w:r>
        <w:t>**Stochastique** : Le %K à 0,0 est extrêmement bas, signalant une condition de survente sévère, tandis que le %D à 23,782 commence à se redresser. Ce croisement potentiel du %K au-dessus du %D pourrait déclencher un signal d'achat à court terme. La décision "Achat" est donc justifiée par ce potentiel de retournement.</w:t>
      </w:r>
    </w:p>
    <w:p>
      <w:pPr>
        <w:spacing w:after="120" w:line="276" w:lineRule="auto"/>
      </w:pPr>
      <w:r>
        <w:t>**Conclusion technique** : Les indicateurs sont mitigés mais penchent vers un rebond technique. Le cours sous les bandes de Bollinger et le stochastique en survente suggèrent un potentiel de hausse à court terme, malgré un MACD négatif. La convergence des signaux de survente (Bollinger, Stochastique) avec un RSI neutre-bas indique que le titre pourrait se stabiliser puis rebondir dans les prochaines séances.</w:t>
      </w:r>
    </w:p>
    <w:p>
      <w:pPr>
        <w:spacing w:after="120" w:line="276" w:lineRule="auto" w:before="240"/>
      </w:pPr>
      <w:r>
        <w:rPr>
          <w:b/>
          <w:color w:val="003366"/>
          <w:sz w:val="24"/>
        </w:rPr>
        <w:t>**PARTIE 3 : ANALYSE FONDAMENTALE (SECTION CRITIQUE)**</w:t>
      </w:r>
    </w:p>
    <w:p>
      <w:pPr>
        <w:spacing w:after="120" w:line="276" w:lineRule="auto"/>
      </w:pPr>
      <w:r>
        <w:t>En 2025, Nestlé Côte d'Ivoire affiche un chiffre d'affaires de 233,26 milliards FCFA, en hausse de 5,97% par rapport à 2024 (220,11 milliards), et un résultat net de 18,43 milliards FCFA, en légère progression de 1,53%. Le ROE est exceptionnel à 62,28%, démontrant une rentabilité des fonds propres remarquable, tandis que le ROA de 9,70% reflète une bonne efficacité de l'utilisation des actifs. La marge nette de 7,90% reste stable, malgré une hausse des charges financières de 25,8% à 7,96 milliards FCFA. Le BFR de 22,63 milliards FCFA (positif) et les délais clients de 74 jours indiquent un besoin de financement du cycle d'exploitation, mais la solvabilité générale de 118,45% reste saine. Les rapports trimestriels montrent une année 2025 contrastée : le T1 2025 enregistre une baisse du CA de 11% mais une hausse du résultat net de 19%, le S1 2025 voit une stagnation du CA et une baisse de 23,5% du résultat net, et le T3 2025 confirme une baisse de 21,3% du résultat net cumulé. Cependant, le rapport T1 2026 (publié en mai 2026) révèle une accélération spectaculaire avec un CA de 70,82 milliards FCFA (+31%) et un résultat net de 7,53 milliards FCFA (+37%), suggérant une nette amélioration de la dynamique commerciale et de la rentabilité. La politique de dividende a été réduite de moitié en 2025 (9,27 milliards FCFA contre 18,10 milliards en 2024), privilégiant le réinvestissement. Sur la base de ces données, on estime que l'exercice 2026 devrait dépasser les performances de 2025, avec un CA potentiel de 280-290 milliards FCFA et un résultat net de 25-28 milliards FCFA, si la dynamique du T1 se maintient.</w:t>
      </w:r>
    </w:p>
    <w:p>
      <w:pPr>
        <w:spacing w:after="120" w:line="276" w:lineRule="auto" w:before="240"/>
      </w:pPr>
      <w:r>
        <w:rPr>
          <w:b/>
          <w:color w:val="003366"/>
          <w:sz w:val="24"/>
        </w:rPr>
        <w:t>**PARTIE 4 : CONCLUSION D'INVESTISSEMENT**</w:t>
      </w:r>
    </w:p>
    <w:p>
      <w:pPr>
        <w:spacing w:after="120" w:line="276" w:lineRule="auto"/>
      </w:pPr>
      <w:r>
        <w:t>La valorisation de NTLC est exigeante avec un PER de 19,0x et un P/B de 11,86x, nettement supérieurs aux moyennes de la BRVM, mais justifiés par un ROE exceptionnel de 62,28% et une croissance retrouvée. Le comportement du cours sur 100 jours montre une tendance haussière de +27,71%, avec une volatilité élevée (35%) et une récente correction de -5,92% qui pourrait offrir un point d'entrée intéressant. Les signaux techniques sont mitigés mais penchent vers un rebond à court terme, avec des conditions de survente (Bollinger, Stochastique) et un MACD négatif à surveiller. Les fondamentaux sont solides, avec une croissance du CA de 5,97% en 2025 et une accélération spectaculaire au T1 2026 (+31% CA, +37% résultat net), soutenue par une marque forte et une exécution commerciale efficace. Les prédictions IA pour les 10 prochains jours (16 554 à 16 295 FCFA) suggèrent une stabilisation puis une légère hausse, confirmant le potentiel de rebond technique. La convergence entre les fondamentaux solides, la correction technique et les prédictions IA positives justifie une recommandation **ACHAT** avec un niveau de confiance **Moyen** et un risque global **Moyen**. L'horizon d'investissement optimal est le **moyen terme (3-12 mois)**, permettant de capter la croissance attendue de 2026 tout en gérant la volatilité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4,890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μ=2,822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β=0.3282 (Défensif) — Cov=0.000012, Var(idx)=0.000036, ρ=0.101,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2,800</w:t>
            </w:r>
          </w:p>
        </w:tc>
        <w:tc>
          <w:tcPr>
            <w:tcW w:type="dxa" w:w="1440"/>
            <w:shd w:fill="FAFAFA" w:val="clear"/>
          </w:tcPr>
          <w:p>
            <w:r>
              <w:rPr>
                <w:b/>
                <w:sz w:val="17"/>
              </w:rPr>
              <w:t>2,888</w:t>
            </w:r>
          </w:p>
        </w:tc>
        <w:tc>
          <w:tcPr>
            <w:tcW w:type="dxa" w:w="1440"/>
            <w:shd w:fill="FAFAFA" w:val="clear"/>
          </w:tcPr>
          <w:p>
            <w:r>
              <w:rPr>
                <w:sz w:val="17"/>
              </w:rPr>
              <w:t>2,977</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2,759</w:t>
            </w:r>
          </w:p>
        </w:tc>
        <w:tc>
          <w:tcPr>
            <w:tcW w:type="dxa" w:w="1440"/>
            <w:shd w:fill="FAFAFA" w:val="clear"/>
          </w:tcPr>
          <w:p>
            <w:r>
              <w:rPr>
                <w:b/>
                <w:sz w:val="17"/>
              </w:rPr>
              <w:t>2,884</w:t>
            </w:r>
          </w:p>
        </w:tc>
        <w:tc>
          <w:tcPr>
            <w:tcW w:type="dxa" w:w="1440"/>
            <w:shd w:fill="FAFAFA" w:val="clear"/>
          </w:tcPr>
          <w:p>
            <w:r>
              <w:rPr>
                <w:sz w:val="17"/>
              </w:rPr>
              <w:t>3,008</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2,725</w:t>
            </w:r>
          </w:p>
        </w:tc>
        <w:tc>
          <w:tcPr>
            <w:tcW w:type="dxa" w:w="1440"/>
            <w:shd w:fill="FAFAFA" w:val="clear"/>
          </w:tcPr>
          <w:p>
            <w:r>
              <w:rPr>
                <w:b/>
                <w:sz w:val="17"/>
              </w:rPr>
              <w:t>2,878</w:t>
            </w:r>
          </w:p>
        </w:tc>
        <w:tc>
          <w:tcPr>
            <w:tcW w:type="dxa" w:w="1440"/>
            <w:shd w:fill="FAFAFA" w:val="clear"/>
          </w:tcPr>
          <w:p>
            <w:r>
              <w:rPr>
                <w:sz w:val="17"/>
              </w:rPr>
              <w:t>3,030</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2,696</w:t>
            </w:r>
          </w:p>
        </w:tc>
        <w:tc>
          <w:tcPr>
            <w:tcW w:type="dxa" w:w="1440"/>
            <w:shd w:fill="FAFAFA" w:val="clear"/>
          </w:tcPr>
          <w:p>
            <w:r>
              <w:rPr>
                <w:b/>
                <w:sz w:val="17"/>
              </w:rPr>
              <w:t>2,872</w:t>
            </w:r>
          </w:p>
        </w:tc>
        <w:tc>
          <w:tcPr>
            <w:tcW w:type="dxa" w:w="1440"/>
            <w:shd w:fill="FAFAFA" w:val="clear"/>
          </w:tcPr>
          <w:p>
            <w:r>
              <w:rPr>
                <w:sz w:val="17"/>
              </w:rPr>
              <w:t>3,048</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2,670</w:t>
            </w:r>
          </w:p>
        </w:tc>
        <w:tc>
          <w:tcPr>
            <w:tcW w:type="dxa" w:w="1440"/>
            <w:shd w:fill="FAFAFA" w:val="clear"/>
          </w:tcPr>
          <w:p>
            <w:r>
              <w:rPr>
                <w:b/>
                <w:sz w:val="17"/>
              </w:rPr>
              <w:t>2,866</w:t>
            </w:r>
          </w:p>
        </w:tc>
        <w:tc>
          <w:tcPr>
            <w:tcW w:type="dxa" w:w="1440"/>
            <w:shd w:fill="FAFAFA" w:val="clear"/>
          </w:tcPr>
          <w:p>
            <w:r>
              <w:rPr>
                <w:sz w:val="17"/>
              </w:rPr>
              <w:t>3,063</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2,646</w:t>
            </w:r>
          </w:p>
        </w:tc>
        <w:tc>
          <w:tcPr>
            <w:tcW w:type="dxa" w:w="1440"/>
            <w:shd w:fill="FAFAFA" w:val="clear"/>
          </w:tcPr>
          <w:p>
            <w:r>
              <w:rPr>
                <w:b/>
                <w:sz w:val="17"/>
              </w:rPr>
              <w:t>2,860</w:t>
            </w:r>
          </w:p>
        </w:tc>
        <w:tc>
          <w:tcPr>
            <w:tcW w:type="dxa" w:w="1440"/>
            <w:shd w:fill="FAFAFA" w:val="clear"/>
          </w:tcPr>
          <w:p>
            <w:r>
              <w:rPr>
                <w:sz w:val="17"/>
              </w:rPr>
              <w:t>3,075</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2,624</w:t>
            </w:r>
          </w:p>
        </w:tc>
        <w:tc>
          <w:tcPr>
            <w:tcW w:type="dxa" w:w="1440"/>
            <w:shd w:fill="FAFAFA" w:val="clear"/>
          </w:tcPr>
          <w:p>
            <w:r>
              <w:rPr>
                <w:b/>
                <w:sz w:val="17"/>
              </w:rPr>
              <w:t>2,855</w:t>
            </w:r>
          </w:p>
        </w:tc>
        <w:tc>
          <w:tcPr>
            <w:tcW w:type="dxa" w:w="1440"/>
            <w:shd w:fill="FAFAFA" w:val="clear"/>
          </w:tcPr>
          <w:p>
            <w:r>
              <w:rPr>
                <w:sz w:val="17"/>
              </w:rPr>
              <w:t>3,086</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2,602</w:t>
            </w:r>
          </w:p>
        </w:tc>
        <w:tc>
          <w:tcPr>
            <w:tcW w:type="dxa" w:w="1440"/>
            <w:shd w:fill="FAFAFA" w:val="clear"/>
          </w:tcPr>
          <w:p>
            <w:r>
              <w:rPr>
                <w:b/>
                <w:sz w:val="17"/>
              </w:rPr>
              <w:t>2,849</w:t>
            </w:r>
          </w:p>
        </w:tc>
        <w:tc>
          <w:tcPr>
            <w:tcW w:type="dxa" w:w="1440"/>
            <w:shd w:fill="FAFAFA" w:val="clear"/>
          </w:tcPr>
          <w:p>
            <w:r>
              <w:rPr>
                <w:sz w:val="17"/>
              </w:rPr>
              <w:t>3,096</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2,582</w:t>
            </w:r>
          </w:p>
        </w:tc>
        <w:tc>
          <w:tcPr>
            <w:tcW w:type="dxa" w:w="1440"/>
            <w:shd w:fill="FAFAFA" w:val="clear"/>
          </w:tcPr>
          <w:p>
            <w:r>
              <w:rPr>
                <w:b/>
                <w:sz w:val="17"/>
              </w:rPr>
              <w:t>2,844</w:t>
            </w:r>
          </w:p>
        </w:tc>
        <w:tc>
          <w:tcPr>
            <w:tcW w:type="dxa" w:w="1440"/>
            <w:shd w:fill="FAFAFA" w:val="clear"/>
          </w:tcPr>
          <w:p>
            <w:r>
              <w:rPr>
                <w:sz w:val="17"/>
              </w:rPr>
              <w:t>3,105</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2,563</w:t>
            </w:r>
          </w:p>
        </w:tc>
        <w:tc>
          <w:tcPr>
            <w:tcW w:type="dxa" w:w="1440"/>
            <w:shd w:fill="FFDCE0" w:val="clear"/>
          </w:tcPr>
          <w:p>
            <w:r>
              <w:rPr>
                <w:b/>
                <w:sz w:val="17"/>
              </w:rPr>
              <w:t>2,838</w:t>
            </w:r>
          </w:p>
        </w:tc>
        <w:tc>
          <w:tcPr>
            <w:tcW w:type="dxa" w:w="1440"/>
            <w:shd w:fill="FFDCE0" w:val="clear"/>
          </w:tcPr>
          <w:p>
            <w:r>
              <w:rPr>
                <w:sz w:val="17"/>
              </w:rPr>
              <w:t>3,113</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197,20 milliards FCFA, un niveau significatif qui en fait l'une des valeurs moyennes les plus notables de la BRVM, reflétant le statut d'opérateur historique du pays. Avec un BPA de 234 FCFA, chaque action génère un bénéfice substantiel, justifiant un PER de 12,4x. Ce ratio, bien que supérieur à la moyenne historique de la place (~8-12x), reste modéré et indique que les investisseurs paient un prix raisonnable pour les bénéfices actuels, sans prime excessive. Le P/B de 3,43x, situé dans la fourchette de 2 à 4x, témoigne d'une prime de croissance accordée par le marché, qui valorise les actifs nets de l'entreprise au-delà de leur valeur comptable. Enfin, un EV/EBITDA de 5,2x est particulièrement attractif, signalant que la valeur totale de l'entreprise (dette incluse) reste faible par rapport à sa capacité opérationnelle de génération de cash (EBITDA), ce qui suggère une valorisation globalement raisonnable.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l'ONTBF a affiché une stabilité remarquable avec une variation totale de +0,00% et une variation nulle sur la dernière séance, indiquant une phase de consolidation. Le titre a évolué dans un range de trading de 460 FCFA, entre un plus bas de 2 610 FCFA et un plus haut de 3 070 FCFA, montrant des phases de test des deux bornes. La moyenne (2 822 FCFA) et la médiane (2 802 FCFA) sont très proches, avec un mode à 2 800 FCFA, ce qui confirme une distribution symétrique des prix et l'absence de tendance directionnelle forte. L'écart-type de 86 FCFA, associé à un coefficient de variation de seulement 3,0%, démontre une dispersion très faible et un cours extrêmement stable. Le kurtosis négatif (-0.189) indique une distribution mésokurtique, sans risque de mouvements extrêmes, tandis que le skewness positif (0.211) suggère une légère asymétrie vers les rendements positifs. La volatilité annualisée de 30,8% classe le titre dans la catégorie des valeurs à volatilité élevée, mais cette statistique contraste avec la stabilité observée à court terme, probablement due à des épisodes passés de variations plus amples.</w:t>
      </w:r>
    </w:p>
    <w:p>
      <w:pPr>
        <w:spacing w:after="120" w:line="276" w:lineRule="auto"/>
      </w:pPr>
      <w:r>
        <w:t>---</w:t>
      </w:r>
    </w:p>
    <w:p>
      <w:pPr>
        <w:spacing w:after="120" w:line="276" w:lineRule="auto"/>
      </w:pPr>
      <w:r>
        <w:t>### PARTIE 2 : ANALYSE TECHNIQUE DÉTAILLÉE</w:t>
      </w:r>
    </w:p>
    <w:p>
      <w:pPr>
        <w:spacing w:after="120" w:line="276" w:lineRule="auto"/>
      </w:pPr>
      <w:r>
        <w:t>**Moyennes Mobiles** : La MM20 (2 905,75 FCFA) est positionnée au-dessus de la MM50 (2 826,8 FCFA), et le cours actuel (2 900 FCFA) se situe sous la MM20 mais au-dessus de la MM50. Cette configuration indique une dynamique positive à moyen terme, avec un signal d'achat généré par le croisement haussier des moyennes, bien que le prix doive reconquérir la MM20 pour confirmer la tendance.</w:t>
      </w:r>
    </w:p>
    <w:p>
      <w:pPr>
        <w:spacing w:after="120" w:line="276" w:lineRule="auto"/>
      </w:pPr>
      <w:r>
        <w:t>**Bandes de Bollinger** : Le cours (2 900 FCFA) évolue confortablement à l'intérieur des bandes, entre la borne inférieure (2 793,16 FCFA) et la borne supérieure (3 018,34 FCFA). La largeur des bandes suggère une volatilité modérée, et la position centrale du prix indique un équilibre entre acheteurs et vendeurs, justifiant une décision neutre.</w:t>
      </w:r>
    </w:p>
    <w:p>
      <w:pPr>
        <w:spacing w:after="120" w:line="276" w:lineRule="auto"/>
      </w:pPr>
      <w:r>
        <w:t>**MACD** : La valeur du MACD (18,704) est inférieure à son signal (22,262), ce qui génère un signal de vente. Cette configuration, bien que négative, montre un momentum baissier qui s'essouffle, car les deux lignes restent proches l'une de l'autre, suggérant une possible convergence à venir.</w:t>
      </w:r>
    </w:p>
    <w:p>
      <w:pPr>
        <w:spacing w:after="120" w:line="276" w:lineRule="auto"/>
      </w:pPr>
      <w:r>
        <w:t>**RSI** : Avec une valeur de 44,595, le RSI se situe dans la zone neutre (30-70), indiquant que le titre n'est ni suracheté ni survendu. Cette lecture neutre laisse présager une poursuite de la consolidation sans pression directionnelle forte.</w:t>
      </w:r>
    </w:p>
    <w:p>
      <w:pPr>
        <w:spacing w:after="120" w:line="276" w:lineRule="auto"/>
      </w:pPr>
      <w:r>
        <w:t>**Stochastique** : Le %K (68,966) est supérieur au %D (61,292), mais les deux restent sous le seuil des 70. Cette configuration montre une dynamique haussière modérée qui n'est pas encore confirmée, d'où une décision neutre.</w:t>
      </w:r>
    </w:p>
    <w:p>
      <w:pPr>
        <w:spacing w:after="120" w:line="276" w:lineRule="auto"/>
      </w:pPr>
      <w:r>
        <w:t>**Conclusion technique** : La convergence des indicateurs est mitigée. Les moyennes mobiles suggèrent une tendance haussière à moyen terme, tandis que le MACD émet un signal de vente à court terme. Les oscillateurs (RSI et Stochastique) sont neutres, indiquant une absence de momentum clair. Le titre semble donc dans une phase de consolidation, avec un biais légèrement positif à moyen terme, mais sans signal d'achat ou de vente fort à court terme.</w:t>
      </w:r>
    </w:p>
    <w:p>
      <w:pPr>
        <w:spacing w:after="120" w:line="276" w:lineRule="auto"/>
      </w:pPr>
      <w:r>
        <w:t>---</w:t>
      </w:r>
    </w:p>
    <w:p>
      <w:pPr>
        <w:spacing w:after="120" w:line="276" w:lineRule="auto"/>
      </w:pPr>
      <w:r>
        <w:t>### PARTIE 3 : ANALYSE FONDAMENTALE (SECTION CRITIQUE)</w:t>
      </w:r>
    </w:p>
    <w:p>
      <w:pPr>
        <w:spacing w:after="120" w:line="276" w:lineRule="auto"/>
      </w:pPr>
      <w:r>
        <w:t>En 2025, l'ONTBF a réalisé un chiffre d'affaires de 146,177 milliards FCFA, en croissance de 3,06% par rapport à 2024, mais a vu son résultat net chuter de 26% à 15,887 milliards FCFA, contre 21,47 milliards en 2024. Cette baisse de rentabilité s'explique par une hausse des charges opérationnelles (énergie, maintenance en zones sécuritaires, charges exceptionnelles). La marge nette s'établit à 10,87%, et le ROE reste excellent à 27,61%, bien que le ROA soit plus modeste à 4,89%. Le coefficient d'exploitation de 67,07% est élevé, indiquant une pression sur l'efficacité opérationnelle. La structure financière montre une dépendance aux dettes (82,29% du bilan), avec un ratio d'endettement de 187%, mais une solvabilité générale de 121,52% reste positive. Les rapports trimestriels 2025 (T1, S1, 9M) confirment une tendance à la dégradation de la rentabilité, avec une marge EBITDA passant de 47% en 2024 à 39,3% sur 9 mois. Sur la base du rapport T1 2026 (CA +2,7% à 37,1 Mds FCFA, résultat net de 3,577 Mds), on estime que l'exercice 2026 pourrait voir une stabilisation du chiffre d'affaires autour de 150 Mds FCFA, mais une pression continue sur les marges. La solidité financière reste néanmoins assurée par une CAF de 46,95 milliards FCFA et un free cash flow positif de 1,556 milliard, malgré un programme d'investissement massif de 45,22 milliards FCFA.</w:t>
      </w:r>
    </w:p>
    <w:p>
      <w:pPr>
        <w:spacing w:after="120" w:line="276" w:lineRule="auto"/>
      </w:pPr>
      <w:r>
        <w:t>---</w:t>
      </w:r>
    </w:p>
    <w:p>
      <w:pPr>
        <w:spacing w:after="120" w:line="276" w:lineRule="auto"/>
      </w:pPr>
      <w:r>
        <w:t>### PARTIE 4 : CONCLUSION D'INVESTISSEMENT</w:t>
      </w:r>
    </w:p>
    <w:p>
      <w:pPr>
        <w:spacing w:after="120" w:line="276" w:lineRule="auto"/>
      </w:pPr>
      <w:r>
        <w:t>La valorisation de l'ONTBF (PER 12,4x, P/B 3,43x, EV/EBITDA 5,2x) est globalement raisonnable, sans sous-évaluation ni surévaluation marquée, offrant un bon équilibre risque/rendement. Le comportement du cours, avec une stabilité remarquable (CV de 3%) et une distribution symétrique, est rassurant, mais la volatilité annualisée élevée (30,8%) rappelle un risque latent. Les signaux techniques sont mitigés, avec un biais haussier à moyen terme (MM) contrebalancé par un momentum baissier à court terme (MACD), le tout dans une phase de consolidation. Les fondamentaux, bien que solides (ROE de 27,6%, CAF élevée), montrent une dégradation de la rentabilité en 2025, avec une tendance qui pourrait se stabiliser en 2026 selon les estimations trimestrielles. Les prédictions IA (J+1 à J+10) indiquent une légère baisse progressive vers 2 866 FCFA, contredisant les signaux techniques à moyen terme mais confirmant la faiblesse à court terme. En synthèse, la convergence entre une valorisation juste, des fondamentaux solides mais en repli, et des signaux techniques neutres à mitigés, nous conduit à une recommandation **CONSERVER**. Le niveau de confiance est **Moyen**, le risque global est **Élevé** (contexte sécuritaire, pression sur les marges), et l'horizon d'investissement optimal est le **moyen terme (3-12 mois)**, en attendant des signes tangibles d'amélioration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3224.02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2,429 titres</w:t>
            </w:r>
          </w:p>
        </w:tc>
        <w:tc>
          <w:tcPr>
            <w:tcW w:type="dxa" w:w="2268"/>
            <w:shd w:fill="FFF2CC" w:val="clear"/>
          </w:tcPr>
          <w:p>
            <w:r>
              <w:rPr>
                <w:b/>
                <w:color w:val="503200"/>
                <w:sz w:val="16"/>
              </w:rPr>
              <w:t xml:space="preserve">Cours actuel : </w:t>
            </w:r>
            <w:r>
              <w:rPr>
                <w:color w:val="000000"/>
                <w:sz w:val="17"/>
              </w:rPr>
              <w:t>21,400 FCFA</w:t>
            </w:r>
          </w:p>
          <w:p>
            <w:r>
              <w:rPr>
                <w:b/>
                <w:color w:val="503200"/>
                <w:sz w:val="16"/>
              </w:rPr>
              <w:t xml:space="preserve">Var. 100 jours : </w:t>
            </w:r>
            <w:r>
              <w:rPr>
                <w:b/>
                <w:color w:val="007800"/>
                <w:sz w:val="17"/>
              </w:rPr>
              <w:t>+40.79%</w:t>
            </w:r>
          </w:p>
          <w:p>
            <w:r>
              <w:rPr>
                <w:b/>
                <w:color w:val="503200"/>
                <w:sz w:val="16"/>
              </w:rPr>
              <w:t xml:space="preserve">Plus haut 100j : </w:t>
            </w:r>
            <w:r>
              <w:rPr>
                <w:color w:val="000000"/>
                <w:sz w:val="17"/>
              </w:rPr>
              <w:t>21,400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9.17% (Moyenne) — μ=16,324 FCFA, σ=1,498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β=1.2187 (Agressif) — Cov=0.000044, Var(idx)=0.000036, ρ=0.402,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20,178</w:t>
            </w:r>
          </w:p>
        </w:tc>
        <w:tc>
          <w:tcPr>
            <w:tcW w:type="dxa" w:w="1440"/>
            <w:shd w:fill="FFDCE0" w:val="clear"/>
          </w:tcPr>
          <w:p>
            <w:r>
              <w:rPr>
                <w:b/>
                <w:sz w:val="17"/>
              </w:rPr>
              <w:t>20,697</w:t>
            </w:r>
          </w:p>
        </w:tc>
        <w:tc>
          <w:tcPr>
            <w:tcW w:type="dxa" w:w="1440"/>
            <w:shd w:fill="FFDCE0" w:val="clear"/>
          </w:tcPr>
          <w:p>
            <w:r>
              <w:rPr>
                <w:sz w:val="17"/>
              </w:rPr>
              <w:t>21,215</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19,875</w:t>
            </w:r>
          </w:p>
        </w:tc>
        <w:tc>
          <w:tcPr>
            <w:tcW w:type="dxa" w:w="1440"/>
            <w:shd w:fill="FFDCE0" w:val="clear"/>
          </w:tcPr>
          <w:p>
            <w:r>
              <w:rPr>
                <w:b/>
                <w:sz w:val="17"/>
              </w:rPr>
              <w:t>20,606</w:t>
            </w:r>
          </w:p>
        </w:tc>
        <w:tc>
          <w:tcPr>
            <w:tcW w:type="dxa" w:w="1440"/>
            <w:shd w:fill="FFDCE0" w:val="clear"/>
          </w:tcPr>
          <w:p>
            <w:r>
              <w:rPr>
                <w:sz w:val="17"/>
              </w:rPr>
              <w:t>21,337</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19,581</w:t>
            </w:r>
          </w:p>
        </w:tc>
        <w:tc>
          <w:tcPr>
            <w:tcW w:type="dxa" w:w="1440"/>
            <w:shd w:fill="FFDCE0" w:val="clear"/>
          </w:tcPr>
          <w:p>
            <w:r>
              <w:rPr>
                <w:b/>
                <w:sz w:val="17"/>
              </w:rPr>
              <w:t>20,470</w:t>
            </w:r>
          </w:p>
        </w:tc>
        <w:tc>
          <w:tcPr>
            <w:tcW w:type="dxa" w:w="1440"/>
            <w:shd w:fill="FFDCE0" w:val="clear"/>
          </w:tcPr>
          <w:p>
            <w:r>
              <w:rPr>
                <w:sz w:val="17"/>
              </w:rPr>
              <w:t>21,359</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19,312</w:t>
            </w:r>
          </w:p>
        </w:tc>
        <w:tc>
          <w:tcPr>
            <w:tcW w:type="dxa" w:w="1440"/>
            <w:shd w:fill="FFDCE0" w:val="clear"/>
          </w:tcPr>
          <w:p>
            <w:r>
              <w:rPr>
                <w:b/>
                <w:sz w:val="17"/>
              </w:rPr>
              <w:t>20,331</w:t>
            </w:r>
          </w:p>
        </w:tc>
        <w:tc>
          <w:tcPr>
            <w:tcW w:type="dxa" w:w="1440"/>
            <w:shd w:fill="FFDCE0" w:val="clear"/>
          </w:tcPr>
          <w:p>
            <w:r>
              <w:rPr>
                <w:sz w:val="17"/>
              </w:rPr>
              <w:t>21,351</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19,065</w:t>
            </w:r>
          </w:p>
        </w:tc>
        <w:tc>
          <w:tcPr>
            <w:tcW w:type="dxa" w:w="1440"/>
            <w:shd w:fill="FFDCE0" w:val="clear"/>
          </w:tcPr>
          <w:p>
            <w:r>
              <w:rPr>
                <w:b/>
                <w:sz w:val="17"/>
              </w:rPr>
              <w:t>20,198</w:t>
            </w:r>
          </w:p>
        </w:tc>
        <w:tc>
          <w:tcPr>
            <w:tcW w:type="dxa" w:w="1440"/>
            <w:shd w:fill="FFDCE0" w:val="clear"/>
          </w:tcPr>
          <w:p>
            <w:r>
              <w:rPr>
                <w:sz w:val="17"/>
              </w:rPr>
              <w:t>21,330</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18,837</w:t>
            </w:r>
          </w:p>
        </w:tc>
        <w:tc>
          <w:tcPr>
            <w:tcW w:type="dxa" w:w="1440"/>
            <w:shd w:fill="FFDCE0" w:val="clear"/>
          </w:tcPr>
          <w:p>
            <w:r>
              <w:rPr>
                <w:b/>
                <w:sz w:val="17"/>
              </w:rPr>
              <w:t>20,069</w:t>
            </w:r>
          </w:p>
        </w:tc>
        <w:tc>
          <w:tcPr>
            <w:tcW w:type="dxa" w:w="1440"/>
            <w:shd w:fill="FFDCE0" w:val="clear"/>
          </w:tcPr>
          <w:p>
            <w:r>
              <w:rPr>
                <w:sz w:val="17"/>
              </w:rPr>
              <w:t>21,302</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18,622</w:t>
            </w:r>
          </w:p>
        </w:tc>
        <w:tc>
          <w:tcPr>
            <w:tcW w:type="dxa" w:w="1440"/>
            <w:shd w:fill="FFDCE0" w:val="clear"/>
          </w:tcPr>
          <w:p>
            <w:r>
              <w:rPr>
                <w:b/>
                <w:sz w:val="17"/>
              </w:rPr>
              <w:t>19,945</w:t>
            </w:r>
          </w:p>
        </w:tc>
        <w:tc>
          <w:tcPr>
            <w:tcW w:type="dxa" w:w="1440"/>
            <w:shd w:fill="FFDCE0" w:val="clear"/>
          </w:tcPr>
          <w:p>
            <w:r>
              <w:rPr>
                <w:sz w:val="17"/>
              </w:rPr>
              <w:t>21,269</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18,420</w:t>
            </w:r>
          </w:p>
        </w:tc>
        <w:tc>
          <w:tcPr>
            <w:tcW w:type="dxa" w:w="1440"/>
            <w:shd w:fill="FFDCE0" w:val="clear"/>
          </w:tcPr>
          <w:p>
            <w:r>
              <w:rPr>
                <w:b/>
                <w:sz w:val="17"/>
              </w:rPr>
              <w:t>19,826</w:t>
            </w:r>
          </w:p>
        </w:tc>
        <w:tc>
          <w:tcPr>
            <w:tcW w:type="dxa" w:w="1440"/>
            <w:shd w:fill="FFDCE0" w:val="clear"/>
          </w:tcPr>
          <w:p>
            <w:r>
              <w:rPr>
                <w:sz w:val="17"/>
              </w:rPr>
              <w:t>21,232</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18,229</w:t>
            </w:r>
          </w:p>
        </w:tc>
        <w:tc>
          <w:tcPr>
            <w:tcW w:type="dxa" w:w="1440"/>
            <w:shd w:fill="FFDCE0" w:val="clear"/>
          </w:tcPr>
          <w:p>
            <w:r>
              <w:rPr>
                <w:b/>
                <w:sz w:val="17"/>
              </w:rPr>
              <w:t>19,711</w:t>
            </w:r>
          </w:p>
        </w:tc>
        <w:tc>
          <w:tcPr>
            <w:tcW w:type="dxa" w:w="1440"/>
            <w:shd w:fill="FFDCE0" w:val="clear"/>
          </w:tcPr>
          <w:p>
            <w:r>
              <w:rPr>
                <w:sz w:val="17"/>
              </w:rPr>
              <w:t>21,194</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18,046</w:t>
            </w:r>
          </w:p>
        </w:tc>
        <w:tc>
          <w:tcPr>
            <w:tcW w:type="dxa" w:w="1440"/>
            <w:shd w:fill="FFDCE0" w:val="clear"/>
          </w:tcPr>
          <w:p>
            <w:r>
              <w:rPr>
                <w:b/>
                <w:sz w:val="17"/>
              </w:rPr>
              <w:t>19,600</w:t>
            </w:r>
          </w:p>
        </w:tc>
        <w:tc>
          <w:tcPr>
            <w:tcW w:type="dxa" w:w="1440"/>
            <w:shd w:fill="FFDCE0" w:val="clear"/>
          </w:tcPr>
          <w:p>
            <w:r>
              <w:rPr>
                <w:sz w:val="17"/>
              </w:rPr>
              <w:t>21,154</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Absolument. Voici un rapport d'analyse structuré et professionnel sur l'action ORAC (Orange Côte d'Ivoire),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3 224 milliards FCFA, ORAC est une valeur de première importance sur la BRVM, représentant une part significative de la capitalisation totale du marché. Le BPA de 1 114 FCFA indique que chaque action a généré un bénéfice substantiel sur l'exercice. Le PER de 19,2x est nettement supérieur à la moyenne historique de la BRVM (8-12x), ce qui signifie que les investisseurs paient une prime conséquente pour chaque franc de bénéfice, anticipant une croissance future soutenue. Cette prime est confirmée par le P/B de 4,55x, qui valorise fortement les actifs nets de l'entreprise. Enfin, l'EV/EBITDA de 7,7x, dans une fourchette raisonnable (5-10x), suggère que la valeur totale de l'entreprise (capitalisation + dette nette) reste justifiée par sa capacité opérationnelle à générer des flux de trésorerie.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connu une performance exceptionnelle avec une hausse de +40,79%, clôturant à 21 400 FCFA, et une progression de +0,94% lors de la dernière séance. Le titre a évolué dans une fourchette de 14 650 FCFA (plus bas) à 21 400 FCFA (plus haut), démontrant une tendance fortement haussière. Les statistiques descriptives révèlent une distribution asymétrique : la moyenne (16 324 FCFA) est supérieure à la médiane (16 000 FCFA), et le skewness positif (1.833) indique que la majorité des séances se sont situées sous la moyenne, avec des pics de hausse récents. L'écart-type de 1 505 FCFA (CV=9.2%) montre une dispersion modérée, mais le kurtosis élevé (3.366) signale un risque de mouvements extrêmes. La volatilité annualisée de 28,8% classe le titre dans la catégorie "modérée à élevée", reflétant une dynamique de prix soutenue mais non explosive.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(21 400 FCFA) est nettement au-dessus de la MM20 (18 614 FCFA) et de la MM50 (17 289 FCFA), confirmant une tendance haussière robuste à court et moyen terme. La décision "Achat" est justifiée par cette configuration positive, le prix évoluant dans une dynamique de hausse soutenue.</w:t>
      </w:r>
    </w:p>
    <w:p>
      <w:pPr>
        <w:spacing w:after="120" w:line="276" w:lineRule="auto"/>
      </w:pPr>
      <w:r>
        <w:t>**Bandes de Bollinger:** Le cours se situe près de la borne supérieure (22 114 FCFA), indiquant une pression acheteuse forte et une volatilité accrue. La décision "Neutre" s'explique par le fait que le prix, bien qu'en zone de surachat potentiel, n'a pas encore franchi la borne, laissant place à une possible poursuite du mouvement ou à un retour vers la moyenne.</w:t>
      </w:r>
    </w:p>
    <w:p>
      <w:pPr>
        <w:spacing w:after="120" w:line="276" w:lineRule="auto"/>
      </w:pPr>
      <w:r>
        <w:t>**MACD:** La valeur du MACD (1 227) est nettement supérieure à sa ligne de signal (912), avec un écart positif croissant. Cela confirme un momentum haussier puissant. La décision "Achat" est cohérente avec cette dynamique, indiquant que la tendance de fond reste positive.</w:t>
      </w:r>
    </w:p>
    <w:p>
      <w:pPr>
        <w:spacing w:after="120" w:line="276" w:lineRule="auto"/>
      </w:pPr>
      <w:r>
        <w:t>**RSI:** Avec une valeur de 89,2, le RSI est en zone de surachat extrême (bien au-dessus de 70). Cela signale que le titre est survendu d'un point de vue technique et qu'un repli ou une consolidation est probable à court terme. La décision "Vente" est un signal de prudence face à cette suraccumulation.</w:t>
      </w:r>
    </w:p>
    <w:p>
      <w:pPr>
        <w:spacing w:after="120" w:line="276" w:lineRule="auto"/>
      </w:pPr>
      <w:r>
        <w:t>**Stochastique:** Le %K (100) et le %D (96,8) sont tous deux à des niveaux extrêmement élevés, confirmant la surachat. La décision "Vente" est justifiée, car ces niveaux indiquent que le mouvement haussier est arrivé à maturité et qu'un retournement technique est de plus en plus probable.</w:t>
      </w:r>
    </w:p>
    <w:p>
      <w:pPr>
        <w:spacing w:after="120" w:line="276" w:lineRule="auto"/>
      </w:pPr>
      <w:r>
        <w:t>**Conclusion technique:** Les indicateurs de tendance (MM, MACD) sont positifs et confirment une forte dynamique haussière. Cependant, les oscillateurs (RSI, Stochastique) sont en zone de surachat extrême, signalant un risque élevé de correction technique à court terme. La prudence est donc de mise, bien que la tendance de fond reste haussière.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d'ORAC font état d'un chiffre d'affaires de 1 197,1 milliards FCFA, en hausse de +10,4%, et d'un résultat net de 167,8 milliards FCFA, en progression de +6,1%. La rentabilité est excellente avec un ROE de 23,7% et une marge opérationnelle de 24,0%. La structure financière est saine, avec un BFR négatif de -198 milliards FCFA, ce qui est très favorable, et une capacité de remboursement de la dette de moins d'un an (0,99 an). Le délai de paiement des fournisseurs (210 jours) est très favorable et finance le cycle d'exploitation. Les rapports trimestriels de 2025 montrent une décélération de la croissance du résultat net (+0,2% à fin T3), principalement due à une hausse des charges financières. Cependant, le rapport du T1 2026 (publié en mai 2026) révèle une nette amélioration avec un chiffre d'affaires en hausse de +14,8% et un résultat net en progression de +25,2%, suggérant une reprise vigoureuse de la rentabilité. Sur la base de ce T1 2026, on estime que l'exercice 2026 pourrait voir une accélération significative de la croissance des bénéfices, potentiellement supérieure à +10%. Le dividende proposé de 800 FCFA par action pour 2025 offre un rendement attractif, bien qu'en baisse par rapport à l'année précédente.</w:t>
      </w:r>
    </w:p>
    <w:p>
      <w:pPr>
        <w:spacing w:after="120" w:line="276" w:lineRule="auto"/>
      </w:pPr>
      <w:r>
        <w:t>---</w:t>
      </w:r>
    </w:p>
    <w:p>
      <w:pPr>
        <w:spacing w:after="120" w:line="276" w:lineRule="auto"/>
      </w:pPr>
      <w:r>
        <w:t>### PARTIE 4 : CONCLUSION D'INVESTISSEMENT</w:t>
      </w:r>
    </w:p>
    <w:p>
      <w:pPr>
        <w:spacing w:after="120" w:line="276" w:lineRule="auto"/>
      </w:pPr>
      <w:r>
        <w:t>La valorisation d'ORAC est exigeante, avec un PER de 19,2x et un P/B de 4,55x, indiquant que le marché anticipe une forte croissance future. Le comportement du cours est extrêmement haussier (+40,79% en 100 jours), mais les statistiques (kurtosis élevé) et les signaux techniques de surachat (RSI à 89, Stochastique à 100) suggèrent un risque de correction à court terme. Les fondamentaux sont solides, avec une croissance du CA et une rentabilité (ROE &gt; 23%) excellentes, et les derniers rapports trimestriels (T1 2026) confirment une accélération de la performance. Les prédictions IA pour les 10 prochains jours (autour de 20 300-20 700 FCFA) indiquent un léger repli, ce qui contredit la tendance haussière récente et corrobore les signaux de surachat technique. En synthèse, la convergence entre la valorisation élevée, les signaux techniques de surachat et la prédiction IA d'un repli suggère une pause dans la dynamique haussière. Nous recommandons donc une position de **CONSERVER** pour les investisseurs existants, avec un niveau de confiance **Moyen**. Le risque global est **Élevé** à court terme en raison de la suraccumulation technique, mais l'horizon d'investissement optimal reste le **moyen terme (3-12 mois)**, porté par la solidité des fondamentaux et les perspectives de croissance.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219.00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5,478 titres</w:t>
            </w:r>
          </w:p>
        </w:tc>
        <w:tc>
          <w:tcPr>
            <w:tcW w:type="dxa" w:w="2268"/>
            <w:shd w:fill="FFF2CC" w:val="clear"/>
          </w:tcPr>
          <w:p>
            <w:r>
              <w:rPr>
                <w:b/>
                <w:color w:val="503200"/>
                <w:sz w:val="16"/>
              </w:rPr>
              <w:t xml:space="preserve">Cours actuel : </w:t>
            </w:r>
            <w:r>
              <w:rPr>
                <w:color w:val="000000"/>
                <w:sz w:val="17"/>
              </w:rPr>
              <w:t>3,155 FCFA</w:t>
            </w:r>
          </w:p>
          <w:p>
            <w:r>
              <w:rPr>
                <w:b/>
                <w:color w:val="503200"/>
                <w:sz w:val="16"/>
              </w:rPr>
              <w:t xml:space="preserve">Var. 100 jours : </w:t>
            </w:r>
            <w:r>
              <w:rPr>
                <w:b/>
                <w:color w:val="B40000"/>
                <w:sz w:val="17"/>
              </w:rPr>
              <w:t>-13.80%</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10.88% (Moyenne) — μ=2,941 FCFA, σ=320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β=0.3368 (Défensif) — Cov=0.000012, Var(idx)=0.000036, ρ=0.074,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3,062</w:t>
            </w:r>
          </w:p>
        </w:tc>
        <w:tc>
          <w:tcPr>
            <w:tcW w:type="dxa" w:w="1440"/>
            <w:shd w:fill="FAFAFA" w:val="clear"/>
          </w:tcPr>
          <w:p>
            <w:r>
              <w:rPr>
                <w:b/>
                <w:sz w:val="17"/>
              </w:rPr>
              <w:t>3,157</w:t>
            </w:r>
          </w:p>
        </w:tc>
        <w:tc>
          <w:tcPr>
            <w:tcW w:type="dxa" w:w="1440"/>
            <w:shd w:fill="FAFAFA" w:val="clear"/>
          </w:tcPr>
          <w:p>
            <w:r>
              <w:rPr>
                <w:sz w:val="17"/>
              </w:rPr>
              <w:t>3,253</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3,019</w:t>
            </w:r>
          </w:p>
        </w:tc>
        <w:tc>
          <w:tcPr>
            <w:tcW w:type="dxa" w:w="1440"/>
            <w:shd w:fill="FAFAFA" w:val="clear"/>
          </w:tcPr>
          <w:p>
            <w:r>
              <w:rPr>
                <w:b/>
                <w:sz w:val="17"/>
              </w:rPr>
              <w:t>3,153</w:t>
            </w:r>
          </w:p>
        </w:tc>
        <w:tc>
          <w:tcPr>
            <w:tcW w:type="dxa" w:w="1440"/>
            <w:shd w:fill="FAFAFA" w:val="clear"/>
          </w:tcPr>
          <w:p>
            <w:r>
              <w:rPr>
                <w:sz w:val="17"/>
              </w:rPr>
              <w:t>3,287</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2,985</w:t>
            </w:r>
          </w:p>
        </w:tc>
        <w:tc>
          <w:tcPr>
            <w:tcW w:type="dxa" w:w="1440"/>
            <w:shd w:fill="FAFAFA" w:val="clear"/>
          </w:tcPr>
          <w:p>
            <w:r>
              <w:rPr>
                <w:b/>
                <w:sz w:val="17"/>
              </w:rPr>
              <w:t>3,150</w:t>
            </w:r>
          </w:p>
        </w:tc>
        <w:tc>
          <w:tcPr>
            <w:tcW w:type="dxa" w:w="1440"/>
            <w:shd w:fill="FAFAFA" w:val="clear"/>
          </w:tcPr>
          <w:p>
            <w:r>
              <w:rPr>
                <w:sz w:val="17"/>
              </w:rPr>
              <w:t>3,314</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2,957</w:t>
            </w:r>
          </w:p>
        </w:tc>
        <w:tc>
          <w:tcPr>
            <w:tcW w:type="dxa" w:w="1440"/>
            <w:shd w:fill="FAFAFA" w:val="clear"/>
          </w:tcPr>
          <w:p>
            <w:r>
              <w:rPr>
                <w:b/>
                <w:sz w:val="17"/>
              </w:rPr>
              <w:t>3,146</w:t>
            </w:r>
          </w:p>
        </w:tc>
        <w:tc>
          <w:tcPr>
            <w:tcW w:type="dxa" w:w="1440"/>
            <w:shd w:fill="FAFAFA" w:val="clear"/>
          </w:tcPr>
          <w:p>
            <w:r>
              <w:rPr>
                <w:sz w:val="17"/>
              </w:rPr>
              <w:t>3,336</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2,932</w:t>
            </w:r>
          </w:p>
        </w:tc>
        <w:tc>
          <w:tcPr>
            <w:tcW w:type="dxa" w:w="1440"/>
            <w:shd w:fill="FAFAFA" w:val="clear"/>
          </w:tcPr>
          <w:p>
            <w:r>
              <w:rPr>
                <w:b/>
                <w:sz w:val="17"/>
              </w:rPr>
              <w:t>3,144</w:t>
            </w:r>
          </w:p>
        </w:tc>
        <w:tc>
          <w:tcPr>
            <w:tcW w:type="dxa" w:w="1440"/>
            <w:shd w:fill="FAFAFA" w:val="clear"/>
          </w:tcPr>
          <w:p>
            <w:r>
              <w:rPr>
                <w:sz w:val="17"/>
              </w:rPr>
              <w:t>3,355</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2,909</w:t>
            </w:r>
          </w:p>
        </w:tc>
        <w:tc>
          <w:tcPr>
            <w:tcW w:type="dxa" w:w="1440"/>
            <w:shd w:fill="FAFAFA" w:val="clear"/>
          </w:tcPr>
          <w:p>
            <w:r>
              <w:rPr>
                <w:b/>
                <w:sz w:val="17"/>
              </w:rPr>
              <w:t>3,141</w:t>
            </w:r>
          </w:p>
        </w:tc>
        <w:tc>
          <w:tcPr>
            <w:tcW w:type="dxa" w:w="1440"/>
            <w:shd w:fill="FAFAFA" w:val="clear"/>
          </w:tcPr>
          <w:p>
            <w:r>
              <w:rPr>
                <w:sz w:val="17"/>
              </w:rPr>
              <w:t>3,372</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2,888</w:t>
            </w:r>
          </w:p>
        </w:tc>
        <w:tc>
          <w:tcPr>
            <w:tcW w:type="dxa" w:w="1440"/>
            <w:shd w:fill="FAFAFA" w:val="clear"/>
          </w:tcPr>
          <w:p>
            <w:r>
              <w:rPr>
                <w:b/>
                <w:sz w:val="17"/>
              </w:rPr>
              <w:t>3,138</w:t>
            </w:r>
          </w:p>
        </w:tc>
        <w:tc>
          <w:tcPr>
            <w:tcW w:type="dxa" w:w="1440"/>
            <w:shd w:fill="FAFAFA" w:val="clear"/>
          </w:tcPr>
          <w:p>
            <w:r>
              <w:rPr>
                <w:sz w:val="17"/>
              </w:rPr>
              <w:t>3,388</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2,868</w:t>
            </w:r>
          </w:p>
        </w:tc>
        <w:tc>
          <w:tcPr>
            <w:tcW w:type="dxa" w:w="1440"/>
            <w:shd w:fill="FAFAFA" w:val="clear"/>
          </w:tcPr>
          <w:p>
            <w:r>
              <w:rPr>
                <w:b/>
                <w:sz w:val="17"/>
              </w:rPr>
              <w:t>3,135</w:t>
            </w:r>
          </w:p>
        </w:tc>
        <w:tc>
          <w:tcPr>
            <w:tcW w:type="dxa" w:w="1440"/>
            <w:shd w:fill="FAFAFA" w:val="clear"/>
          </w:tcPr>
          <w:p>
            <w:r>
              <w:rPr>
                <w:sz w:val="17"/>
              </w:rPr>
              <w:t>3,402</w:t>
            </w:r>
          </w:p>
        </w:tc>
        <w:tc>
          <w:tcPr>
            <w:tcW w:type="dxa" w:w="1440"/>
            <w:shd w:fill="FAFAFA" w:val="clear"/>
          </w:tcPr>
          <w:p>
            <w:r>
              <w:rPr>
                <w:b/>
                <w:color w:val="C00000"/>
                <w:sz w:val="17"/>
              </w:rPr>
              <w:t>-0.6%</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2,850</w:t>
            </w:r>
          </w:p>
        </w:tc>
        <w:tc>
          <w:tcPr>
            <w:tcW w:type="dxa" w:w="1440"/>
            <w:shd w:fill="FAFAFA" w:val="clear"/>
          </w:tcPr>
          <w:p>
            <w:r>
              <w:rPr>
                <w:b/>
                <w:sz w:val="17"/>
              </w:rPr>
              <w:t>3,132</w:t>
            </w:r>
          </w:p>
        </w:tc>
        <w:tc>
          <w:tcPr>
            <w:tcW w:type="dxa" w:w="1440"/>
            <w:shd w:fill="FAFAFA" w:val="clear"/>
          </w:tcPr>
          <w:p>
            <w:r>
              <w:rPr>
                <w:sz w:val="17"/>
              </w:rPr>
              <w:t>3,415</w:t>
            </w:r>
          </w:p>
        </w:tc>
        <w:tc>
          <w:tcPr>
            <w:tcW w:type="dxa" w:w="1440"/>
            <w:shd w:fill="FAFAFA" w:val="clear"/>
          </w:tcPr>
          <w:p>
            <w:r>
              <w:rPr>
                <w:b/>
                <w:color w:val="C00000"/>
                <w:sz w:val="17"/>
              </w:rPr>
              <w:t>-0.7%</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2,832</w:t>
            </w:r>
          </w:p>
        </w:tc>
        <w:tc>
          <w:tcPr>
            <w:tcW w:type="dxa" w:w="1440"/>
            <w:shd w:fill="FAFAFA" w:val="clear"/>
          </w:tcPr>
          <w:p>
            <w:r>
              <w:rPr>
                <w:b/>
                <w:sz w:val="17"/>
              </w:rPr>
              <w:t>3,130</w:t>
            </w:r>
          </w:p>
        </w:tc>
        <w:tc>
          <w:tcPr>
            <w:tcW w:type="dxa" w:w="1440"/>
            <w:shd w:fill="FAFAFA" w:val="clear"/>
          </w:tcPr>
          <w:p>
            <w:r>
              <w:rPr>
                <w:sz w:val="17"/>
              </w:rPr>
              <w:t>3,428</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Absolument. Voici un rapport d'analyse financière structuré et professionnel pour l'action ORGT (Oragroup)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219 milliards FCFA, ORGT se positionne comme une valeur de taille moyenne sur la BRVM, représentant un acteur significatif du secteur bancaire régional. Le BPA de 312 FCFA indique que chaque action a généré un bénéfice de ce montant sur l'exercice 2025. Le PER de 10,1x est en ligne avec la moyenne historique de la BRVM (8-12x), suggérant une valorisation raisonnable, ni bon marché, ni excessivement chère. Le P/B de 1,94x indique que le marché valorise la société à près de deux fois sa valeur comptable, ce qui est également considéré comme raisonnable pour une banque rentable. En revanche, l'EV/EBITDA de 20,0x est nettement supérieur au seuil de 15x, signalant une valorisation exigeante de la capacité opérationnelle, ce qui introduit une note de prudence.</w:t>
      </w:r>
    </w:p>
    <w:p>
      <w:pPr>
        <w:spacing w:after="120" w:line="276" w:lineRule="auto"/>
      </w:pPr>
      <w:r>
        <w:t>### PARTIE 1 : ANALYSE DU COURS — STATISTIQUES ET ÉVOLUTION (100 derniers jours)</w:t>
      </w:r>
    </w:p>
    <w:p>
      <w:pPr>
        <w:spacing w:after="120" w:line="276" w:lineRule="auto"/>
      </w:pPr>
      <w:r>
        <w:t>Sur les 100 derniers jours, l'action ORGT a enregistré une baisse significative de -13,80%, avec une dernière séance en léger repli de -0,79% à 3 155 FCFA. Le titre a évolué dans une fourchette large de 2 435 à 3 660 FCFA, illustrant une volatilité marquée. La moyenne (2 941 FCFA) étant supérieure à la médiane (2 780 FCFA), la distribution des prix est asymétrique, avec une majorité de séances sous la moyenne, ce qui est confirmé par un skewness positif de 0.660. L'écart-type de 322 FCFA (CV=10,9%) montre une dispersion modérée des prix autour de la moyenne. Le kurtosis de -0.637 (mésokurtique) indique une distribution proche de la normale, sans risque de variations extrêmes. Cependant, la volatilité annualisée de 43,6% est très élevée, classant ORGT comme un actif à haut risque sur le plan technique.</w:t>
      </w:r>
    </w:p>
    <w:p>
      <w:pPr>
        <w:spacing w:after="120" w:line="276" w:lineRule="auto"/>
      </w:pPr>
      <w:r>
        <w:t>### PARTIE 2 : ANALYSE TECHNIQUE DÉTAILLÉE</w:t>
      </w:r>
    </w:p>
    <w:p>
      <w:pPr>
        <w:spacing w:after="120" w:line="276" w:lineRule="auto"/>
      </w:pPr>
      <w:r>
        <w:t>**Moyennes Mobiles**: Le cours actuel (3 155 FCFA) est supérieur à la MM20 (3 117,5 FCFA) et à la MM50 (2 865,1 FCFA). Cette configuration haussière, où le prix est au-dessus de ses moyennes mobiles clés, justifie la décision d'**Achat**. La MM20 au-dessus de la MM50 confirme la dynamique positive à court et moyen terme.</w:t>
      </w:r>
    </w:p>
    <w:p>
      <w:pPr>
        <w:spacing w:after="120" w:line="276" w:lineRule="auto"/>
      </w:pPr>
      <w:r>
        <w:t>**Bandes de Bollinger**: Le prix se situe à 3 155 FCFA, entre la borne inférieure (3 011,1 FCFA) et la borne supérieure (3 223,8 FCFA). La position du cours dans la partie supérieure de la bande suggère une pression acheteuse, mais sans atteindre la zone de surachat. La décision est **Neutre**, indiquant une volatilité normale sans signal directionnel fort.</w:t>
      </w:r>
    </w:p>
    <w:p>
      <w:pPr>
        <w:spacing w:after="120" w:line="276" w:lineRule="auto"/>
      </w:pPr>
      <w:r>
        <w:t>**MACD**: La valeur du MACD (86,5) est inférieure à son signal (90,7), indiquant un momentum baissier à court terme. Cette divergence négative suggère un ralentissement de la dynamique haussière récente. La décision de **Vente** est donc cohérente avec ce croisement baissier.</w:t>
      </w:r>
    </w:p>
    <w:p>
      <w:pPr>
        <w:spacing w:after="120" w:line="276" w:lineRule="auto"/>
      </w:pPr>
      <w:r>
        <w:t>**RSI**: Avec une valeur de 53,75, le RSI se situe en zone neutre (30-70). Cela signifie que le titre n'est ni suracheté ni survendu, indiquant un équilibre entre les forces acheteuses et vendeuses. La décision **Neutre** est appropriée, laissant place à une évolution dans un sens ou dans l'autre.</w:t>
      </w:r>
    </w:p>
    <w:p>
      <w:pPr>
        <w:spacing w:after="120" w:line="276" w:lineRule="auto"/>
      </w:pPr>
      <w:r>
        <w:t>**Stochastique**: Le %K (75,0) est inférieur au %D (88,5), suggérant un croisement baissier potentiel. Bien que les deux valeurs soient élevées, indiquant une possible surachat, le croisement du %K sous le %D est un signal de prudence. La décision **Neutre** reflète cette ambiguïté, avec un risque de retournement.</w:t>
      </w:r>
    </w:p>
    <w:p>
      <w:pPr>
        <w:spacing w:after="120" w:line="276" w:lineRule="auto"/>
      </w:pPr>
      <w:r>
        <w:t>**Conclusion technique**: Les signaux techniques sont mitigés. Les moyennes mobiles sont haussières, mais le MACD et le Stochastique montrent des signes de faiblesse à court terme. Le RSI et les Bandes de Bollinger sont neutres. Cette divergence suggère une phase de consolidation après un mouvement haussier, avec un biais légèrement négatif à très court terme.</w:t>
      </w:r>
    </w:p>
    <w:p>
      <w:pPr>
        <w:spacing w:after="120" w:line="276" w:lineRule="auto"/>
      </w:pPr>
      <w:r>
        <w:t>### PARTIE 3 : ANALYSE FONDAMENTALE (SECTION CRITIQUE)</w:t>
      </w:r>
    </w:p>
    <w:p>
      <w:pPr>
        <w:spacing w:after="120" w:line="276" w:lineRule="auto"/>
      </w:pPr>
      <w:r>
        <w:t>En 2025, selon les états financiers annuels, ORGT a réalisé un Produit Net Bancaire (PNB) de 186,609 milliards FCFA, en baisse de -4,5% par rapport à 2024. Le résultat net a connu un redressement spectaculaire, passant d'une perte de -44,4 milliards en 2024 à un bénéfice de 21,643 milliards FCFA en 2025. Cette performance est portée par une réduction drastique du coût du risque (provisions) de 90% et une maîtrise des charges générales (-12%). Le ROE de 19,1% est excellent, tandis que le ROA de 0,54% reste faible, typique du secteur bancaire. Le coefficient d'exploitation de 42,85% témoigne d'une excellente efficacité opérationnelle. La banque maintient un ratio de solvabilité de 102,9%, et les dépôts clientèle (3 088,7 Mds) couvrent largement les crédits à la clientèle (1 523,8 Mds), indiquant une forte liquidité. Les rapports trimestriels de 2025 confirment cette trajectoire : le T1 et le S1 montrent des bénéfices nets en forte hausse, et le T3 2025 affiche un résultat net de 19,6 milliards. Sur la base de ces tendances, on estime que l'exercice 2026 devrait confirmer cette rentabilité, avec un rapport T1 2026 faisant état d'un résultat net en hausse de 37% à 6,555 milliards FCFA, malgré un PNB toujours en léger repli. La solidité financière est donc réelle, mais la croissance du chiffre d'affaires reste le principal défi.</w:t>
      </w:r>
    </w:p>
    <w:p>
      <w:pPr>
        <w:spacing w:after="120" w:line="276" w:lineRule="auto"/>
      </w:pPr>
      <w:r>
        <w:t>### PARTIE 4 : CONCLUSION D'INVESTISSEMENT</w:t>
      </w:r>
    </w:p>
    <w:p>
      <w:pPr>
        <w:spacing w:after="120" w:line="276" w:lineRule="auto"/>
      </w:pPr>
      <w:r>
        <w:t>La valorisation d'ORGT est globalement raisonnable (PER et P/B modérés), mais l'EV/EBITDA élevé tempère cet optimisme. Le comportement du cours sur 100 jours est baissier (-13,8%) avec une volatilité très élevée (43,6%), ce qui est préoccupant pour un investisseur de long terme. Les signaux techniques sont mitigés, avec des moyennes mobiles haussières mais un momentum à court terme négatif (MACD, Stochastique). Les fondamentaux, en revanche, sont solides : la banque a réalisé un redressement spectaculaire de sa rentabilité en 2025, avec un ROE de 19,1% et une excellente maîtrise des coûts et du risque. Les prédictions IA pour les 10 prochains jours (autour de 3 150 FCFA) suggèrent une stabilisation du cours, ce qui contredit la tendance baissière récente mais est cohérent avec des indicateurs techniques neutres. En synthèse, la solidité fondamentale contraste avec la faiblesse technique et la valorisation exigeante. La recommandation finale est **CONSERVER**. Le niveau de confiance est **Moyen**, car la dynamique commerciale (baisse du PNB) reste un point de vigilance. Le risque global est **Élevé** en raison de la forte volatilité du titre. L'horizon d'investissement optimal est le **moyen terme (3-12 mois)**, le temps de vérifier que la reprise de la croissance du PNB se matérialise.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145.32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3,565 titres</w:t>
            </w:r>
          </w:p>
        </w:tc>
        <w:tc>
          <w:tcPr>
            <w:tcW w:type="dxa" w:w="2268"/>
            <w:shd w:fill="FFF2CC" w:val="clear"/>
          </w:tcPr>
          <w:p>
            <w:r>
              <w:rPr>
                <w:b/>
                <w:color w:val="503200"/>
                <w:sz w:val="16"/>
              </w:rPr>
              <w:t xml:space="preserve">Cours actuel : </w:t>
            </w:r>
            <w:r>
              <w:rPr>
                <w:color w:val="000000"/>
                <w:sz w:val="17"/>
              </w:rPr>
              <w:t>9,400 FCFA</w:t>
            </w:r>
          </w:p>
          <w:p>
            <w:r>
              <w:rPr>
                <w:b/>
                <w:color w:val="503200"/>
                <w:sz w:val="16"/>
              </w:rPr>
              <w:t xml:space="preserve">Var. 100 jours : </w:t>
            </w:r>
            <w:r>
              <w:rPr>
                <w:b/>
                <w:color w:val="007800"/>
                <w:sz w:val="17"/>
              </w:rPr>
              <w:t>+15.34%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6.55% (Moyenne) — μ=8,484 FCFA, σ=556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β=-0.2757 (Contre-cyclique) — Cov=-0.000010, Var(idx)=0.000036, ρ=-0.069,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9,061</w:t>
            </w:r>
          </w:p>
        </w:tc>
        <w:tc>
          <w:tcPr>
            <w:tcW w:type="dxa" w:w="1440"/>
            <w:shd w:fill="FAFAFA" w:val="clear"/>
          </w:tcPr>
          <w:p>
            <w:r>
              <w:rPr>
                <w:b/>
                <w:sz w:val="17"/>
              </w:rPr>
              <w:t>9,336</w:t>
            </w:r>
          </w:p>
        </w:tc>
        <w:tc>
          <w:tcPr>
            <w:tcW w:type="dxa" w:w="1440"/>
            <w:shd w:fill="FAFAFA" w:val="clear"/>
          </w:tcPr>
          <w:p>
            <w:r>
              <w:rPr>
                <w:sz w:val="17"/>
              </w:rPr>
              <w:t>9,610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8,984</w:t>
            </w:r>
          </w:p>
        </w:tc>
        <w:tc>
          <w:tcPr>
            <w:tcW w:type="dxa" w:w="1440"/>
            <w:shd w:fill="FAFAFA" w:val="clear"/>
          </w:tcPr>
          <w:p>
            <w:r>
              <w:rPr>
                <w:b/>
                <w:sz w:val="17"/>
              </w:rPr>
              <w:t>9,374</w:t>
            </w:r>
          </w:p>
        </w:tc>
        <w:tc>
          <w:tcPr>
            <w:tcW w:type="dxa" w:w="1440"/>
            <w:shd w:fill="FAFAFA" w:val="clear"/>
          </w:tcPr>
          <w:p>
            <w:r>
              <w:rPr>
                <w:sz w:val="17"/>
              </w:rPr>
              <w:t>9,763</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8,923</w:t>
            </w:r>
          </w:p>
        </w:tc>
        <w:tc>
          <w:tcPr>
            <w:tcW w:type="dxa" w:w="1440"/>
            <w:shd w:fill="FAFAFA" w:val="clear"/>
          </w:tcPr>
          <w:p>
            <w:r>
              <w:rPr>
                <w:b/>
                <w:sz w:val="17"/>
              </w:rPr>
              <w:t>9,402</w:t>
            </w:r>
          </w:p>
        </w:tc>
        <w:tc>
          <w:tcPr>
            <w:tcW w:type="dxa" w:w="1440"/>
            <w:shd w:fill="FAFAFA" w:val="clear"/>
          </w:tcPr>
          <w:p>
            <w:r>
              <w:rPr>
                <w:sz w:val="17"/>
              </w:rPr>
              <w:t>9,880</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8,873</w:t>
            </w:r>
          </w:p>
        </w:tc>
        <w:tc>
          <w:tcPr>
            <w:tcW w:type="dxa" w:w="1440"/>
            <w:shd w:fill="FAFAFA" w:val="clear"/>
          </w:tcPr>
          <w:p>
            <w:r>
              <w:rPr>
                <w:b/>
                <w:sz w:val="17"/>
              </w:rPr>
              <w:t>9,427</w:t>
            </w:r>
          </w:p>
        </w:tc>
        <w:tc>
          <w:tcPr>
            <w:tcW w:type="dxa" w:w="1440"/>
            <w:shd w:fill="FAFAFA" w:val="clear"/>
          </w:tcPr>
          <w:p>
            <w:r>
              <w:rPr>
                <w:sz w:val="17"/>
              </w:rPr>
              <w:t>9,982</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8,832</w:t>
            </w:r>
          </w:p>
        </w:tc>
        <w:tc>
          <w:tcPr>
            <w:tcW w:type="dxa" w:w="1440"/>
            <w:shd w:fill="FAFAFA" w:val="clear"/>
          </w:tcPr>
          <w:p>
            <w:r>
              <w:rPr>
                <w:b/>
                <w:sz w:val="17"/>
              </w:rPr>
              <w:t>9,453</w:t>
            </w:r>
          </w:p>
        </w:tc>
        <w:tc>
          <w:tcPr>
            <w:tcW w:type="dxa" w:w="1440"/>
            <w:shd w:fill="FAFAFA" w:val="clear"/>
          </w:tcPr>
          <w:p>
            <w:r>
              <w:rPr>
                <w:sz w:val="17"/>
              </w:rPr>
              <w:t>10,074</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8,796</w:t>
            </w:r>
          </w:p>
        </w:tc>
        <w:tc>
          <w:tcPr>
            <w:tcW w:type="dxa" w:w="1440"/>
            <w:shd w:fill="FAFAFA" w:val="clear"/>
          </w:tcPr>
          <w:p>
            <w:r>
              <w:rPr>
                <w:b/>
                <w:sz w:val="17"/>
              </w:rPr>
              <w:t>9,479</w:t>
            </w:r>
          </w:p>
        </w:tc>
        <w:tc>
          <w:tcPr>
            <w:tcW w:type="dxa" w:w="1440"/>
            <w:shd w:fill="FAFAFA" w:val="clear"/>
          </w:tcPr>
          <w:p>
            <w:r>
              <w:rPr>
                <w:sz w:val="17"/>
              </w:rPr>
              <w:t>10,161</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8,765</w:t>
            </w:r>
          </w:p>
        </w:tc>
        <w:tc>
          <w:tcPr>
            <w:tcW w:type="dxa" w:w="1440"/>
            <w:shd w:fill="FAFAFA" w:val="clear"/>
          </w:tcPr>
          <w:p>
            <w:r>
              <w:rPr>
                <w:b/>
                <w:sz w:val="17"/>
              </w:rPr>
              <w:t>9,504</w:t>
            </w:r>
          </w:p>
        </w:tc>
        <w:tc>
          <w:tcPr>
            <w:tcW w:type="dxa" w:w="1440"/>
            <w:shd w:fill="FAFAFA" w:val="clear"/>
          </w:tcPr>
          <w:p>
            <w:r>
              <w:rPr>
                <w:sz w:val="17"/>
              </w:rPr>
              <w:t>10,243</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8,738</w:t>
            </w:r>
          </w:p>
        </w:tc>
        <w:tc>
          <w:tcPr>
            <w:tcW w:type="dxa" w:w="1440"/>
            <w:shd w:fill="FAFAFA" w:val="clear"/>
          </w:tcPr>
          <w:p>
            <w:r>
              <w:rPr>
                <w:b/>
                <w:sz w:val="17"/>
              </w:rPr>
              <w:t>9,530</w:t>
            </w:r>
          </w:p>
        </w:tc>
        <w:tc>
          <w:tcPr>
            <w:tcW w:type="dxa" w:w="1440"/>
            <w:shd w:fill="FAFAFA" w:val="clear"/>
          </w:tcPr>
          <w:p>
            <w:r>
              <w:rPr>
                <w:sz w:val="17"/>
              </w:rPr>
              <w:t>10,322</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8,713</w:t>
            </w:r>
          </w:p>
        </w:tc>
        <w:tc>
          <w:tcPr>
            <w:tcW w:type="dxa" w:w="1440"/>
            <w:shd w:fill="FAFAFA" w:val="clear"/>
          </w:tcPr>
          <w:p>
            <w:r>
              <w:rPr>
                <w:b/>
                <w:sz w:val="17"/>
              </w:rPr>
              <w:t>9,556</w:t>
            </w:r>
          </w:p>
        </w:tc>
        <w:tc>
          <w:tcPr>
            <w:tcW w:type="dxa" w:w="1440"/>
            <w:shd w:fill="FAFAFA" w:val="clear"/>
          </w:tcPr>
          <w:p>
            <w:r>
              <w:rPr>
                <w:sz w:val="17"/>
              </w:rPr>
              <w:t>10,398</w:t>
            </w:r>
          </w:p>
        </w:tc>
        <w:tc>
          <w:tcPr>
            <w:tcW w:type="dxa" w:w="1440"/>
            <w:shd w:fill="FAFAFA" w:val="clear"/>
          </w:tcPr>
          <w:p>
            <w:r>
              <w:rPr>
                <w:b/>
                <w:color w:val="008000"/>
                <w:sz w:val="17"/>
              </w:rPr>
              <w:t>+1.7%</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8,691</w:t>
            </w:r>
          </w:p>
        </w:tc>
        <w:tc>
          <w:tcPr>
            <w:tcW w:type="dxa" w:w="1440"/>
            <w:shd w:fill="FAFAFA" w:val="clear"/>
          </w:tcPr>
          <w:p>
            <w:r>
              <w:rPr>
                <w:b/>
                <w:sz w:val="17"/>
              </w:rPr>
              <w:t>9,581</w:t>
            </w:r>
          </w:p>
        </w:tc>
        <w:tc>
          <w:tcPr>
            <w:tcW w:type="dxa" w:w="1440"/>
            <w:shd w:fill="FAFAFA" w:val="clear"/>
          </w:tcPr>
          <w:p>
            <w:r>
              <w:rPr>
                <w:sz w:val="17"/>
              </w:rPr>
              <w:t>10,472</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145,32 milliards FCFA, ce qui en fait une valeur moyenne sur la BRVM, représentative d'un acteur agro-industriel majeur de la zone UEMOA. Le BPA de 1 003 FCFA indique que chaque action génère un bénéfice substantiel, justifiant un PER de 9,4x. Ce ratio est inférieur à la moyenne historique du marché (8-12x), suggérant que le marché n'intègre pas pleinement le potentiel de bénéfices de l'entreprise, malgré un contexte de baisse récente des cours. Le P/B de 1,02x est particulièrement attractif, car il indique que le titre se négocie très légèrement au-dessus de sa valeur comptable, offrant ainsi une décote implicite sur l'actif net. Enfin, un EV/EBITDA de 4,6x (largement sous le seuil de 5x) confirme une sous-évaluation relative, la valeur d'entreprise totale étant faible par rapport à la capacité bénéficiaire brute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progression solide de +15,34%, avec une accélération notable lors de la dernière séance (+3,30% à 9 400 FCFA). Le cours a évolué dans une fourchette de 7 000 FCFA (plus bas) à 9 640 FCFA (plus haut), démontrant un potentiel de hausse important depuis les niveaux déprimés. La moyenne (8 484 FCFA) étant inférieure à la médiane (8 672 FCFA), la distribution des prix est légèrement asymétrique à gauche (skewness de -0,216), indiquant que les fortes baisses ont été plus fréquentes que les fortes hausses sur la période, mais la tendance récente inverse cette dynamique. L'écart-type de 559 FCFA (CV de 6,6%) montre une dispersion modérée autour de la moyenne, et le kurtosis de -0,513 (mésokurtique) suggère l'absence de risques de krach ou de pics extrêmes. La volatilité annualisée de 37,8% est élevée (&gt;30%), ce qui positionne PALC comme un titre dynamique mais risqué à court terme, nécessitant une gestion attentive.</w:t>
      </w:r>
    </w:p>
    <w:p>
      <w:pPr>
        <w:spacing w:after="120" w:line="276" w:lineRule="auto" w:before="240"/>
      </w:pPr>
      <w:r>
        <w:rPr>
          <w:b/>
          <w:color w:val="003366"/>
          <w:sz w:val="24"/>
        </w:rPr>
        <w:t>**PARTIE 2 : ANALYSE TECHNIQUE DÉTAILLÉE**</w:t>
      </w:r>
    </w:p>
    <w:p>
      <w:pPr>
        <w:spacing w:after="120" w:line="276" w:lineRule="auto"/>
      </w:pPr>
      <w:r>
        <w:t>Les **Moyennes Mobiles** sont en configuration haussière : le cours (9 400 FCFA) est nettement au-dessus de la MM20 (9 181,75 FCFA) et de la MM50 (8 912,9 FCFA). Ce croisement positif confirme une dynamique d'achat à moyen terme, la MM20 servant de support dynamique immédiat.</w:t>
      </w:r>
    </w:p>
    <w:p>
      <w:pPr>
        <w:spacing w:after="120" w:line="276" w:lineRule="auto"/>
      </w:pPr>
      <w:r>
        <w:t>Les **Bandes de Bollinger** montrent un cours proche de la borne supérieure (9 730 FCFA) mais en dessous, signalant une pression acheteuse soutenue sans pour autant être en situation de surachat extrême. La décision "Neutre" suggère que le marché attend une confirmation directionnelle, mais la largeur des bandes indique une volatilité croissante.</w:t>
      </w:r>
    </w:p>
    <w:p>
      <w:pPr>
        <w:spacing w:after="120" w:line="276" w:lineRule="auto"/>
      </w:pPr>
      <w:r>
        <w:t>Le **MACD** présente une divergence baissière : la ligne MACD (158,9) est passée sous sa ligne de signal (168,2), générant un signal de vente à court terme. Cependant, les valeurs restent positives, indiquant que le momentum global demeure haussier malgré ce croisement technique.</w:t>
      </w:r>
    </w:p>
    <w:p>
      <w:pPr>
        <w:spacing w:after="120" w:line="276" w:lineRule="auto"/>
      </w:pPr>
      <w:r>
        <w:t>Le **RSI** à 60,8 est en zone neutre, sans signal de surachat ni de survente. Il laisse une marge de progression avant d'atteindre la zone des 70, ce qui est favorable pour une poursuite de la hausse.</w:t>
      </w:r>
    </w:p>
    <w:p>
      <w:pPr>
        <w:spacing w:after="120" w:line="276" w:lineRule="auto"/>
      </w:pPr>
      <w:r>
        <w:t>Le **Stochastique** (%K=63,6, %D=40,4) montre un croisement haussier récent, avec %K au-dessus de %D, indiquant un regain de momentum acheteur après une phase de consolidation.</w:t>
      </w:r>
    </w:p>
    <w:p>
      <w:pPr>
        <w:spacing w:after="120" w:line="276" w:lineRule="auto"/>
      </w:pPr>
      <w:r>
        <w:t>En conclusion, les indicateurs sont mitigés mais globalement positifs : les moyennes mobiles et le stochastique soutiennent la tendance haussière, tandis que le MACD appelle à la prudence à très court terme. La convergence des signaux suggère une consolidation avant une possible poursuite de la hausse.</w:t>
      </w:r>
    </w:p>
    <w:p>
      <w:pPr>
        <w:spacing w:after="120" w:line="276" w:lineRule="auto" w:before="240"/>
      </w:pPr>
      <w:r>
        <w:rPr>
          <w:b/>
          <w:color w:val="003366"/>
          <w:sz w:val="24"/>
        </w:rPr>
        <w:t>**PARTIE 3 : ANALYSE FONDAMENTALE (SECTION CRITIQUE)**</w:t>
      </w:r>
    </w:p>
    <w:p>
      <w:pPr>
        <w:spacing w:after="120" w:line="276" w:lineRule="auto"/>
      </w:pPr>
      <w:r>
        <w:t>En 2025, PALC (PALMCI) a réalisé un chiffre d'affaires de 197,63 milliards FCFA, en hausse de +14,8% par rapport à 2024 (172,2 milliards FCFA), confirmant la reprise amorcée au premier semestre. Le résultat net s'établit à 15,51 milliards FCFA, en léger repli de -2,2% par rapport à 2024 (15,9 milliards), pénalisé par une hausse des charges opérationnelles (personnel +4%, services extérieurs +30,3%). La marge nette ressort à 7,8%, contre 9,2% en 2024, illustrant une pression sur la rentabilité malgré la croissance des volumes. Le ROE de 10,9% et le ROA de 7,8% restent corrects mais en deçà des standards de performance (&gt;15% pour le ROE). La structure financière est très saine avec une autonomie financière de 71,6% et un endettement quasi nul (0,56% des capitaux propres). Le BFR de 44,6 milliards FCFA est positif, mais le délai de paiement des clients (142 jours) est élevé, constituant un risque de trésorerie. Sur la base des rapports trimestriels 2025 (T1 : CA +32%, RN +65% ; S1 : CA +25%, RN +37%), on estime que l'exercice 2025 aurait pu être nettement supérieur aux chiffres annuels publiés, mais le T3 a montré un ralentissement. Le rapport T1 2026 (CA -27%, RN -86%) confirme une forte dégradation conjoncturelle, mais la direction évoque un décalage temporel des ventes. Les fondamentaux restent solides, avec une capacité d'autofinancement de 30,6 milliards FCFA et un free cash-flow de 19 milliards, mais la vigilance est de mise sur la gestion du BFR et la volatilité des cours de l'huile de palme.</w:t>
      </w:r>
    </w:p>
    <w:p>
      <w:pPr>
        <w:spacing w:after="120" w:line="276" w:lineRule="auto" w:before="240"/>
      </w:pPr>
      <w:r>
        <w:rPr>
          <w:b/>
          <w:color w:val="003366"/>
          <w:sz w:val="24"/>
        </w:rPr>
        <w:t>**PARTIE 4 : CONCLUSION D'INVESTISSEMENT**</w:t>
      </w:r>
    </w:p>
    <w:p>
      <w:pPr>
        <w:spacing w:after="120" w:line="276" w:lineRule="auto"/>
      </w:pPr>
      <w:r>
        <w:t>La valorisation de PALC est clairement attractive (PER 9,4x, P/B 1,02x, EV/EBITDA 4,6x), indiquant une sous-évaluation relative par rapport aux bénéfices et à l'actif net. Le comportement du cours est positif (+15,34% sur 100 jours) avec une volatilité élevée (37,8%) qui offre des opportunités mais aussi des risques. Les signaux techniques sont mitigés : les moyennes mobiles et le stochastique sont haussiers, mais le MACD appelle à une prudence à court terme. Les fondamentaux montrent une croissance du CA mais une pression sur les marges, avec des perspectives 2026 incertaines (T1 en forte baisse). Les prédictions IA (9 336 à 9 453 FCFA sur 10 jours) suggèrent une stabilisation autour des niveaux actuels, confirmant une phase de consolidation. En synthèse, la convergence entre la sous-évaluation et la solidité financière est contrebalancée par les signaux techniques mixtes et les incertitudes conjoncturelles. **Recommandation : ACHAT** pour les investisseurs à moyen-long terme (6-12 mois), avec un niveau de confiance **Moyen** et un risque global **Élevé** (volatilité et dépendance aux matières premières). Un point d'entrée idéal se situerait sous les 9 000 FCFA pour maximiser le rendement ajusté du risque.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45.98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893 titres</w:t>
            </w:r>
          </w:p>
        </w:tc>
        <w:tc>
          <w:tcPr>
            <w:tcW w:type="dxa" w:w="2268"/>
            <w:shd w:fill="FFF2CC" w:val="clear"/>
          </w:tcPr>
          <w:p>
            <w:r>
              <w:rPr>
                <w:b/>
                <w:color w:val="503200"/>
                <w:sz w:val="16"/>
              </w:rPr>
              <w:t xml:space="preserve">Cours actuel : </w:t>
            </w:r>
            <w:r>
              <w:rPr>
                <w:color w:val="000000"/>
                <w:sz w:val="17"/>
              </w:rPr>
              <w:t>4,490 FCFA</w:t>
            </w:r>
          </w:p>
          <w:p>
            <w:r>
              <w:rPr>
                <w:b/>
                <w:color w:val="503200"/>
                <w:sz w:val="16"/>
              </w:rPr>
              <w:t xml:space="preserve">Var. 100 jours : </w:t>
            </w:r>
            <w:r>
              <w:rPr>
                <w:b/>
                <w:color w:val="B40000"/>
                <w:sz w:val="17"/>
              </w:rPr>
              <w:t>-5.77%</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μ=4,445 FCFA, σ=346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β=-0.3396 (Contre-cyclique) — Cov=-0.000012, Var(idx)=0.000036, ρ=-0.081,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4,375</w:t>
            </w:r>
          </w:p>
        </w:tc>
        <w:tc>
          <w:tcPr>
            <w:tcW w:type="dxa" w:w="1440"/>
            <w:shd w:fill="FAFAFA" w:val="clear"/>
          </w:tcPr>
          <w:p>
            <w:r>
              <w:rPr>
                <w:b/>
                <w:sz w:val="17"/>
              </w:rPr>
              <w:t>4,474</w:t>
            </w:r>
          </w:p>
        </w:tc>
        <w:tc>
          <w:tcPr>
            <w:tcW w:type="dxa" w:w="1440"/>
            <w:shd w:fill="FAFAFA" w:val="clear"/>
          </w:tcPr>
          <w:p>
            <w:r>
              <w:rPr>
                <w:sz w:val="17"/>
              </w:rPr>
              <w:t>4,574</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4,310</w:t>
            </w:r>
          </w:p>
        </w:tc>
        <w:tc>
          <w:tcPr>
            <w:tcW w:type="dxa" w:w="1440"/>
            <w:shd w:fill="FAFAFA" w:val="clear"/>
          </w:tcPr>
          <w:p>
            <w:r>
              <w:rPr>
                <w:b/>
                <w:sz w:val="17"/>
              </w:rPr>
              <w:t>4,450</w:t>
            </w:r>
          </w:p>
        </w:tc>
        <w:tc>
          <w:tcPr>
            <w:tcW w:type="dxa" w:w="1440"/>
            <w:shd w:fill="FAFAFA" w:val="clear"/>
          </w:tcPr>
          <w:p>
            <w:r>
              <w:rPr>
                <w:sz w:val="17"/>
              </w:rPr>
              <w:t>4,590</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4,256</w:t>
            </w:r>
          </w:p>
        </w:tc>
        <w:tc>
          <w:tcPr>
            <w:tcW w:type="dxa" w:w="1440"/>
            <w:shd w:fill="FAFAFA" w:val="clear"/>
          </w:tcPr>
          <w:p>
            <w:r>
              <w:rPr>
                <w:b/>
                <w:sz w:val="17"/>
              </w:rPr>
              <w:t>4,427</w:t>
            </w:r>
          </w:p>
        </w:tc>
        <w:tc>
          <w:tcPr>
            <w:tcW w:type="dxa" w:w="1440"/>
            <w:shd w:fill="FAFAFA" w:val="clear"/>
          </w:tcPr>
          <w:p>
            <w:r>
              <w:rPr>
                <w:sz w:val="17"/>
              </w:rPr>
              <w:t>4,597</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4,208</w:t>
            </w:r>
          </w:p>
        </w:tc>
        <w:tc>
          <w:tcPr>
            <w:tcW w:type="dxa" w:w="1440"/>
            <w:shd w:fill="FAFAFA" w:val="clear"/>
          </w:tcPr>
          <w:p>
            <w:r>
              <w:rPr>
                <w:b/>
                <w:sz w:val="17"/>
              </w:rPr>
              <w:t>4,404</w:t>
            </w:r>
          </w:p>
        </w:tc>
        <w:tc>
          <w:tcPr>
            <w:tcW w:type="dxa" w:w="1440"/>
            <w:shd w:fill="FAFAFA" w:val="clear"/>
          </w:tcPr>
          <w:p>
            <w:r>
              <w:rPr>
                <w:sz w:val="17"/>
              </w:rPr>
              <w:t>4,600</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4,165</w:t>
            </w:r>
          </w:p>
        </w:tc>
        <w:tc>
          <w:tcPr>
            <w:tcW w:type="dxa" w:w="1440"/>
            <w:shd w:fill="FFDCE0" w:val="clear"/>
          </w:tcPr>
          <w:p>
            <w:r>
              <w:rPr>
                <w:b/>
                <w:sz w:val="17"/>
              </w:rPr>
              <w:t>4,383</w:t>
            </w:r>
          </w:p>
        </w:tc>
        <w:tc>
          <w:tcPr>
            <w:tcW w:type="dxa" w:w="1440"/>
            <w:shd w:fill="FFDCE0" w:val="clear"/>
          </w:tcPr>
          <w:p>
            <w:r>
              <w:rPr>
                <w:sz w:val="17"/>
              </w:rPr>
              <w:t>4,601</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4,124</w:t>
            </w:r>
          </w:p>
        </w:tc>
        <w:tc>
          <w:tcPr>
            <w:tcW w:type="dxa" w:w="1440"/>
            <w:shd w:fill="FFDCE0" w:val="clear"/>
          </w:tcPr>
          <w:p>
            <w:r>
              <w:rPr>
                <w:b/>
                <w:sz w:val="17"/>
              </w:rPr>
              <w:t>4,362</w:t>
            </w:r>
          </w:p>
        </w:tc>
        <w:tc>
          <w:tcPr>
            <w:tcW w:type="dxa" w:w="1440"/>
            <w:shd w:fill="FFDCE0" w:val="clear"/>
          </w:tcPr>
          <w:p>
            <w:r>
              <w:rPr>
                <w:sz w:val="17"/>
              </w:rPr>
              <w:t>4,599</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4,086</w:t>
            </w:r>
          </w:p>
        </w:tc>
        <w:tc>
          <w:tcPr>
            <w:tcW w:type="dxa" w:w="1440"/>
            <w:shd w:fill="FFDCE0" w:val="clear"/>
          </w:tcPr>
          <w:p>
            <w:r>
              <w:rPr>
                <w:b/>
                <w:sz w:val="17"/>
              </w:rPr>
              <w:t>4,341</w:t>
            </w:r>
          </w:p>
        </w:tc>
        <w:tc>
          <w:tcPr>
            <w:tcW w:type="dxa" w:w="1440"/>
            <w:shd w:fill="FFDCE0" w:val="clear"/>
          </w:tcPr>
          <w:p>
            <w:r>
              <w:rPr>
                <w:sz w:val="17"/>
              </w:rPr>
              <w:t>4,597</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4,049</w:t>
            </w:r>
          </w:p>
        </w:tc>
        <w:tc>
          <w:tcPr>
            <w:tcW w:type="dxa" w:w="1440"/>
            <w:shd w:fill="FFDCE0" w:val="clear"/>
          </w:tcPr>
          <w:p>
            <w:r>
              <w:rPr>
                <w:b/>
                <w:sz w:val="17"/>
              </w:rPr>
              <w:t>4,321</w:t>
            </w:r>
          </w:p>
        </w:tc>
        <w:tc>
          <w:tcPr>
            <w:tcW w:type="dxa" w:w="1440"/>
            <w:shd w:fill="FFDCE0" w:val="clear"/>
          </w:tcPr>
          <w:p>
            <w:r>
              <w:rPr>
                <w:sz w:val="17"/>
              </w:rPr>
              <w:t>4,593</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4,014</w:t>
            </w:r>
          </w:p>
        </w:tc>
        <w:tc>
          <w:tcPr>
            <w:tcW w:type="dxa" w:w="1440"/>
            <w:shd w:fill="FFDCE0" w:val="clear"/>
          </w:tcPr>
          <w:p>
            <w:r>
              <w:rPr>
                <w:b/>
                <w:sz w:val="17"/>
              </w:rPr>
              <w:t>4,301</w:t>
            </w:r>
          </w:p>
        </w:tc>
        <w:tc>
          <w:tcPr>
            <w:tcW w:type="dxa" w:w="1440"/>
            <w:shd w:fill="FFDCE0" w:val="clear"/>
          </w:tcPr>
          <w:p>
            <w:r>
              <w:rPr>
                <w:sz w:val="17"/>
              </w:rPr>
              <w:t>4,588</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3,980</w:t>
            </w:r>
          </w:p>
        </w:tc>
        <w:tc>
          <w:tcPr>
            <w:tcW w:type="dxa" w:w="1440"/>
            <w:shd w:fill="FFDCE0" w:val="clear"/>
          </w:tcPr>
          <w:p>
            <w:r>
              <w:rPr>
                <w:b/>
                <w:sz w:val="17"/>
              </w:rPr>
              <w:t>4,281</w:t>
            </w:r>
          </w:p>
        </w:tc>
        <w:tc>
          <w:tcPr>
            <w:tcW w:type="dxa" w:w="1440"/>
            <w:shd w:fill="FFDCE0" w:val="clear"/>
          </w:tcPr>
          <w:p>
            <w:r>
              <w:rPr>
                <w:sz w:val="17"/>
              </w:rPr>
              <w:t>4,582</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 AFRIC MOTORS CI)**</w:t>
        <w:br/>
        <w:t>**Date : 31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45,98 milliards FCFA, positionnant le titre comme une valeur de taille moyenne sur la BRVM. Avec un BPA de 231 FCFA, le PER de 19,4x est nettement supérieur à la moyenne historique du marché (8-12x), indiquant que les investisseurs paient une prime substantielle pour la croissance anticipée. Le P/B de 3,99x confirme cette prime, le marché valorisant le titre près de 4 fois sa valeur comptable, ce qui reflète des attentes de rendement élevées. L'EV/EBITDA de 9,9x, dans la fourchette haute des valeurs raisonnables, suggère que la valorisation intègre déjà une partie des performances futures. Cette combinaison de ratios indique une valorisation exigeante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 enregistré une baisse de 5,77%, avec une dernière séance en recul de 1,21% à 4 490 FCFA. Le cours a évolué dans une fourchette de 3 620 à 5 100 FCFA, montrant une amplitude de trading significative. La moyenne (4 445 FCFA) est légèrement inférieure à la médiane (4 492 FCFA), indiquant une distribution légèrement asymétrique. Le skewness négatif (-0,689) confirme cette asymétrie avec plus de journées au-dessus de la moyenne, mais des baisses plus marquées lors des corrections. Le kurtosis de 0,253 (mésokurtique) suggère une distribution proche de la normale, sans risque extrême de pics. L'écart-type de 348 FCFA (CV=7,8%) montre une dispersion modérée. La volatilité annualisée de 40% classe le titre comme très volatil, nécessitant une gestion active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(4 490 FCFA) se situe sous la MM20 (4 465 FCFA) et la MM50 (4 512,7 FCFA), indiquant une tendance baissière à court terme. Le signal de Vente est cohérent avec cette configuration, les moyennes mobiles agissant comme résistances dynamiques.</w:t>
      </w:r>
    </w:p>
    <w:p>
      <w:pPr>
        <w:spacing w:after="120" w:line="276" w:lineRule="auto"/>
      </w:pPr>
      <w:r>
        <w:t>**Bandes de Bollinger** : Le prix évolue dans la partie médiane des bandes (borne supérieure à 4 564 FCFA, borne inférieure à 4 365 FCFA), suggérant une volatilité modérée sans extrême. La décision Neutre est justifiée par l'absence de test des bornes, le marché attendant une direction claire.</w:t>
      </w:r>
    </w:p>
    <w:p>
      <w:pPr>
        <w:spacing w:after="120" w:line="276" w:lineRule="auto"/>
      </w:pPr>
      <w:r>
        <w:t>**MACD** : Le MACD (6,233) est positif et au-dessus de sa ligne de signal (-1,401), indiquant un momentum haussier naissant. Cette divergence positive, malgré la tendance baissière des prix, suggère un potentiel de retournement. La décision Achat est cohérente avec ce signal précoce.</w:t>
      </w:r>
    </w:p>
    <w:p>
      <w:pPr>
        <w:spacing w:after="120" w:line="276" w:lineRule="auto"/>
      </w:pPr>
      <w:r>
        <w:t>**RSI** : À 51,04, le RSI est en zone neutre, indiquant un équilibre entre pression acheteuse et vendeuse. Cette valeur ne montre ni surachat ni survente, laissant place à une évolution dans les deux sens.</w:t>
      </w:r>
    </w:p>
    <w:p>
      <w:pPr>
        <w:spacing w:after="120" w:line="276" w:lineRule="auto"/>
      </w:pPr>
      <w:r>
        <w:t>**Stochastique** : Le %K (60,0) est inférieur au %D (85,556), indiquant un croisement baissier potentiel. Cette configuration suggère un essoufflement du momentum haussier à court terme, justifiant la décision Neutre.</w:t>
      </w:r>
    </w:p>
    <w:p>
      <w:pPr>
        <w:spacing w:after="120" w:line="276" w:lineRule="auto"/>
      </w:pPr>
      <w:r>
        <w:t>**Conclusion technique** : Les signaux sont mitigés avec une prédominance baissière à court terme (MM, Stochastique) mais des signaux de retournement potentiel (MACD positif). La configuration globale suggère une phase de consolidation avec un biais légèrement négatif, le titre cherchant un support solide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croissance de 9,5% par rapport à 2024 (74,45 milliards), confirmant la reprise après la baisse de 4,15% enregistrée en 2024. Le résultat net s'établit à 2,367 milliards FCFA, en légère hausse par rapport aux 2,177 milliards de 2024, avec une marge nette stable à 2,92%. Le ROE de 20,53% est excellent, démontrant une utilisation efficace des capitaux propres (11,531 milliards FCFA), tandis que le ROA de 4,95% reste modéré. La structure financière montre une autonomie financière de 24,1%, légèrement sous le seuil de 30% considéré comme sain, avec un ratio d'endettement élevé à 314,9%. Le BFR de 11,267 milliards FCFA est positif, reflétant des délais clients (46 jours) et une durée de stockage (150 jours) élevés, partiellement compensés par des délais fournisseurs avantageux (103 jours). Le rapport semestriel 2025 (30/06/2025) montrait déjà une performance exceptionnelle avec un CA de 39,97 milliards (+15,1%) et un résultat net multiplié par 28 à 1,436 milliard. La société a annoncé un dividende de 209 FCFA par action pour 2025, soit un rendement de 4,65% au cours actuel, marquant un retour à la distribution après deux années sans dividende. Les perspectives restent positives avec la croissance du marché automobile ivoirien, mais la dépendance aux produits non courants et la pression sur les marges opérationnelles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actuelle de PRSC (PER 19,4x, P/B 3,99x) apparaît exigeante, intégrant des attentes de croissance soutenue qui ne sont que partiellement justifiées par les fondamentaux. Le comportement du cours montre une tendance baissière sur 100 jours (-5,77%) avec une volatilité élevée (40%), mais les statistiques suggèrent une distribution relativement normale sans risque extrême. Les signaux techniques sont mitigés, avec une convergence entre les indicateurs baissiers (MM, Stochastique) et les signaux de retournement (MACD positif), indiquant une phase de transition incertaine. Les fondamentaux restent solides avec un ROE de 20,5%, une croissance du CA de 9,5% et un retour du dividende, mais la marge nette faible (2,9%) et l'endettement élevé tempèrent l'enthousiasme. Les prédictions IA (4 474 à 4 383 FCFA sur 10 jours) confirment la tendance baissière à court terme, anticipant une poursuite du déclin. La convergence entre la valorisation élevée, les signaux techniques baissiers et les prédictions IA négatives justifie une approche prudente. **Recommandation : CONSERVER** avec un niveau de confiance Moyen et un risque global Élevé. L'horizon d'investissement optimal est le moyen terme (3-12 mois), en attendant une clarification de la tendance et une amélioration des marges opérationnelles. Les investisseurs devraient surveiller l'évolution du BFR et la capacité de la société à maintenir sa croissance dans un environnement concurrentiel.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7,302 titres</w:t>
            </w:r>
          </w:p>
        </w:tc>
        <w:tc>
          <w:tcPr>
            <w:tcW w:type="dxa" w:w="2268"/>
            <w:shd w:fill="FFF2CC" w:val="clear"/>
          </w:tcPr>
          <w:p>
            <w:r>
              <w:rPr>
                <w:b/>
                <w:color w:val="503200"/>
                <w:sz w:val="16"/>
              </w:rPr>
              <w:t xml:space="preserve">Cours actuel : </w:t>
            </w:r>
            <w:r>
              <w:rPr>
                <w:color w:val="000000"/>
                <w:sz w:val="17"/>
              </w:rPr>
              <w:t>5,865 FCFA</w:t>
            </w:r>
          </w:p>
          <w:p>
            <w:r>
              <w:rPr>
                <w:b/>
                <w:color w:val="503200"/>
                <w:sz w:val="16"/>
              </w:rPr>
              <w:t xml:space="preserve">Var. 100 jours : </w:t>
            </w:r>
            <w:r>
              <w:rPr>
                <w:b/>
                <w:color w:val="B40000"/>
                <w:sz w:val="17"/>
              </w:rPr>
              <w:t>-21.80%</w:t>
            </w:r>
          </w:p>
          <w:p>
            <w:r>
              <w:rPr>
                <w:b/>
                <w:color w:val="503200"/>
                <w:sz w:val="16"/>
              </w:rPr>
              <w:t xml:space="preserve">Plus haut 100j : </w:t>
            </w:r>
            <w:r>
              <w:rPr>
                <w:color w:val="000000"/>
                <w:sz w:val="17"/>
              </w:rPr>
              <w:t>7,500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22.05% (Élevée) — μ=4,735 FCFA, σ=1,044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β=0.3936 (Défensif) — Cov=0.000014, Var(idx)=0.000036, ρ=0.046,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5,108</w:t>
            </w:r>
          </w:p>
        </w:tc>
        <w:tc>
          <w:tcPr>
            <w:tcW w:type="dxa" w:w="1440"/>
            <w:shd w:fill="FFDCE0" w:val="clear"/>
          </w:tcPr>
          <w:p>
            <w:r>
              <w:rPr>
                <w:b/>
                <w:sz w:val="17"/>
              </w:rPr>
              <w:t>5,425</w:t>
            </w:r>
          </w:p>
        </w:tc>
        <w:tc>
          <w:tcPr>
            <w:tcW w:type="dxa" w:w="1440"/>
            <w:shd w:fill="FFDCE0" w:val="clear"/>
          </w:tcPr>
          <w:p>
            <w:r>
              <w:rPr>
                <w:sz w:val="17"/>
              </w:rPr>
              <w:t>5,743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4,603</w:t>
            </w:r>
          </w:p>
        </w:tc>
        <w:tc>
          <w:tcPr>
            <w:tcW w:type="dxa" w:w="1440"/>
            <w:shd w:fill="FFDCE0" w:val="clear"/>
          </w:tcPr>
          <w:p>
            <w:r>
              <w:rPr>
                <w:b/>
                <w:sz w:val="17"/>
              </w:rPr>
              <w:t>5,018</w:t>
            </w:r>
          </w:p>
        </w:tc>
        <w:tc>
          <w:tcPr>
            <w:tcW w:type="dxa" w:w="1440"/>
            <w:shd w:fill="FFDCE0" w:val="clear"/>
          </w:tcPr>
          <w:p>
            <w:r>
              <w:rPr>
                <w:sz w:val="17"/>
              </w:rPr>
              <w:t>5,434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4,171</w:t>
            </w:r>
          </w:p>
        </w:tc>
        <w:tc>
          <w:tcPr>
            <w:tcW w:type="dxa" w:w="1440"/>
            <w:shd w:fill="FFDCE0" w:val="clear"/>
          </w:tcPr>
          <w:p>
            <w:r>
              <w:rPr>
                <w:b/>
                <w:sz w:val="17"/>
              </w:rPr>
              <w:t>4,642</w:t>
            </w:r>
          </w:p>
        </w:tc>
        <w:tc>
          <w:tcPr>
            <w:tcW w:type="dxa" w:w="1440"/>
            <w:shd w:fill="FFDCE0" w:val="clear"/>
          </w:tcPr>
          <w:p>
            <w:r>
              <w:rPr>
                <w:sz w:val="17"/>
              </w:rPr>
              <w:t>5,112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3,791</w:t>
            </w:r>
          </w:p>
        </w:tc>
        <w:tc>
          <w:tcPr>
            <w:tcW w:type="dxa" w:w="1440"/>
            <w:shd w:fill="FFDCE0" w:val="clear"/>
          </w:tcPr>
          <w:p>
            <w:r>
              <w:rPr>
                <w:b/>
                <w:sz w:val="17"/>
              </w:rPr>
              <w:t>4,294</w:t>
            </w:r>
          </w:p>
        </w:tc>
        <w:tc>
          <w:tcPr>
            <w:tcW w:type="dxa" w:w="1440"/>
            <w:shd w:fill="FFDCE0" w:val="clear"/>
          </w:tcPr>
          <w:p>
            <w:r>
              <w:rPr>
                <w:sz w:val="17"/>
              </w:rPr>
              <w:t>4,796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3,452</w:t>
            </w:r>
          </w:p>
        </w:tc>
        <w:tc>
          <w:tcPr>
            <w:tcW w:type="dxa" w:w="1440"/>
            <w:shd w:fill="FFDCE0" w:val="clear"/>
          </w:tcPr>
          <w:p>
            <w:r>
              <w:rPr>
                <w:b/>
                <w:sz w:val="17"/>
              </w:rPr>
              <w:t>3,972</w:t>
            </w:r>
          </w:p>
        </w:tc>
        <w:tc>
          <w:tcPr>
            <w:tcW w:type="dxa" w:w="1440"/>
            <w:shd w:fill="FFDCE0" w:val="clear"/>
          </w:tcPr>
          <w:p>
            <w:r>
              <w:rPr>
                <w:sz w:val="17"/>
              </w:rPr>
              <w:t>4,491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3,147</w:t>
            </w:r>
          </w:p>
        </w:tc>
        <w:tc>
          <w:tcPr>
            <w:tcW w:type="dxa" w:w="1440"/>
            <w:shd w:fill="FFDCE0" w:val="clear"/>
          </w:tcPr>
          <w:p>
            <w:r>
              <w:rPr>
                <w:b/>
                <w:sz w:val="17"/>
              </w:rPr>
              <w:t>3,674</w:t>
            </w:r>
          </w:p>
        </w:tc>
        <w:tc>
          <w:tcPr>
            <w:tcW w:type="dxa" w:w="1440"/>
            <w:shd w:fill="FFDCE0" w:val="clear"/>
          </w:tcPr>
          <w:p>
            <w:r>
              <w:rPr>
                <w:sz w:val="17"/>
              </w:rPr>
              <w:t>4,200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2,872</w:t>
            </w:r>
          </w:p>
        </w:tc>
        <w:tc>
          <w:tcPr>
            <w:tcW w:type="dxa" w:w="1440"/>
            <w:shd w:fill="FFDCE0" w:val="clear"/>
          </w:tcPr>
          <w:p>
            <w:r>
              <w:rPr>
                <w:b/>
                <w:sz w:val="17"/>
              </w:rPr>
              <w:t>3,398</w:t>
            </w:r>
          </w:p>
        </w:tc>
        <w:tc>
          <w:tcPr>
            <w:tcW w:type="dxa" w:w="1440"/>
            <w:shd w:fill="FFDCE0" w:val="clear"/>
          </w:tcPr>
          <w:p>
            <w:r>
              <w:rPr>
                <w:sz w:val="17"/>
              </w:rPr>
              <w:t>3,924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2,623</w:t>
            </w:r>
          </w:p>
        </w:tc>
        <w:tc>
          <w:tcPr>
            <w:tcW w:type="dxa" w:w="1440"/>
            <w:shd w:fill="FFDCE0" w:val="clear"/>
          </w:tcPr>
          <w:p>
            <w:r>
              <w:rPr>
                <w:b/>
                <w:sz w:val="17"/>
              </w:rPr>
              <w:t>3,143</w:t>
            </w:r>
          </w:p>
        </w:tc>
        <w:tc>
          <w:tcPr>
            <w:tcW w:type="dxa" w:w="1440"/>
            <w:shd w:fill="FFDCE0" w:val="clear"/>
          </w:tcPr>
          <w:p>
            <w:r>
              <w:rPr>
                <w:sz w:val="17"/>
              </w:rPr>
              <w:t>3,664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2,397</w:t>
            </w:r>
          </w:p>
        </w:tc>
        <w:tc>
          <w:tcPr>
            <w:tcW w:type="dxa" w:w="1440"/>
            <w:shd w:fill="FFDCE0" w:val="clear"/>
          </w:tcPr>
          <w:p>
            <w:r>
              <w:rPr>
                <w:b/>
                <w:sz w:val="17"/>
              </w:rPr>
              <w:t>2,908</w:t>
            </w:r>
          </w:p>
        </w:tc>
        <w:tc>
          <w:tcPr>
            <w:tcW w:type="dxa" w:w="1440"/>
            <w:shd w:fill="FFDCE0" w:val="clear"/>
          </w:tcPr>
          <w:p>
            <w:r>
              <w:rPr>
                <w:sz w:val="17"/>
              </w:rPr>
              <w:t>3,418</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2,192</w:t>
            </w:r>
          </w:p>
        </w:tc>
        <w:tc>
          <w:tcPr>
            <w:tcW w:type="dxa" w:w="1440"/>
            <w:shd w:fill="FFDCE0" w:val="clear"/>
          </w:tcPr>
          <w:p>
            <w:r>
              <w:rPr>
                <w:b/>
                <w:sz w:val="17"/>
              </w:rPr>
              <w:t>2,690</w:t>
            </w:r>
          </w:p>
        </w:tc>
        <w:tc>
          <w:tcPr>
            <w:tcW w:type="dxa" w:w="1440"/>
            <w:shd w:fill="FFDCE0" w:val="clear"/>
          </w:tcPr>
          <w:p>
            <w:r>
              <w:rPr>
                <w:sz w:val="17"/>
              </w:rPr>
              <w:t>3,187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47,62 milliards FCFA, un niveau modeste dans le contexte de la BRVM, reflétant sa taille intermédiaire dans le secteur financier. Avec un BPA de 86 FCFA, le titre affiche un PER de 67,9x, très largement supérieur à la moyenne du marché BRVM (8-12x), ce qui indique que les investisseurs paient une prime considérable pour les bénéfices actuels. Le P/B de 8,05x confirme cette valorisation exigeante, le marché valorisant l'actif net comptable plus de huit fois sa valeur, tandis que l'EV/EBITDA de 81,9x souligne une décote sévère entre la valeur d'entreprise et sa capacité opérationnelle. Ces ratios suggèrent que le marché anticipe une croissance future substantielle, mais ils laissent peu de marge de sécurité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 enregistré une variation totale de -21,80%, passant de son plus haut à 7 500 FCFA à un plus bas de 3 340 FCFA, avec une légère hausse de +0,26% lors de la dernière séance. La moyenne du cours sur la période (4 735 FCFA) est supérieure à la médiane (4 505 FCFA), indiquant une distribution asymétrique positive (skewness de 0,957), avec davantage de journées sous la moyenne mais quelques fortes hausses qui tirent la moyenne vers le haut. L'écart-type de 1 050 FCFA (CV de 22,2%) révèle une dispersion modérée, tandis que le kurtosis de 0,224, proche d'une distribution normale, exclut un risque de pics extrêmes. La volatilité annualisée de 82,3% est extrêmement élevée, plaçant le titre dans la catégorie des valeurs très risquées,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5 865 FCFA se positionne nettement au-dessus de la MM20 (5 445 FCFA) et de la MM50 (4 900 FCFA), confirmant une tendance haussière de moyen terme. La configuration des moyennes mobiles, avec le cours au-dessus des deux, génère un signal d'achat cohérent avec la dynamique positive observée depuis plusieurs semaines.</w:t>
      </w:r>
    </w:p>
    <w:p>
      <w:pPr>
        <w:spacing w:after="120" w:line="276" w:lineRule="auto"/>
      </w:pPr>
      <w:r>
        <w:t>**Bandes de Bollinger** : Le cours se situe à 5 865 FCFA, entre la borne supérieure (6 176 FCFA) et la borne inférieure (4 714 FCFA), dans la partie haute de l'enveloppe. Cette position indique une volatilité modérée et un mouvement haussier en cours, sans atteindre les extrêmes qui signaleraient une surachat imminent. La décision neutre reflète cette situation équilibrée.</w:t>
      </w:r>
    </w:p>
    <w:p>
      <w:pPr>
        <w:spacing w:after="120" w:line="276" w:lineRule="auto"/>
      </w:pPr>
      <w:r>
        <w:t>**MACD** : La valeur du MACD (310,21) est supérieure à son signal (295,95), confirmant un momentum haussier positif. L'écart positif entre les deux lignes suggère une dynamique de prix soutenue, justifiant la décision d'achat. Cette configuration indique que la tendance haussière conserve de l'élan.</w:t>
      </w:r>
    </w:p>
    <w:p>
      <w:pPr>
        <w:spacing w:after="120" w:line="276" w:lineRule="auto"/>
      </w:pPr>
      <w:r>
        <w:t>**RSI** : À 64,96, le RSI se situe dans la zone neutre (30-70), proche du seuil de surachat (70). Cette valeur indique une pression acheteuse significative mais pas encore excessive, laissant une marge de progression avant d'atteindre des niveaux de surachat. La décision neutre est appropriée, le titre n'étant ni survendu ni suracheté.</w:t>
      </w:r>
    </w:p>
    <w:p>
      <w:pPr>
        <w:spacing w:after="120" w:line="276" w:lineRule="auto"/>
      </w:pPr>
      <w:r>
        <w:t>**Stochastique** : Le %K (96,79) et le %D (97,40) sont tous deux à des niveaux extrêmement élevés, bien au-dessus du seuil de 80, indiquant une condition de surachat sévère. Cette configuration, avec les deux lignes proches, suggère un épuisement potentiel du mouvement haussier à court terme, justifiant la décision de vente.</w:t>
      </w:r>
    </w:p>
    <w:p>
      <w:pPr>
        <w:spacing w:after="120" w:line="276" w:lineRule="auto"/>
      </w:pPr>
      <w:r>
        <w:t>**Conclusion technique** : Les indicateurs de tendance (MM, MACD) sont positifs, mais les oscillateurs de momentum (RSI, Stochastique) signalent des conditions de surachat. Cette divergence suggère une possible consolidation ou correction à court terme avant la poursuite de la tendance haussière, nécessitant une prudence accrue pour les nouveaux achats.</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milliards FCFA (+44,1% vs 2024), un résultat net positif de 701 millions FCFA contre une perte de 165 millions en 2024, et une marge nette de 12,2%. Le ROE s'établit à 11,85% et le ROA à 0,88%, reflétant une rentabilité en amélioration mais encore modeste. Le coefficient d'exploitation de 77,6% reste élevé, indiquant une efficacité opérationnelle perfectible, tandis que le coût du risque de 6,57% signale une qualité de portefeuille encore fragile. La structure de bilan montre une dépendance marquée aux dettes interbancaires (35,7 milliards FCFA) et un ratio de fonds propres de seulement 7,4%, bien en deçà des standards prudentiels. Les rapports trimestriels 2026 confirment cette dynamique positive : le T1 2026 affiche un PNB de 1,395 milliard FCFA (+29%) et un résultat net de 151 millions FCFA (+1062%), avec un ratio de solvabilité de 11,64%. L'entrée de CREDAF Group en avril 2025 a transformé la gouvernance et impulsé une nouvelle stratégie, mais le report à nouveau reste négatif (-4,123 milliards FCFA) et aucun dividende n'est distribué. Les perspectives 2026 sont encourageantes, avec une estimation de PNB annuel autour de 5,8-6,0 milliards FCFA et un résultat net potentiel de 500-600 millions FCFA, mais la solidité financière reste précaire.</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67,9x, P/B 8,05x, EV/EBITDA 81,9x), indiquant une forte surévaluation par rapport aux fondamentaux actuels. Le comportement du cours montre une tendance baissière sur 100 jours (-21,8%) avec une volatilité très élevée (82,3%), mais les statistiques descriptives révèlent une asymétrie positive et une distribution normale, suggérant un potentiel de rebond. Les signaux techniques sont mitigés : les moyennes mobiles et le MACD sont positifs, mais le RSI proche du surachat et le Stochastique extrêmement élevé signalent un risque de correction. Les fondamentaux montrent un redressement réel mais fragile, avec une rentabilité encore modeste et une structure de bilan précaire. Les prédictions IA prévoient une chute brutale du cours (de 5 425 à 3 972 FCFA sur 10 jours), contredisant les signaux techniques positifs. La recommandation finale est **VENTE**, avec un niveau de confiance **Moyen** et un risque global **Élevé**. L'horizon d'investissement optimal serait le court terme (&lt;3 mois) pour les investisseurs existants cherchant à sécuriser leurs gains, tandis que les nouveaux investisseurs devraient attendre une correction significative du cours avant d'envisager une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12,701 titres</w:t>
            </w:r>
          </w:p>
        </w:tc>
        <w:tc>
          <w:tcPr>
            <w:tcW w:type="dxa" w:w="2268"/>
            <w:shd w:fill="FFF2CC" w:val="clear"/>
          </w:tcPr>
          <w:p>
            <w:r>
              <w:rPr>
                <w:b/>
                <w:color w:val="503200"/>
                <w:sz w:val="16"/>
              </w:rPr>
              <w:t xml:space="preserve">Cours actuel : </w:t>
            </w:r>
            <w:r>
              <w:rPr>
                <w:color w:val="000000"/>
                <w:sz w:val="17"/>
              </w:rPr>
              <w:t>3,375 FCFA</w:t>
            </w:r>
          </w:p>
          <w:p>
            <w:r>
              <w:rPr>
                <w:b/>
                <w:color w:val="503200"/>
                <w:sz w:val="16"/>
              </w:rPr>
              <w:t xml:space="preserve">Var. 100 jours : </w:t>
            </w:r>
            <w:r>
              <w:rPr>
                <w:b/>
                <w:color w:val="007800"/>
                <w:sz w:val="17"/>
              </w:rPr>
              <w:t>+86.46%</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1,810 FCFA</w:t>
            </w:r>
          </w:p>
          <w:p>
            <w:r>
              <w:rPr>
                <w:b/>
                <w:color w:val="503200"/>
                <w:sz w:val="16"/>
              </w:rPr>
              <w:t xml:space="preserve">Volatilité ann. : </w:t>
            </w:r>
            <w:r>
              <w:rPr>
                <w:color w:val="000000"/>
                <w:sz w:val="17"/>
              </w:rPr>
              <w:t>55.5%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21.97% (Élevée) — μ=2,926 FCFA, σ=643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β=0.4330 (Défensif) — Cov=0.000016, Var(idx)=0.000036, ρ=0.074,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12,701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σ_j=3.49%/j (Modérée) — Vol. annualisée≈55.5%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2,986</w:t>
            </w:r>
          </w:p>
        </w:tc>
        <w:tc>
          <w:tcPr>
            <w:tcW w:type="dxa" w:w="1440"/>
            <w:shd w:fill="FFDCE0" w:val="clear"/>
          </w:tcPr>
          <w:p>
            <w:r>
              <w:rPr>
                <w:b/>
                <w:sz w:val="17"/>
              </w:rPr>
              <w:t>3,122</w:t>
            </w:r>
          </w:p>
        </w:tc>
        <w:tc>
          <w:tcPr>
            <w:tcW w:type="dxa" w:w="1440"/>
            <w:shd w:fill="FFDCE0" w:val="clear"/>
          </w:tcPr>
          <w:p>
            <w:r>
              <w:rPr>
                <w:sz w:val="17"/>
              </w:rPr>
              <w:t>3,258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2,709</w:t>
            </w:r>
          </w:p>
        </w:tc>
        <w:tc>
          <w:tcPr>
            <w:tcW w:type="dxa" w:w="1440"/>
            <w:shd w:fill="FFDCE0" w:val="clear"/>
          </w:tcPr>
          <w:p>
            <w:r>
              <w:rPr>
                <w:b/>
                <w:sz w:val="17"/>
              </w:rPr>
              <w:t>2,888</w:t>
            </w:r>
          </w:p>
        </w:tc>
        <w:tc>
          <w:tcPr>
            <w:tcW w:type="dxa" w:w="1440"/>
            <w:shd w:fill="FFDCE0" w:val="clear"/>
          </w:tcPr>
          <w:p>
            <w:r>
              <w:rPr>
                <w:sz w:val="17"/>
              </w:rPr>
              <w:t>3,066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2,469</w:t>
            </w:r>
          </w:p>
        </w:tc>
        <w:tc>
          <w:tcPr>
            <w:tcW w:type="dxa" w:w="1440"/>
            <w:shd w:fill="FFDCE0" w:val="clear"/>
          </w:tcPr>
          <w:p>
            <w:r>
              <w:rPr>
                <w:b/>
                <w:sz w:val="17"/>
              </w:rPr>
              <w:t>2,671</w:t>
            </w:r>
          </w:p>
        </w:tc>
        <w:tc>
          <w:tcPr>
            <w:tcW w:type="dxa" w:w="1440"/>
            <w:shd w:fill="FFDCE0" w:val="clear"/>
          </w:tcPr>
          <w:p>
            <w:r>
              <w:rPr>
                <w:sz w:val="17"/>
              </w:rPr>
              <w:t>2,873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2,255</w:t>
            </w:r>
          </w:p>
        </w:tc>
        <w:tc>
          <w:tcPr>
            <w:tcW w:type="dxa" w:w="1440"/>
            <w:shd w:fill="FFDCE0" w:val="clear"/>
          </w:tcPr>
          <w:p>
            <w:r>
              <w:rPr>
                <w:b/>
                <w:sz w:val="17"/>
              </w:rPr>
              <w:t>2,471</w:t>
            </w:r>
          </w:p>
        </w:tc>
        <w:tc>
          <w:tcPr>
            <w:tcW w:type="dxa" w:w="1440"/>
            <w:shd w:fill="FFDCE0" w:val="clear"/>
          </w:tcPr>
          <w:p>
            <w:r>
              <w:rPr>
                <w:sz w:val="17"/>
              </w:rPr>
              <w:t>2,687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2,062</w:t>
            </w:r>
          </w:p>
        </w:tc>
        <w:tc>
          <w:tcPr>
            <w:tcW w:type="dxa" w:w="1440"/>
            <w:shd w:fill="FFDCE0" w:val="clear"/>
          </w:tcPr>
          <w:p>
            <w:r>
              <w:rPr>
                <w:b/>
                <w:sz w:val="17"/>
              </w:rPr>
              <w:t>2,286</w:t>
            </w:r>
          </w:p>
        </w:tc>
        <w:tc>
          <w:tcPr>
            <w:tcW w:type="dxa" w:w="1440"/>
            <w:shd w:fill="FFDCE0" w:val="clear"/>
          </w:tcPr>
          <w:p>
            <w:r>
              <w:rPr>
                <w:sz w:val="17"/>
              </w:rPr>
              <w:t>2,509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1,888</w:t>
            </w:r>
          </w:p>
        </w:tc>
        <w:tc>
          <w:tcPr>
            <w:tcW w:type="dxa" w:w="1440"/>
            <w:shd w:fill="FFDCE0" w:val="clear"/>
          </w:tcPr>
          <w:p>
            <w:r>
              <w:rPr>
                <w:b/>
                <w:sz w:val="17"/>
              </w:rPr>
              <w:t>2,114</w:t>
            </w:r>
          </w:p>
        </w:tc>
        <w:tc>
          <w:tcPr>
            <w:tcW w:type="dxa" w:w="1440"/>
            <w:shd w:fill="FFDCE0" w:val="clear"/>
          </w:tcPr>
          <w:p>
            <w:r>
              <w:rPr>
                <w:sz w:val="17"/>
              </w:rPr>
              <w:t>2,340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1,730</w:t>
            </w:r>
          </w:p>
        </w:tc>
        <w:tc>
          <w:tcPr>
            <w:tcW w:type="dxa" w:w="1440"/>
            <w:shd w:fill="FFDCE0" w:val="clear"/>
          </w:tcPr>
          <w:p>
            <w:r>
              <w:rPr>
                <w:b/>
                <w:sz w:val="17"/>
              </w:rPr>
              <w:t>1,956</w:t>
            </w:r>
          </w:p>
        </w:tc>
        <w:tc>
          <w:tcPr>
            <w:tcW w:type="dxa" w:w="1440"/>
            <w:shd w:fill="FFDCE0" w:val="clear"/>
          </w:tcPr>
          <w:p>
            <w:r>
              <w:rPr>
                <w:sz w:val="17"/>
              </w:rPr>
              <w:t>2,181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1,586</w:t>
            </w:r>
          </w:p>
        </w:tc>
        <w:tc>
          <w:tcPr>
            <w:tcW w:type="dxa" w:w="1440"/>
            <w:shd w:fill="FFDCE0" w:val="clear"/>
          </w:tcPr>
          <w:p>
            <w:r>
              <w:rPr>
                <w:b/>
                <w:sz w:val="17"/>
              </w:rPr>
              <w:t>1,809</w:t>
            </w:r>
          </w:p>
        </w:tc>
        <w:tc>
          <w:tcPr>
            <w:tcW w:type="dxa" w:w="1440"/>
            <w:shd w:fill="FFDCE0" w:val="clear"/>
          </w:tcPr>
          <w:p>
            <w:r>
              <w:rPr>
                <w:sz w:val="17"/>
              </w:rPr>
              <w:t>2,032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1,454</w:t>
            </w:r>
          </w:p>
        </w:tc>
        <w:tc>
          <w:tcPr>
            <w:tcW w:type="dxa" w:w="1440"/>
            <w:shd w:fill="FFDCE0" w:val="clear"/>
          </w:tcPr>
          <w:p>
            <w:r>
              <w:rPr>
                <w:b/>
                <w:sz w:val="17"/>
              </w:rPr>
              <w:t>1,673</w:t>
            </w:r>
          </w:p>
        </w:tc>
        <w:tc>
          <w:tcPr>
            <w:tcW w:type="dxa" w:w="1440"/>
            <w:shd w:fill="FFDCE0" w:val="clear"/>
          </w:tcPr>
          <w:p>
            <w:r>
              <w:rPr>
                <w:sz w:val="17"/>
              </w:rPr>
              <w:t>1,892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1,334</w:t>
            </w:r>
          </w:p>
        </w:tc>
        <w:tc>
          <w:tcPr>
            <w:tcW w:type="dxa" w:w="1440"/>
            <w:shd w:fill="FFDCE0" w:val="clear"/>
          </w:tcPr>
          <w:p>
            <w:r>
              <w:rPr>
                <w:b/>
                <w:sz w:val="17"/>
              </w:rPr>
              <w:t>1,548</w:t>
            </w:r>
          </w:p>
        </w:tc>
        <w:tc>
          <w:tcPr>
            <w:tcW w:type="dxa" w:w="1440"/>
            <w:shd w:fill="FFDCE0" w:val="clear"/>
          </w:tcPr>
          <w:p>
            <w:r>
              <w:rPr>
                <w:sz w:val="17"/>
              </w:rPr>
              <w:t>1,761</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**Date : 31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SCRC s'établit à 66,15 milliards FCFA, un niveau significatif sur la BRVM qui reflète l'importance systémique de ce groupe sucrier dans la sous-région. Le BPA est négatif à -406 FCFA, ce qui rend le PER non significatif (-8,3x) ; les investisseurs ne peuvent donc pas valoriser le titre sur la base de ses bénéfices actuels, mais plutôt sur ses actifs et son potentiel de redressement. Le P/B de 3,84x indique que le marché valorise la société près de quatre fois sa valeur comptable, traduisant une prime de croissance ou de spéculation importante malgré les pertes. Enfin, l'EV/EBITDA de 10,6x se situe dans la fourchette haute (10-15x), suggérant que la valeur d'entreprise est élevée par rapport à la capacité opérationnelle, ce qui implique une valorisation exigeante compte tenu des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 enregistré une variation totale spectaculaire de +86,46%, avec un cours actuel de 3 375 FCFA, stable par rapport à la séance précédente. Le titre a évolué dans une fourchette très large, oscillant entre un plus bas de 1 810 FCFA et un plus haut de 3 920 FCFA, illustrant une volatilité extrême. La moyenne du cours sur la période est de 2 926 FCFA, inférieure à la médiane de 3 095 FCFA, ce qui indique une distribution légèrement asymétrique avec des valeurs extrêmes à la baisse. L'écart-type de 646 FCFA (CV=22,1%) confirme une dispersion modérée, tandis que le kurtosis négatif (-1,429) révèle une distribution platykurtique, c'est-à-dire avec peu de pics extrêmes, et le skewness de -0,302 suggère une symétrie relative. La volatilité annualisée de 55,5% est très élevée (&gt;30%), classant ce titre comme particulièrement risqué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Les MM20 (3 551 FCFA) et MM50 (3 486 FCFA) sont toutes deux supérieures au cours actuel de 3 375 FCFA, indiquant une tendance baissière à court et moyen terme. Cependant, la décision globale est "Achat", ce qui suggère que le croisement récent des moyennes pourrait signaler un retournement haussier potentiel, même si le prix reste sous ces niveaux clés.</w:t>
      </w:r>
    </w:p>
    <w:p>
      <w:pPr>
        <w:spacing w:after="120" w:line="276" w:lineRule="auto"/>
      </w:pPr>
      <w:r>
        <w:t>**Bandes de Bollinger** : Le prix actuel (3 375 FCFA) se situe près de la borne inférieure (3 276 FCFA), indiquant une pression vendeuse et une volatilité accrue. La décision "Neutre" reflète l'absence de signal directionnel clair, le titre étant dans la partie basse de l'enveloppe sans franchissement décisif.</w:t>
      </w:r>
    </w:p>
    <w:p>
      <w:pPr>
        <w:spacing w:after="120" w:line="276" w:lineRule="auto"/>
      </w:pPr>
      <w:r>
        <w:t>**MACD** : Le MACD est négatif (-39,14) et inférieur à sa ligne de signal (-1,80), confirmant un momentum baissier. La décision "Vente" est cohérente avec cette configuration, signalant une poursuite probable de la baisse à court terme.</w:t>
      </w:r>
    </w:p>
    <w:p>
      <w:pPr>
        <w:spacing w:after="120" w:line="276" w:lineRule="auto"/>
      </w:pPr>
      <w:r>
        <w:t>**RSI** : À 37,23, le RSI est en zone neutre mais proche de la survente (&lt;30), indiquant que le titre n'est pas encore survendu mais que la pression vendeuse s'accentue. La décision "Neutre" suggère une possible stabilisation ou un rebond technique si le seuil de 30 est atteint.</w:t>
      </w:r>
    </w:p>
    <w:p>
      <w:pPr>
        <w:spacing w:after="120" w:line="276" w:lineRule="auto"/>
      </w:pPr>
      <w:r>
        <w:t>**Stochastique** : Le %K et le %D sont tous deux à 7,25, en territoire de survente profonde (&lt;20). Cette configuration signale un épuisement vendeur et un potentiel de rebond technique imminent, justifiant la décision "Achat".</w:t>
      </w:r>
    </w:p>
    <w:p>
      <w:pPr>
        <w:spacing w:after="120" w:line="276" w:lineRule="auto"/>
      </w:pPr>
      <w:r>
        <w:t>**Conclusion technique** : Les indicateurs sont mitigés avec une prédominance baissière (MACD, prix sous les MM) mais des signaux de survente extrême (Stochastique) qui pourraient déclencher un rebond technique. La prudence est de mise, car la tendance de fond reste négative malgré des conditions de survente.</w:t>
      </w:r>
    </w:p>
    <w:p>
      <w:pPr>
        <w:spacing w:after="120" w:line="276" w:lineRule="auto"/>
      </w:pPr>
      <w:r>
        <w:t>---</w:t>
      </w:r>
    </w:p>
    <w:p>
      <w:pPr>
        <w:spacing w:after="120" w:line="276" w:lineRule="auto"/>
      </w:pPr>
      <w:r>
        <w:t>### PARTIE 3 : ANALYSE FONDAMENTALE (SECTION CRITIQUE)</w:t>
      </w:r>
    </w:p>
    <w:p>
      <w:pPr>
        <w:spacing w:after="120" w:line="276" w:lineRule="auto"/>
      </w:pPr>
      <w:r>
        <w:t>En 2025, la SCRC a enregistré un chiffre d'affaires de 80,57 milliards FCFA, en baisse de 7,6% par rapport à 2024 (87,22 milliards FCFA), et un résultat net déficitaire de -7,95 milliards FCFA, contre un bénéfice de 2,47 milliards FCFA en 2024 (rapports du 31/12/2025). Le ROE est très négatif à -46,13% et le ROA à -5,08%, traduisant une destruction de valeur significative. La marge brute reste solide à 45,8%, mais la marge nette est de -9,9%. Le BFR est négatif à -6,53 milliards FCFA, ce qui est favorable, mais le délai fournisseurs de 366 jours et la durée de stockage de 361 jours indiquent une gestion du cycle d'exploitation tendue. L'endettement est critique avec un ratio d'endettement de 89% et une capacité de remboursement de 11,2 ans. Sur la base des rapports semestriels 2025 (S1 : CA de 42,87 milliards FCFA, perte de -6,71 milliards FCFA), on estime que l'exercice 2026 pourrait rester difficile, avec un redressement potentiel si la campagne 2025/26 (production attendue entre 90 000 et 95 000 tonnes) se concrétise. Les perspectives restent très incertaines, et la recommandation fondamentale est de conserver avec une grande prudence, car la société doit impérativement restructurer sa dette et stabiliser son exploitation.</w:t>
      </w:r>
    </w:p>
    <w:p>
      <w:pPr>
        <w:spacing w:after="120" w:line="276" w:lineRule="auto"/>
      </w:pPr>
      <w:r>
        <w:t>---</w:t>
      </w:r>
    </w:p>
    <w:p>
      <w:pPr>
        <w:spacing w:after="120" w:line="276" w:lineRule="auto"/>
      </w:pPr>
      <w:r>
        <w:t>### PARTIE 4 : CONCLUSION D'INVESTISSEMENT</w:t>
      </w:r>
    </w:p>
    <w:p>
      <w:pPr>
        <w:spacing w:after="120" w:line="276" w:lineRule="auto"/>
      </w:pPr>
      <w:r>
        <w:t>La valorisation boursière de la SCRC est exigeante avec un P/B de 3,84x et un EV/EBITDA de 10,6x, malgré des pertes récurrentes, indiquant une possible surévaluation relative aux fondamentaux. Le comportement du cours sur 100 jours montre une hausse spectaculaire de +86%, mais avec une volatilité annualisée de 55,5% et une distribution platykurtique, ce qui rend le titre très risqué. Les signaux techniques sont mitigés : le MACD est vendeur, le prix est sous les moyennes mobiles, mais le stochastique en survente extrême suggère un rebond technique imminent. Les fondamentaux sont préoccupants avec une perte nette de 7,95 milliards FCFA en 2025, un endettement massif et une trésorerie nette négative. Les prédictions IA pour les 10 prochains jours indiquent une chute brutale du cours de 3 375 FCFA à 2 286 FCFA, confirmant la pression baissière. En synthèse, la convergence des signaux (technique baissier, fondamental fragile, prédictions négatives) malgré une valorisation élevée conduit à une recommandation de **VENTE FORTE** avec un niveau de confiance **Élevé** et un risque global **Élevé**. L'horizon d'investissement optimal est le **court terme (&lt;3 mois)** pour les investisseurs cherchant à limiter les pertes, tandis qu'un retour à l'achat nécessiterait une amélioration visible des résultats semestriels 2026 et une réduction significative de l'endettement.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1,027 titres</w:t>
            </w:r>
          </w:p>
        </w:tc>
        <w:tc>
          <w:tcPr>
            <w:tcW w:type="dxa" w:w="2268"/>
            <w:shd w:fill="FFF2CC" w:val="clear"/>
          </w:tcPr>
          <w:p>
            <w:r>
              <w:rPr>
                <w:b/>
                <w:color w:val="503200"/>
                <w:sz w:val="16"/>
              </w:rPr>
              <w:t xml:space="preserve">Cours actuel : </w:t>
            </w:r>
            <w:r>
              <w:rPr>
                <w:color w:val="000000"/>
                <w:sz w:val="17"/>
              </w:rPr>
              <w:t>13,000 FCFA</w:t>
            </w:r>
          </w:p>
          <w:p>
            <w:r>
              <w:rPr>
                <w:b/>
                <w:color w:val="503200"/>
                <w:sz w:val="16"/>
              </w:rPr>
              <w:t xml:space="preserve">Var. 100 jours : </w:t>
            </w:r>
            <w:r>
              <w:rPr>
                <w:b/>
                <w:color w:val="007800"/>
                <w:sz w:val="17"/>
              </w:rPr>
              <w:t>+75.68%</w:t>
            </w:r>
          </w:p>
          <w:p>
            <w:r>
              <w:rPr>
                <w:b/>
                <w:color w:val="503200"/>
                <w:sz w:val="16"/>
              </w:rPr>
              <w:t xml:space="preserve">Plus haut 100j : </w:t>
            </w:r>
            <w:r>
              <w:rPr>
                <w:color w:val="000000"/>
                <w:sz w:val="17"/>
              </w:rPr>
              <w:t>13,000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17.02% (Élevée) — μ=10,670 FCFA, σ=1,816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β=0.1266 (Défensif) — Cov=0.000005, Var(idx)=0.000036, ρ=0.033,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11,901</w:t>
            </w:r>
          </w:p>
        </w:tc>
        <w:tc>
          <w:tcPr>
            <w:tcW w:type="dxa" w:w="1440"/>
            <w:shd w:fill="FFDCE0" w:val="clear"/>
          </w:tcPr>
          <w:p>
            <w:r>
              <w:rPr>
                <w:b/>
                <w:sz w:val="17"/>
              </w:rPr>
              <w:t>12,284</w:t>
            </w:r>
          </w:p>
        </w:tc>
        <w:tc>
          <w:tcPr>
            <w:tcW w:type="dxa" w:w="1440"/>
            <w:shd w:fill="FFDCE0" w:val="clear"/>
          </w:tcPr>
          <w:p>
            <w:r>
              <w:rPr>
                <w:sz w:val="17"/>
              </w:rPr>
              <w:t>12,667</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11,581</w:t>
            </w:r>
          </w:p>
        </w:tc>
        <w:tc>
          <w:tcPr>
            <w:tcW w:type="dxa" w:w="1440"/>
            <w:shd w:fill="FFDCE0" w:val="clear"/>
          </w:tcPr>
          <w:p>
            <w:r>
              <w:rPr>
                <w:b/>
                <w:sz w:val="17"/>
              </w:rPr>
              <w:t>12,115</w:t>
            </w:r>
          </w:p>
        </w:tc>
        <w:tc>
          <w:tcPr>
            <w:tcW w:type="dxa" w:w="1440"/>
            <w:shd w:fill="FFDCE0" w:val="clear"/>
          </w:tcPr>
          <w:p>
            <w:r>
              <w:rPr>
                <w:sz w:val="17"/>
              </w:rPr>
              <w:t>12,649</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11,315</w:t>
            </w:r>
          </w:p>
        </w:tc>
        <w:tc>
          <w:tcPr>
            <w:tcW w:type="dxa" w:w="1440"/>
            <w:shd w:fill="FFDCE0" w:val="clear"/>
          </w:tcPr>
          <w:p>
            <w:r>
              <w:rPr>
                <w:b/>
                <w:sz w:val="17"/>
              </w:rPr>
              <w:t>11,960</w:t>
            </w:r>
          </w:p>
        </w:tc>
        <w:tc>
          <w:tcPr>
            <w:tcW w:type="dxa" w:w="1440"/>
            <w:shd w:fill="FFDCE0" w:val="clear"/>
          </w:tcPr>
          <w:p>
            <w:r>
              <w:rPr>
                <w:sz w:val="17"/>
              </w:rPr>
              <w:t>12,606</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11,082</w:t>
            </w:r>
          </w:p>
        </w:tc>
        <w:tc>
          <w:tcPr>
            <w:tcW w:type="dxa" w:w="1440"/>
            <w:shd w:fill="FFDCE0" w:val="clear"/>
          </w:tcPr>
          <w:p>
            <w:r>
              <w:rPr>
                <w:b/>
                <w:sz w:val="17"/>
              </w:rPr>
              <w:t>11,819</w:t>
            </w:r>
          </w:p>
        </w:tc>
        <w:tc>
          <w:tcPr>
            <w:tcW w:type="dxa" w:w="1440"/>
            <w:shd w:fill="FFDCE0" w:val="clear"/>
          </w:tcPr>
          <w:p>
            <w:r>
              <w:rPr>
                <w:sz w:val="17"/>
              </w:rPr>
              <w:t>12,556</w:t>
            </w:r>
          </w:p>
        </w:tc>
        <w:tc>
          <w:tcPr>
            <w:tcW w:type="dxa" w:w="1440"/>
            <w:shd w:fill="FFDCE0" w:val="clear"/>
          </w:tcPr>
          <w:p>
            <w:r>
              <w:rPr>
                <w:b/>
                <w:color w:val="C00000"/>
                <w:sz w:val="17"/>
              </w:rPr>
              <w:t>-9.1%</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10,875</w:t>
            </w:r>
          </w:p>
        </w:tc>
        <w:tc>
          <w:tcPr>
            <w:tcW w:type="dxa" w:w="1440"/>
            <w:shd w:fill="FFDCE0" w:val="clear"/>
          </w:tcPr>
          <w:p>
            <w:r>
              <w:rPr>
                <w:b/>
                <w:sz w:val="17"/>
              </w:rPr>
              <w:t>11,690</w:t>
            </w:r>
          </w:p>
        </w:tc>
        <w:tc>
          <w:tcPr>
            <w:tcW w:type="dxa" w:w="1440"/>
            <w:shd w:fill="FFDCE0" w:val="clear"/>
          </w:tcPr>
          <w:p>
            <w:r>
              <w:rPr>
                <w:sz w:val="17"/>
              </w:rPr>
              <w:t>12,505</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10,689</w:t>
            </w:r>
          </w:p>
        </w:tc>
        <w:tc>
          <w:tcPr>
            <w:tcW w:type="dxa" w:w="1440"/>
            <w:shd w:fill="FFDCE0" w:val="clear"/>
          </w:tcPr>
          <w:p>
            <w:r>
              <w:rPr>
                <w:b/>
                <w:sz w:val="17"/>
              </w:rPr>
              <w:t>11,573</w:t>
            </w:r>
          </w:p>
        </w:tc>
        <w:tc>
          <w:tcPr>
            <w:tcW w:type="dxa" w:w="1440"/>
            <w:shd w:fill="FFDCE0" w:val="clear"/>
          </w:tcPr>
          <w:p>
            <w:r>
              <w:rPr>
                <w:sz w:val="17"/>
              </w:rPr>
              <w:t>12,457</w:t>
            </w:r>
          </w:p>
        </w:tc>
        <w:tc>
          <w:tcPr>
            <w:tcW w:type="dxa" w:w="1440"/>
            <w:shd w:fill="FFDCE0" w:val="clear"/>
          </w:tcPr>
          <w:p>
            <w:r>
              <w:rPr>
                <w:b/>
                <w:color w:val="C00000"/>
                <w:sz w:val="17"/>
              </w:rPr>
              <w:t>-11.0%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10,520</w:t>
            </w:r>
          </w:p>
        </w:tc>
        <w:tc>
          <w:tcPr>
            <w:tcW w:type="dxa" w:w="1440"/>
            <w:shd w:fill="FFDCE0" w:val="clear"/>
          </w:tcPr>
          <w:p>
            <w:r>
              <w:rPr>
                <w:b/>
                <w:sz w:val="17"/>
              </w:rPr>
              <w:t>11,465</w:t>
            </w:r>
          </w:p>
        </w:tc>
        <w:tc>
          <w:tcPr>
            <w:tcW w:type="dxa" w:w="1440"/>
            <w:shd w:fill="FFDCE0" w:val="clear"/>
          </w:tcPr>
          <w:p>
            <w:r>
              <w:rPr>
                <w:sz w:val="17"/>
              </w:rPr>
              <w:t>12,411</w:t>
            </w:r>
          </w:p>
        </w:tc>
        <w:tc>
          <w:tcPr>
            <w:tcW w:type="dxa" w:w="1440"/>
            <w:shd w:fill="FFDCE0" w:val="clear"/>
          </w:tcPr>
          <w:p>
            <w:r>
              <w:rPr>
                <w:b/>
                <w:color w:val="C00000"/>
                <w:sz w:val="17"/>
              </w:rPr>
              <w:t>-11.8%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10,362</w:t>
            </w:r>
          </w:p>
        </w:tc>
        <w:tc>
          <w:tcPr>
            <w:tcW w:type="dxa" w:w="1440"/>
            <w:shd w:fill="FFDCE0" w:val="clear"/>
          </w:tcPr>
          <w:p>
            <w:r>
              <w:rPr>
                <w:b/>
                <w:sz w:val="17"/>
              </w:rPr>
              <w:t>11,364</w:t>
            </w:r>
          </w:p>
        </w:tc>
        <w:tc>
          <w:tcPr>
            <w:tcW w:type="dxa" w:w="1440"/>
            <w:shd w:fill="FFDCE0" w:val="clear"/>
          </w:tcPr>
          <w:p>
            <w:r>
              <w:rPr>
                <w:sz w:val="17"/>
              </w:rPr>
              <w:t>12,366</w:t>
            </w:r>
          </w:p>
        </w:tc>
        <w:tc>
          <w:tcPr>
            <w:tcW w:type="dxa" w:w="1440"/>
            <w:shd w:fill="FFDCE0" w:val="clear"/>
          </w:tcPr>
          <w:p>
            <w:r>
              <w:rPr>
                <w:b/>
                <w:color w:val="C00000"/>
                <w:sz w:val="17"/>
              </w:rPr>
              <w:t>-12.6%</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10,217</w:t>
            </w:r>
          </w:p>
        </w:tc>
        <w:tc>
          <w:tcPr>
            <w:tcW w:type="dxa" w:w="1440"/>
            <w:shd w:fill="FFDCE0" w:val="clear"/>
          </w:tcPr>
          <w:p>
            <w:r>
              <w:rPr>
                <w:b/>
                <w:sz w:val="17"/>
              </w:rPr>
              <w:t>11,271</w:t>
            </w:r>
          </w:p>
        </w:tc>
        <w:tc>
          <w:tcPr>
            <w:tcW w:type="dxa" w:w="1440"/>
            <w:shd w:fill="FFDCE0" w:val="clear"/>
          </w:tcPr>
          <w:p>
            <w:r>
              <w:rPr>
                <w:sz w:val="17"/>
              </w:rPr>
              <w:t>12,325</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10,082</w:t>
            </w:r>
          </w:p>
        </w:tc>
        <w:tc>
          <w:tcPr>
            <w:tcW w:type="dxa" w:w="1440"/>
            <w:shd w:fill="FFDCE0" w:val="clear"/>
          </w:tcPr>
          <w:p>
            <w:r>
              <w:rPr>
                <w:b/>
                <w:sz w:val="17"/>
              </w:rPr>
              <w:t>11,185</w:t>
            </w:r>
          </w:p>
        </w:tc>
        <w:tc>
          <w:tcPr>
            <w:tcW w:type="dxa" w:w="1440"/>
            <w:shd w:fill="FFDCE0" w:val="clear"/>
          </w:tcPr>
          <w:p>
            <w:r>
              <w:rPr>
                <w:sz w:val="17"/>
              </w:rPr>
              <w:t>12,287</w:t>
            </w:r>
          </w:p>
        </w:tc>
        <w:tc>
          <w:tcPr>
            <w:tcW w:type="dxa" w:w="1440"/>
            <w:shd w:fill="FFDCE0" w:val="clear"/>
          </w:tcPr>
          <w:p>
            <w:r>
              <w:rPr>
                <w:b/>
                <w:color w:val="C00000"/>
                <w:sz w:val="17"/>
              </w:rPr>
              <w:t>-14.0%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28 avril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117 milliards FCFA, un niveau significatif qui positionne la société parmi les valeurs moyennes de la BRVM. Avec un BPA de 518 FCFA, le titre se négocie à un PER de 25,1x, soit plus du double de la moyenne historique du marché régional (8-12x). Cette prime substantielle suggère que les investisseurs intègrent des anticipations de croissance future, mais elle expose également le titre à un risque de correction si ces attentes ne se matérialisent pas. Le P/B de 5,93x confirme cette valorisation exigeante, le marché payant près de six fois la valeur comptable des actifs. Enfin, l'EV/EBITDA de 14,9x, dans le haut de la fourchette usuelle de 10-15x, indique que la valeur d'entreprise intègre une prime par rapport à la capacité bénéficiaire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SDCC a enregistré une progression spectaculaire de +75,68%, avec une dernière séance en hausse de +2,36% à 13 000 FCFA, son plus haut niveau sur la période. Le titre a évolué dans une fourchette très large de 7 140 à 13 000 FCFA, démontrant un fort appétit des investisseurs. La moyenne du cours sur la période (10 670 FCFA) est inférieure à la médiane (11 610 FCFA), et le skewness négatif (-1,008) indique que les journées de forte hausse ont été plus fréquentes, tirant le cours vers le haut. L'écart-type de 1 825 FCFA (CV de 17,1%) reflète une dispersion modérée, tandis que le kurtosis de -0,579 (mésokurtique) suggère une distribution proche de la normale, sans risque de pics extrêmes. La volatilité annualisée de 36,2% classe le titre dans la catégorie "élevée" (&gt;30%), signalant un risque de marché substantiel.</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(13 000 FCFA) se situe nettement au-dessus de la MM20 (11 972,5 FCFA) et de la MM50 (11 910,9 FCFA), confirmant une dynamique haussière de court et moyen terme. L'écart positif entre le cours et les moyennes indique une forte pression acheteuse, justifiant la décision d'achat.</w:t>
      </w:r>
    </w:p>
    <w:p>
      <w:pPr>
        <w:spacing w:after="120" w:line="276" w:lineRule="auto"/>
      </w:pPr>
      <w:r>
        <w:t>**Bandes de Bollinger** : Le prix a franchi la borne supérieure (12 753 FCFA), atteignant 13 000 FCFA. Cette sortie de canal signale une extension excessive du mouvement haussier et une volatilité accrue. Historiquement, un tel dépassement précède souvent une consolidation ou un repli technique, d'où le signal de vente.</w:t>
      </w:r>
    </w:p>
    <w:p>
      <w:pPr>
        <w:spacing w:after="120" w:line="276" w:lineRule="auto"/>
      </w:pPr>
      <w:r>
        <w:t>**MACD** : La valeur du MACD (215,9) est nettement supérieure à son signal (99,3), avec un écart positif croissant. Cette configuration indique un momentum haussier puissant et une accélération de la tendance. Le signal d'achat est donc pleinement justifié, bien que l'amplitude de l'écart puisse suggérer une certaine exubérance.</w:t>
      </w:r>
    </w:p>
    <w:p>
      <w:pPr>
        <w:spacing w:after="120" w:line="276" w:lineRule="auto"/>
      </w:pPr>
      <w:r>
        <w:t>**RSI** : À 76,3, le RSI se situe en zone de surachat (&gt;70), signalant que le titre est temporairement surévalué d'un point de vue technique. Cette lecture suggère un essoufflement potentiel de la dynamique acheteuse à court terme et justifie la décision de vente.</w:t>
      </w:r>
    </w:p>
    <w:p>
      <w:pPr>
        <w:spacing w:after="120" w:line="276" w:lineRule="auto"/>
      </w:pPr>
      <w:r>
        <w:t>**Stochastique** : Le %K et le %D sont tous deux à 100, un niveau extrême de surachat. Cette configuration reflète une pression acheteuse exceptionnelle mais insoutenable à court terme. Le signal de vente est donc cohérent avec une probabilité élevée de correction technique.</w:t>
      </w:r>
    </w:p>
    <w:p>
      <w:pPr>
        <w:spacing w:after="120" w:line="276" w:lineRule="auto"/>
      </w:pPr>
      <w:r>
        <w:t>**Conclusion technique** : Les indicateurs de tendance (MM, MACD) sont haussiers, mais les oscillateurs de momentum (RSI, Stochastique) et les bandes de Bollinger signalent un surachat extrême. Cette divergence indique une forte probabilité de consolidation ou de correction à court terme, malgré la tendance de fond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SDCC a réalisé un chiffre d'affaires de 189,430 milliards FCFA, en croissance de 10% par rapport à 2024 (172,2 milliards FCFA), et un résultat net de 4,663 milliards FCFA, en hausse de 31% (contre 3,6 milliards en 2024). Le ROE s'établit à un niveau excellent de 23,65%, tandis que le ROA reste faible à 0,99%, reflétant une lourdeur du bilan (472,7 milliards FCFA d'actifs). En tant qu'entreprise de distribution d'eau, le délai de recouvrement des créances clients est préoccupant à 749 jours, générant un BFR de 104,7 milliards FCFA et un free cash-flow négatif de -38,5 milliards FCFA. Le taux d'endettement est très élevé (95,8% des capitaux propres), avec une trésorerie nette négative de -61,7 milliards FCFA. Les rapports trimestriels montrent une amélioration nette : le T1 2026 (rapport du 31/12/2026) affiche un résultat net de 1,318 milliard FCFA (+118% vs T1 2025), porté par un résultat d'exploitation doublé à 2,73 milliards FCFA. Le rapport annuel 2025 (daté du 31/12/2025) confirme la solidité opérationnelle avec un EBE de 21,8 milliards FCFA (+21%) et un dividende proposé de 525 FCFA par action, soit un rendement d'environ 4% au cours actuel. Sur la base du T1 2026, on estime que l'exercice 2026 pourrait dépasser 5,5 milliards FCFA de résultat net, soit une croissance de 18% par rapport à 2025, si la tendance se maintient. La recommandation fondamentale est de conserver, les fondamentaux étant solides mais la valorisation exigeante et la trésorerie tendue.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(PER 25,1x, P/B 5,93x, EV/EBITDA 14,9x) indique une nette surévaluation par rapport aux moyennes de la BRVM, intégrant des anticipations de croissance déjà largement réalisées. Le comportement du cours (+75,68% sur 100 jours) avec une volatilité élevée (36,2%) et un skewness négatif suggère un mouvement spéculatif intense, désormais en zone de surachat technique (RSI 76,3, Stochastique 100%, sortie des bandes de Bollinger). Les fondamentaux sont solides avec une croissance du CA de 10% et du RN de 31% en 2025, et le T1 2026 confirme cette dynamique (+118% de RN), mais la trésorerie reste très tendue. Les prédictions IA pour les 10 prochains jours (12 284 à 11 690 FCFA) anticipent une correction de 10% par rapport au cours actuel, corroborant les signaux techniques de surachat. La convergence entre la surévaluation, les signaux techniques extrêmes et les prédictions IA baissières conduit à une recommandation de **VENTE** à court terme, avec un niveau de confiance **Moyen** et un risque global **Élevé**. L'horizon d'investissement optimal serait de moyen terme (3-12 mois), après une phase de correction permettant une entrée à des niveaux plus raisonnables (autour de 11 000-11 500 FCFA), où le PER se rapprocherait de 20x.</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149.70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17,298 titres</w:t>
            </w:r>
          </w:p>
        </w:tc>
        <w:tc>
          <w:tcPr>
            <w:tcW w:type="dxa" w:w="2268"/>
            <w:shd w:fill="FFF2CC" w:val="clear"/>
          </w:tcPr>
          <w:p>
            <w:r>
              <w:rPr>
                <w:b/>
                <w:color w:val="503200"/>
                <w:sz w:val="16"/>
              </w:rPr>
              <w:t xml:space="preserve">Cours actuel : </w:t>
            </w:r>
            <w:r>
              <w:rPr>
                <w:color w:val="000000"/>
                <w:sz w:val="17"/>
              </w:rPr>
              <w:t>2,750 FCFA</w:t>
            </w:r>
          </w:p>
          <w:p>
            <w:r>
              <w:rPr>
                <w:b/>
                <w:color w:val="503200"/>
                <w:sz w:val="16"/>
              </w:rPr>
              <w:t xml:space="preserve">Var. 100 jours : </w:t>
            </w:r>
            <w:r>
              <w:rPr>
                <w:b/>
                <w:color w:val="007800"/>
                <w:sz w:val="17"/>
              </w:rPr>
              <w:t>+48.25%</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17.69% (Élevée) — μ=2,213 FCFA, σ=391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β=0.4758 (Défensif) — Cov=0.000017, Var(idx)=0.000036, ρ=0.091,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17,298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2,553</w:t>
            </w:r>
          </w:p>
        </w:tc>
        <w:tc>
          <w:tcPr>
            <w:tcW w:type="dxa" w:w="1440"/>
            <w:shd w:fill="FAFAFA" w:val="clear"/>
          </w:tcPr>
          <w:p>
            <w:r>
              <w:rPr>
                <w:b/>
                <w:sz w:val="17"/>
              </w:rPr>
              <w:t>2,713</w:t>
            </w:r>
          </w:p>
        </w:tc>
        <w:tc>
          <w:tcPr>
            <w:tcW w:type="dxa" w:w="1440"/>
            <w:shd w:fill="FAFAFA" w:val="clear"/>
          </w:tcPr>
          <w:p>
            <w:r>
              <w:rPr>
                <w:sz w:val="17"/>
              </w:rPr>
              <w:t>2,873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2,452</w:t>
            </w:r>
          </w:p>
        </w:tc>
        <w:tc>
          <w:tcPr>
            <w:tcW w:type="dxa" w:w="1440"/>
            <w:shd w:fill="FFDCE0" w:val="clear"/>
          </w:tcPr>
          <w:p>
            <w:r>
              <w:rPr>
                <w:b/>
                <w:sz w:val="17"/>
              </w:rPr>
              <w:t>2,674</w:t>
            </w:r>
          </w:p>
        </w:tc>
        <w:tc>
          <w:tcPr>
            <w:tcW w:type="dxa" w:w="1440"/>
            <w:shd w:fill="FFDCE0" w:val="clear"/>
          </w:tcPr>
          <w:p>
            <w:r>
              <w:rPr>
                <w:sz w:val="17"/>
              </w:rPr>
              <w:t>2,897</w:t>
            </w:r>
          </w:p>
        </w:tc>
        <w:tc>
          <w:tcPr>
            <w:tcW w:type="dxa" w:w="1440"/>
            <w:shd w:fill="FFDCE0" w:val="clear"/>
          </w:tcPr>
          <w:p>
            <w:r>
              <w:rPr>
                <w:b/>
                <w:color w:val="C00000"/>
                <w:sz w:val="17"/>
              </w:rPr>
              <w:t>-2.8%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2,375</w:t>
            </w:r>
          </w:p>
        </w:tc>
        <w:tc>
          <w:tcPr>
            <w:tcW w:type="dxa" w:w="1440"/>
            <w:shd w:fill="FFDCE0" w:val="clear"/>
          </w:tcPr>
          <w:p>
            <w:r>
              <w:rPr>
                <w:b/>
                <w:sz w:val="17"/>
              </w:rPr>
              <w:t>2,644</w:t>
            </w:r>
          </w:p>
        </w:tc>
        <w:tc>
          <w:tcPr>
            <w:tcW w:type="dxa" w:w="1440"/>
            <w:shd w:fill="FFDCE0" w:val="clear"/>
          </w:tcPr>
          <w:p>
            <w:r>
              <w:rPr>
                <w:sz w:val="17"/>
              </w:rPr>
              <w:t>2,914</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2,312</w:t>
            </w:r>
          </w:p>
        </w:tc>
        <w:tc>
          <w:tcPr>
            <w:tcW w:type="dxa" w:w="1440"/>
            <w:shd w:fill="FFDCE0" w:val="clear"/>
          </w:tcPr>
          <w:p>
            <w:r>
              <w:rPr>
                <w:b/>
                <w:sz w:val="17"/>
              </w:rPr>
              <w:t>2,620</w:t>
            </w:r>
          </w:p>
        </w:tc>
        <w:tc>
          <w:tcPr>
            <w:tcW w:type="dxa" w:w="1440"/>
            <w:shd w:fill="FFDCE0" w:val="clear"/>
          </w:tcPr>
          <w:p>
            <w:r>
              <w:rPr>
                <w:sz w:val="17"/>
              </w:rPr>
              <w:t>2,929</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2,258</w:t>
            </w:r>
          </w:p>
        </w:tc>
        <w:tc>
          <w:tcPr>
            <w:tcW w:type="dxa" w:w="1440"/>
            <w:shd w:fill="FFDCE0" w:val="clear"/>
          </w:tcPr>
          <w:p>
            <w:r>
              <w:rPr>
                <w:b/>
                <w:sz w:val="17"/>
              </w:rPr>
              <w:t>2,600</w:t>
            </w:r>
          </w:p>
        </w:tc>
        <w:tc>
          <w:tcPr>
            <w:tcW w:type="dxa" w:w="1440"/>
            <w:shd w:fill="FFDCE0" w:val="clear"/>
          </w:tcPr>
          <w:p>
            <w:r>
              <w:rPr>
                <w:sz w:val="17"/>
              </w:rPr>
              <w:t>2,942</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2,209</w:t>
            </w:r>
          </w:p>
        </w:tc>
        <w:tc>
          <w:tcPr>
            <w:tcW w:type="dxa" w:w="1440"/>
            <w:shd w:fill="FFDCE0" w:val="clear"/>
          </w:tcPr>
          <w:p>
            <w:r>
              <w:rPr>
                <w:b/>
                <w:sz w:val="17"/>
              </w:rPr>
              <w:t>2,581</w:t>
            </w:r>
          </w:p>
        </w:tc>
        <w:tc>
          <w:tcPr>
            <w:tcW w:type="dxa" w:w="1440"/>
            <w:shd w:fill="FFDCE0" w:val="clear"/>
          </w:tcPr>
          <w:p>
            <w:r>
              <w:rPr>
                <w:sz w:val="17"/>
              </w:rPr>
              <w:t>2,953</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2,164</w:t>
            </w:r>
          </w:p>
        </w:tc>
        <w:tc>
          <w:tcPr>
            <w:tcW w:type="dxa" w:w="1440"/>
            <w:shd w:fill="FFDCE0" w:val="clear"/>
          </w:tcPr>
          <w:p>
            <w:r>
              <w:rPr>
                <w:b/>
                <w:sz w:val="17"/>
              </w:rPr>
              <w:t>2,563</w:t>
            </w:r>
          </w:p>
        </w:tc>
        <w:tc>
          <w:tcPr>
            <w:tcW w:type="dxa" w:w="1440"/>
            <w:shd w:fill="FFDCE0" w:val="clear"/>
          </w:tcPr>
          <w:p>
            <w:r>
              <w:rPr>
                <w:sz w:val="17"/>
              </w:rPr>
              <w:t>2,963</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2,122</w:t>
            </w:r>
          </w:p>
        </w:tc>
        <w:tc>
          <w:tcPr>
            <w:tcW w:type="dxa" w:w="1440"/>
            <w:shd w:fill="FFDCE0" w:val="clear"/>
          </w:tcPr>
          <w:p>
            <w:r>
              <w:rPr>
                <w:b/>
                <w:sz w:val="17"/>
              </w:rPr>
              <w:t>2,546</w:t>
            </w:r>
          </w:p>
        </w:tc>
        <w:tc>
          <w:tcPr>
            <w:tcW w:type="dxa" w:w="1440"/>
            <w:shd w:fill="FFDCE0" w:val="clear"/>
          </w:tcPr>
          <w:p>
            <w:r>
              <w:rPr>
                <w:sz w:val="17"/>
              </w:rPr>
              <w:t>2,970</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2,083</w:t>
            </w:r>
          </w:p>
        </w:tc>
        <w:tc>
          <w:tcPr>
            <w:tcW w:type="dxa" w:w="1440"/>
            <w:shd w:fill="FFDCE0" w:val="clear"/>
          </w:tcPr>
          <w:p>
            <w:r>
              <w:rPr>
                <w:b/>
                <w:sz w:val="17"/>
              </w:rPr>
              <w:t>2,530</w:t>
            </w:r>
          </w:p>
        </w:tc>
        <w:tc>
          <w:tcPr>
            <w:tcW w:type="dxa" w:w="1440"/>
            <w:shd w:fill="FFDCE0" w:val="clear"/>
          </w:tcPr>
          <w:p>
            <w:r>
              <w:rPr>
                <w:sz w:val="17"/>
              </w:rPr>
              <w:t>2,977</w:t>
            </w:r>
          </w:p>
        </w:tc>
        <w:tc>
          <w:tcPr>
            <w:tcW w:type="dxa" w:w="1440"/>
            <w:shd w:fill="FFDCE0" w:val="clear"/>
          </w:tcPr>
          <w:p>
            <w:r>
              <w:rPr>
                <w:b/>
                <w:color w:val="C00000"/>
                <w:sz w:val="17"/>
              </w:rPr>
              <w:t>-8.0%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2,046</w:t>
            </w:r>
          </w:p>
        </w:tc>
        <w:tc>
          <w:tcPr>
            <w:tcW w:type="dxa" w:w="1440"/>
            <w:shd w:fill="FFDCE0" w:val="clear"/>
          </w:tcPr>
          <w:p>
            <w:r>
              <w:rPr>
                <w:b/>
                <w:sz w:val="17"/>
              </w:rPr>
              <w:t>2,514</w:t>
            </w:r>
          </w:p>
        </w:tc>
        <w:tc>
          <w:tcPr>
            <w:tcW w:type="dxa" w:w="1440"/>
            <w:shd w:fill="FFDCE0" w:val="clear"/>
          </w:tcPr>
          <w:p>
            <w:r>
              <w:rPr>
                <w:sz w:val="17"/>
              </w:rPr>
              <w:t>2,982</w:t>
            </w:r>
          </w:p>
        </w:tc>
        <w:tc>
          <w:tcPr>
            <w:tcW w:type="dxa" w:w="1440"/>
            <w:shd w:fill="FFDCE0" w:val="clear"/>
          </w:tcPr>
          <w:p>
            <w:r>
              <w:rPr>
                <w:b/>
                <w:color w:val="C00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COTE D'IVOIRE)**</w:t>
        <w:br/>
        <w:t>**Date : 28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149,70 milliards FCFA, un niveau significatif qui la positionne parmi les valeurs moyennes de la cote BRVM. Avec un BPA de 387 FCFA, le titre se négocie à un PER de 7,1x, inférieur à la moyenne historique de la place (~8-12x), ce qui suggère une sous-évaluation relative du bénéfice par action. Le P/B de 1,92x indique que le marché valorise la société à près de deux fois ses capitaux propres, une décote par rapport à certaines valeurs comparables, mais un niveau jugé raisonnable. En revanche, l'EV/EBITDA de 32,3x est particulièrement exigeant, signalant que la valeur d'entreprise intègre une prime élevée pour la capacité opérationnelle, probablement en raison de la trésorerie abondante et des actifs stratégiques. Ces ratios contrastés traduisent une valorisation mitigée, entre un PER attractif et un EV/EBITDA pénalisant.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+48,25%, avec une dernière séance en hausse de +4,36% pour clôturer à 2 750 FCFA. Le titre a évolué dans une fourchette large de 1 650 à 2 820 FCFA, démontrant une forte dynamique haussière. La moyenne du cours sur la période (2 213 FCFA) est inférieure à la médiane (2 245 FCFA), indiquant une distribution légèrement asymétrique avec des épisodes de forte hausse récents. L'écart-type de 393 FCFA (CV de 17,8%) révèle une dispersion modérée, tandis que le kurtosis de -1,571 (platykurtique) suggère une distribution aplatie, sans pics extrêmes, et un skewness proche de zéro (0,090) confirme une symétrie globale. La volatilité annualisée de 49,9% classe le titre comme très volatil (&gt;30%), un niveau élevé qui implique des fluctuations importantes et un risque accru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(2 750 FCFA) se situe nettement au-dessus de la MM20 (2 663 FCFA) et de la MM50 (2 570,7 FCFA), confirmant une tendance haussière solide. La configuration des moyennes mobiles, avec le cours au-dessus des deux, génère un signal d'achat, indiquant que la dynamique positive est soutenue à court et moyen terme.</w:t>
      </w:r>
    </w:p>
    <w:p>
      <w:pPr>
        <w:spacing w:after="120" w:line="276" w:lineRule="auto"/>
      </w:pPr>
      <w:r>
        <w:t>**Bandes de Bollinger** : Le prix évolue entre la borne inférieure (2 446,6 FCFA) et la borne supérieure (2 879,4 FCFA), proche de cette dernière. Cette position suggère une pression acheteuse soutenue, mais le signal est neutre car le cours n'a pas encore franchi la borne supérieure, ce qui pourrait indiquer une consolidation imminente après une phase de hausse rapide.</w:t>
      </w:r>
    </w:p>
    <w:p>
      <w:pPr>
        <w:spacing w:after="120" w:line="276" w:lineRule="auto"/>
      </w:pPr>
      <w:r>
        <w:t>**MACD** : La valeur du MACD (38,815) est inférieure à son signal (49,834), générant un signal de vente. Cette divergence négative, malgré un momentum positif sous-jacent, indique un essoufflement potentiel de la dynamique haussière à court terme, appelant à la prudence.</w:t>
      </w:r>
    </w:p>
    <w:p>
      <w:pPr>
        <w:spacing w:after="120" w:line="276" w:lineRule="auto"/>
      </w:pPr>
      <w:r>
        <w:t>**RSI** : Le RSI s'établit à 60,476, dans la zone neutre (30-70), sans signal de surachat ni de survente. Cette valeur suggère que le titre conserve un potentiel haussier, mais avec une pression acheteuse modérée, laissant place à une possible poursuite de la tendance.</w:t>
      </w:r>
    </w:p>
    <w:p>
      <w:pPr>
        <w:spacing w:after="120" w:line="276" w:lineRule="auto"/>
      </w:pPr>
      <w:r>
        <w:t>**Stochastique** : Le %K (80,851) est nettement supérieur au %D (55,688), indiquant une zone de surachat. Le croisement des deux lignes, avec %K au-dessus de %D, génère un signal de vente, signalant un risque de retournement ou de consolidation après une montée rapide.</w:t>
      </w:r>
    </w:p>
    <w:p>
      <w:pPr>
        <w:spacing w:after="120" w:line="276" w:lineRule="auto"/>
      </w:pPr>
      <w:r>
        <w:t>**Conclusion technique** : Les indicateurs sont mitigés : les moyennes mobiles et le RSI soutiennent une tendance haussière, tandis que le MACD et le stochastique suggèrent un essoufflement. La proximité de la borne supérieure de Bollinger renforce la prudence. Globalement, le titre est en tendance haussière mais pourrait connaître un repli technique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de 24,6%. Le ROE de 27,08% et le ROA de 11,20% témoignent d'une excellente rentabilité des fonds propres et des actifs, bien au-dessus des seuils de référence. Le bilan est solide avec des capitaux propres de 77,808 milliards FCFA et une trésorerie nette de 15,617 milliards FCFA. Cependant, le délai clients de 466,94 jours est préoccupant, indiquant un risque de trésorerie élevé, tandis que le BFR de 17,874 milliards FCFA reflète des besoins de financement importants. Les rapports trimestriels 2025 montrent une dégradation marquée : le résultat net du T1 2025 est de -193 millions FCFA, et le S1 2025 affiche une perte de -427 millions FCFA, avec un résultat d'exploitation négatif. Le rapport annuel 2025 (provisoire) confirme cette tendance, avec un résultat net de 784,97 millions FCFA, en chute de 96% par rapport à 2024, et une marge nette de 0,85%. Cette dégradation est attribuée à la hausse des dotations et à l'absence de dividendes des filiales. Sur la base de ces données, on estime que l'exercice 2026 pourrait voir une stabilisation si les charges sont maîtrisées, mais la rentabilité reste fragile. La recommandation fondamentale est de conserver, avec une vigilance accrue sur la capacité à restaurer les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SDSC est contrastée : le PER de 7,1x suggère une sous-évaluation, mais l'EV/EBITDA de 32,3x et le P/B de 1,92x indiquent une prime sur la valeur comptable et opérationnelle. Le comportement du cours est très favorable avec une hausse de +48,25% sur 100 jours, mais la volatilité élevée (49,9%) et le kurtosis platykurtique signalent des risques de fluctuations brutales. Les signaux techniques sont mitigés, avec une tendance haussière soutenue par les moyennes mobiles, mais des indicateurs de momentum (MACD, stochastique) en zone de surachat suggérant un repli possible. Fondamentalement, la solidité du bilan (ROE de 27% en 2024) contraste avec la chute récente de la rentabilité (marge nette de 0,85% en 2025), créant une incertitude sur la pérennité des performances. Les prédictions IA pour les 10 prochains jours (baisse de 2 750 à 2 600 FCFA) confirment un scénario de correction technique. En synthèse, la convergence entre les signaux techniques baissiers et les fondamentaux dégradés, malgré une valorisation attractive, conduit à une recommandation de **CONSERVER** avec un niveau de confiance **Moyen** et un risque global **Élevé**. L'horizon d'investissement optimal serait à moyen terme (3-12 mois), en attendant une clarification de la stratégie de redressement et une amélioration des marges opérationnelles.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5,822 titres</w:t>
            </w:r>
          </w:p>
        </w:tc>
        <w:tc>
          <w:tcPr>
            <w:tcW w:type="dxa" w:w="2268"/>
            <w:shd w:fill="FFF2CC" w:val="clear"/>
          </w:tcPr>
          <w:p>
            <w:r>
              <w:rPr>
                <w:b/>
                <w:color w:val="503200"/>
                <w:sz w:val="16"/>
              </w:rPr>
              <w:t xml:space="preserve">Cours actuel : </w:t>
            </w:r>
            <w:r>
              <w:rPr>
                <w:color w:val="000000"/>
                <w:sz w:val="17"/>
              </w:rPr>
              <w:t>1,500 FCFA</w:t>
            </w:r>
          </w:p>
          <w:p>
            <w:r>
              <w:rPr>
                <w:b/>
                <w:color w:val="503200"/>
                <w:sz w:val="16"/>
              </w:rPr>
              <w:t xml:space="preserve">Var. 100 jours : </w:t>
            </w:r>
            <w:r>
              <w:rPr>
                <w:b/>
                <w:color w:val="B40000"/>
                <w:sz w:val="17"/>
              </w:rPr>
              <w:t>-21.05%</w:t>
            </w:r>
          </w:p>
          <w:p>
            <w:r>
              <w:rPr>
                <w:b/>
                <w:color w:val="503200"/>
                <w:sz w:val="16"/>
              </w:rPr>
              <w:t xml:space="preserve">Plus haut 100j : </w:t>
            </w:r>
            <w:r>
              <w:rPr>
                <w:color w:val="000000"/>
                <w:sz w:val="17"/>
              </w:rPr>
              <w:t>1,985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8.66% (Moyenne) — μ=1,566 FCFA, σ=136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β=1.3774 (Agressif) — Cov=0.000050, Var(idx)=0.000036, ρ=0.263,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1,389</w:t>
            </w:r>
          </w:p>
        </w:tc>
        <w:tc>
          <w:tcPr>
            <w:tcW w:type="dxa" w:w="1440"/>
            <w:shd w:fill="FFDCE0" w:val="clear"/>
          </w:tcPr>
          <w:p>
            <w:r>
              <w:rPr>
                <w:b/>
                <w:sz w:val="17"/>
              </w:rPr>
              <w:t>1,459</w:t>
            </w:r>
          </w:p>
        </w:tc>
        <w:tc>
          <w:tcPr>
            <w:tcW w:type="dxa" w:w="1440"/>
            <w:shd w:fill="FFDCE0" w:val="clear"/>
          </w:tcPr>
          <w:p>
            <w:r>
              <w:rPr>
                <w:sz w:val="17"/>
              </w:rPr>
              <w:t>1,529</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1,347</w:t>
            </w:r>
          </w:p>
        </w:tc>
        <w:tc>
          <w:tcPr>
            <w:tcW w:type="dxa" w:w="1440"/>
            <w:shd w:fill="FFDCE0" w:val="clear"/>
          </w:tcPr>
          <w:p>
            <w:r>
              <w:rPr>
                <w:b/>
                <w:sz w:val="17"/>
              </w:rPr>
              <w:t>1,445</w:t>
            </w:r>
          </w:p>
        </w:tc>
        <w:tc>
          <w:tcPr>
            <w:tcW w:type="dxa" w:w="1440"/>
            <w:shd w:fill="FFDCE0" w:val="clear"/>
          </w:tcPr>
          <w:p>
            <w:r>
              <w:rPr>
                <w:sz w:val="17"/>
              </w:rPr>
              <w:t>1,544</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1,312</w:t>
            </w:r>
          </w:p>
        </w:tc>
        <w:tc>
          <w:tcPr>
            <w:tcW w:type="dxa" w:w="1440"/>
            <w:shd w:fill="FFDCE0" w:val="clear"/>
          </w:tcPr>
          <w:p>
            <w:r>
              <w:rPr>
                <w:b/>
                <w:sz w:val="17"/>
              </w:rPr>
              <w:t>1,431</w:t>
            </w:r>
          </w:p>
        </w:tc>
        <w:tc>
          <w:tcPr>
            <w:tcW w:type="dxa" w:w="1440"/>
            <w:shd w:fill="FFDCE0" w:val="clear"/>
          </w:tcPr>
          <w:p>
            <w:r>
              <w:rPr>
                <w:sz w:val="17"/>
              </w:rPr>
              <w:t>1,550</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1,281</w:t>
            </w:r>
          </w:p>
        </w:tc>
        <w:tc>
          <w:tcPr>
            <w:tcW w:type="dxa" w:w="1440"/>
            <w:shd w:fill="FFDCE0" w:val="clear"/>
          </w:tcPr>
          <w:p>
            <w:r>
              <w:rPr>
                <w:b/>
                <w:sz w:val="17"/>
              </w:rPr>
              <w:t>1,417</w:t>
            </w:r>
          </w:p>
        </w:tc>
        <w:tc>
          <w:tcPr>
            <w:tcW w:type="dxa" w:w="1440"/>
            <w:shd w:fill="FFDCE0" w:val="clear"/>
          </w:tcPr>
          <w:p>
            <w:r>
              <w:rPr>
                <w:sz w:val="17"/>
              </w:rPr>
              <w:t>1,553</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1,253</w:t>
            </w:r>
          </w:p>
        </w:tc>
        <w:tc>
          <w:tcPr>
            <w:tcW w:type="dxa" w:w="1440"/>
            <w:shd w:fill="FFDCE0" w:val="clear"/>
          </w:tcPr>
          <w:p>
            <w:r>
              <w:rPr>
                <w:b/>
                <w:sz w:val="17"/>
              </w:rPr>
              <w:t>1,403</w:t>
            </w:r>
          </w:p>
        </w:tc>
        <w:tc>
          <w:tcPr>
            <w:tcW w:type="dxa" w:w="1440"/>
            <w:shd w:fill="FFDCE0" w:val="clear"/>
          </w:tcPr>
          <w:p>
            <w:r>
              <w:rPr>
                <w:sz w:val="17"/>
              </w:rPr>
              <w:t>1,554</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1,226</w:t>
            </w:r>
          </w:p>
        </w:tc>
        <w:tc>
          <w:tcPr>
            <w:tcW w:type="dxa" w:w="1440"/>
            <w:shd w:fill="FFDCE0" w:val="clear"/>
          </w:tcPr>
          <w:p>
            <w:r>
              <w:rPr>
                <w:b/>
                <w:sz w:val="17"/>
              </w:rPr>
              <w:t>1,390</w:t>
            </w:r>
          </w:p>
        </w:tc>
        <w:tc>
          <w:tcPr>
            <w:tcW w:type="dxa" w:w="1440"/>
            <w:shd w:fill="FFDCE0" w:val="clear"/>
          </w:tcPr>
          <w:p>
            <w:r>
              <w:rPr>
                <w:sz w:val="17"/>
              </w:rPr>
              <w:t>1,553</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1,201</w:t>
            </w:r>
          </w:p>
        </w:tc>
        <w:tc>
          <w:tcPr>
            <w:tcW w:type="dxa" w:w="1440"/>
            <w:shd w:fill="FFDCE0" w:val="clear"/>
          </w:tcPr>
          <w:p>
            <w:r>
              <w:rPr>
                <w:b/>
                <w:sz w:val="17"/>
              </w:rPr>
              <w:t>1,376</w:t>
            </w:r>
          </w:p>
        </w:tc>
        <w:tc>
          <w:tcPr>
            <w:tcW w:type="dxa" w:w="1440"/>
            <w:shd w:fill="FFDCE0" w:val="clear"/>
          </w:tcPr>
          <w:p>
            <w:r>
              <w:rPr>
                <w:sz w:val="17"/>
              </w:rPr>
              <w:t>1,551</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1,178</w:t>
            </w:r>
          </w:p>
        </w:tc>
        <w:tc>
          <w:tcPr>
            <w:tcW w:type="dxa" w:w="1440"/>
            <w:shd w:fill="FFDCE0" w:val="clear"/>
          </w:tcPr>
          <w:p>
            <w:r>
              <w:rPr>
                <w:b/>
                <w:sz w:val="17"/>
              </w:rPr>
              <w:t>1,363</w:t>
            </w:r>
          </w:p>
        </w:tc>
        <w:tc>
          <w:tcPr>
            <w:tcW w:type="dxa" w:w="1440"/>
            <w:shd w:fill="FFDCE0" w:val="clear"/>
          </w:tcPr>
          <w:p>
            <w:r>
              <w:rPr>
                <w:sz w:val="17"/>
              </w:rPr>
              <w:t>1,548</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1,156</w:t>
            </w:r>
          </w:p>
        </w:tc>
        <w:tc>
          <w:tcPr>
            <w:tcW w:type="dxa" w:w="1440"/>
            <w:shd w:fill="FFDCE0" w:val="clear"/>
          </w:tcPr>
          <w:p>
            <w:r>
              <w:rPr>
                <w:b/>
                <w:sz w:val="17"/>
              </w:rPr>
              <w:t>1,351</w:t>
            </w:r>
          </w:p>
        </w:tc>
        <w:tc>
          <w:tcPr>
            <w:tcW w:type="dxa" w:w="1440"/>
            <w:shd w:fill="FFDCE0" w:val="clear"/>
          </w:tcPr>
          <w:p>
            <w:r>
              <w:rPr>
                <w:sz w:val="17"/>
              </w:rPr>
              <w:t>1,545</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1,135</w:t>
            </w:r>
          </w:p>
        </w:tc>
        <w:tc>
          <w:tcPr>
            <w:tcW w:type="dxa" w:w="1440"/>
            <w:shd w:fill="FFDCE0" w:val="clear"/>
          </w:tcPr>
          <w:p>
            <w:r>
              <w:rPr>
                <w:b/>
                <w:sz w:val="17"/>
              </w:rPr>
              <w:t>1,338</w:t>
            </w:r>
          </w:p>
        </w:tc>
        <w:tc>
          <w:tcPr>
            <w:tcW w:type="dxa" w:w="1440"/>
            <w:shd w:fill="FFDCE0" w:val="clear"/>
          </w:tcPr>
          <w:p>
            <w:r>
              <w:rPr>
                <w:sz w:val="17"/>
              </w:rPr>
              <w:t>1,542</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37,78 milliards FCFA, un niveau modeste qui la classe parmi les valeurs moyennes de la cote BRVM. Les ratios de valorisation traditionnels (BPA, PER, P/B, EV/EBITDA) ne sont pas calculables en raison de l'absence de données financières structurées dans la base, ce qui limite la comparaison directe avec les références du marché (PER moyen BRVM de 8 à 12x). Cette absence s'explique par la situation particulière de la société, dont le cours a subi une forte correction (-21% sur 100 jours) et qui traverse une phase de restructuration actionnariale avec le rachat par Sonoco Products Company. L'investisseur doit donc s'appuyer sur les données issues des rapports financiers narratifs et sur l'analyse technique pour évaluer l'attractivité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SEMC affiche une variation totale de -21,05%, passant de son plus haut à 1 985 FCFA à son plus bas à 1 350 FCFA, soit une amplitude de 635 FCFA. Le cours actuel de 1 500 FCFA se situe dans la partie basse de cette fourchette, traduisant une tendance baissière marquée, malgré un rebond de +3,45% lors de la dernière séance. La moyenne du cours sur la période (1 566 FCFA) est supérieure à la médiane (1 525 FCFA), indiquant une distribution asymétrique positive (skewness de 1,550) où les journées sous la moyenne sont plus fréquentes mais de moindre ampleur que les rares fortes hausses. L'écart-type de 136 FCFA (CV de 8,7%) révèle une dispersion modérée, mais le kurtosis de 1,918 signale un risque de mouvements extrêmes. La volatilité annualisée de 49,9% classe SEMC parmi les titres à risque élevé, très au-dessus du seuil de 30%.</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(1 506,5 FCFA) et MM50 (1 500,6 FCFA) sont quasiment confondues et se situent très près du cours actuel (1 500 FCFA). Le signal d'achat généré par ces moyennes traduit une stabilisation après la chute, le cours ayant réussi à se maintenir au-dessus de ces niveaux clés. Cette configuration suggère un potentiel de rebond technique, mais la faiblesse des volumes moyens (5 822 titres/jour) limite la portée de ce signal.</w:t>
      </w:r>
    </w:p>
    <w:p>
      <w:pPr>
        <w:spacing w:after="120" w:line="276" w:lineRule="auto"/>
      </w:pPr>
      <w:r>
        <w:t>**Bandes de Bollinger** : Le cours se positionne à 1 500 FCFA, entre la borne inférieure (1 414,8 FCFA) et la borne supérieure (1 598,2 FCFA), avec une largeur de bandes de 183 FCFA reflétant une volatilité encore élevée. La décision neutre indique que le titre n'est ni suracheté ni survendu, mais la proximité de la borne inférieure suggère un potentiel de rebond si le support tient.</w:t>
      </w:r>
    </w:p>
    <w:p>
      <w:pPr>
        <w:spacing w:after="120" w:line="276" w:lineRule="auto"/>
      </w:pPr>
      <w:r>
        <w:t>**MACD** : La valeur du MACD (6,196) est inférieure à son signal (9,659), générant un signal de vente. Cette configuration baissière indique un momentum négatif, bien que la faiblesse des valeurs absolues suggère un ralentissement de la dynamique baissière. Le croisement sous le zéro reste à surveiller pour confirmer une éventuelle inversion de tendance.</w:t>
      </w:r>
    </w:p>
    <w:p>
      <w:pPr>
        <w:spacing w:after="120" w:line="276" w:lineRule="auto"/>
      </w:pPr>
      <w:r>
        <w:t>**RSI** : À 56,79, le RSI se situe en zone neutre (30-70), indiquant un équilibre entre pressions acheteuses et vendeuses. Cette valeur ne montre ni surachat ni survente, laissant place à une interprétation prudente. Le RSI n'apporte donc pas de signal directionnel fort, mais sa position au-dessus de 50 suggère un léger biais haussier.</w:t>
      </w:r>
    </w:p>
    <w:p>
      <w:pPr>
        <w:spacing w:after="120" w:line="276" w:lineRule="auto"/>
      </w:pPr>
      <w:r>
        <w:t>**Stochastique** : Le %K (33,33) est supérieur au %D (24,01), indiquant un croisement haussier potentiel en zone de survente. Cette configuration, bien que précoce, pourrait signaler un début de retournement à court terme. La prudence reste de mise tant que le %K ne dépasse pas la zone des 50.</w:t>
      </w:r>
    </w:p>
    <w:p>
      <w:pPr>
        <w:spacing w:after="120" w:line="276" w:lineRule="auto"/>
      </w:pPr>
      <w:r>
        <w:t>**Conclusion technique** : La convergence des indicateurs est mitigée : les moyennes mobiles et le stochastique suggèrent un potentiel de rebond, tandis que le MACD reste vendeur et le RSI neutre. Cette divergence reflète une phase de transition où le titre tente de stabiliser après une forte baisse. La décision d'achat des MM est contrebalancée par le signal vendeur du MACD, justifiant une approche prudente.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fournissent des informations essentielles. Le rapport du 31/12/2024 (analysé le 15/03/2026) indique pour l'exercice 2023 un chiffre d'affaires de 27,88 milliards FCFA, en baisse de 6% par rapport à 2022 (29,60 milliards FCFA), et un résultat net de 1,01 milliard FCFA, en chute de 74% (contre 3,86 milliards FCFA en 2022). La marge nette s'est effondrée à 3,6% (contre 13% en 2022), avec une marge d'exploitation de 6,9%. Le rapport du 31/12/2023 (analysé le 15/03/2026) présente des chiffres différents avec un CA consolidé de 125,4 milliards FCFA et un résultat net de 12,8 milliards FCFA pour 2023, mais ces données semblent concerner la maison mère Eviosys et non la filiale SEMC. Le rapport du 31/12/2023 (T1) montre un CA de 7,65 milliards FCFA (+16,5%) et un bénéfice net de 855,65 millions FCFA (+37,9%) au premier trimestre 2023, avec une marge nette de 11,2%. Le rapport du 31/12/2022 indique un CA de 125,4 milliards FCFA et un résultat net de 12,8 milliards FCFA pour 2022, mais ces chiffres semblent également consolidés au niveau du groupe. Sur la base du T1 2023, on estime que l'exercice 2023 aurait pu atteindre un CA annuel d'environ 30 milliards FCFA si la tendance s'était maintenue, mais la dégradation constatée sur l'ensemble de l'année (CA de 27,88 milliards FCFA) montre un ralentissement significatif. La société traverse une phase critique avec la suspension de la cote BRVM depuis janvier 2024 (flottant insuffisant de 10,42% contre 15% requis), l'absence de dividende depuis 2022, et le rachat par Sonoco finalisé en décembre 2024. Les perspectives 2024 visent un CA de 32 milliards FCFA (+18%), portées par les bouchons couronnes (+61% en volume) et les exportations, avec une trésorerie de 3,35 milliards FCFA pour financer la relance.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complexe pour SEMC. La valorisation boursière (37,78 milliards FCFA) ne peut être comparée aux références du marché faute de ratios calculables, mais la capitalisation semble faible au regard des actifs de la société. Le comportement du cours sur 100 jours est préoccupant avec une baisse de 21%, une volatilité annualisée de 49,9% et un kurtosis élevé signalant des risques de mouvements brusques, bien que le rebond de +3,45% à J-1 et la stabilisation au-dessus des moyennes mobiles suggèrent un potentiel de retournement. Les signaux techniques sont mitigés : les MM20/MM50 indiquent un achat, le MACD reste vendeur, tandis que le RSI et le stochastique sont neutres avec une légère tendance haussière. Les fondamentaux montrent une dégradation marquée en 2023 (CA -6%, résultat net -74%, marge nette à 3,6%), mais les perspectives 2024 (objectif CA +18%) et l'arrivée de Sonoco offrent des leviers de relance. Les prédictions IA pour les 10 prochains jours (1 459 à 1 403 FCFA) confirment une tendance baissière à court terme, contredisant les signaux techniques de stabilisation. Cette divergence entre les prédictions baissières et les signaux techniques mitigés justifie une recommandation de **CONSERVER** avec un niveau de confiance **Moyen** et un risque global **Élevé**. L'horizon d'investissement optimal serait le **moyen terme (3-12 mois)**, en attendant la levée de la suspension BRVM et les premiers effets du plan de relance 2024.</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5,098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+10.14%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5.65% (Moyenne) — μ=37,024 FCFA, σ=2,093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β=0.6865 (Défensif) — Cov=0.000025, Var(idx)=0.000036, ρ=0.263,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37,241</w:t>
            </w:r>
          </w:p>
        </w:tc>
        <w:tc>
          <w:tcPr>
            <w:tcW w:type="dxa" w:w="1440"/>
            <w:shd w:fill="FAFAFA" w:val="clear"/>
          </w:tcPr>
          <w:p>
            <w:r>
              <w:rPr>
                <w:b/>
                <w:sz w:val="17"/>
              </w:rPr>
              <w:t>38,096</w:t>
            </w:r>
          </w:p>
        </w:tc>
        <w:tc>
          <w:tcPr>
            <w:tcW w:type="dxa" w:w="1440"/>
            <w:shd w:fill="FAFAFA" w:val="clear"/>
          </w:tcPr>
          <w:p>
            <w:r>
              <w:rPr>
                <w:sz w:val="17"/>
              </w:rPr>
              <w:t>38,951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36,801</w:t>
            </w:r>
          </w:p>
        </w:tc>
        <w:tc>
          <w:tcPr>
            <w:tcW w:type="dxa" w:w="1440"/>
            <w:shd w:fill="FAFAFA" w:val="clear"/>
          </w:tcPr>
          <w:p>
            <w:r>
              <w:rPr>
                <w:b/>
                <w:sz w:val="17"/>
              </w:rPr>
              <w:t>38,007</w:t>
            </w:r>
          </w:p>
        </w:tc>
        <w:tc>
          <w:tcPr>
            <w:tcW w:type="dxa" w:w="1440"/>
            <w:shd w:fill="FAFAFA" w:val="clear"/>
          </w:tcPr>
          <w:p>
            <w:r>
              <w:rPr>
                <w:sz w:val="17"/>
              </w:rPr>
              <w:t>39,213</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36,452</w:t>
            </w:r>
          </w:p>
        </w:tc>
        <w:tc>
          <w:tcPr>
            <w:tcW w:type="dxa" w:w="1440"/>
            <w:shd w:fill="FAFAFA" w:val="clear"/>
          </w:tcPr>
          <w:p>
            <w:r>
              <w:rPr>
                <w:b/>
                <w:sz w:val="17"/>
              </w:rPr>
              <w:t>37,926</w:t>
            </w:r>
          </w:p>
        </w:tc>
        <w:tc>
          <w:tcPr>
            <w:tcW w:type="dxa" w:w="1440"/>
            <w:shd w:fill="FAFAFA" w:val="clear"/>
          </w:tcPr>
          <w:p>
            <w:r>
              <w:rPr>
                <w:sz w:val="17"/>
              </w:rPr>
              <w:t>39,400</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36,149</w:t>
            </w:r>
          </w:p>
        </w:tc>
        <w:tc>
          <w:tcPr>
            <w:tcW w:type="dxa" w:w="1440"/>
            <w:shd w:fill="FAFAFA" w:val="clear"/>
          </w:tcPr>
          <w:p>
            <w:r>
              <w:rPr>
                <w:b/>
                <w:sz w:val="17"/>
              </w:rPr>
              <w:t>37,847</w:t>
            </w:r>
          </w:p>
        </w:tc>
        <w:tc>
          <w:tcPr>
            <w:tcW w:type="dxa" w:w="1440"/>
            <w:shd w:fill="FAFAFA" w:val="clear"/>
          </w:tcPr>
          <w:p>
            <w:r>
              <w:rPr>
                <w:sz w:val="17"/>
              </w:rPr>
              <w:t>39,546</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35,875</w:t>
            </w:r>
          </w:p>
        </w:tc>
        <w:tc>
          <w:tcPr>
            <w:tcW w:type="dxa" w:w="1440"/>
            <w:shd w:fill="FAFAFA" w:val="clear"/>
          </w:tcPr>
          <w:p>
            <w:r>
              <w:rPr>
                <w:b/>
                <w:sz w:val="17"/>
              </w:rPr>
              <w:t>37,770</w:t>
            </w:r>
          </w:p>
        </w:tc>
        <w:tc>
          <w:tcPr>
            <w:tcW w:type="dxa" w:w="1440"/>
            <w:shd w:fill="FAFAFA" w:val="clear"/>
          </w:tcPr>
          <w:p>
            <w:r>
              <w:rPr>
                <w:sz w:val="17"/>
              </w:rPr>
              <w:t>39,665</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35,621</w:t>
            </w:r>
          </w:p>
        </w:tc>
        <w:tc>
          <w:tcPr>
            <w:tcW w:type="dxa" w:w="1440"/>
            <w:shd w:fill="FAFAFA" w:val="clear"/>
          </w:tcPr>
          <w:p>
            <w:r>
              <w:rPr>
                <w:b/>
                <w:sz w:val="17"/>
              </w:rPr>
              <w:t>37,693</w:t>
            </w:r>
          </w:p>
        </w:tc>
        <w:tc>
          <w:tcPr>
            <w:tcW w:type="dxa" w:w="1440"/>
            <w:shd w:fill="FAFAFA" w:val="clear"/>
          </w:tcPr>
          <w:p>
            <w:r>
              <w:rPr>
                <w:sz w:val="17"/>
              </w:rPr>
              <w:t>39,764</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35,383</w:t>
            </w:r>
          </w:p>
        </w:tc>
        <w:tc>
          <w:tcPr>
            <w:tcW w:type="dxa" w:w="1440"/>
            <w:shd w:fill="FAFAFA" w:val="clear"/>
          </w:tcPr>
          <w:p>
            <w:r>
              <w:rPr>
                <w:b/>
                <w:sz w:val="17"/>
              </w:rPr>
              <w:t>37,616</w:t>
            </w:r>
          </w:p>
        </w:tc>
        <w:tc>
          <w:tcPr>
            <w:tcW w:type="dxa" w:w="1440"/>
            <w:shd w:fill="FAFAFA" w:val="clear"/>
          </w:tcPr>
          <w:p>
            <w:r>
              <w:rPr>
                <w:sz w:val="17"/>
              </w:rPr>
              <w:t>39,849</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35,158</w:t>
            </w:r>
          </w:p>
        </w:tc>
        <w:tc>
          <w:tcPr>
            <w:tcW w:type="dxa" w:w="1440"/>
            <w:shd w:fill="FAFAFA" w:val="clear"/>
          </w:tcPr>
          <w:p>
            <w:r>
              <w:rPr>
                <w:b/>
                <w:sz w:val="17"/>
              </w:rPr>
              <w:t>37,541</w:t>
            </w:r>
          </w:p>
        </w:tc>
        <w:tc>
          <w:tcPr>
            <w:tcW w:type="dxa" w:w="1440"/>
            <w:shd w:fill="FAFAFA" w:val="clear"/>
          </w:tcPr>
          <w:p>
            <w:r>
              <w:rPr>
                <w:sz w:val="17"/>
              </w:rPr>
              <w:t>39,923</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34,944</w:t>
            </w:r>
          </w:p>
        </w:tc>
        <w:tc>
          <w:tcPr>
            <w:tcW w:type="dxa" w:w="1440"/>
            <w:shd w:fill="FAFAFA" w:val="clear"/>
          </w:tcPr>
          <w:p>
            <w:r>
              <w:rPr>
                <w:b/>
                <w:sz w:val="17"/>
              </w:rPr>
              <w:t>37,466</w:t>
            </w:r>
          </w:p>
        </w:tc>
        <w:tc>
          <w:tcPr>
            <w:tcW w:type="dxa" w:w="1440"/>
            <w:shd w:fill="FAFAFA" w:val="clear"/>
          </w:tcPr>
          <w:p>
            <w:r>
              <w:rPr>
                <w:sz w:val="17"/>
              </w:rPr>
              <w:t>39,988</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34,739</w:t>
            </w:r>
          </w:p>
        </w:tc>
        <w:tc>
          <w:tcPr>
            <w:tcW w:type="dxa" w:w="1440"/>
            <w:shd w:fill="FAFAFA" w:val="clear"/>
          </w:tcPr>
          <w:p>
            <w:r>
              <w:rPr>
                <w:b/>
                <w:sz w:val="17"/>
              </w:rPr>
              <w:t>37,392</w:t>
            </w:r>
          </w:p>
        </w:tc>
        <w:tc>
          <w:tcPr>
            <w:tcW w:type="dxa" w:w="1440"/>
            <w:shd w:fill="FAFAFA" w:val="clear"/>
          </w:tcPr>
          <w:p>
            <w:r>
              <w:rPr>
                <w:sz w:val="17"/>
              </w:rPr>
              <w:t>40,046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1 182,22 milliards FCFA, ce qui en fait l'une des plus importantes capitalisations de la BRVM, reflétant son statut de banque systémique en Côte d'Ivoire. Avec un BPA de 3 258 FCFA, chaque action génère un bénéfice substantiel, justifiant un PER de 11,7x, légèrement au-dessus de la moyenne historique de la BRVM (8-12x), ce qui indique une valorisation raisonnable mais non décotée, les investisseurs acceptant de payer une prime pour la qualité de l'actif. Le P/B de 2,39x confirme cette prime de croissance accordée par le marché, qui valorise la banque à plus du double de sa valeur comptable, signe de confiance dans la création de valeur future. Enfin, l'EV/EBITDA de 24,5x apparaît très exigeant, suggérant que le marché intègre déjà des perspectives de croissance opérationnelle soutenue, ce qui laisse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affiché une progression totale de +10,14%, avec une légère consolidation de -1,30% lors de la dernière séance, témoignant d'une tendance haussière globale mais récemment hésitante. Le cours a évolué dans un range de 32 800 FCFA (plus bas) à 39 300 FCFA (plus haut), soit une amplitude de 6 500 FCFA, indiquant une volatilité intra-période notable. La moyenne (37 024 FCFA) est inférieure à la médiane (37 998 FCFA), ce qui, combiné à un skewness négatif de -0,706, révèle une asymétrie avec des journées de forte hausse concentrées, tandis que le mode à 39 000 FCFA montre un niveau de prix fréquemment touché. L'écart-type de 2 104 FCFA (CV=5,7%) et le kurtosis de -0,970 (mésokurtique) indiquent une dispersion modérée et l'absence de risques de pics extrêmes, avec une distribution proche de la normale. La volatilité annualisée de 24,9% classe le titre dans une zone de volatilité modérée (15-30%), acceptable pour une valeur bancaire de cette envergure.</w:t>
      </w:r>
    </w:p>
    <w:p>
      <w:pPr>
        <w:spacing w:after="120" w:line="276" w:lineRule="auto" w:before="240"/>
      </w:pPr>
      <w:r>
        <w:rPr>
          <w:b/>
          <w:color w:val="003366"/>
          <w:sz w:val="24"/>
        </w:rPr>
        <w:t>**PARTIE 2 : ANALYSE TECHNIQUE DÉTAILLÉE**</w:t>
      </w:r>
    </w:p>
    <w:p>
      <w:pPr>
        <w:spacing w:after="120" w:line="276" w:lineRule="auto"/>
      </w:pPr>
      <w:r>
        <w:t>**Moyennes Mobiles** : Les MM20 (38 539 FCFA) et MM50 (38 522,8 FCFA) sont quasi identiques et se situent au-dessus du cours actuel de 38 000 FCFA, indiquant une pression vendeuse à court terme. Cependant, la décision globale reste "Achat" car le cours évolue dans une zone de consolidation proche de ces moyennes, et tout rebond au-dessus de 38 500 FCFA confirmerait la tendance haussière de fond.</w:t>
      </w:r>
    </w:p>
    <w:p>
      <w:pPr>
        <w:spacing w:after="120" w:line="276" w:lineRule="auto"/>
      </w:pPr>
      <w:r>
        <w:t>**Bandes de Bollinger** : Le prix à 38 000 FCFA se positionne dans la partie inférieure du canal délimité par les bornes (37 374,7 FCFA à 39 703,3 FCFA), suggérant une volatilité en contraction et un potentiel de rebond vers la moyenne. La décision "Neutre" reflète l'absence de signal directionnel fort, le titre n'étant ni suracheté ni survendu.</w:t>
      </w:r>
    </w:p>
    <w:p>
      <w:pPr>
        <w:spacing w:after="120" w:line="276" w:lineRule="auto"/>
      </w:pPr>
      <w:r>
        <w:t>**MACD** : Le MACD (36,282) est inférieur à son signal (117,965), avec une divergence négative nette, indiquant un momentum baissier à court terme. La décision "Vente" signale un ralentissement de la dynamique haussière, bien que les valeurs restent positives, ce qui suggère une correction technique plutôt qu'un retournement majeur.</w:t>
      </w:r>
    </w:p>
    <w:p>
      <w:pPr>
        <w:spacing w:after="120" w:line="276" w:lineRule="auto"/>
      </w:pPr>
      <w:r>
        <w:t>**RSI** : Le RSI à 50,0 est parfaitement neutre, se situant à l'équilibre entre les zones de surachat (&gt;70) et de survente (&lt;30). Cette valeur indique que le titre n'est ni surévalué ni sous-évalué à court terme, laissant place à une évolution directionnelle sans contrainte technique.</w:t>
      </w:r>
    </w:p>
    <w:p>
      <w:pPr>
        <w:spacing w:after="120" w:line="276" w:lineRule="auto"/>
      </w:pPr>
      <w:r>
        <w:t>**Stochastique** : Le %K (18,495) est nettement inférieur au %D (28,945), avec les deux indicateurs en zone de survente (&lt;20 pour %K), signalant un potentiel de rebond technique. La décision "Achat" suggère que le marché est proche d'un point de retournement haussier, les vendeurs étant potentiellement épuisés.</w:t>
      </w:r>
    </w:p>
    <w:p>
      <w:pPr>
        <w:spacing w:after="120" w:line="276" w:lineRule="auto"/>
      </w:pPr>
      <w:r>
        <w:t>**Conclusion technique** : Les signaux sont mitigés, avec une opposition entre le MACD baissier et le Stochastique en zone de survente. La configuration des moyennes mobiles et des bandes de Bollinger suggère une consolidation dans un range étroit (37 400-39 700 FCFA). Le scénario le plus probable est un rebond technique à court terme, mais la confirmation nécessitera un franchissement des 38 500 FCFA.</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une banque extrêmement solide : le Produit Net Bancaire (PNB) s'établit à 276,048 milliards FCFA, en croissance de +4,88%, avec un résultat net de 101,352 milliards FCFA, franchissant le seuil des 100 milliards. La rentabilité est excellente avec un ROE de 20,47% et un ROA de 2,69%, tandis que le coefficient d'exploitation de 38,75% démontre une efficacité opérationnelle remarquable (bien en dessous du seuil de 60%). Le coût du risque reste maîtrisé avec des provisions de 17,995 milliards FCFA, et la structure de bilan est saine : les dépôts clients (2 907,675 Mds FCFA) excèdent largement les créances sur la clientèle (2 546,290 Mds FCFA), avec un ratio de transformation prudent. Les rapports trimestriels 2025 confirment cette trajectoire : le T1 2025 (PNB de 66,3 Mds, +1,3% et résultat net de 27,1 Mds, +2,2%), le S1 2025 (PNB de 132,0 Mds, +1,0% et résultat net de 53,1 Mds, +10,0%) et le cumul 9 mois 2025 (PNB de 201,0 Mds, +2,5% et résultat net de 83,3 Mds, +11,7%) montrent une accélération de la rentabilité nette malgré une croissance modérée du PNB, grâce à une maîtrise stricte des coûts. Sur la base de ces tendances, on estime que l'exercice 2025 devrait clôturer avec un résultat net proche de 110-115 milliards FCFA, soit une croissance de 8-13% par rapport à 2024. La notation AAA (Bloomfield) et le ratio de solvabilité de 17,7% (S1 2025) renforcent la solidité financière, bien que la hausse du taux de créances en souffrance (NPL à 7,8% au S1 2025) nécessite une surveillance.</w:t>
      </w:r>
    </w:p>
    <w:p>
      <w:pPr>
        <w:spacing w:after="120" w:line="276" w:lineRule="auto" w:before="240"/>
      </w:pPr>
      <w:r>
        <w:rPr>
          <w:b/>
          <w:color w:val="003366"/>
          <w:sz w:val="24"/>
        </w:rPr>
        <w:t>**PARTIE 4 : CONCLUSION D'INVESTISSEMENT**</w:t>
      </w:r>
    </w:p>
    <w:p>
      <w:pPr>
        <w:spacing w:after="120" w:line="276" w:lineRule="auto"/>
      </w:pPr>
      <w:r>
        <w:t>La synthèse globale fait ressortir une divergence entre des fondamentaux exceptionnellement solides et des signaux techniques mitigés à court terme. La valorisation (PER de 11,7x, P/B de 2,39x) est raisonnable mais non décotée, reflétant la qualité de l'actif, tandis que l'EV/EBITDA exigeant (24,5x) suggère des attentes élevées. Le comportement du cours sur 100 jours (+10,14%) est positif avec une volatilité modérée (24,9%) et une distribution normale (kurtosis mésokurtique), mais le skewness négatif et la récente baisse de -1,30% indiquent une prudence à court terme. Les signaux techniques sont partagés (MM et Stochastique en "Achat", MACD en "Vente", RSI et Bollinger "Neutres"), suggérant une consolidation avant la prochaine impulsion. Les fondamentaux, avec un ROE de 20,47%, un coefficient d'exploitation de 38,75% et une croissance estimée du résultat net de 8-13% pour 2025, sont indiscutablement solides. Les prédictions IA (38 096 FCFA à J+1, puis baisse progressive à 37 770 FCFA à J+10) confirment une légère correction à court terme, en ligne avec les signaux techniques baissiers. **Recommandation : ACHAT** avec un niveau de confiance **Moyen** et un risque global **Faible**. L'horizon d'investissement optimal est le **moyen terme (3-12 mois)**, en attendant que la correction technique se résorbe et que les résultats annuels 2025 confirment la croissance. Les investisseurs à long terme (&gt;1 an) peuvent accumuler à ces niveaux, la solidité financière et la politique de dividende généreuse (taux de distribution de 57,25% en 2024) offrant un rendement attractif.</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153.72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4,324 titres</w:t>
            </w:r>
          </w:p>
        </w:tc>
        <w:tc>
          <w:tcPr>
            <w:tcW w:type="dxa" w:w="2268"/>
            <w:shd w:fill="FFF2CC" w:val="clear"/>
          </w:tcPr>
          <w:p>
            <w:r>
              <w:rPr>
                <w:b/>
                <w:color w:val="503200"/>
                <w:sz w:val="16"/>
              </w:rPr>
              <w:t xml:space="preserve">Cours actuel : </w:t>
            </w:r>
            <w:r>
              <w:rPr>
                <w:color w:val="000000"/>
                <w:sz w:val="17"/>
              </w:rPr>
              <w:t>2,440 FCFA</w:t>
            </w:r>
          </w:p>
          <w:p>
            <w:r>
              <w:rPr>
                <w:b/>
                <w:color w:val="503200"/>
                <w:sz w:val="16"/>
              </w:rPr>
              <w:t xml:space="preserve">Var. 100 jours : </w:t>
            </w:r>
            <w:r>
              <w:rPr>
                <w:b/>
                <w:color w:val="007800"/>
                <w:sz w:val="17"/>
              </w:rPr>
              <w:t>+12.44%</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7.22% (Moyenne) — μ=2,124 FCFA, σ=153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β=1.1363 (Neutre (suit le marché)) — Cov=0.000041, Var(idx)=0.000036, ρ=0.307,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2,199</w:t>
            </w:r>
          </w:p>
        </w:tc>
        <w:tc>
          <w:tcPr>
            <w:tcW w:type="dxa" w:w="1440"/>
            <w:shd w:fill="FFDCE0" w:val="clear"/>
          </w:tcPr>
          <w:p>
            <w:r>
              <w:rPr>
                <w:b/>
                <w:sz w:val="17"/>
              </w:rPr>
              <w:t>2,285</w:t>
            </w:r>
          </w:p>
        </w:tc>
        <w:tc>
          <w:tcPr>
            <w:tcW w:type="dxa" w:w="1440"/>
            <w:shd w:fill="FFDCE0" w:val="clear"/>
          </w:tcPr>
          <w:p>
            <w:r>
              <w:rPr>
                <w:sz w:val="17"/>
              </w:rPr>
              <w:t>2,370</w:t>
            </w:r>
          </w:p>
        </w:tc>
        <w:tc>
          <w:tcPr>
            <w:tcW w:type="dxa" w:w="1440"/>
            <w:shd w:fill="FFDCE0" w:val="clear"/>
          </w:tcPr>
          <w:p>
            <w:r>
              <w:rPr>
                <w:b/>
                <w:color w:val="C00000"/>
                <w:sz w:val="17"/>
              </w:rPr>
              <w:t>-6.4%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2,056</w:t>
            </w:r>
          </w:p>
        </w:tc>
        <w:tc>
          <w:tcPr>
            <w:tcW w:type="dxa" w:w="1440"/>
            <w:shd w:fill="FFDCE0" w:val="clear"/>
          </w:tcPr>
          <w:p>
            <w:r>
              <w:rPr>
                <w:b/>
                <w:sz w:val="17"/>
              </w:rPr>
              <w:t>2,170</w:t>
            </w:r>
          </w:p>
        </w:tc>
        <w:tc>
          <w:tcPr>
            <w:tcW w:type="dxa" w:w="1440"/>
            <w:shd w:fill="FFDCE0" w:val="clear"/>
          </w:tcPr>
          <w:p>
            <w:r>
              <w:rPr>
                <w:sz w:val="17"/>
              </w:rPr>
              <w:t>2,285</w:t>
            </w:r>
          </w:p>
        </w:tc>
        <w:tc>
          <w:tcPr>
            <w:tcW w:type="dxa" w:w="1440"/>
            <w:shd w:fill="FFDCE0" w:val="clear"/>
          </w:tcPr>
          <w:p>
            <w:r>
              <w:rPr>
                <w:b/>
                <w:color w:val="C00000"/>
                <w:sz w:val="17"/>
              </w:rPr>
              <w:t>-11.0%</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1,936</w:t>
            </w:r>
          </w:p>
        </w:tc>
        <w:tc>
          <w:tcPr>
            <w:tcW w:type="dxa" w:w="1440"/>
            <w:shd w:fill="FFDCE0" w:val="clear"/>
          </w:tcPr>
          <w:p>
            <w:r>
              <w:rPr>
                <w:b/>
                <w:sz w:val="17"/>
              </w:rPr>
              <w:t>2,070</w:t>
            </w:r>
          </w:p>
        </w:tc>
        <w:tc>
          <w:tcPr>
            <w:tcW w:type="dxa" w:w="1440"/>
            <w:shd w:fill="FFDCE0" w:val="clear"/>
          </w:tcPr>
          <w:p>
            <w:r>
              <w:rPr>
                <w:sz w:val="17"/>
              </w:rPr>
              <w:t>2,204</w:t>
            </w:r>
          </w:p>
        </w:tc>
        <w:tc>
          <w:tcPr>
            <w:tcW w:type="dxa" w:w="1440"/>
            <w:shd w:fill="FFDCE0" w:val="clear"/>
          </w:tcPr>
          <w:p>
            <w:r>
              <w:rPr>
                <w:b/>
                <w:color w:val="C00000"/>
                <w:sz w:val="17"/>
              </w:rPr>
              <w:t>-15.2%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1,839</w:t>
            </w:r>
          </w:p>
        </w:tc>
        <w:tc>
          <w:tcPr>
            <w:tcW w:type="dxa" w:w="1440"/>
            <w:shd w:fill="FFDCE0" w:val="clear"/>
          </w:tcPr>
          <w:p>
            <w:r>
              <w:rPr>
                <w:b/>
                <w:sz w:val="17"/>
              </w:rPr>
              <w:t>1,988</w:t>
            </w:r>
          </w:p>
        </w:tc>
        <w:tc>
          <w:tcPr>
            <w:tcW w:type="dxa" w:w="1440"/>
            <w:shd w:fill="FFDCE0" w:val="clear"/>
          </w:tcPr>
          <w:p>
            <w:r>
              <w:rPr>
                <w:sz w:val="17"/>
              </w:rPr>
              <w:t>2,137</w:t>
            </w:r>
          </w:p>
        </w:tc>
        <w:tc>
          <w:tcPr>
            <w:tcW w:type="dxa" w:w="1440"/>
            <w:shd w:fill="FFDCE0" w:val="clear"/>
          </w:tcPr>
          <w:p>
            <w:r>
              <w:rPr>
                <w:b/>
                <w:color w:val="C00000"/>
                <w:sz w:val="17"/>
              </w:rPr>
              <w:t>-18.5%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1,760</w:t>
            </w:r>
          </w:p>
        </w:tc>
        <w:tc>
          <w:tcPr>
            <w:tcW w:type="dxa" w:w="1440"/>
            <w:shd w:fill="FFDCE0" w:val="clear"/>
          </w:tcPr>
          <w:p>
            <w:r>
              <w:rPr>
                <w:b/>
                <w:sz w:val="17"/>
              </w:rPr>
              <w:t>1,921</w:t>
            </w:r>
          </w:p>
        </w:tc>
        <w:tc>
          <w:tcPr>
            <w:tcW w:type="dxa" w:w="1440"/>
            <w:shd w:fill="FFDCE0" w:val="clear"/>
          </w:tcPr>
          <w:p>
            <w:r>
              <w:rPr>
                <w:sz w:val="17"/>
              </w:rPr>
              <w:t>2,082</w:t>
            </w:r>
          </w:p>
        </w:tc>
        <w:tc>
          <w:tcPr>
            <w:tcW w:type="dxa" w:w="1440"/>
            <w:shd w:fill="FFDCE0" w:val="clear"/>
          </w:tcPr>
          <w:p>
            <w:r>
              <w:rPr>
                <w:b/>
                <w:color w:val="C00000"/>
                <w:sz w:val="17"/>
              </w:rPr>
              <w:t>-21.3%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1,694</w:t>
            </w:r>
          </w:p>
        </w:tc>
        <w:tc>
          <w:tcPr>
            <w:tcW w:type="dxa" w:w="1440"/>
            <w:shd w:fill="FFDCE0" w:val="clear"/>
          </w:tcPr>
          <w:p>
            <w:r>
              <w:rPr>
                <w:b/>
                <w:sz w:val="17"/>
              </w:rPr>
              <w:t>1,865</w:t>
            </w:r>
          </w:p>
        </w:tc>
        <w:tc>
          <w:tcPr>
            <w:tcW w:type="dxa" w:w="1440"/>
            <w:shd w:fill="FFDCE0" w:val="clear"/>
          </w:tcPr>
          <w:p>
            <w:r>
              <w:rPr>
                <w:sz w:val="17"/>
              </w:rPr>
              <w:t>2,036</w:t>
            </w:r>
          </w:p>
        </w:tc>
        <w:tc>
          <w:tcPr>
            <w:tcW w:type="dxa" w:w="1440"/>
            <w:shd w:fill="FFDCE0" w:val="clear"/>
          </w:tcPr>
          <w:p>
            <w:r>
              <w:rPr>
                <w:b/>
                <w:color w:val="C00000"/>
                <w:sz w:val="17"/>
              </w:rPr>
              <w:t>-23.6%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1,637</w:t>
            </w:r>
          </w:p>
        </w:tc>
        <w:tc>
          <w:tcPr>
            <w:tcW w:type="dxa" w:w="1440"/>
            <w:shd w:fill="FFDCE0" w:val="clear"/>
          </w:tcPr>
          <w:p>
            <w:r>
              <w:rPr>
                <w:b/>
                <w:sz w:val="17"/>
              </w:rPr>
              <w:t>1,817</w:t>
            </w:r>
          </w:p>
        </w:tc>
        <w:tc>
          <w:tcPr>
            <w:tcW w:type="dxa" w:w="1440"/>
            <w:shd w:fill="FFDCE0" w:val="clear"/>
          </w:tcPr>
          <w:p>
            <w:r>
              <w:rPr>
                <w:sz w:val="17"/>
              </w:rPr>
              <w:t>1,996</w:t>
            </w:r>
          </w:p>
        </w:tc>
        <w:tc>
          <w:tcPr>
            <w:tcW w:type="dxa" w:w="1440"/>
            <w:shd w:fill="FFDCE0" w:val="clear"/>
          </w:tcPr>
          <w:p>
            <w:r>
              <w:rPr>
                <w:b/>
                <w:color w:val="C00000"/>
                <w:sz w:val="17"/>
              </w:rPr>
              <w:t>-25.5%</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1,586</w:t>
            </w:r>
          </w:p>
        </w:tc>
        <w:tc>
          <w:tcPr>
            <w:tcW w:type="dxa" w:w="1440"/>
            <w:shd w:fill="FFDCE0" w:val="clear"/>
          </w:tcPr>
          <w:p>
            <w:r>
              <w:rPr>
                <w:b/>
                <w:sz w:val="17"/>
              </w:rPr>
              <w:t>1,774</w:t>
            </w:r>
          </w:p>
        </w:tc>
        <w:tc>
          <w:tcPr>
            <w:tcW w:type="dxa" w:w="1440"/>
            <w:shd w:fill="FFDCE0" w:val="clear"/>
          </w:tcPr>
          <w:p>
            <w:r>
              <w:rPr>
                <w:sz w:val="17"/>
              </w:rPr>
              <w:t>1,962</w:t>
            </w:r>
          </w:p>
        </w:tc>
        <w:tc>
          <w:tcPr>
            <w:tcW w:type="dxa" w:w="1440"/>
            <w:shd w:fill="FFDCE0" w:val="clear"/>
          </w:tcPr>
          <w:p>
            <w:r>
              <w:rPr>
                <w:b/>
                <w:color w:val="C00000"/>
                <w:sz w:val="17"/>
              </w:rPr>
              <w:t>-27.3%</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1,541</w:t>
            </w:r>
          </w:p>
        </w:tc>
        <w:tc>
          <w:tcPr>
            <w:tcW w:type="dxa" w:w="1440"/>
            <w:shd w:fill="FFDCE0" w:val="clear"/>
          </w:tcPr>
          <w:p>
            <w:r>
              <w:rPr>
                <w:b/>
                <w:sz w:val="17"/>
              </w:rPr>
              <w:t>1,735</w:t>
            </w:r>
          </w:p>
        </w:tc>
        <w:tc>
          <w:tcPr>
            <w:tcW w:type="dxa" w:w="1440"/>
            <w:shd w:fill="FFDCE0" w:val="clear"/>
          </w:tcPr>
          <w:p>
            <w:r>
              <w:rPr>
                <w:sz w:val="17"/>
              </w:rPr>
              <w:t>1,930</w:t>
            </w:r>
          </w:p>
        </w:tc>
        <w:tc>
          <w:tcPr>
            <w:tcW w:type="dxa" w:w="1440"/>
            <w:shd w:fill="FFDCE0" w:val="clear"/>
          </w:tcPr>
          <w:p>
            <w:r>
              <w:rPr>
                <w:b/>
                <w:color w:val="C00000"/>
                <w:sz w:val="17"/>
              </w:rPr>
              <w:t>-28.9%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1,499</w:t>
            </w:r>
          </w:p>
        </w:tc>
        <w:tc>
          <w:tcPr>
            <w:tcW w:type="dxa" w:w="1440"/>
            <w:shd w:fill="FFDCE0" w:val="clear"/>
          </w:tcPr>
          <w:p>
            <w:r>
              <w:rPr>
                <w:b/>
                <w:sz w:val="17"/>
              </w:rPr>
              <w:t>1,700</w:t>
            </w:r>
          </w:p>
        </w:tc>
        <w:tc>
          <w:tcPr>
            <w:tcW w:type="dxa" w:w="1440"/>
            <w:shd w:fill="FFDCE0" w:val="clear"/>
          </w:tcPr>
          <w:p>
            <w:r>
              <w:rPr>
                <w:sz w:val="17"/>
              </w:rPr>
              <w:t>1,901</w:t>
            </w:r>
          </w:p>
        </w:tc>
        <w:tc>
          <w:tcPr>
            <w:tcW w:type="dxa" w:w="1440"/>
            <w:shd w:fill="FFDCE0" w:val="clear"/>
          </w:tcPr>
          <w:p>
            <w:r>
              <w:rPr>
                <w:b/>
                <w:color w:val="C00000"/>
                <w:sz w:val="17"/>
              </w:rPr>
              <w:t>-30.3%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153,72 milliards FCFA, un niveau significatif qui la positionne parmi les valeurs moyennes à grandes capitalisations de la BRVM. Avec un BPA de 96 FCFA, le titre se négocie à un PER de 25,5x, nettement supérieur à la moyenne historique du marché régional (8-12x), ce qui traduit une prime de valorisation considérable, probablement justifiée par des anticipations de croissance ou une prime de liquidité. Le P/B de 5,66x confirme cette lecture : le marché valorise l'actif net comptable plus de cinq fois au-dessus de sa valeur, signe d'une exigence de rentabilité future élevée. Enfin, l'EV/EBITDA de 13,5x, bien que dans la fourchette haute (10-15x), indique que la valeur d'entreprise reste cohérente avec la capacité opérationnelle de la société, mais sans marge de sécurité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+12,44%, avec une légère correction de -0,41% lors de la dernière séance, reflétant une tendance haussière soutenue mais récemment hésitante. Le cours a évolué dans un range de 640 FCFA, entre un plus bas de 1 840 FCFA et un plus haut de 2 480 FCFA, démontrant une amplitude de trading importante. La moyenne du cours sur la période (2 124 FCFA) est inférieure à la médiane (2 160 FCFA), ce qui suggère une distribution légèrement asymétrique avec des valeurs extrêmes basses tirant la moyenne vers le bas, bien que le skewness positif (0,288) indique une queue de distribution orientée vers les hausses. L'écart-type de 154 FCFA (CV de 7,3%) révèle une dispersion modérée autour de la moyenne, tandis que le kurtosis de -0,464 (mésokurtique) indique une distribution proche de la normale, sans risque de pics extrêmes. La volatilité annualisée de 35,2% classe le titre comme très volatil, un niveau élevé qui implique des fluctuations de prix substantielles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2 440 FCFA se positionne nettement au-dessus de la MM20 (2 337,5 FCFA) et de la MM50 (2 242 FCFA), avec un écart de 4,4% et 8,8% respectivement. Cette configuration haussière, où les moyennes sont orientées à la hausse et le cours les dépasse, confirme une dynamique positive de moyen terme. La décision d'achat est justifiée par cette structure de prix favorable.</w:t>
      </w:r>
    </w:p>
    <w:p>
      <w:pPr>
        <w:spacing w:after="120" w:line="276" w:lineRule="auto"/>
      </w:pPr>
      <w:r>
        <w:t>**Bandes de Bollinger** : Le prix se situe à 2 440 FCFA, dans la partie supérieure du canal formé par les bornes (2 140 à 2 535 FCFA), à environ 60% de la distance entre la borne inférieure et la borne supérieure. Cette position indique une pression acheteuse modérée sans atteindre la zone de surachat extrême. La décision neutre s'explique par une volatilité qui, bien que présente, ne montre pas d'expansion significative permettant de confirmer une cassure directionnelle.</w:t>
      </w:r>
    </w:p>
    <w:p>
      <w:pPr>
        <w:spacing w:after="120" w:line="276" w:lineRule="auto"/>
      </w:pPr>
      <w:r>
        <w:t>**MACD** : La valeur du MACD (69,708) est supérieure à son signal (58,868), avec un écart positif de 10,84 points, ce qui constitue un signal haussier clair. Le momentum est résolument positif et s'accélère, indiquant une dynamique de prix ascendante soutenue. La décision d'achat est cohérente avec cette configuration de convergence positive.</w:t>
      </w:r>
    </w:p>
    <w:p>
      <w:pPr>
        <w:spacing w:after="120" w:line="276" w:lineRule="auto"/>
      </w:pPr>
      <w:r>
        <w:t>**RSI** : À 68,293, le RSI se situe dans la zone neutre-haute, proche du seuil de surachat (70) sans l'atteindre. Cette valeur indique une pression acheteuse encore présente mais qui commence à s'essouffler, laissant présager une possible consolidation à court terme. La décision neutre est appropriée car le titre n'est ni survendu ni en surachat extrême.</w:t>
      </w:r>
    </w:p>
    <w:p>
      <w:pPr>
        <w:spacing w:after="120" w:line="276" w:lineRule="auto"/>
      </w:pPr>
      <w:r>
        <w:t>**Stochastique** : Le %K (85,714) et le %D (88,69) sont tous deux en zone de surachat (&gt;80), avec un %D supérieur au %K, indiquant un croisement baissier potentiel. Cette configuration signale un épuisement probable du mouvement haussier à très court terme, justifiant la décision de vente pour les traders opportunistes.</w:t>
      </w:r>
    </w:p>
    <w:p>
      <w:pPr>
        <w:spacing w:after="120" w:line="276" w:lineRule="auto"/>
      </w:pPr>
      <w:r>
        <w:t>**Conclusion technique** : Les indicateurs de tendance (MM, MACD) sont résolument haussiers et confirment une dynamique positive de fond, mais les oscillateurs de momentum (RSI, Stochastique) montrent des signes de surachat imminent. Cette divergence entre la tendance de fond et les signaux à court terme suggère une probable consolidation ou correction technique dans les prochaines séances avant la poursuite du mouvement haussier.</w:t>
      </w:r>
    </w:p>
    <w:p>
      <w:pPr>
        <w:spacing w:after="120" w:line="276" w:lineRule="auto" w:before="240"/>
      </w:pPr>
      <w:r>
        <w:rPr>
          <w:b/>
          <w:color w:val="003366"/>
          <w:sz w:val="24"/>
        </w:rPr>
        <w:t>**PARTIE 3 : ANALYSE FONDAMENTALE (SECTION CRITIQUE)**</w:t>
      </w:r>
    </w:p>
    <w:p>
      <w:pPr>
        <w:spacing w:after="120" w:line="276" w:lineRule="auto"/>
      </w:pPr>
      <w:r>
        <w:t>En 2025, SHEC (VIVO ENERGY CI) affiche un chiffre d'affaires de 604,978 milliards FCFA, en légère progression de +0,71% par rapport à 2024 (600,708 milliards FCFA), et un résultat net de 6,028 milliards FCFA, en hausse de +12,6% (contre 5,354 milliards en 2024). La rentabilité des fonds propres (ROE) atteint 22,20%, un niveau excellent (&gt;15%), tandis que le ROA s'établit à 3,11%. La marge nette reste très faible à 0,996%, caractéristique du secteur de distribution pétrolière, mais en amélioration (0,89% en 2024). Le BFR de 15,315 milliards FCFA est positif, ce qui est défavorable pour une entreprise, et les délais clients (23,27 jours) et fournisseurs (35,47 jours) montrent un besoin de financement du cycle d'exploitation. L'endettement est maîtrisé avec une capacité de remboursement de 0,97 an, mais la trésorerie nette est fortement négative à -65,264 milliards FCFA, un point de vigilance majeur. Sur la base du rapport du 3ème trimestre 2025 (CA de 451,726 milliards FCFA, résultat net de 4,119 milliards, +45%), la dynamique de rentabilité s'est accélérée en fin d'année. Le rapport du S1 2026 (CA de 305,038 milliards FCFA, -1%, résultat net de 3,016 milliards) montre une légère contraction de l'activité mais une résilience de la rentabilité. Le dividende proposé pour 2025 est de 6,09 milliards FCFA, soit un taux de distribution de 101%, très généreux mais potentiellement risqué pour la structure financière. La société démontre une solidité opérationnelle réelle, mais sa fragilité de trésorerie et sa faible marge nette constituent des risques structurels.</w:t>
      </w:r>
    </w:p>
    <w:p>
      <w:pPr>
        <w:spacing w:after="120" w:line="276" w:lineRule="auto" w:before="240"/>
      </w:pPr>
      <w:r>
        <w:rPr>
          <w:b/>
          <w:color w:val="003366"/>
          <w:sz w:val="24"/>
        </w:rPr>
        <w:t>**PARTIE 4 : CONCLUSION D'INVESTISSEMENT**</w:t>
      </w:r>
    </w:p>
    <w:p>
      <w:pPr>
        <w:spacing w:after="120" w:line="276" w:lineRule="auto"/>
      </w:pPr>
      <w:r>
        <w:t>La valorisation de SHEC est exigeante avec un PER de 25,5x et un P/B de 5,66x, nettement supérieurs aux moyennes du marché BRVM, indiquant une surévaluation relative qui laisse peu de marge de sécurité. Le comportement du cours sur 100 jours est favorable avec une hausse de +12,44%, mais la volatilité élevée (35,2%) et les statistiques descriptives montrant une distribution relativement normale suggèrent un risque de retournement. Les signaux techniques sont mitigés : les indicateurs de tendance (MM, MACD) sont haussiers, mais les oscillateurs (RSI proche du surachat, Stochastique en zone de vente) signalent un essoufflement à court terme. Les fondamentaux sont contrastés : une rentabilité en amélioration (ROE de 22,2%, résultat net +13%) mais une trésorerie nette très négative (-65,26 milliards FCFA) et une marge nette fragile (1%). Les prédictions IA pour les 10 prochains jours (baisse de 2 285 à 1 921 FCFA, soit -21%) contredisent fortement la tendance haussière récente et confirment les signaux de surachat technique. La convergence entre la surévaluation boursière, les signaux techniques de surachat et les prédictions IA baissières, malgré des fondamentaux opérationnels corrects, conduit à une recommandation de **CONSERVER** avec un niveau de confiance **Moyen**. Le risque global est **Élevé** en raison de la volatilité et de la fragilité financière. L'horizon d'investissement optimal est le **moyen terme (3-12 mois)**, en attendant une clarification de la structure financière et une stabilisation du cours.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8,919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+31.52%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10.48% (Moyenne) — μ=8,309 FCFA, σ=871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β=0.3617 (Défensif) — Cov=0.000013, Var(idx)=0.000036, ρ=0.122,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8,601</w:t>
            </w:r>
          </w:p>
        </w:tc>
        <w:tc>
          <w:tcPr>
            <w:tcW w:type="dxa" w:w="1440"/>
            <w:shd w:fill="FFDCE0" w:val="clear"/>
          </w:tcPr>
          <w:p>
            <w:r>
              <w:rPr>
                <w:b/>
                <w:sz w:val="17"/>
              </w:rPr>
              <w:t>8,873</w:t>
            </w:r>
          </w:p>
        </w:tc>
        <w:tc>
          <w:tcPr>
            <w:tcW w:type="dxa" w:w="1440"/>
            <w:shd w:fill="FFDCE0" w:val="clear"/>
          </w:tcPr>
          <w:p>
            <w:r>
              <w:rPr>
                <w:sz w:val="17"/>
              </w:rPr>
              <w:t>9,145</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8,197</w:t>
            </w:r>
          </w:p>
        </w:tc>
        <w:tc>
          <w:tcPr>
            <w:tcW w:type="dxa" w:w="1440"/>
            <w:shd w:fill="FFDCE0" w:val="clear"/>
          </w:tcPr>
          <w:p>
            <w:r>
              <w:rPr>
                <w:b/>
                <w:sz w:val="17"/>
              </w:rPr>
              <w:t>8,569</w:t>
            </w:r>
          </w:p>
        </w:tc>
        <w:tc>
          <w:tcPr>
            <w:tcW w:type="dxa" w:w="1440"/>
            <w:shd w:fill="FFDCE0" w:val="clear"/>
          </w:tcPr>
          <w:p>
            <w:r>
              <w:rPr>
                <w:sz w:val="17"/>
              </w:rPr>
              <w:t>8,941</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7,857</w:t>
            </w:r>
          </w:p>
        </w:tc>
        <w:tc>
          <w:tcPr>
            <w:tcW w:type="dxa" w:w="1440"/>
            <w:shd w:fill="FFDCE0" w:val="clear"/>
          </w:tcPr>
          <w:p>
            <w:r>
              <w:rPr>
                <w:b/>
                <w:sz w:val="17"/>
              </w:rPr>
              <w:t>8,298</w:t>
            </w:r>
          </w:p>
        </w:tc>
        <w:tc>
          <w:tcPr>
            <w:tcW w:type="dxa" w:w="1440"/>
            <w:shd w:fill="FFDCE0" w:val="clear"/>
          </w:tcPr>
          <w:p>
            <w:r>
              <w:rPr>
                <w:sz w:val="17"/>
              </w:rPr>
              <w:t>8,738</w:t>
            </w:r>
          </w:p>
        </w:tc>
        <w:tc>
          <w:tcPr>
            <w:tcW w:type="dxa" w:w="1440"/>
            <w:shd w:fill="FFDCE0" w:val="clear"/>
          </w:tcPr>
          <w:p>
            <w:r>
              <w:rPr>
                <w:b/>
                <w:color w:val="C00000"/>
                <w:sz w:val="17"/>
              </w:rPr>
              <w:t>-9.8%</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7,573</w:t>
            </w:r>
          </w:p>
        </w:tc>
        <w:tc>
          <w:tcPr>
            <w:tcW w:type="dxa" w:w="1440"/>
            <w:shd w:fill="FFDCE0" w:val="clear"/>
          </w:tcPr>
          <w:p>
            <w:r>
              <w:rPr>
                <w:b/>
                <w:sz w:val="17"/>
              </w:rPr>
              <w:t>8,068</w:t>
            </w:r>
          </w:p>
        </w:tc>
        <w:tc>
          <w:tcPr>
            <w:tcW w:type="dxa" w:w="1440"/>
            <w:shd w:fill="FFDCE0" w:val="clear"/>
          </w:tcPr>
          <w:p>
            <w:r>
              <w:rPr>
                <w:sz w:val="17"/>
              </w:rPr>
              <w:t>8,563</w:t>
            </w:r>
          </w:p>
        </w:tc>
        <w:tc>
          <w:tcPr>
            <w:tcW w:type="dxa" w:w="1440"/>
            <w:shd w:fill="FFDCE0" w:val="clear"/>
          </w:tcPr>
          <w:p>
            <w:r>
              <w:rPr>
                <w:b/>
                <w:color w:val="C00000"/>
                <w:sz w:val="17"/>
              </w:rPr>
              <w:t>-12.3%</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7,335</w:t>
            </w:r>
          </w:p>
        </w:tc>
        <w:tc>
          <w:tcPr>
            <w:tcW w:type="dxa" w:w="1440"/>
            <w:shd w:fill="FFDCE0" w:val="clear"/>
          </w:tcPr>
          <w:p>
            <w:r>
              <w:rPr>
                <w:b/>
                <w:sz w:val="17"/>
              </w:rPr>
              <w:t>7,875</w:t>
            </w:r>
          </w:p>
        </w:tc>
        <w:tc>
          <w:tcPr>
            <w:tcW w:type="dxa" w:w="1440"/>
            <w:shd w:fill="FFDCE0" w:val="clear"/>
          </w:tcPr>
          <w:p>
            <w:r>
              <w:rPr>
                <w:sz w:val="17"/>
              </w:rPr>
              <w:t>8,415</w:t>
            </w:r>
          </w:p>
        </w:tc>
        <w:tc>
          <w:tcPr>
            <w:tcW w:type="dxa" w:w="1440"/>
            <w:shd w:fill="FFDCE0" w:val="clear"/>
          </w:tcPr>
          <w:p>
            <w:r>
              <w:rPr>
                <w:b/>
                <w:color w:val="C00000"/>
                <w:sz w:val="17"/>
              </w:rPr>
              <w:t>-14.4%</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7,130</w:t>
            </w:r>
          </w:p>
        </w:tc>
        <w:tc>
          <w:tcPr>
            <w:tcW w:type="dxa" w:w="1440"/>
            <w:shd w:fill="FFDCE0" w:val="clear"/>
          </w:tcPr>
          <w:p>
            <w:r>
              <w:rPr>
                <w:b/>
                <w:sz w:val="17"/>
              </w:rPr>
              <w:t>7,709</w:t>
            </w:r>
          </w:p>
        </w:tc>
        <w:tc>
          <w:tcPr>
            <w:tcW w:type="dxa" w:w="1440"/>
            <w:shd w:fill="FFDCE0" w:val="clear"/>
          </w:tcPr>
          <w:p>
            <w:r>
              <w:rPr>
                <w:sz w:val="17"/>
              </w:rPr>
              <w:t>8,288</w:t>
            </w:r>
          </w:p>
        </w:tc>
        <w:tc>
          <w:tcPr>
            <w:tcW w:type="dxa" w:w="1440"/>
            <w:shd w:fill="FFDCE0" w:val="clear"/>
          </w:tcPr>
          <w:p>
            <w:r>
              <w:rPr>
                <w:b/>
                <w:color w:val="C00000"/>
                <w:sz w:val="17"/>
              </w:rPr>
              <w:t>-16.2%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6,950</w:t>
            </w:r>
          </w:p>
        </w:tc>
        <w:tc>
          <w:tcPr>
            <w:tcW w:type="dxa" w:w="1440"/>
            <w:shd w:fill="FFDCE0" w:val="clear"/>
          </w:tcPr>
          <w:p>
            <w:r>
              <w:rPr>
                <w:b/>
                <w:sz w:val="17"/>
              </w:rPr>
              <w:t>7,564</w:t>
            </w:r>
          </w:p>
        </w:tc>
        <w:tc>
          <w:tcPr>
            <w:tcW w:type="dxa" w:w="1440"/>
            <w:shd w:fill="FFDCE0" w:val="clear"/>
          </w:tcPr>
          <w:p>
            <w:r>
              <w:rPr>
                <w:sz w:val="17"/>
              </w:rPr>
              <w:t>8,177</w:t>
            </w:r>
          </w:p>
        </w:tc>
        <w:tc>
          <w:tcPr>
            <w:tcW w:type="dxa" w:w="1440"/>
            <w:shd w:fill="FFDCE0" w:val="clear"/>
          </w:tcPr>
          <w:p>
            <w:r>
              <w:rPr>
                <w:b/>
                <w:color w:val="C00000"/>
                <w:sz w:val="17"/>
              </w:rPr>
              <w:t>-17.8%</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6,790</w:t>
            </w:r>
          </w:p>
        </w:tc>
        <w:tc>
          <w:tcPr>
            <w:tcW w:type="dxa" w:w="1440"/>
            <w:shd w:fill="FFDCE0" w:val="clear"/>
          </w:tcPr>
          <w:p>
            <w:r>
              <w:rPr>
                <w:b/>
                <w:sz w:val="17"/>
              </w:rPr>
              <w:t>7,434</w:t>
            </w:r>
          </w:p>
        </w:tc>
        <w:tc>
          <w:tcPr>
            <w:tcW w:type="dxa" w:w="1440"/>
            <w:shd w:fill="FFDCE0" w:val="clear"/>
          </w:tcPr>
          <w:p>
            <w:r>
              <w:rPr>
                <w:sz w:val="17"/>
              </w:rPr>
              <w:t>8,079</w:t>
            </w:r>
          </w:p>
        </w:tc>
        <w:tc>
          <w:tcPr>
            <w:tcW w:type="dxa" w:w="1440"/>
            <w:shd w:fill="FFDCE0" w:val="clear"/>
          </w:tcPr>
          <w:p>
            <w:r>
              <w:rPr>
                <w:b/>
                <w:color w:val="C00000"/>
                <w:sz w:val="17"/>
              </w:rPr>
              <w:t>-19.2%</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6,644</w:t>
            </w:r>
          </w:p>
        </w:tc>
        <w:tc>
          <w:tcPr>
            <w:tcW w:type="dxa" w:w="1440"/>
            <w:shd w:fill="FFDCE0" w:val="clear"/>
          </w:tcPr>
          <w:p>
            <w:r>
              <w:rPr>
                <w:b/>
                <w:sz w:val="17"/>
              </w:rPr>
              <w:t>7,318</w:t>
            </w:r>
          </w:p>
        </w:tc>
        <w:tc>
          <w:tcPr>
            <w:tcW w:type="dxa" w:w="1440"/>
            <w:shd w:fill="FFDCE0" w:val="clear"/>
          </w:tcPr>
          <w:p>
            <w:r>
              <w:rPr>
                <w:sz w:val="17"/>
              </w:rPr>
              <w:t>7,991</w:t>
            </w:r>
          </w:p>
        </w:tc>
        <w:tc>
          <w:tcPr>
            <w:tcW w:type="dxa" w:w="1440"/>
            <w:shd w:fill="FFDCE0" w:val="clear"/>
          </w:tcPr>
          <w:p>
            <w:r>
              <w:rPr>
                <w:b/>
                <w:color w:val="C00000"/>
                <w:sz w:val="17"/>
              </w:rPr>
              <w:t>-20.5%</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6,512</w:t>
            </w:r>
          </w:p>
        </w:tc>
        <w:tc>
          <w:tcPr>
            <w:tcW w:type="dxa" w:w="1440"/>
            <w:shd w:fill="FFDCE0" w:val="clear"/>
          </w:tcPr>
          <w:p>
            <w:r>
              <w:rPr>
                <w:b/>
                <w:sz w:val="17"/>
              </w:rPr>
              <w:t>7,211</w:t>
            </w:r>
          </w:p>
        </w:tc>
        <w:tc>
          <w:tcPr>
            <w:tcW w:type="dxa" w:w="1440"/>
            <w:shd w:fill="FFDCE0" w:val="clear"/>
          </w:tcPr>
          <w:p>
            <w:r>
              <w:rPr>
                <w:sz w:val="17"/>
              </w:rPr>
              <w:t>7,910</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920 milliards FCFA, ce qui en fait l'une des valeurs les plus lourdes et les plus liquides de la BRVM, représentant un poids considérable dans l'indice composite. Avec un BPA de 556 FCFA, chaque action génère un bénéfice substantiel, mais le PER de 16,5x se situe nettement au-dessus de la moyenne historique de la place (~8-12x), indiquant que les investisseurs paient une prime significative pour la qualité perçue de l'actif. Le P/B de 4,49x confirme cette lecture : le marché valorise le titre près de 4,5 fois sa valeur comptable, ce qui est exigeant et intègre des hypothèses de croissance soutenue. Enfin, l'EV/EBITDA de 15,3x, bien que non directement comparable pour une banque, suggère une valorisation riche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SIBC affiche une progression remarquable de +31,52%, passant d'un plus bas de 6 805 FCFA à un plus haut de 9 500 FCFA, avec un cours actuel de 9 200 FCFA, stable sur la dernière séance. La moyenne sur la période (8 309 FCFA) est inférieure à la médiane (8 800 FCFA), ce qui, combiné à une asymétrie négative (skewness de -0,569), indique que le titre a passé plus de temps au-dessus de sa moyenne, avec des épisodes de correction rapide. L'écart-type de 875 FCFA (CV de 10,5%) révèle une dispersion modérée des cours, tandis que le kurtosis platykurtique (-1,394) suggère une absence de mouvements extrêmes ou de pics violents, typique d'une progression régulière. La volatilité annualisée de 28,3% classe le titre dans une zone de risque élevé, mais cette statistique est à relativiser au regard de la tendance haussière soutenue observée sur la période.</w:t>
      </w:r>
    </w:p>
    <w:p>
      <w:pPr>
        <w:spacing w:after="120" w:line="276" w:lineRule="auto" w:before="240"/>
      </w:pPr>
      <w:r>
        <w:rPr>
          <w:b/>
          <w:color w:val="003366"/>
          <w:sz w:val="24"/>
        </w:rPr>
        <w:t>**PARTIE 2 : ANALYSE TECHNIQUE DÉTAILLÉE**</w:t>
      </w:r>
    </w:p>
    <w:p>
      <w:pPr>
        <w:spacing w:after="120" w:line="276" w:lineRule="auto"/>
      </w:pPr>
      <w:r>
        <w:t>Les **Moyennes Mobiles** indiquent une dynamique positive : la MM20 (9 155 FCFA) et la MM50 (8 992,6 FCFA) sont toutes deux inférieures au cours actuel (9 200 FCFA), confirmant une tendance haussière de court et moyen terme. Le signal d'achat est cohérent avec une configuration où le prix évolue au-dessus de ses moyennes, bien que l'écart entre le cours et la MM20 soit minime, suggérant une possible consolidation.</w:t>
      </w:r>
    </w:p>
    <w:p>
      <w:pPr>
        <w:spacing w:after="120" w:line="276" w:lineRule="auto"/>
      </w:pPr>
      <w:r>
        <w:t>Les **Bandes de Bollinger** montrent un cours positionné presque au centre du canal (borne supérieure à 9 520 FCFA, borne inférieure à 8 790 FCFA), indiquant une volatilité modérée et une absence de surachat ou de survente. La décision neutre est justifiée : le titre n'est pas en zone d'extension excessive, laissant la possibilité d'un mouvement directionnel dans un sens ou dans l'autre.</w:t>
      </w:r>
    </w:p>
    <w:p>
      <w:pPr>
        <w:spacing w:after="120" w:line="276" w:lineRule="auto"/>
      </w:pPr>
      <w:r>
        <w:t>Le **MACD** affiche une valeur (58,8) inférieure à son signal (74,4), ce qui constitue un croisement baissier récent. Ce signal de vente suggère un affaiblissement du momentum haussier à court terme, même si la valeur reste positive, indiquant que la tendance de fond demeure haussière mais perd de la vigueur.</w:t>
      </w:r>
    </w:p>
    <w:p>
      <w:pPr>
        <w:spacing w:after="120" w:line="276" w:lineRule="auto"/>
      </w:pPr>
      <w:r>
        <w:t>Le **RSI** à 46,15 se situe en zone neutre, loin des seuils de surachat (70) ou de survente (30). Cette lecture reflète un équilibre entre acheteurs et vendeurs, sans pression directionnelle dominante, ce qui justifie une position d'attente.</w:t>
      </w:r>
    </w:p>
    <w:p>
      <w:pPr>
        <w:spacing w:after="120" w:line="276" w:lineRule="auto"/>
      </w:pPr>
      <w:r>
        <w:t>Le **Stochastique** (%K=40, %D=36,7) montre des oscillateurs en territoire neutre, avec un %K légèrement au-dessus de %D, indiquant un début de reprise potentielle mais non confirmée. La décision neutre est cohérente avec l'absence de croisement décisif.</w:t>
      </w:r>
    </w:p>
    <w:p>
      <w:pPr>
        <w:spacing w:after="120" w:line="276" w:lineRule="auto"/>
      </w:pPr>
      <w:r>
        <w:t>En conclusion technique, les indicateurs sont partagés : les moyennes mobiles soutiennent une tendance haussière intacte, mais le MACD signale un essoufflement du momentum, tandis que le RSI et le Stochastique restent neutres. Cette configuration suggère une phase de consolidation avant une éventuelle reprise, ou une correction si le support des MM20 (9 155 FCFA) venait à céder.</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la SIBC révèlent une banque extrêmement performante : le Produit Net Bancaire atteint 108,663 milliards FCFA, générant un résultat net de 55,623 milliards FCFA, soit une marge nette exceptionnelle de 51,19%. Le ROE de 27,16% et le ROA de 2,96% confirment une rentabilité parmi les meilleures de la zone UEMOA, avec un coefficient d'exploitation de 38,59% témoignant d'une maîtrise des coûts remarquable (bien en dessous du seuil de 60%). La structure de bilan est solide : les dépôts clientèle (1 503,441 Mds FCFA) financent largement les crédits (1 226,720 Mds FCFA), avec un ratio de transformation sain, et le ratio de solvabilité générale de 112,21% assure une bonne couverture des dettes. Les rapports trimestriels confirment cette dynamique : le T1 2026 (rapport du 31/12/2026 analysé le 07/05/2026) montre un PNB de 27,7 milliards (+4% vs T1 2025) et un résultat net de 15,2 milliards (+11%), tandis que le T3 2025 (cumul 9 mois) affichait déjà un PNB de 81,4 milliards (+8%) et un résultat net de 43 milliards (+11%). Sur la base de ces tendances, on estime que l'exercice 2026 pourrait voir le PNB dépasser 115 milliards et le résultat net excéder 60 milliards, confirmant la trajectoire de croissance régulière. Le coût du risque, bien que non chiffré précisément dans les données structurées, a été réduit de 35% en 2024 selon le rapport annuel (5,2 Mds contre 8,0 Mds), et les provisions de 14,124 Mds en 2025 restent maîtrisées. La banque est fondamentalement solide, avec des perspectives favorables portées par le plan stratégique "IMPULSION 2028", mais sa valorisation actuelle intègre déjà une grande partie de ces bonnes nouvelles.</w:t>
      </w:r>
    </w:p>
    <w:p>
      <w:pPr>
        <w:spacing w:after="120" w:line="276" w:lineRule="auto" w:before="240"/>
      </w:pPr>
      <w:r>
        <w:rPr>
          <w:b/>
          <w:color w:val="003366"/>
          <w:sz w:val="24"/>
        </w:rPr>
        <w:t>**PARTIE 4 : CONCLUSION D'INVESTISSEMENT**</w:t>
      </w:r>
    </w:p>
    <w:p>
      <w:pPr>
        <w:spacing w:after="120" w:line="276" w:lineRule="auto"/>
      </w:pPr>
      <w:r>
        <w:t>La synthèse globale fait ressortir une divergence nette entre des fondamentaux excellents et une valorisation exigeante. Les ratios de valorisation (PER 16,5x, P/B 4,49x) indiquent une surévaluation relative par rapport au marché BRVM, tandis que le comportement du cours (+31,5% sur 100 jours) montre une dynamique haussière soutenue mais avec une volatilité élevée (28,3%) et des statistiques suggérant une distribution stable. Les signaux techniques sont mitigés : les moyennes mobiles restent positives, mais le MACD en croisement baissier et le RSI neutre appellent à la prudence à court terme. Les fondamentaux, eux, sont indiscutablement solides avec un ROE de 27%, une marge nette de 51% et une croissance du résultat net de 11% au T1 2026. Les prédictions IA pour les 10 prochains jours (8 873 à 7 875 FCFA) anticipent une correction significative de -14%, ce qui contredit la tendance haussière récente et suggère un retour vers les niveaux de la MM50. Cette projection, si elle se confirme, offrirait un point d'entrée plus attractif. Au vu de ces éléments, la recommandation est **CONSERVER** pour les investisseurs déjà positionnés, avec un niveau de confiance **Moyen** et un risque global **Élevé** en raison de la valorisation tendue et de la volatilité. Pour un nouvel investisseur, il est conseillé d'attendre une correction vers 8 500-8 800 FCFA pour initier une position, avec un horizon d'investissement de **moyen terme (3-12 mois)** pour bénéficier de la solidité des fondamentaux et des perspectives de croissance du secteur bancaire ivoirien.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132 titres</w:t>
            </w:r>
          </w:p>
        </w:tc>
        <w:tc>
          <w:tcPr>
            <w:tcW w:type="dxa" w:w="2268"/>
            <w:shd w:fill="FFF2CC" w:val="clear"/>
          </w:tcPr>
          <w:p>
            <w:r>
              <w:rPr>
                <w:b/>
                <w:color w:val="503200"/>
                <w:sz w:val="16"/>
              </w:rPr>
              <w:t xml:space="preserve">Cours actuel : </w:t>
            </w:r>
            <w:r>
              <w:rPr>
                <w:color w:val="000000"/>
                <w:sz w:val="17"/>
              </w:rPr>
              <w:t>7,995 FCFA</w:t>
            </w:r>
          </w:p>
          <w:p>
            <w:r>
              <w:rPr>
                <w:b/>
                <w:color w:val="503200"/>
                <w:sz w:val="16"/>
              </w:rPr>
              <w:t xml:space="preserve">Var. 100 jours : </w:t>
            </w:r>
            <w:r>
              <w:rPr>
                <w:b/>
                <w:color w:val="007800"/>
                <w:sz w:val="17"/>
              </w:rPr>
              <w:t>+99.88%</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60.5%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30.39% (Élevée) — μ=5,303 FCFA, σ=1,612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β=-0.7456 (Contre-cyclique) — Cov=-0.000027, Var(idx)=0.000036, ρ=-0.117,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132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σ_j=3.81%/j (Modérée) — Vol. annualisée≈60.5%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7,177</w:t>
            </w:r>
          </w:p>
        </w:tc>
        <w:tc>
          <w:tcPr>
            <w:tcW w:type="dxa" w:w="1440"/>
            <w:shd w:fill="FFDCE0" w:val="clear"/>
          </w:tcPr>
          <w:p>
            <w:r>
              <w:rPr>
                <w:b/>
                <w:sz w:val="17"/>
              </w:rPr>
              <w:t>7,759</w:t>
            </w:r>
          </w:p>
        </w:tc>
        <w:tc>
          <w:tcPr>
            <w:tcW w:type="dxa" w:w="1440"/>
            <w:shd w:fill="FFDCE0" w:val="clear"/>
          </w:tcPr>
          <w:p>
            <w:r>
              <w:rPr>
                <w:sz w:val="17"/>
              </w:rPr>
              <w:t>8,341</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6,764</w:t>
            </w:r>
          </w:p>
        </w:tc>
        <w:tc>
          <w:tcPr>
            <w:tcW w:type="dxa" w:w="1440"/>
            <w:shd w:fill="FFDCE0" w:val="clear"/>
          </w:tcPr>
          <w:p>
            <w:r>
              <w:rPr>
                <w:b/>
                <w:sz w:val="17"/>
              </w:rPr>
              <w:t>7,640</w:t>
            </w:r>
          </w:p>
        </w:tc>
        <w:tc>
          <w:tcPr>
            <w:tcW w:type="dxa" w:w="1440"/>
            <w:shd w:fill="FFDCE0" w:val="clear"/>
          </w:tcPr>
          <w:p>
            <w:r>
              <w:rPr>
                <w:sz w:val="17"/>
              </w:rPr>
              <w:t>8,515</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6,435</w:t>
            </w:r>
          </w:p>
        </w:tc>
        <w:tc>
          <w:tcPr>
            <w:tcW w:type="dxa" w:w="1440"/>
            <w:shd w:fill="FFDCE0" w:val="clear"/>
          </w:tcPr>
          <w:p>
            <w:r>
              <w:rPr>
                <w:b/>
                <w:sz w:val="17"/>
              </w:rPr>
              <w:t>7,486</w:t>
            </w:r>
          </w:p>
        </w:tc>
        <w:tc>
          <w:tcPr>
            <w:tcW w:type="dxa" w:w="1440"/>
            <w:shd w:fill="FFDCE0" w:val="clear"/>
          </w:tcPr>
          <w:p>
            <w:r>
              <w:rPr>
                <w:sz w:val="17"/>
              </w:rPr>
              <w:t>8,537</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6,145</w:t>
            </w:r>
          </w:p>
        </w:tc>
        <w:tc>
          <w:tcPr>
            <w:tcW w:type="dxa" w:w="1440"/>
            <w:shd w:fill="FFDCE0" w:val="clear"/>
          </w:tcPr>
          <w:p>
            <w:r>
              <w:rPr>
                <w:b/>
                <w:sz w:val="17"/>
              </w:rPr>
              <w:t>7,333</w:t>
            </w:r>
          </w:p>
        </w:tc>
        <w:tc>
          <w:tcPr>
            <w:tcW w:type="dxa" w:w="1440"/>
            <w:shd w:fill="FFDCE0" w:val="clear"/>
          </w:tcPr>
          <w:p>
            <w:r>
              <w:rPr>
                <w:sz w:val="17"/>
              </w:rPr>
              <w:t>8,522</w:t>
            </w:r>
          </w:p>
        </w:tc>
        <w:tc>
          <w:tcPr>
            <w:tcW w:type="dxa" w:w="1440"/>
            <w:shd w:fill="FFDCE0" w:val="clear"/>
          </w:tcPr>
          <w:p>
            <w:r>
              <w:rPr>
                <w:b/>
                <w:color w:val="C00000"/>
                <w:sz w:val="17"/>
              </w:rPr>
              <w:t>-8.3%</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5,883</w:t>
            </w:r>
          </w:p>
        </w:tc>
        <w:tc>
          <w:tcPr>
            <w:tcW w:type="dxa" w:w="1440"/>
            <w:shd w:fill="FFDCE0" w:val="clear"/>
          </w:tcPr>
          <w:p>
            <w:r>
              <w:rPr>
                <w:b/>
                <w:sz w:val="17"/>
              </w:rPr>
              <w:t>7,185</w:t>
            </w:r>
          </w:p>
        </w:tc>
        <w:tc>
          <w:tcPr>
            <w:tcW w:type="dxa" w:w="1440"/>
            <w:shd w:fill="FFDCE0" w:val="clear"/>
          </w:tcPr>
          <w:p>
            <w:r>
              <w:rPr>
                <w:sz w:val="17"/>
              </w:rPr>
              <w:t>8,487</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5,644</w:t>
            </w:r>
          </w:p>
        </w:tc>
        <w:tc>
          <w:tcPr>
            <w:tcW w:type="dxa" w:w="1440"/>
            <w:shd w:fill="FFDCE0" w:val="clear"/>
          </w:tcPr>
          <w:p>
            <w:r>
              <w:rPr>
                <w:b/>
                <w:sz w:val="17"/>
              </w:rPr>
              <w:t>7,043</w:t>
            </w:r>
          </w:p>
        </w:tc>
        <w:tc>
          <w:tcPr>
            <w:tcW w:type="dxa" w:w="1440"/>
            <w:shd w:fill="FFDCE0" w:val="clear"/>
          </w:tcPr>
          <w:p>
            <w:r>
              <w:rPr>
                <w:sz w:val="17"/>
              </w:rPr>
              <w:t>8,441</w:t>
            </w:r>
          </w:p>
        </w:tc>
        <w:tc>
          <w:tcPr>
            <w:tcW w:type="dxa" w:w="1440"/>
            <w:shd w:fill="FFDCE0" w:val="clear"/>
          </w:tcPr>
          <w:p>
            <w:r>
              <w:rPr>
                <w:b/>
                <w:color w:val="C00000"/>
                <w:sz w:val="17"/>
              </w:rPr>
              <w:t>-11.9%</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5,425</w:t>
            </w:r>
          </w:p>
        </w:tc>
        <w:tc>
          <w:tcPr>
            <w:tcW w:type="dxa" w:w="1440"/>
            <w:shd w:fill="FFDCE0" w:val="clear"/>
          </w:tcPr>
          <w:p>
            <w:r>
              <w:rPr>
                <w:b/>
                <w:sz w:val="17"/>
              </w:rPr>
              <w:t>6,906</w:t>
            </w:r>
          </w:p>
        </w:tc>
        <w:tc>
          <w:tcPr>
            <w:tcW w:type="dxa" w:w="1440"/>
            <w:shd w:fill="FFDCE0" w:val="clear"/>
          </w:tcPr>
          <w:p>
            <w:r>
              <w:rPr>
                <w:sz w:val="17"/>
              </w:rPr>
              <w:t>8,387</w:t>
            </w:r>
          </w:p>
        </w:tc>
        <w:tc>
          <w:tcPr>
            <w:tcW w:type="dxa" w:w="1440"/>
            <w:shd w:fill="FFDCE0" w:val="clear"/>
          </w:tcPr>
          <w:p>
            <w:r>
              <w:rPr>
                <w:b/>
                <w:color w:val="C00000"/>
                <w:sz w:val="17"/>
              </w:rPr>
              <w:t>-13.6%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5,223</w:t>
            </w:r>
          </w:p>
        </w:tc>
        <w:tc>
          <w:tcPr>
            <w:tcW w:type="dxa" w:w="1440"/>
            <w:shd w:fill="FFDCE0" w:val="clear"/>
          </w:tcPr>
          <w:p>
            <w:r>
              <w:rPr>
                <w:b/>
                <w:sz w:val="17"/>
              </w:rPr>
              <w:t>6,776</w:t>
            </w:r>
          </w:p>
        </w:tc>
        <w:tc>
          <w:tcPr>
            <w:tcW w:type="dxa" w:w="1440"/>
            <w:shd w:fill="FFDCE0" w:val="clear"/>
          </w:tcPr>
          <w:p>
            <w:r>
              <w:rPr>
                <w:sz w:val="17"/>
              </w:rPr>
              <w:t>8,329</w:t>
            </w:r>
          </w:p>
        </w:tc>
        <w:tc>
          <w:tcPr>
            <w:tcW w:type="dxa" w:w="1440"/>
            <w:shd w:fill="FFDCE0" w:val="clear"/>
          </w:tcPr>
          <w:p>
            <w:r>
              <w:rPr>
                <w:b/>
                <w:color w:val="C00000"/>
                <w:sz w:val="17"/>
              </w:rPr>
              <w:t>-15.2%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5,034</w:t>
            </w:r>
          </w:p>
        </w:tc>
        <w:tc>
          <w:tcPr>
            <w:tcW w:type="dxa" w:w="1440"/>
            <w:shd w:fill="FFDCE0" w:val="clear"/>
          </w:tcPr>
          <w:p>
            <w:r>
              <w:rPr>
                <w:b/>
                <w:sz w:val="17"/>
              </w:rPr>
              <w:t>6,652</w:t>
            </w:r>
          </w:p>
        </w:tc>
        <w:tc>
          <w:tcPr>
            <w:tcW w:type="dxa" w:w="1440"/>
            <w:shd w:fill="FFDCE0" w:val="clear"/>
          </w:tcPr>
          <w:p>
            <w:r>
              <w:rPr>
                <w:sz w:val="17"/>
              </w:rPr>
              <w:t>8,269</w:t>
            </w:r>
          </w:p>
        </w:tc>
        <w:tc>
          <w:tcPr>
            <w:tcW w:type="dxa" w:w="1440"/>
            <w:shd w:fill="FFDCE0" w:val="clear"/>
          </w:tcPr>
          <w:p>
            <w:r>
              <w:rPr>
                <w:b/>
                <w:color w:val="C00000"/>
                <w:sz w:val="17"/>
              </w:rPr>
              <w:t>-16.8%</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4,859</w:t>
            </w:r>
          </w:p>
        </w:tc>
        <w:tc>
          <w:tcPr>
            <w:tcW w:type="dxa" w:w="1440"/>
            <w:shd w:fill="FFDCE0" w:val="clear"/>
          </w:tcPr>
          <w:p>
            <w:r>
              <w:rPr>
                <w:b/>
                <w:sz w:val="17"/>
              </w:rPr>
              <w:t>6,534</w:t>
            </w:r>
          </w:p>
        </w:tc>
        <w:tc>
          <w:tcPr>
            <w:tcW w:type="dxa" w:w="1440"/>
            <w:shd w:fill="FFDCE0" w:val="clear"/>
          </w:tcPr>
          <w:p>
            <w:r>
              <w:rPr>
                <w:sz w:val="17"/>
              </w:rPr>
              <w:t>8,209</w:t>
            </w:r>
          </w:p>
        </w:tc>
        <w:tc>
          <w:tcPr>
            <w:tcW w:type="dxa" w:w="1440"/>
            <w:shd w:fill="FFDCE0" w:val="clear"/>
          </w:tcPr>
          <w:p>
            <w:r>
              <w:rPr>
                <w:b/>
                <w:color w:val="C00000"/>
                <w:sz w:val="17"/>
              </w:rPr>
              <w:t>-18.3%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CI (BRVM)**</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4,80 milliards FCFA, un niveau modeste qui la classe parmi les petites capitalisations de la BRVM, avec un flottant probablement limité. Les ratios de valorisation (BPA, PER, P/B, EV/EBITDA) ne sont pas calculables en raison de l'absence de données financières structurées récentes dans la base. Toutefois, sur la base du dernier résultat net publié de 19,25 millions FCFA en 2023, le PER implicite serait d'environ 249 fois, une valeur extrêmement élevée qui suggère que le marché anticipe une forte croissance future ou que le titre est spéculativement surévalué. En l'absence de données sur les capitaux propres récents, le P/B ne peut être déterminé, mais cette valorisation boursière paraît très supérieure à la valeur comptable historique de l'entreprise, indiquant une prime de marché significative.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+99,88%, passant d'un plus bas de 3 765 FCFA à un plus haut de 10 200 FCFA, avant de se stabiliser autour de 7 995 FCFA à la dernière séance, marquant un léger repli de -0,19% sur la journée. La moyenne du cours sur la période (5 303 FCFA) est nettement supérieure à la médiane (4 495 FCFA), ce qui confirme une distribution asymétrique positive (skewness de 1,643) : la majorité des séances se sont déroulées sous la moyenne, mais quelques fortes hausses ont tiré le cours vers le haut. L'écart-type de 1 620 FCFA (CV de 30,5%) témoigne d'une dispersion importante, tandis que le kurtosis excédentaire de 1,625 indique des queues de distribution épaisses, signe de mouvements de prix extrêmes possibles. La volatilité annualisée de 60,5% classe le titre dans la catégorie à risque élevé, bien au-dessus du seuil de 30%.</w:t>
      </w:r>
    </w:p>
    <w:p>
      <w:pPr>
        <w:spacing w:after="120" w:line="276" w:lineRule="auto" w:before="240"/>
      </w:pPr>
      <w:r>
        <w:rPr>
          <w:b/>
          <w:color w:val="003366"/>
          <w:sz w:val="24"/>
        </w:rPr>
        <w:t>**PARTIE 2 : ANALYSE TECHNIQUE DÉTAILLÉE**</w:t>
      </w:r>
    </w:p>
    <w:p>
      <w:pPr>
        <w:spacing w:after="120" w:line="276" w:lineRule="auto"/>
      </w:pPr>
      <w:r>
        <w:t>**Moyennes Mobiles** : La MM20 (8 192,75 FCFA) est supérieure à la MM50 (6 312,4 FCFA), et le cours actuel (7 995 FCFA) se situe entre les deux, mais au-dessus de la MM50. Cette configuration haussière à moyen terme, avec une MM20 qui agit comme résistance immédiate, justifie la décision d'achat, bien que le cours doive franchir la MM20 pour confirmer la tendance.</w:t>
      </w:r>
    </w:p>
    <w:p>
      <w:pPr>
        <w:spacing w:after="120" w:line="276" w:lineRule="auto"/>
      </w:pPr>
      <w:r>
        <w:t>**Bandes de Bollinger** : Le cours évolue entre la borne inférieure (5 650,55 FCFA) et la borne supérieure (10 734,95 FCFA), plus près de la borne supérieure, indiquant une volatilité élevée. La position actuelle est neutre, mais la largeur des bandes reflète l'extrême volatilité du titre, avec un risque de retour vers la moyenne.</w:t>
      </w:r>
    </w:p>
    <w:p>
      <w:pPr>
        <w:spacing w:after="120" w:line="276" w:lineRule="auto"/>
      </w:pPr>
      <w:r>
        <w:t>**MACD** : Le MACD (635,08) est inférieur à son signal (861,57), indiquant un momentum baissier à court terme. Cette configuration de vente suggère que la dynamique haussière s'essouffle, même si les valeurs restent positives, ce qui nuance le signal.</w:t>
      </w:r>
    </w:p>
    <w:p>
      <w:pPr>
        <w:spacing w:after="120" w:line="276" w:lineRule="auto"/>
      </w:pPr>
      <w:r>
        <w:t>**RSI** : À 58,5, le RSI se situe en zone neutre, sans signal de surachat ni de survente. Cette valeur indique une pression acheteuse modérée, laissant une marge de manœuvre avant d'atteindre la zone de surachat (&gt;70).</w:t>
      </w:r>
    </w:p>
    <w:p>
      <w:pPr>
        <w:spacing w:after="120" w:line="276" w:lineRule="auto"/>
      </w:pPr>
      <w:r>
        <w:t>**Stochastique** : Le %K (14,7) est très inférieur au %D (24,5), signalant une condition de survente extrême. Ce croisement baissier suggère un potentiel de rebond technique, justifiant la décision d'achat.</w:t>
      </w:r>
    </w:p>
    <w:p>
      <w:pPr>
        <w:spacing w:after="120" w:line="276" w:lineRule="auto"/>
      </w:pPr>
      <w:r>
        <w:t>**Conclusion technique** : Les signaux sont mitigés avec une divergence entre les indicateurs de tendance (MM haussières) et de momentum (MACD baissier, Stochastique en survente). Le titre semble dans une phase de consolidation après une forte hausse, avec un potentiel de rebond technique mais une prudence requise.</w:t>
      </w:r>
    </w:p>
    <w:p>
      <w:pPr>
        <w:spacing w:after="120" w:line="276" w:lineRule="auto" w:before="240"/>
      </w:pPr>
      <w:r>
        <w:rPr>
          <w:b/>
          <w:color w:val="003366"/>
          <w:sz w:val="24"/>
        </w:rPr>
        <w:t>**PARTIE 3 : ANALYSE FONDAMENTALE (SECTION CRITIQUE)**</w:t>
      </w:r>
    </w:p>
    <w:p>
      <w:pPr>
        <w:spacing w:after="120" w:line="276" w:lineRule="auto"/>
      </w:pPr>
      <w:r>
        <w:t>Les états financiers disponibles couvrent la période 2015-2023, avec une nette détérioration puis un redressement récent. En 2023, le chiffre d'affaires s'établit à 701,09 millions FCFA, en baisse de 38,4% par rapport à 2022 (1 138,17 millions FCFA), mais le résultat net redevient positif à +19,25 millions FCFA, contre une perte de -39,95 millions FCFA en 2022. Cette amélioration résulte d'une réduction drastique des charges (-43,68%), notamment les charges de personnel transférées vers la SIPAL. La marge nette de 2,75% reste faible, et l'entreprise n'a jamais distribué de dividende depuis 2019, les pertes cumulées (689,86 millions FCFA) devant être résorbées. Les rapports de 2015-2017 montrent une rentabilité historiquement meilleure (marge nette de 15,7% en 2015, 6,44% en 2017), mais une dégradation progressive. Les perspectives 2024-2025 restent incertaines, avec des risques opérationnels (vols, concurrence) et financiers (découverts bancaires en hausse de 1 319%). L'AGO du 22 mai 2026 devrait approuver les comptes 2024, mais aucune amélioration majeure n'est attendue à court terme.</w:t>
      </w:r>
    </w:p>
    <w:p>
      <w:pPr>
        <w:spacing w:after="120" w:line="276" w:lineRule="auto" w:before="240"/>
      </w:pPr>
      <w:r>
        <w:rPr>
          <w:b/>
          <w:color w:val="003366"/>
          <w:sz w:val="24"/>
        </w:rPr>
        <w:t>**PARTIE 4 : CONCLUSION D'INVESTISSEMENT**</w:t>
      </w:r>
    </w:p>
    <w:p>
      <w:pPr>
        <w:spacing w:after="120" w:line="276" w:lineRule="auto"/>
      </w:pPr>
      <w:r>
        <w:t>La valorisation boursière de SICOR, avec un PER implicite d'environ 249 fois, est extrêmement élevée et sans rapport avec les fondamentaux, indiquant une surévaluation spéculative. Le comportement du cours (+99,88% en 100 jours) avec une volatilité annualisée de 60,5% et une asymétrie positive reflète un enthousiasme excessif du marché. Les signaux techniques sont mitigés : les moyennes mobiles sont haussières, mais le MACD et le stochastique suggèrent un essoufflement. Les fondamentaux restent fragiles avec une marge nette de 2,75% en 2023 et une absence de dividende. Les prédictions IA (7 759 FCFA à J+10, en baisse de 3%) confirment un repli progressif. La convergence des signaux (surévaluation, momentum baissier, fondamentaux faibles) conduit à une recommandation de **VENTE**, avec un niveau de confiance **Moyen** et un risque global **Élevé**. L'horizon d'investissement optimal serait à court terme (&lt;3 mois) pour les investisseurs existants cherchant à sécuriser leurs gains, tandis que les nouveaux entrants devraient éviter ce titre spéculatif.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5,408 titres</w:t>
            </w:r>
          </w:p>
        </w:tc>
        <w:tc>
          <w:tcPr>
            <w:tcW w:type="dxa" w:w="2268"/>
            <w:shd w:fill="FFF2CC" w:val="clear"/>
          </w:tcPr>
          <w:p>
            <w:r>
              <w:rPr>
                <w:b/>
                <w:color w:val="503200"/>
                <w:sz w:val="16"/>
              </w:rPr>
              <w:t xml:space="preserve">Cours actuel : </w:t>
            </w:r>
            <w:r>
              <w:rPr>
                <w:color w:val="000000"/>
                <w:sz w:val="17"/>
              </w:rPr>
              <w:t>2,310 FCFA</w:t>
            </w:r>
          </w:p>
          <w:p>
            <w:r>
              <w:rPr>
                <w:b/>
                <w:color w:val="503200"/>
                <w:sz w:val="16"/>
              </w:rPr>
              <w:t xml:space="preserve">Var. 100 jours : </w:t>
            </w:r>
            <w:r>
              <w:rPr>
                <w:b/>
                <w:color w:val="B40000"/>
                <w:sz w:val="17"/>
              </w:rPr>
              <w:t>-21.16%</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11.21% (Moyenne) — μ=2,595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β=0.2773 (Défensif) — Cov=0.000010, Var(idx)=0.000036, ρ=0.052,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2,099</w:t>
            </w:r>
          </w:p>
        </w:tc>
        <w:tc>
          <w:tcPr>
            <w:tcW w:type="dxa" w:w="1440"/>
            <w:shd w:fill="FFDCE0" w:val="clear"/>
          </w:tcPr>
          <w:p>
            <w:r>
              <w:rPr>
                <w:b/>
                <w:sz w:val="17"/>
              </w:rPr>
              <w:t>2,208</w:t>
            </w:r>
          </w:p>
        </w:tc>
        <w:tc>
          <w:tcPr>
            <w:tcW w:type="dxa" w:w="1440"/>
            <w:shd w:fill="FFDCE0" w:val="clear"/>
          </w:tcPr>
          <w:p>
            <w:r>
              <w:rPr>
                <w:sz w:val="17"/>
              </w:rPr>
              <w:t>2,318</w:t>
            </w:r>
          </w:p>
        </w:tc>
        <w:tc>
          <w:tcPr>
            <w:tcW w:type="dxa" w:w="1440"/>
            <w:shd w:fill="FFDCE0" w:val="clear"/>
          </w:tcPr>
          <w:p>
            <w:r>
              <w:rPr>
                <w:b/>
                <w:color w:val="C00000"/>
                <w:sz w:val="17"/>
              </w:rPr>
              <w:t>-4.4%</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2,015</w:t>
            </w:r>
          </w:p>
        </w:tc>
        <w:tc>
          <w:tcPr>
            <w:tcW w:type="dxa" w:w="1440"/>
            <w:shd w:fill="FFDCE0" w:val="clear"/>
          </w:tcPr>
          <w:p>
            <w:r>
              <w:rPr>
                <w:b/>
                <w:sz w:val="17"/>
              </w:rPr>
              <w:t>2,166</w:t>
            </w:r>
          </w:p>
        </w:tc>
        <w:tc>
          <w:tcPr>
            <w:tcW w:type="dxa" w:w="1440"/>
            <w:shd w:fill="FFDCE0" w:val="clear"/>
          </w:tcPr>
          <w:p>
            <w:r>
              <w:rPr>
                <w:sz w:val="17"/>
              </w:rPr>
              <w:t>2,318</w:t>
            </w:r>
          </w:p>
        </w:tc>
        <w:tc>
          <w:tcPr>
            <w:tcW w:type="dxa" w:w="1440"/>
            <w:shd w:fill="FFDCE0" w:val="clear"/>
          </w:tcPr>
          <w:p>
            <w:r>
              <w:rPr>
                <w:b/>
                <w:color w:val="C00000"/>
                <w:sz w:val="17"/>
              </w:rPr>
              <w:t>-6.2%</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1,937</w:t>
            </w:r>
          </w:p>
        </w:tc>
        <w:tc>
          <w:tcPr>
            <w:tcW w:type="dxa" w:w="1440"/>
            <w:shd w:fill="FFDCE0" w:val="clear"/>
          </w:tcPr>
          <w:p>
            <w:r>
              <w:rPr>
                <w:b/>
                <w:sz w:val="17"/>
              </w:rPr>
              <w:t>2,118</w:t>
            </w:r>
          </w:p>
        </w:tc>
        <w:tc>
          <w:tcPr>
            <w:tcW w:type="dxa" w:w="1440"/>
            <w:shd w:fill="FFDCE0" w:val="clear"/>
          </w:tcPr>
          <w:p>
            <w:r>
              <w:rPr>
                <w:sz w:val="17"/>
              </w:rPr>
              <w:t>2,300</w:t>
            </w:r>
          </w:p>
        </w:tc>
        <w:tc>
          <w:tcPr>
            <w:tcW w:type="dxa" w:w="1440"/>
            <w:shd w:fill="FFDCE0" w:val="clear"/>
          </w:tcPr>
          <w:p>
            <w:r>
              <w:rPr>
                <w:b/>
                <w:color w:val="C00000"/>
                <w:sz w:val="17"/>
              </w:rPr>
              <w:t>-8.3%</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1,865</w:t>
            </w:r>
          </w:p>
        </w:tc>
        <w:tc>
          <w:tcPr>
            <w:tcW w:type="dxa" w:w="1440"/>
            <w:shd w:fill="FFDCE0" w:val="clear"/>
          </w:tcPr>
          <w:p>
            <w:r>
              <w:rPr>
                <w:b/>
                <w:sz w:val="17"/>
              </w:rPr>
              <w:t>2,070</w:t>
            </w:r>
          </w:p>
        </w:tc>
        <w:tc>
          <w:tcPr>
            <w:tcW w:type="dxa" w:w="1440"/>
            <w:shd w:fill="FFDCE0" w:val="clear"/>
          </w:tcPr>
          <w:p>
            <w:r>
              <w:rPr>
                <w:sz w:val="17"/>
              </w:rPr>
              <w:t>2,275</w:t>
            </w:r>
          </w:p>
        </w:tc>
        <w:tc>
          <w:tcPr>
            <w:tcW w:type="dxa" w:w="1440"/>
            <w:shd w:fill="FFDCE0" w:val="clear"/>
          </w:tcPr>
          <w:p>
            <w:r>
              <w:rPr>
                <w:b/>
                <w:color w:val="C00000"/>
                <w:sz w:val="17"/>
              </w:rPr>
              <w:t>-10.4%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1,799</w:t>
            </w:r>
          </w:p>
        </w:tc>
        <w:tc>
          <w:tcPr>
            <w:tcW w:type="dxa" w:w="1440"/>
            <w:shd w:fill="FFDCE0" w:val="clear"/>
          </w:tcPr>
          <w:p>
            <w:r>
              <w:rPr>
                <w:b/>
                <w:sz w:val="17"/>
              </w:rPr>
              <w:t>2,023</w:t>
            </w:r>
          </w:p>
        </w:tc>
        <w:tc>
          <w:tcPr>
            <w:tcW w:type="dxa" w:w="1440"/>
            <w:shd w:fill="FFDCE0" w:val="clear"/>
          </w:tcPr>
          <w:p>
            <w:r>
              <w:rPr>
                <w:sz w:val="17"/>
              </w:rPr>
              <w:t>2,247</w:t>
            </w:r>
          </w:p>
        </w:tc>
        <w:tc>
          <w:tcPr>
            <w:tcW w:type="dxa" w:w="1440"/>
            <w:shd w:fill="FFDCE0" w:val="clear"/>
          </w:tcPr>
          <w:p>
            <w:r>
              <w:rPr>
                <w:b/>
                <w:color w:val="C00000"/>
                <w:sz w:val="17"/>
              </w:rPr>
              <w:t>-12.4%</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1,738</w:t>
            </w:r>
          </w:p>
        </w:tc>
        <w:tc>
          <w:tcPr>
            <w:tcW w:type="dxa" w:w="1440"/>
            <w:shd w:fill="FFDCE0" w:val="clear"/>
          </w:tcPr>
          <w:p>
            <w:r>
              <w:rPr>
                <w:b/>
                <w:sz w:val="17"/>
              </w:rPr>
              <w:t>1,977</w:t>
            </w:r>
          </w:p>
        </w:tc>
        <w:tc>
          <w:tcPr>
            <w:tcW w:type="dxa" w:w="1440"/>
            <w:shd w:fill="FFDCE0" w:val="clear"/>
          </w:tcPr>
          <w:p>
            <w:r>
              <w:rPr>
                <w:sz w:val="17"/>
              </w:rPr>
              <w:t>2,217</w:t>
            </w:r>
          </w:p>
        </w:tc>
        <w:tc>
          <w:tcPr>
            <w:tcW w:type="dxa" w:w="1440"/>
            <w:shd w:fill="FFDCE0" w:val="clear"/>
          </w:tcPr>
          <w:p>
            <w:r>
              <w:rPr>
                <w:b/>
                <w:color w:val="C00000"/>
                <w:sz w:val="17"/>
              </w:rPr>
              <w:t>-14.4%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1,680</w:t>
            </w:r>
          </w:p>
        </w:tc>
        <w:tc>
          <w:tcPr>
            <w:tcW w:type="dxa" w:w="1440"/>
            <w:shd w:fill="FFDCE0" w:val="clear"/>
          </w:tcPr>
          <w:p>
            <w:r>
              <w:rPr>
                <w:b/>
                <w:sz w:val="17"/>
              </w:rPr>
              <w:t>1,933</w:t>
            </w:r>
          </w:p>
        </w:tc>
        <w:tc>
          <w:tcPr>
            <w:tcW w:type="dxa" w:w="1440"/>
            <w:shd w:fill="FFDCE0" w:val="clear"/>
          </w:tcPr>
          <w:p>
            <w:r>
              <w:rPr>
                <w:sz w:val="17"/>
              </w:rPr>
              <w:t>2,186</w:t>
            </w:r>
          </w:p>
        </w:tc>
        <w:tc>
          <w:tcPr>
            <w:tcW w:type="dxa" w:w="1440"/>
            <w:shd w:fill="FFDCE0" w:val="clear"/>
          </w:tcPr>
          <w:p>
            <w:r>
              <w:rPr>
                <w:b/>
                <w:color w:val="C00000"/>
                <w:sz w:val="17"/>
              </w:rPr>
              <w:t>-16.3%</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1,627</w:t>
            </w:r>
          </w:p>
        </w:tc>
        <w:tc>
          <w:tcPr>
            <w:tcW w:type="dxa" w:w="1440"/>
            <w:shd w:fill="FFDCE0" w:val="clear"/>
          </w:tcPr>
          <w:p>
            <w:r>
              <w:rPr>
                <w:b/>
                <w:sz w:val="17"/>
              </w:rPr>
              <w:t>1,891</w:t>
            </w:r>
          </w:p>
        </w:tc>
        <w:tc>
          <w:tcPr>
            <w:tcW w:type="dxa" w:w="1440"/>
            <w:shd w:fill="FFDCE0" w:val="clear"/>
          </w:tcPr>
          <w:p>
            <w:r>
              <w:rPr>
                <w:sz w:val="17"/>
              </w:rPr>
              <w:t>2,156</w:t>
            </w:r>
          </w:p>
        </w:tc>
        <w:tc>
          <w:tcPr>
            <w:tcW w:type="dxa" w:w="1440"/>
            <w:shd w:fill="FFDCE0" w:val="clear"/>
          </w:tcPr>
          <w:p>
            <w:r>
              <w:rPr>
                <w:b/>
                <w:color w:val="C00000"/>
                <w:sz w:val="17"/>
              </w:rPr>
              <w:t>-18.1%</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1,576</w:t>
            </w:r>
          </w:p>
        </w:tc>
        <w:tc>
          <w:tcPr>
            <w:tcW w:type="dxa" w:w="1440"/>
            <w:shd w:fill="FFDCE0" w:val="clear"/>
          </w:tcPr>
          <w:p>
            <w:r>
              <w:rPr>
                <w:b/>
                <w:sz w:val="17"/>
              </w:rPr>
              <w:t>1,850</w:t>
            </w:r>
          </w:p>
        </w:tc>
        <w:tc>
          <w:tcPr>
            <w:tcW w:type="dxa" w:w="1440"/>
            <w:shd w:fill="FFDCE0" w:val="clear"/>
          </w:tcPr>
          <w:p>
            <w:r>
              <w:rPr>
                <w:sz w:val="17"/>
              </w:rPr>
              <w:t>2,125</w:t>
            </w:r>
          </w:p>
        </w:tc>
        <w:tc>
          <w:tcPr>
            <w:tcW w:type="dxa" w:w="1440"/>
            <w:shd w:fill="FFDCE0" w:val="clear"/>
          </w:tcPr>
          <w:p>
            <w:r>
              <w:rPr>
                <w:b/>
                <w:color w:val="C00000"/>
                <w:sz w:val="17"/>
              </w:rPr>
              <w:t>-19.9%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1,527</w:t>
            </w:r>
          </w:p>
        </w:tc>
        <w:tc>
          <w:tcPr>
            <w:tcW w:type="dxa" w:w="1440"/>
            <w:shd w:fill="FFDCE0" w:val="clear"/>
          </w:tcPr>
          <w:p>
            <w:r>
              <w:rPr>
                <w:b/>
                <w:sz w:val="17"/>
              </w:rPr>
              <w:t>1,811</w:t>
            </w:r>
          </w:p>
        </w:tc>
        <w:tc>
          <w:tcPr>
            <w:tcW w:type="dxa" w:w="1440"/>
            <w:shd w:fill="FFDCE0" w:val="clear"/>
          </w:tcPr>
          <w:p>
            <w:r>
              <w:rPr>
                <w:sz w:val="17"/>
              </w:rPr>
              <w:t>2,094</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CI (ex-AIR LIQUIDE CI)**</w:t>
        <w:br/>
        <w:t>**Date de l'analyse : 30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20,18 milliards FCFA place ERIUM CI dans la catégorie des valeurs moyennes de la BRVM. Le BPA de 43 FCFA est relativement faible, ce qui explique un PER de 53,5x, extrêmement élevé par rapport à la moyenne historique du marché (8-12x). Les investisseurs paient donc une prime considérable pour chaque franc de bénéfice, ce qui traduit des anticipations de croissance très fortes ou une spéculation excessive. Le P/B de 6,17x confirme cette cherté, le marché valorisant l'actif net plus de six fois sa valeur comptable. Enfin, un EV/EBITDA de 16,9x indique que la valeur d'entreprise (dettes incluses) est très supérieure à la capacité opérationnelle de base, renforçant le caractère exigeant de la valorisation actuelle. Ces ratios suggèrent qu'aucune marge de sécurité n'est offerte à l'acheteur.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a subi une dépréciation sévère de -21,16%, avec une nouvelle baisse de -2,33% lors de la dernière séance, portant le cours à 2 310 FCFA. Le titre a évolué dans un large range de 1 920 à 3 215 FCFA, illustrant une forte amplitude de trading. La moyenne (2 595 FCFA) étant inférieure à la médiane (2 695 FCFA), la distribution des prix est légèrement asymétrique à gauche (skewness de -0,287), indiquant que les fortes baisses ont été plus fréquentes que les fortes hausses. L'écart-type de 293 FCFA (CV de 11,3%) montre une dispersion modérée autour de la moyenne. Le kurtosis négatif (-1.008) signale une distribution "aplatie", avec peu de variations extrêmes, mais le skewness négatif confirme une pression vendeuse dominante. La volatilité annualisée de 50,8% classe le titre comme extrêmement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(2 310 FCFA) est inférieur à la MM20 (2 310,75 FCFA) et à la MM50 (2 344,2 FCFA). La position sous les deux moyennes clés confirme une dynamique baissière de court et moyen terme. Le signal de "Vente" est justifié par cette configuration, où les moyennes agissent comme des résistances dynamiques.</w:t>
      </w:r>
    </w:p>
    <w:p>
      <w:pPr>
        <w:spacing w:after="120" w:line="276" w:lineRule="auto"/>
      </w:pPr>
      <w:r>
        <w:t>**Bandes de Bollinger :** Le prix se situe à 2 310 FCFA, entre la borne inférieure (2 087 FCFA) et la borne supérieure (2 534 FCFA), mais plus proche de la borne basse. Cela indique une volatilité élevée avec un biais négatif. La décision "Neutre" est cohérente, mais la proximité de la borne inférieure suggère qu'un rebond technique est possible, à condition que le support tienne.</w:t>
      </w:r>
    </w:p>
    <w:p>
      <w:pPr>
        <w:spacing w:after="120" w:line="276" w:lineRule="auto"/>
      </w:pPr>
      <w:r>
        <w:t>**MACD :** La valeur du MACD (10,136) est supérieure à sa ligne de signal (4,222), générant un croisement haussier. Ce signal d'"Achat" indique un ralentissement de la dynamique baissière et un potentiel de momentum positif à très court terme, même si la tendance de fond reste négative.</w:t>
      </w:r>
    </w:p>
    <w:p>
      <w:pPr>
        <w:spacing w:after="120" w:line="276" w:lineRule="auto"/>
      </w:pPr>
      <w:r>
        <w:t>**RSI :** À 66,37, le RSI est en zone neutre, mais proche de la zone de surachat (70). Cela suggère que le titre a connu une légère pression acheteuse récente, mais sans excès. La décision "Neutre" est appropriée, car le RSI n'est ni survendu (opportunité d'achat) ni suracheté (risque de retournement).</w:t>
      </w:r>
    </w:p>
    <w:p>
      <w:pPr>
        <w:spacing w:after="120" w:line="276" w:lineRule="auto"/>
      </w:pPr>
      <w:r>
        <w:t>**Stochastique :** Le %K (20,0) est inférieur au %D (60,126), indiquant un croisement baissier en cours. Bien que le %K soit en zone de survente (&lt;20), le %D reste élevé, ce qui crée une divergence. La décision "Neutre" reflète cette ambiguïté, mais le niveau du %K suggère un potentiel de rebond technique.</w:t>
      </w:r>
    </w:p>
    <w:p>
      <w:pPr>
        <w:spacing w:after="120" w:line="276" w:lineRule="auto"/>
      </w:pPr>
      <w:r>
        <w:t>**Conclusion technique :** Les indicateurs sont mitigés. Les moyennes mobiles et la tendance générale sont baissières, mais le MACD et le RSI montrent des signes de stabilisation. Le titre est dans une phase de consolidation après une forte baisse, avec un risque de poursuite de la chute si les supports clés (2 087 FCFA) sont enfoncés.</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(2024) :** Les états financiers 2024 montrent un PNB/CA de 9,283 milliards FCFA, un résultat net de 376,96 millions FCFA, un ROE de 11,52% et un ROA de 2,69%. Le coefficient d'exploitation est très élevé à 95,83%, indiquant une mauvaise maîtrise des charges. Le coût du risque de 3,10% est significatif, signalant une dégradation de la qualité du portefeuille de créances. La structure financière est fragile avec une autonomie financière de 23,34% (sous le seuil de 30%) et une liquidité générale de 61,93%, inférieure à 1, ce qui expose à un risque de liquidité. Le BFR est négatif (-1,74 milliards FCFA), un point positif pour la trésorerie.</w:t>
      </w:r>
    </w:p>
    <w:p>
      <w:pPr>
        <w:spacing w:after="120" w:line="276" w:lineRule="auto"/>
      </w:pPr>
      <w:r>
        <w:t>**Rapports narratifs (2025-2026) :** Le rapport annuel 2025 (publié en 2026) révèle une hausse du CA de +8,5% à 10,07 milliards FCFA, mais une chute du résultat net de -52,4% à 179,3 millions FCFA, avec une marge nette dégradée à 1,78%. La trésorerie nette reste négative à -1,66 milliards FCFA. Cependant, le rapport du 3ème trimestre 2025 est très positif : CA cumulé de 7,58 milliards FCFA (+13%) et résultat net de 832,5 millions FCFA (+58%), avec une marge nette de 11%. Sur la base de ce T3, on estime que l'exercice 2025 aurait dû être excellent, mais le rapport annuel contredit cette tendance, suggérant un 4ème trimestre catastrophique ou des éléments exceptionnels défavorables. Le changement de contrôle (cession de 72% par Air Liquide International à Erium Ltd) ajoute une incertitude stratégique majeure.</w:t>
      </w:r>
    </w:p>
    <w:p>
      <w:pPr>
        <w:spacing w:after="120" w:line="276" w:lineRule="auto"/>
      </w:pPr>
      <w:r>
        <w:t>**Recommandation fondamentale :** La situation est paradoxale. La croissance du CA est réelle, mais la rentabilité est volatile et la structure financière fragile. Les estimations basées sur le T3 2025 (+58% de résultat net) sont contredites par les résultats annuels, indiquant une mauvaise visibilité. La recommandation est **CONSERVER avec prudence**, en attendant une clarification de la stratégie du nouvel actionnaire.</w:t>
      </w:r>
    </w:p>
    <w:p>
      <w:pPr>
        <w:spacing w:after="120" w:line="276" w:lineRule="auto"/>
      </w:pPr>
      <w:r>
        <w:t>---</w:t>
      </w:r>
    </w:p>
    <w:p>
      <w:pPr>
        <w:spacing w:after="120" w:line="276" w:lineRule="auto"/>
      </w:pPr>
      <w:r>
        <w:t>### PARTIE 4 : CONCLUSION D'INVESTISSEMENT</w:t>
      </w:r>
    </w:p>
    <w:p>
      <w:pPr>
        <w:spacing w:after="120" w:line="276" w:lineRule="auto"/>
      </w:pPr>
      <w:r>
        <w:t>La valorisation (Partie 0) est extrêmement exigeante (PER 53,5x, P/B 6,17x), ne laissant aucune marge de sécurité. Le comportement du cours (Partie 1) est baissier sur 100 jours (-21,16%) avec une volatilité très élevée (50,8%), et les statistiques montrent une distribution asymétrique à la baisse. Les signaux techniques (Partie 2) sont mitigés, avec une tendance de fond baissière mais des indicateurs de court terme (MACD, RSI) suggérant un possible rebond technique. Les fondamentaux (Partie 3) sont dégradés : la rentabilité 2025 a chuté de 52% malgré une hausse du CA, et la structure financière est fragile, bien que les rapports trimestriels aient montré un fort potentiel. Les prédictions IA (J+1 à J+10) prévoient une poursuite de la baisse vers 2 023 FCFA, confirmant la pression vendeuse.</w:t>
      </w:r>
    </w:p>
    <w:p>
      <w:pPr>
        <w:spacing w:after="120" w:line="276" w:lineRule="auto"/>
      </w:pPr>
      <w:r>
        <w:t>**Recommandation finale : VENTE**</w:t>
        <w:br/>
        <w:t>- **Justification :** La convergence des signaux (valorisation excessive, tendance baissière, fondamentaux en détérioration, prédictions IA négatives) plaide pour une sortie. Le seul signal positif (MACD) est insuffisant pour contrebalancer les risques.</w:t>
        <w:br/>
        <w:t>- **Niveau de confiance :** Élevé</w:t>
        <w:br/>
        <w:t>- **Niveau de risque global :** Élevé</w:t>
        <w:br/>
        <w:t>- **Horizon d'investissement optimal :** Court terme (&lt;3 mois) pour les vendeurs ; les acheteurs devraient attendre un retour sous les 2 000 FCFA ou une clarification des résultats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1,194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-4.76%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2.51% (Faible) — μ=38,321 FCFA, σ=962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β=0.1212 (Défensif) — Cov=0.000004, Var(idx)=0.000036, ρ=0.039,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36,055</w:t>
            </w:r>
          </w:p>
        </w:tc>
        <w:tc>
          <w:tcPr>
            <w:tcW w:type="dxa" w:w="1440"/>
            <w:shd w:fill="FAFAFA" w:val="clear"/>
          </w:tcPr>
          <w:p>
            <w:r>
              <w:rPr>
                <w:b/>
                <w:sz w:val="17"/>
              </w:rPr>
              <w:t>37,260</w:t>
            </w:r>
          </w:p>
        </w:tc>
        <w:tc>
          <w:tcPr>
            <w:tcW w:type="dxa" w:w="1440"/>
            <w:shd w:fill="FAFAFA" w:val="clear"/>
          </w:tcPr>
          <w:p>
            <w:r>
              <w:rPr>
                <w:sz w:val="17"/>
              </w:rPr>
              <w:t>38,464</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35,471</w:t>
            </w:r>
          </w:p>
        </w:tc>
        <w:tc>
          <w:tcPr>
            <w:tcW w:type="dxa" w:w="1440"/>
            <w:shd w:fill="FAFAFA" w:val="clear"/>
          </w:tcPr>
          <w:p>
            <w:r>
              <w:rPr>
                <w:b/>
                <w:sz w:val="17"/>
              </w:rPr>
              <w:t>37,171</w:t>
            </w:r>
          </w:p>
        </w:tc>
        <w:tc>
          <w:tcPr>
            <w:tcW w:type="dxa" w:w="1440"/>
            <w:shd w:fill="FAFAFA" w:val="clear"/>
          </w:tcPr>
          <w:p>
            <w:r>
              <w:rPr>
                <w:sz w:val="17"/>
              </w:rPr>
              <w:t>38,871</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35,048</w:t>
            </w:r>
          </w:p>
        </w:tc>
        <w:tc>
          <w:tcPr>
            <w:tcW w:type="dxa" w:w="1440"/>
            <w:shd w:fill="FAFAFA" w:val="clear"/>
          </w:tcPr>
          <w:p>
            <w:r>
              <w:rPr>
                <w:b/>
                <w:sz w:val="17"/>
              </w:rPr>
              <w:t>37,127</w:t>
            </w:r>
          </w:p>
        </w:tc>
        <w:tc>
          <w:tcPr>
            <w:tcW w:type="dxa" w:w="1440"/>
            <w:shd w:fill="FAFAFA" w:val="clear"/>
          </w:tcPr>
          <w:p>
            <w:r>
              <w:rPr>
                <w:sz w:val="17"/>
              </w:rPr>
              <w:t>39,207</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34,695</w:t>
            </w:r>
          </w:p>
        </w:tc>
        <w:tc>
          <w:tcPr>
            <w:tcW w:type="dxa" w:w="1440"/>
            <w:shd w:fill="FAFAFA" w:val="clear"/>
          </w:tcPr>
          <w:p>
            <w:r>
              <w:rPr>
                <w:b/>
                <w:sz w:val="17"/>
              </w:rPr>
              <w:t>37,094</w:t>
            </w:r>
          </w:p>
        </w:tc>
        <w:tc>
          <w:tcPr>
            <w:tcW w:type="dxa" w:w="1440"/>
            <w:shd w:fill="FAFAFA" w:val="clear"/>
          </w:tcPr>
          <w:p>
            <w:r>
              <w:rPr>
                <w:sz w:val="17"/>
              </w:rPr>
              <w:t>39,493</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34,383</w:t>
            </w:r>
          </w:p>
        </w:tc>
        <w:tc>
          <w:tcPr>
            <w:tcW w:type="dxa" w:w="1440"/>
            <w:shd w:fill="FAFAFA" w:val="clear"/>
          </w:tcPr>
          <w:p>
            <w:r>
              <w:rPr>
                <w:b/>
                <w:sz w:val="17"/>
              </w:rPr>
              <w:t>37,063</w:t>
            </w:r>
          </w:p>
        </w:tc>
        <w:tc>
          <w:tcPr>
            <w:tcW w:type="dxa" w:w="1440"/>
            <w:shd w:fill="FAFAFA" w:val="clear"/>
          </w:tcPr>
          <w:p>
            <w:r>
              <w:rPr>
                <w:sz w:val="17"/>
              </w:rPr>
              <w:t>39,743</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34,099</w:t>
            </w:r>
          </w:p>
        </w:tc>
        <w:tc>
          <w:tcPr>
            <w:tcW w:type="dxa" w:w="1440"/>
            <w:shd w:fill="FAFAFA" w:val="clear"/>
          </w:tcPr>
          <w:p>
            <w:r>
              <w:rPr>
                <w:b/>
                <w:sz w:val="17"/>
              </w:rPr>
              <w:t>37,032</w:t>
            </w:r>
          </w:p>
        </w:tc>
        <w:tc>
          <w:tcPr>
            <w:tcW w:type="dxa" w:w="1440"/>
            <w:shd w:fill="FAFAFA" w:val="clear"/>
          </w:tcPr>
          <w:p>
            <w:r>
              <w:rPr>
                <w:sz w:val="17"/>
              </w:rPr>
              <w:t>39,965</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33,835</w:t>
            </w:r>
          </w:p>
        </w:tc>
        <w:tc>
          <w:tcPr>
            <w:tcW w:type="dxa" w:w="1440"/>
            <w:shd w:fill="FAFAFA" w:val="clear"/>
          </w:tcPr>
          <w:p>
            <w:r>
              <w:rPr>
                <w:b/>
                <w:sz w:val="17"/>
              </w:rPr>
              <w:t>37,001</w:t>
            </w:r>
          </w:p>
        </w:tc>
        <w:tc>
          <w:tcPr>
            <w:tcW w:type="dxa" w:w="1440"/>
            <w:shd w:fill="FAFAFA" w:val="clear"/>
          </w:tcPr>
          <w:p>
            <w:r>
              <w:rPr>
                <w:sz w:val="17"/>
              </w:rPr>
              <w:t>40,167</w:t>
            </w:r>
          </w:p>
        </w:tc>
        <w:tc>
          <w:tcPr>
            <w:tcW w:type="dxa" w:w="1440"/>
            <w:shd w:fill="FAFAFA" w:val="clear"/>
          </w:tcPr>
          <w:p>
            <w:r>
              <w:rPr>
                <w:b/>
                <w:color w:val="008000"/>
                <w:sz w:val="17"/>
              </w:rPr>
              <w:t>+0.0%</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33,588</w:t>
            </w:r>
          </w:p>
        </w:tc>
        <w:tc>
          <w:tcPr>
            <w:tcW w:type="dxa" w:w="1440"/>
            <w:shd w:fill="FAFAFA" w:val="clear"/>
          </w:tcPr>
          <w:p>
            <w:r>
              <w:rPr>
                <w:b/>
                <w:sz w:val="17"/>
              </w:rPr>
              <w:t>36,970</w:t>
            </w:r>
          </w:p>
        </w:tc>
        <w:tc>
          <w:tcPr>
            <w:tcW w:type="dxa" w:w="1440"/>
            <w:shd w:fill="FAFAFA" w:val="clear"/>
          </w:tcPr>
          <w:p>
            <w:r>
              <w:rPr>
                <w:sz w:val="17"/>
              </w:rPr>
              <w:t>40,351</w:t>
            </w:r>
          </w:p>
        </w:tc>
        <w:tc>
          <w:tcPr>
            <w:tcW w:type="dxa" w:w="1440"/>
            <w:shd w:fill="FAFAFA" w:val="clear"/>
          </w:tcPr>
          <w:p>
            <w:r>
              <w:rPr>
                <w:b/>
                <w:color w:val="C00000"/>
                <w:sz w:val="17"/>
              </w:rPr>
              <w:t>-0.1%</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33,355</w:t>
            </w:r>
          </w:p>
        </w:tc>
        <w:tc>
          <w:tcPr>
            <w:tcW w:type="dxa" w:w="1440"/>
            <w:shd w:fill="FAFAFA" w:val="clear"/>
          </w:tcPr>
          <w:p>
            <w:r>
              <w:rPr>
                <w:b/>
                <w:sz w:val="17"/>
              </w:rPr>
              <w:t>36,938</w:t>
            </w:r>
          </w:p>
        </w:tc>
        <w:tc>
          <w:tcPr>
            <w:tcW w:type="dxa" w:w="1440"/>
            <w:shd w:fill="FAFAFA" w:val="clear"/>
          </w:tcPr>
          <w:p>
            <w:r>
              <w:rPr>
                <w:sz w:val="17"/>
              </w:rPr>
              <w:t>40,522</w:t>
            </w:r>
          </w:p>
        </w:tc>
        <w:tc>
          <w:tcPr>
            <w:tcW w:type="dxa" w:w="1440"/>
            <w:shd w:fill="FAFAFA" w:val="clear"/>
          </w:tcPr>
          <w:p>
            <w:r>
              <w:rPr>
                <w:b/>
                <w:color w:val="C00000"/>
                <w:sz w:val="17"/>
              </w:rPr>
              <w:t>-0.2%</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33,133</w:t>
            </w:r>
          </w:p>
        </w:tc>
        <w:tc>
          <w:tcPr>
            <w:tcW w:type="dxa" w:w="1440"/>
            <w:shd w:fill="FAFAFA" w:val="clear"/>
          </w:tcPr>
          <w:p>
            <w:r>
              <w:rPr>
                <w:b/>
                <w:sz w:val="17"/>
              </w:rPr>
              <w:t>36,907</w:t>
            </w:r>
          </w:p>
        </w:tc>
        <w:tc>
          <w:tcPr>
            <w:tcW w:type="dxa" w:w="1440"/>
            <w:shd w:fill="FAFAFA" w:val="clear"/>
          </w:tcPr>
          <w:p>
            <w:r>
              <w:rPr>
                <w:sz w:val="17"/>
              </w:rPr>
              <w:t>40,681</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609,05 milliards FCFA, ce qui en fait l'une des valeurs les plus significatives de la BRVM, reflétant sa position dominante dans le secteur des boissons en Afrique de l'Ouest. Avec un BPA de 2 781 FCFA, chaque action génère un bénéfice substantiel, justifiant un PER de 13,3x, légèrement supérieur à la moyenne historique de la BRVM (8-12x), ce qui traduit une prime de croissance accordée par le marché aux excellentes performances récentes de la société. Le P/B de 3,12x confirme cette prime, le marché valorisant la société à plus de trois fois sa valeur comptable, signe de la confiance des investisseurs dans la capacité de SOLIBRA à générer de la valeur. Enfin, l'EV/EBITDA de 7,2x reste dans une zone raisonnable (5-10x), indiquant que la valorisation globale de l'entreprise, rapportée à sa capacité opérationnelle, n'apparaît pas excessive malgré la prime de croissance.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SLBC a enregistré une variation totale de -4,76%, avec une dernière séance en baisse de -1,33% à 37 000 FCFA. Le cours a évolué dans un range de 35 540 FCFA (plus bas) à 41 500 FCFA (plus haut), soit une amplitude de près de 17%, indiquant des fluctuations notables sur la période. La moyenne du cours sur 100 jours s'établit à 38 321 FCFA, légèrement supérieure à la médiane de 38 015 FCFA, avec un mode à 37 500 FCFA, suggérant une distribution relativement symétrique confirmée par un skewness de 0,279. L'écart-type de 967 FCFA, avec un coefficient de variation de seulement 2,5%, révèle une dispersion très faible autour de la moyenne, indiquant une stabilité relative du cours malgré la tendance baissière. Le kurtosis de 0,211 (mésokurtique) indique une distribution proche de la normale, sans risque de variations extrêmes. La volatilité annualisée de 29,7% classe le titre dans la catégorie à volatilité élevée (proche du seuil de 30%), ce qui implique un risque non négligeable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37 578,5 FCFA et la MM50 à 38 511,2 FCFA sont toutes deux au-dessus du cours actuel de 37 000 FCFA, avec une MM50 supérieure à la MM20, configuration typique d'une tendance baissière à court et moyen terme. Le signal de vente généré par ces moyennes mobiles est cohérent avec la dégradation progressive du cours observée sur la période.</w:t>
      </w:r>
    </w:p>
    <w:p>
      <w:pPr>
        <w:spacing w:after="120" w:line="276" w:lineRule="auto"/>
      </w:pPr>
      <w:r>
        <w:t>**Bandes de Bollinger** : Le cours évolue à 37 000 FCFA, entre la borne inférieure à 36 349,7 FCFA et la borne supérieure à 38 807,3 FCFA, se situant dans la partie inférieure de l'enveloppe. La décision neutre s'explique par le fait que le prix n'a pas encore atteint les extrêmes des bandes, mais la proximité de la borne inférieure suggère une possible zone de support à surveiller.</w:t>
      </w:r>
    </w:p>
    <w:p>
      <w:pPr>
        <w:spacing w:after="120" w:line="276" w:lineRule="auto"/>
      </w:pPr>
      <w:r>
        <w:t>**MACD** : Le MACD affiche une valeur de -320,2, légèrement au-dessus de sa ligne de signal à -338,3, indiquant un croisement haussier récent malgré des valeurs négatives. Ce signal d'achat précoce suggère un possible retournement de tendance à court terme, même si le momentum reste globalement négatif.</w:t>
      </w:r>
    </w:p>
    <w:p>
      <w:pPr>
        <w:spacing w:after="120" w:line="276" w:lineRule="auto"/>
      </w:pPr>
      <w:r>
        <w:t>**RSI** : Le RSI à 50,0 se situe exactement à la zone neutre, indiquant un équilibre entre les forces acheteuses et vendeuses. Cette position neutre ne fournit pas de signal directionnel clair, mais suggère que le titre n'est ni suracheté ni survendu, laissant place à une possible stabilisation.</w:t>
      </w:r>
    </w:p>
    <w:p>
      <w:pPr>
        <w:spacing w:after="120" w:line="276" w:lineRule="auto"/>
      </w:pPr>
      <w:r>
        <w:t>**Stochastique** : Le %K à 0,0 et le %D à 42,4 indiquent une situation contrastée, avec un %K en zone de survente extrême tandis que le %D reste à un niveau modéré. Le signal d'achat généré par cet indicateur suggère un potentiel rebond technique, le %K étant susceptible de remonter vers sa moyenne.</w:t>
      </w:r>
    </w:p>
    <w:p>
      <w:pPr>
        <w:spacing w:after="120" w:line="276" w:lineRule="auto"/>
      </w:pPr>
      <w:r>
        <w:t>**Conclusion technique** : La convergence des signaux est mitigée, avec trois indicateurs sur cinq en position neutre ou contradictoire. Les moyennes mobiles restent baissières, mais le MACD et le stochastique suggèrent un possible retournement haussier à court terme. La configuration technique actuelle plaide pour une stabilisation du cours autour des 37 000 FCFA, avec un biais légèrement positif à très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SLBC affiche des performances financières exceptionnelles avec un chiffre d'affaires de 378,123 milliards FCFA, en croissance de +22,1% par rapport à 2024, et un résultat net de 45,781 milliards FCFA, plus du double de celui de l'exercice précédent. La rentabilité est remarquable avec un ROE de 23,46% et un ROA de 13,48%, largement supérieurs aux seuils d'excellence, tandis que la marge nette s'améliore de 6,9% à 12,1%. La structure financière est saine avec une autonomie financière de 57,5%, une capacité de remboursement de seulement 0,67 an et une couverture des intérêts de 3 374%, démontrant une gestion rigoureuse de l'endettement. Le BFR de 61,587 milliards FCFA avec un délai clients de 64 jours et une durée de stockage de 117 jours nécessite une surveillance, mais le free cash-flow de 60,867 milliards FCFA confirme la robustesse de la génération de trésorerie. Le rapport du S1 2025 (publié en 2025) confirme cette dynamique avec un CA de 165,8 milliards FCFA (+12,3%) et un résultat net de 28 milliards FCFA (+175,1%), tandis que le rapport T1 2026 (publié en 2026) montre une poursuite de la croissance avec un CA de 93,46 milliards FCFA (+7,6%) et un résultat net de 16,26 milliards FCFA (+4,8%). Sur la base de ces rapports trimestriels, on estime que l'exercice 2026 devrait confirmer la tendance positive, avec un CA annuel potentiellement autour de 400 milliards FCFA et un résultat net dépassant 50 milliards FCFA, malgré un ralentissement attendu de la croissance. La recommandation fondamentale est clairement positive, la société combinant croissance soutenue, rentabilité exceptionnelle et solidité financière, avec un dividende proposé de 2 127 FCFA par action pour 2025, représentant un rendement attractif de 5,7% au cours actuel.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fait apparaître une divergence entre des fondamentaux exceptionnellement solides et un comportement boursier récent hésitant. La valorisation (PER 13,3x, P/B 3,12x, EV/EBITDA 7,2x) reste raisonnable compte tenu de la croissance de 22% du CA et du doublement du résultat net en 2025, tandis que les statistiques descriptives montrent une stabilité relative du cours avec une volatilité annualisée élevée de 29,7%. Les signaux techniques sont mitigés, avec des moyennes mobiles baissières mais un MACD et un stochastique en début de retournement haussier, suggérant une possible stabilisation autour de 37 000 FCFA. Les fondamentaux plaident résolument pour une appréciation du titre, avec un ROE de 23,5%, une trésorerie nette positive de 22,1 milliards FCFA et des perspectives de croissance confirmées par les rapports T1 2026. Les prédictions IA pour les 10 prochains jours (37 260 à 37 063 FCFA) indiquent une stabilisation autour des niveaux actuels, avec une légère tendance baissière à très court terme, ce qui pourrait offrir un point d'entrée intéressant. La convergence entre la solidité fondamentale, la valorisation raisonnable et les signaux techniques de retournement naissant justifie une recommandation **ACHAT** pour les investisseurs avec un niveau de confiance **Élevé**, un risque global **Moyen** (volatilité et dépendance aux matières premières), et un horizon d'investissement optimal à **moyen terme (3-12 mois)** pour bénéficier pleinement du potentiel de revalorisation du titre.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134.04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1,422 titres</w:t>
            </w:r>
          </w:p>
        </w:tc>
        <w:tc>
          <w:tcPr>
            <w:tcW w:type="dxa" w:w="2268"/>
            <w:shd w:fill="FFF2CC" w:val="clear"/>
          </w:tcPr>
          <w:p>
            <w:r>
              <w:rPr>
                <w:b/>
                <w:color w:val="503200"/>
                <w:sz w:val="16"/>
              </w:rPr>
              <w:t xml:space="preserve">Cours actuel : </w:t>
            </w:r>
            <w:r>
              <w:rPr>
                <w:color w:val="000000"/>
                <w:sz w:val="17"/>
              </w:rPr>
              <w:t>17,195 FCFA</w:t>
            </w:r>
          </w:p>
          <w:p>
            <w:r>
              <w:rPr>
                <w:b/>
                <w:color w:val="503200"/>
                <w:sz w:val="16"/>
              </w:rPr>
              <w:t xml:space="preserve">Var. 100 jours : </w:t>
            </w:r>
            <w:r>
              <w:rPr>
                <w:b/>
                <w:color w:val="007800"/>
                <w:sz w:val="17"/>
              </w:rPr>
              <w:t>+38.11%</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14.92% (Moyenne) — μ=14,658 FCFA, σ=2,187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β=-0.5848 (Contre-cyclique) — Cov=-0.000021, Var(idx)=0.000036, ρ=-0.151,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16,424</w:t>
            </w:r>
          </w:p>
        </w:tc>
        <w:tc>
          <w:tcPr>
            <w:tcW w:type="dxa" w:w="1440"/>
            <w:shd w:fill="FAFAFA" w:val="clear"/>
          </w:tcPr>
          <w:p>
            <w:r>
              <w:rPr>
                <w:b/>
                <w:sz w:val="17"/>
              </w:rPr>
              <w:t>16,984</w:t>
            </w:r>
          </w:p>
        </w:tc>
        <w:tc>
          <w:tcPr>
            <w:tcW w:type="dxa" w:w="1440"/>
            <w:shd w:fill="FAFAFA" w:val="clear"/>
          </w:tcPr>
          <w:p>
            <w:r>
              <w:rPr>
                <w:sz w:val="17"/>
              </w:rPr>
              <w:t>17,544</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16,129</w:t>
            </w:r>
          </w:p>
        </w:tc>
        <w:tc>
          <w:tcPr>
            <w:tcW w:type="dxa" w:w="1440"/>
            <w:shd w:fill="FAFAFA" w:val="clear"/>
          </w:tcPr>
          <w:p>
            <w:r>
              <w:rPr>
                <w:b/>
                <w:sz w:val="17"/>
              </w:rPr>
              <w:t>16,918</w:t>
            </w:r>
          </w:p>
        </w:tc>
        <w:tc>
          <w:tcPr>
            <w:tcW w:type="dxa" w:w="1440"/>
            <w:shd w:fill="FAFAFA" w:val="clear"/>
          </w:tcPr>
          <w:p>
            <w:r>
              <w:rPr>
                <w:sz w:val="17"/>
              </w:rPr>
              <w:t>17,707</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15,882</w:t>
            </w:r>
          </w:p>
        </w:tc>
        <w:tc>
          <w:tcPr>
            <w:tcW w:type="dxa" w:w="1440"/>
            <w:shd w:fill="FFDCE0" w:val="clear"/>
          </w:tcPr>
          <w:p>
            <w:r>
              <w:rPr>
                <w:b/>
                <w:sz w:val="17"/>
              </w:rPr>
              <w:t>16,844</w:t>
            </w:r>
          </w:p>
        </w:tc>
        <w:tc>
          <w:tcPr>
            <w:tcW w:type="dxa" w:w="1440"/>
            <w:shd w:fill="FFDCE0" w:val="clear"/>
          </w:tcPr>
          <w:p>
            <w:r>
              <w:rPr>
                <w:sz w:val="17"/>
              </w:rPr>
              <w:t>17,807</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15,669</w:t>
            </w:r>
          </w:p>
        </w:tc>
        <w:tc>
          <w:tcPr>
            <w:tcW w:type="dxa" w:w="1440"/>
            <w:shd w:fill="FFDCE0" w:val="clear"/>
          </w:tcPr>
          <w:p>
            <w:r>
              <w:rPr>
                <w:b/>
                <w:sz w:val="17"/>
              </w:rPr>
              <w:t>16,776</w:t>
            </w:r>
          </w:p>
        </w:tc>
        <w:tc>
          <w:tcPr>
            <w:tcW w:type="dxa" w:w="1440"/>
            <w:shd w:fill="FFDCE0" w:val="clear"/>
          </w:tcPr>
          <w:p>
            <w:r>
              <w:rPr>
                <w:sz w:val="17"/>
              </w:rPr>
              <w:t>17,883</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15,478</w:t>
            </w:r>
          </w:p>
        </w:tc>
        <w:tc>
          <w:tcPr>
            <w:tcW w:type="dxa" w:w="1440"/>
            <w:shd w:fill="FFDCE0" w:val="clear"/>
          </w:tcPr>
          <w:p>
            <w:r>
              <w:rPr>
                <w:b/>
                <w:sz w:val="17"/>
              </w:rPr>
              <w:t>16,711</w:t>
            </w:r>
          </w:p>
        </w:tc>
        <w:tc>
          <w:tcPr>
            <w:tcW w:type="dxa" w:w="1440"/>
            <w:shd w:fill="FFDCE0" w:val="clear"/>
          </w:tcPr>
          <w:p>
            <w:r>
              <w:rPr>
                <w:sz w:val="17"/>
              </w:rPr>
              <w:t>17,944</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15,302</w:t>
            </w:r>
          </w:p>
        </w:tc>
        <w:tc>
          <w:tcPr>
            <w:tcW w:type="dxa" w:w="1440"/>
            <w:shd w:fill="FFDCE0" w:val="clear"/>
          </w:tcPr>
          <w:p>
            <w:r>
              <w:rPr>
                <w:b/>
                <w:sz w:val="17"/>
              </w:rPr>
              <w:t>16,647</w:t>
            </w:r>
          </w:p>
        </w:tc>
        <w:tc>
          <w:tcPr>
            <w:tcW w:type="dxa" w:w="1440"/>
            <w:shd w:fill="FFDCE0" w:val="clear"/>
          </w:tcPr>
          <w:p>
            <w:r>
              <w:rPr>
                <w:sz w:val="17"/>
              </w:rPr>
              <w:t>17,992</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15,137</w:t>
            </w:r>
          </w:p>
        </w:tc>
        <w:tc>
          <w:tcPr>
            <w:tcW w:type="dxa" w:w="1440"/>
            <w:shd w:fill="FFDCE0" w:val="clear"/>
          </w:tcPr>
          <w:p>
            <w:r>
              <w:rPr>
                <w:b/>
                <w:sz w:val="17"/>
              </w:rPr>
              <w:t>16,584</w:t>
            </w:r>
          </w:p>
        </w:tc>
        <w:tc>
          <w:tcPr>
            <w:tcW w:type="dxa" w:w="1440"/>
            <w:shd w:fill="FFDCE0" w:val="clear"/>
          </w:tcPr>
          <w:p>
            <w:r>
              <w:rPr>
                <w:sz w:val="17"/>
              </w:rPr>
              <w:t>18,032</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14,981</w:t>
            </w:r>
          </w:p>
        </w:tc>
        <w:tc>
          <w:tcPr>
            <w:tcW w:type="dxa" w:w="1440"/>
            <w:shd w:fill="FFDCE0" w:val="clear"/>
          </w:tcPr>
          <w:p>
            <w:r>
              <w:rPr>
                <w:b/>
                <w:sz w:val="17"/>
              </w:rPr>
              <w:t>16,522</w:t>
            </w:r>
          </w:p>
        </w:tc>
        <w:tc>
          <w:tcPr>
            <w:tcW w:type="dxa" w:w="1440"/>
            <w:shd w:fill="FFDCE0" w:val="clear"/>
          </w:tcPr>
          <w:p>
            <w:r>
              <w:rPr>
                <w:sz w:val="17"/>
              </w:rPr>
              <w:t>18,064</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14,832</w:t>
            </w:r>
          </w:p>
        </w:tc>
        <w:tc>
          <w:tcPr>
            <w:tcW w:type="dxa" w:w="1440"/>
            <w:shd w:fill="FFDCE0" w:val="clear"/>
          </w:tcPr>
          <w:p>
            <w:r>
              <w:rPr>
                <w:b/>
                <w:sz w:val="17"/>
              </w:rPr>
              <w:t>16,462</w:t>
            </w:r>
          </w:p>
        </w:tc>
        <w:tc>
          <w:tcPr>
            <w:tcW w:type="dxa" w:w="1440"/>
            <w:shd w:fill="FFDCE0" w:val="clear"/>
          </w:tcPr>
          <w:p>
            <w:r>
              <w:rPr>
                <w:sz w:val="17"/>
              </w:rPr>
              <w:t>18,091</w:t>
            </w:r>
          </w:p>
        </w:tc>
        <w:tc>
          <w:tcPr>
            <w:tcW w:type="dxa" w:w="1440"/>
            <w:shd w:fill="FFDCE0" w:val="clear"/>
          </w:tcPr>
          <w:p>
            <w:r>
              <w:rPr>
                <w:b/>
                <w:color w:val="C00000"/>
                <w:sz w:val="17"/>
              </w:rPr>
              <w:t>-4.3%</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14,691</w:t>
            </w:r>
          </w:p>
        </w:tc>
        <w:tc>
          <w:tcPr>
            <w:tcW w:type="dxa" w:w="1440"/>
            <w:shd w:fill="FFDCE0" w:val="clear"/>
          </w:tcPr>
          <w:p>
            <w:r>
              <w:rPr>
                <w:b/>
                <w:sz w:val="17"/>
              </w:rPr>
              <w:t>16,402</w:t>
            </w:r>
          </w:p>
        </w:tc>
        <w:tc>
          <w:tcPr>
            <w:tcW w:type="dxa" w:w="1440"/>
            <w:shd w:fill="FFDCE0" w:val="clear"/>
          </w:tcPr>
          <w:p>
            <w:r>
              <w:rPr>
                <w:sz w:val="17"/>
              </w:rPr>
              <w:t>18,113</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134,04 milliards FCFA, un niveau qui la positionne parmi les valeurs moyennes de la BRVM, avec une liquidité quotidienne relativement faible (1 422 titres par jour). Le BPA de 1 677 FCFA indique que chaque action génère un bénéfice substantiel, justifiant un PER de 10,3x, en ligne avec la moyenne du marché BRVM (8-12x), ce qui traduit une valorisation raisonnable sans prime excessive. Le P/B de 3,12x montre que le marché valorise l'entreprise à plus du triple de sa valeur comptable, reflétant une prime de croissance accordée par les investisseurs pour la rentabilité élevée de la société. Enfin, l'EV/EBITDA de 6,5x se situe dans la fourchette basse des 5-10x jugés raisonnables, indiquant que la valeur totale de l'entreprise (capitalisation plus dette nette) reste modérée par rapport à sa capacité opérationnelle à générer des flux.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spectaculaire de +38,11%, avec une dernière séance en hausse de +0,56% à 17 195 FCFA, démontrant une dynamique haussière soutenue. Le titre a évolué dans une fourchette large de 11 450 FCFA (plus bas) à 17 735 FCFA (plus haut), soit une amplitude de plus de 55%, illustrant une forte volatilité sur la période. La moyenne du cours (14 658 FCFA) est nettement inférieure à la médiane (15 700 FCFA), indiquant une distribution asymétrique avec une concentration des prix vers le haut de la fourchette. L'écart-type de 2 198 FCFA (CV = 15,0%) révèle une dispersion modérée autour de la moyenne, tandis que le kurtosis de -1,570 (platykurtique) signale une distribution aplatie avec peu de valeurs extrêmes, et le skewness de -0,273 confirme une symétrie relative. La volatilité annualisée de 37,0% classe SMBC comme une valeur à forte volatilité (&gt;30%), ce qui implique un risque élevé mais aussi un potentiel de gains significatifs pour les investisseurs actifs.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17 195 FCFA se situe au-dessus des MM20 (16 448 FCFA) et MM50 (16 524 FCFA), indiquant une tendance haussière à court et moyen terme. Cependant, la décision technique est "Vente", ce qui suggère que le cours pourrait être en train de s'essouffler après une forte progression, les moyennes mobiles n'ayant pas encore confirmé la cassure à la hausse.</w:t>
      </w:r>
    </w:p>
    <w:p>
      <w:pPr>
        <w:spacing w:after="120" w:line="276" w:lineRule="auto"/>
      </w:pPr>
      <w:r>
        <w:t>**Bandes de Bollinger** : Le prix évolue près de la borne supérieure (17 479 FCFA), à 284 FCFA en dessous, ce qui indique une pression acheteuse soutenue mais aussi une zone de surachat potentiel. La décision "Neutre" reflète l'équilibre entre la force de la tendance et le risque de retournement, la volatilité étant élevée comme le montre l'écart entre les bornes (2 062 FCFA).</w:t>
      </w:r>
    </w:p>
    <w:p>
      <w:pPr>
        <w:spacing w:after="120" w:line="276" w:lineRule="auto"/>
      </w:pPr>
      <w:r>
        <w:t>**MACD** : La valeur du MACD (242,213) est nettement supérieure à son signal (154,473), avec une divergence positive de 87,7 points, confirmant un momentum haussier solide. La décision "Achat" est justifiée par cette configuration, qui indique que la dynamique positive s'accélère et que les acheteurs contrôlent le marché.</w:t>
      </w:r>
    </w:p>
    <w:p>
      <w:pPr>
        <w:spacing w:after="120" w:line="276" w:lineRule="auto"/>
      </w:pPr>
      <w:r>
        <w:t>**RSI** : À 68,588, le RSI se situe en zone neutre mais proche du seuil de surachat (70), indiquant que le titre a encore une marge de progression avant d'être considéré comme surévalué techniquement. La décision "Neutre" est cohérente avec cette position, qui laisse place à une poursuite de la hausse tout en surveillant un éventuel retournement.</w:t>
      </w:r>
    </w:p>
    <w:p>
      <w:pPr>
        <w:spacing w:after="120" w:line="276" w:lineRule="auto"/>
      </w:pPr>
      <w:r>
        <w:t>**Stochastique** : Le %K (81,951) et le %D (84,878) sont tous deux en zone de surachat (&gt;80), avec un %D supérieur au %K, signalant un croisement baissier potentiel. La décision "Vente" est justifiée par cette configuration, qui suggère que le mouvement haussier pourrait être épuisé à court terme.</w:t>
      </w:r>
    </w:p>
    <w:p>
      <w:pPr>
        <w:spacing w:after="120" w:line="276" w:lineRule="auto"/>
      </w:pPr>
      <w:r>
        <w:t>**Conclusion technique** : Les indicateurs sont partagés entre un momentum haussier (MACD, RSI) et des signaux de surachat (Stochastique, proximité des bandes de Bollinger). La tendance de fond reste positive, mais un repli technique est probable à court terme avant une reprise de la tendance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avec un résultat net en forte progression de +50,3% à 13,075 milliards FCFA, contre 8,698 milliards en 2024. La marge nette s'améliore spectaculairement, passant de 3,8% à 6,3%, tandis que le ROE atteint 30,47% (&gt;15% = excellent) et le ROA 7,26%, démontrant une excellente utilisation des actifs. En tant qu'entreprise non bancaire, l'analyse des délais clients (193,75 jours) révèle un risque de trésorerie significatif, bien que partiellement compensé par un délai fournisseurs plus long (207,07 jours) et un BFR très faible de 1,693 milliards FCFA. L'endettement reste maîtrisé avec un ratio d'endettement de 76,16% et une capacité de remboursement de seulement 0,68 an, tandis que la trésorerie nette de 23,988 milliards FCFA offre une marge de manœuvre confortable. Selon le rapport annuel 2025 analysé par DeepSeek (date : 2026-05-12), cette performance s'explique par une hausse de l'EBE de +41,8% à 18,480 milliards FCFA, grâce à une meilleure maîtrise des charges. Les rapports trimestriels 2025 (T1, S1, 9M) montrent une tendance cohérente : malgré des baisses de CA (-22% au T1, -23% au S1, -14% au 9M), les marges se sont améliorées grâce à des marges de raffinage plus favorables, avec un résultat net en croissance de +6% au 9M. Le rapport de Mistral sur l'exercice 2024 (date : 2026-03-15) soulignait une politique de dividende insoutenable (taux de distribution de 107,5%), mais le rapport 2025 indique un versement de 5,457 milliards FCFA, soit un taux de distribution plus raisonnable de 41,7%, confirmant la solidité financière retrouvée. La recommandation fondamentale est positive, avec une solidité financière renforcée et des perspectives de croissance soutenues par les investissements en immobilisations (5,748 milliards FCFA en 2025).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apparaît raisonnable avec un PER de 10,3x et un EV/EBITDA de 6,5x, tandis que le P/B de 3,12x reflète une prime justifiée par la rentabilité exceptionnelle (ROE &gt;30%). Le comportement du cours sur 100 jours est très favorable (+38,11%) avec une volatilité élevée (37%) qui offre des opportunités mais implique un risque important, les statistiques montrant une distribution relativement symétrique. Les signaux techniques sont mitigés : le MACD et le RSI soutiennent la tendance haussière, mais le Stochastique et la proximité des bandes de Bollinger suggèrent un essoufflement à court terme. Les fondamentaux sont solides avec une amélioration spectaculaire de la rentabilité en 2025, une trésorerie abondante (23,988 milliards FCFA) et un endettement maîtrisé, bien que la baisse du CA reste un point de vigilance. Les prédictions IA pour les 10 prochains jours (16 984 à 16 711 FCFA) indiquent un repli modéré d'environ -2,8%, contredisant légèrement la tendance haussière mais confirmant les signaux techniques de surachat. La convergence entre la valorisation attractive, les fondamentaux solides et la tendance de fond positive, malgré des signaux techniques de court terme mitigés, conduit à une recommandation **ACHAT** avec un niveau de confiance **Moyen** et un risque global **Élevé**. L'horizon d'investissement optimal est le **moyen terme (3-12 mois)**, permettant de traverser le repli technique attendu tout en bénéficiant de la solidité financière et des perspectives de croissance de l'entreprise.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3670.00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9,867 titres</w:t>
            </w:r>
          </w:p>
        </w:tc>
        <w:tc>
          <w:tcPr>
            <w:tcW w:type="dxa" w:w="2268"/>
            <w:shd w:fill="FFF2CC" w:val="clear"/>
          </w:tcPr>
          <w:p>
            <w:r>
              <w:rPr>
                <w:b/>
                <w:color w:val="503200"/>
                <w:sz w:val="16"/>
              </w:rPr>
              <w:t xml:space="preserve">Cours actuel : </w:t>
            </w:r>
            <w:r>
              <w:rPr>
                <w:color w:val="000000"/>
                <w:sz w:val="17"/>
              </w:rPr>
              <w:t>36,700 FCFA</w:t>
            </w:r>
          </w:p>
          <w:p>
            <w:r>
              <w:rPr>
                <w:b/>
                <w:color w:val="503200"/>
                <w:sz w:val="16"/>
              </w:rPr>
              <w:t xml:space="preserve">Var. 100 jours : </w:t>
            </w:r>
            <w:r>
              <w:rPr>
                <w:b/>
                <w:color w:val="007800"/>
                <w:sz w:val="17"/>
              </w:rPr>
              <w:t>+26.99%</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6.95% (Moyenne) — μ=29,967 FCFA, σ=2,083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β=1.9019 (Très agressif) — Cov=0.000068, Var(idx)=0.000036, ρ=0.580,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9,867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33,893</w:t>
            </w:r>
          </w:p>
        </w:tc>
        <w:tc>
          <w:tcPr>
            <w:tcW w:type="dxa" w:w="1440"/>
            <w:shd w:fill="FFDCE0" w:val="clear"/>
          </w:tcPr>
          <w:p>
            <w:r>
              <w:rPr>
                <w:b/>
                <w:sz w:val="17"/>
              </w:rPr>
              <w:t>35,320</w:t>
            </w:r>
          </w:p>
        </w:tc>
        <w:tc>
          <w:tcPr>
            <w:tcW w:type="dxa" w:w="1440"/>
            <w:shd w:fill="FFDCE0" w:val="clear"/>
          </w:tcPr>
          <w:p>
            <w:r>
              <w:rPr>
                <w:sz w:val="17"/>
              </w:rPr>
              <w:t>36,748</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33,296</w:t>
            </w:r>
          </w:p>
        </w:tc>
        <w:tc>
          <w:tcPr>
            <w:tcW w:type="dxa" w:w="1440"/>
            <w:shd w:fill="FFDCE0" w:val="clear"/>
          </w:tcPr>
          <w:p>
            <w:r>
              <w:rPr>
                <w:b/>
                <w:sz w:val="17"/>
              </w:rPr>
              <w:t>35,314</w:t>
            </w:r>
          </w:p>
        </w:tc>
        <w:tc>
          <w:tcPr>
            <w:tcW w:type="dxa" w:w="1440"/>
            <w:shd w:fill="FFDCE0" w:val="clear"/>
          </w:tcPr>
          <w:p>
            <w:r>
              <w:rPr>
                <w:sz w:val="17"/>
              </w:rPr>
              <w:t>37,333</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32,741</w:t>
            </w:r>
          </w:p>
        </w:tc>
        <w:tc>
          <w:tcPr>
            <w:tcW w:type="dxa" w:w="1440"/>
            <w:shd w:fill="FFDCE0" w:val="clear"/>
          </w:tcPr>
          <w:p>
            <w:r>
              <w:rPr>
                <w:b/>
                <w:sz w:val="17"/>
              </w:rPr>
              <w:t>35,206</w:t>
            </w:r>
          </w:p>
        </w:tc>
        <w:tc>
          <w:tcPr>
            <w:tcW w:type="dxa" w:w="1440"/>
            <w:shd w:fill="FFDCE0" w:val="clear"/>
          </w:tcPr>
          <w:p>
            <w:r>
              <w:rPr>
                <w:sz w:val="17"/>
              </w:rPr>
              <w:t>37,670</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32,265</w:t>
            </w:r>
          </w:p>
        </w:tc>
        <w:tc>
          <w:tcPr>
            <w:tcW w:type="dxa" w:w="1440"/>
            <w:shd w:fill="FFDCE0" w:val="clear"/>
          </w:tcPr>
          <w:p>
            <w:r>
              <w:rPr>
                <w:b/>
                <w:sz w:val="17"/>
              </w:rPr>
              <w:t>35,103</w:t>
            </w:r>
          </w:p>
        </w:tc>
        <w:tc>
          <w:tcPr>
            <w:tcW w:type="dxa" w:w="1440"/>
            <w:shd w:fill="FFDCE0" w:val="clear"/>
          </w:tcPr>
          <w:p>
            <w:r>
              <w:rPr>
                <w:sz w:val="17"/>
              </w:rPr>
              <w:t>37,940</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31,852</w:t>
            </w:r>
          </w:p>
        </w:tc>
        <w:tc>
          <w:tcPr>
            <w:tcW w:type="dxa" w:w="1440"/>
            <w:shd w:fill="FFDCE0" w:val="clear"/>
          </w:tcPr>
          <w:p>
            <w:r>
              <w:rPr>
                <w:b/>
                <w:sz w:val="17"/>
              </w:rPr>
              <w:t>35,017</w:t>
            </w:r>
          </w:p>
        </w:tc>
        <w:tc>
          <w:tcPr>
            <w:tcW w:type="dxa" w:w="1440"/>
            <w:shd w:fill="FFDCE0" w:val="clear"/>
          </w:tcPr>
          <w:p>
            <w:r>
              <w:rPr>
                <w:sz w:val="17"/>
              </w:rPr>
              <w:t>38,181</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31,483</w:t>
            </w:r>
          </w:p>
        </w:tc>
        <w:tc>
          <w:tcPr>
            <w:tcW w:type="dxa" w:w="1440"/>
            <w:shd w:fill="FFDCE0" w:val="clear"/>
          </w:tcPr>
          <w:p>
            <w:r>
              <w:rPr>
                <w:b/>
                <w:sz w:val="17"/>
              </w:rPr>
              <w:t>34,942</w:t>
            </w:r>
          </w:p>
        </w:tc>
        <w:tc>
          <w:tcPr>
            <w:tcW w:type="dxa" w:w="1440"/>
            <w:shd w:fill="FFDCE0" w:val="clear"/>
          </w:tcPr>
          <w:p>
            <w:r>
              <w:rPr>
                <w:sz w:val="17"/>
              </w:rPr>
              <w:t>38,401</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31,143</w:t>
            </w:r>
          </w:p>
        </w:tc>
        <w:tc>
          <w:tcPr>
            <w:tcW w:type="dxa" w:w="1440"/>
            <w:shd w:fill="FFDCE0" w:val="clear"/>
          </w:tcPr>
          <w:p>
            <w:r>
              <w:rPr>
                <w:b/>
                <w:sz w:val="17"/>
              </w:rPr>
              <w:t>34,872</w:t>
            </w:r>
          </w:p>
        </w:tc>
        <w:tc>
          <w:tcPr>
            <w:tcW w:type="dxa" w:w="1440"/>
            <w:shd w:fill="FFDCE0" w:val="clear"/>
          </w:tcPr>
          <w:p>
            <w:r>
              <w:rPr>
                <w:sz w:val="17"/>
              </w:rPr>
              <w:t>38,601</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30,826</w:t>
            </w:r>
          </w:p>
        </w:tc>
        <w:tc>
          <w:tcPr>
            <w:tcW w:type="dxa" w:w="1440"/>
            <w:shd w:fill="FFDCE0" w:val="clear"/>
          </w:tcPr>
          <w:p>
            <w:r>
              <w:rPr>
                <w:b/>
                <w:sz w:val="17"/>
              </w:rPr>
              <w:t>34,805</w:t>
            </w:r>
          </w:p>
        </w:tc>
        <w:tc>
          <w:tcPr>
            <w:tcW w:type="dxa" w:w="1440"/>
            <w:shd w:fill="FFDCE0" w:val="clear"/>
          </w:tcPr>
          <w:p>
            <w:r>
              <w:rPr>
                <w:sz w:val="17"/>
              </w:rPr>
              <w:t>38,784</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30,527</w:t>
            </w:r>
          </w:p>
        </w:tc>
        <w:tc>
          <w:tcPr>
            <w:tcW w:type="dxa" w:w="1440"/>
            <w:shd w:fill="FFDCE0" w:val="clear"/>
          </w:tcPr>
          <w:p>
            <w:r>
              <w:rPr>
                <w:b/>
                <w:sz w:val="17"/>
              </w:rPr>
              <w:t>34,740</w:t>
            </w:r>
          </w:p>
        </w:tc>
        <w:tc>
          <w:tcPr>
            <w:tcW w:type="dxa" w:w="1440"/>
            <w:shd w:fill="FFDCE0" w:val="clear"/>
          </w:tcPr>
          <w:p>
            <w:r>
              <w:rPr>
                <w:sz w:val="17"/>
              </w:rPr>
              <w:t>38,952</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30,244</w:t>
            </w:r>
          </w:p>
        </w:tc>
        <w:tc>
          <w:tcPr>
            <w:tcW w:type="dxa" w:w="1440"/>
            <w:shd w:fill="FFDCE0" w:val="clear"/>
          </w:tcPr>
          <w:p>
            <w:r>
              <w:rPr>
                <w:b/>
                <w:sz w:val="17"/>
              </w:rPr>
              <w:t>34,676</w:t>
            </w:r>
          </w:p>
        </w:tc>
        <w:tc>
          <w:tcPr>
            <w:tcW w:type="dxa" w:w="1440"/>
            <w:shd w:fill="FFDCE0" w:val="clear"/>
          </w:tcPr>
          <w:p>
            <w:r>
              <w:rPr>
                <w:sz w:val="17"/>
              </w:rPr>
              <w:t>39,108</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3 670 milliards FCFA, ce qui en fait la valeur la plus lourde et la plus liquide de la cote BRVM, représentant un poids considérable dans l'indice principal. Avec un BPA de 4 136 FCFA, chaque action génère un bénéfice substantiel, justifiant un PER de 8,9x. Ce ratio est inférieur à la moyenne historique de la BRVM (8-12x), signalant une sous-évaluation relative du titre malgré sa performance récente. Le P/B de 2,62x indique que le marché valorise la société à plus de 2,5 fois ses capitaux propres, ce qui est cohérent avec une prime de croissance pour un leader régional. Enfin, l'EV/EBITDA de 3,8x est remarquablement bas, confirmant que la valeur d'entreprise est très bon marché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 affiché une progression spectaculaire de +26,99%, avec une dernière séance en hausse de +1,94% à 36 700 FCFA. Le cours a évolué dans un range de 27 160 FCFA (plus bas) à 36 980 FCFA (plus haut), démontrant une forte dynamique haussière. La moyenne (29 967 FCFA) étant nettement inférieure à la médiane (28 905 FCFA) et le skewness positif (1,508) indiquent une distribution asymétrique avec des journées majoritairement sous la moyenne, mais des pics de hausse importants. L'écart-type de 2 094 FCFA (CV=7%) montre une dispersion modérée, mais le kurtosis élevé (2,033) signale un risque de mouvements extrêmes. La volatilité annualisée de 31,2% classe le titre comme très volatil, ce qui implique un risque élevé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(MM20=32 973,75 / MM50=31 326,1) :** Le cours actuel (36 700 FCFA) évolue nettement au-dessus de ses deux moyennes mobiles, confirmant une tendance haussière solide. La MM20 est au-dessus de la MM50, formant un croisement haussier (golden cross). La décision "Achat" est justifiée par cette configuration, bien que l'écart important entre le cours et les MM suggère une possible consolidation à court terme.</w:t>
      </w:r>
    </w:p>
    <w:p>
      <w:pPr>
        <w:spacing w:after="120" w:line="276" w:lineRule="auto"/>
      </w:pPr>
      <w:r>
        <w:t>**Bandes de Bollinger (Borne sup=37 334,5 / Borne inf=28 613) :** Le prix se situe près de la borne supérieure, indiquant une pression acheteuse intense. La largeur des bandes reflète une volatilité en expansion. La décision "Neutre" est prudente car le titre est en zone de surachat technique, mais la tendance reste résolument haussière.</w:t>
      </w:r>
    </w:p>
    <w:p>
      <w:pPr>
        <w:spacing w:after="120" w:line="276" w:lineRule="auto"/>
      </w:pPr>
      <w:r>
        <w:t>**MACD (Valeur=1 410,88 / Signal=1 030,52) :** Le MACD est largement au-dessus de sa ligne de signal, avec un histogramme positif et en expansion. Ce momentum haussier est puissant et confirme la dynamique positive du titre. La décision "Achat" est pleinement justifiée, même si un écart aussi important peut précéder un essoufflement.</w:t>
      </w:r>
    </w:p>
    <w:p>
      <w:pPr>
        <w:spacing w:after="120" w:line="276" w:lineRule="auto"/>
      </w:pPr>
      <w:r>
        <w:t>**RSI (Valeur=76,735) :** Le RSI est en zone de surachat (&gt;70), signalant que le titre est techniquement surévalué à court terme. La décision "Vente" est cohérente avec ce niveau, mais dans une tendance forte, le RSI peut rester suracheté pendant des périodes prolongées.</w:t>
      </w:r>
    </w:p>
    <w:p>
      <w:pPr>
        <w:spacing w:after="120" w:line="276" w:lineRule="auto"/>
      </w:pPr>
      <w:r>
        <w:t>**Stochastique (%K=94,49 / %D=81,0) :** Les deux lignes sont en zone de surachat extrême (&gt;80), avec un %K nettement au-dessus de %D. Cette configuration indique un épuisement potentiel de la dynamique haussière à très court terme. La décision "Vente" est justifiée par ce signal de surachat.</w:t>
      </w:r>
    </w:p>
    <w:p>
      <w:pPr>
        <w:spacing w:after="120" w:line="276" w:lineRule="auto"/>
      </w:pPr>
      <w:r>
        <w:t>**Conclusion technique :** Les indicateurs de tendance (MM, MACD) sont résolument haussiers, mais les oscillateurs (RSI, Stochastique) sont en surachat extrême. Cette divergence suggère une poursuite de la tendance à moyen terme, mais avec un fort risque de correction technique à court terme. Le titre est dans une phase de "parabole" qui nécessite une vigilance accrue.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Sonatel a réalisé un chiffre d'affaires de 1 923,1 milliards FCFA (+8,3% vs 2024), avec un résultat net de 413,6 milliards FCFA (+5,1%). La marge nette s'établit à 21,5%, le ROE à 29,6% (excellent, &gt;15%) et le ROA à 12,6%. La structure financière est saine avec une autonomie financière de 42,8% et un BFR négatif de -284,9 milliards FCFA (favorable). Le délai clients de 46 jours est maîtrisé, tandis que le délai fournisseurs de 201 jours est très favorable à la trésorerie. La capacité de remboursement est excellente (0,64 an).</w:t>
      </w:r>
    </w:p>
    <w:p>
      <w:pPr>
        <w:spacing w:after="120" w:line="276" w:lineRule="auto"/>
      </w:pPr>
      <w:r>
        <w:t>**Rapports narratifs (évolution temporelle) :** Le rapport annuel 2024 (publié en 2025) faisait état d'un CA de 1 776,4 milliards FCFA (+9,6%) et d'un résultat net de 393,7 milliards FCFA (+18,7%). Le T1 2025 (publié en 2025) montrait une accélération avec un résultat net de 108,4 milliards FCFA (+14,9%). Le S1 2025 (publié en 2025) confirmait la tendance avec un CA de 960,2 milliards FCFA (+9,4%). Le T3 2025 (publié en 2025) affichait un CA 9M de 1 432,5 milliards FCFA (+8,6%). Enfin, le S1 2026 (publié le 24/07/2026) montre une poursuite de la croissance avec un CA de 1 049,8 milliards FCFA (+9,3%) et un résultat net de 230 milliards FCFA (+10,5%), avec une marge EBITDAAL de 48,7%. La notation AAA(wu) de GCR a été confirmée.</w:t>
      </w:r>
    </w:p>
    <w:p>
      <w:pPr>
        <w:spacing w:after="120" w:line="276" w:lineRule="auto"/>
      </w:pPr>
      <w:r>
        <w:t>**Estimations et perspectives :** Sur la base du S1 2026, on peut estimer que l'exercice 2026 devrait dépasser les 2 100 milliards FCFA de CA (+9% vs 2025) et un résultat net supérieur à 450 milliards FCFA (+9%). La dynamique est portée par la fibre (+23% de clients), la 4G (+19,5%) et Orange Money. Les risques identifiés sont la pression fiscale/réglementaire et la concurrence, mais la solidité financière et le leadership régional (parts de marché &gt;50% dans tous les pays) confortent une recommandation positive.</w:t>
      </w:r>
    </w:p>
    <w:p>
      <w:pPr>
        <w:spacing w:after="120" w:line="276" w:lineRule="auto"/>
      </w:pPr>
      <w:r>
        <w:t>---</w:t>
      </w:r>
    </w:p>
    <w:p>
      <w:pPr>
        <w:spacing w:after="120" w:line="276" w:lineRule="auto"/>
      </w:pPr>
      <w:r>
        <w:t>### PARTIE 4 : CONCLUSION D'INVESTISSEMENT</w:t>
      </w:r>
    </w:p>
    <w:p>
      <w:pPr>
        <w:spacing w:after="120" w:line="276" w:lineRule="auto"/>
      </w:pPr>
      <w:r>
        <w:t>La valorisation de SNTS est très attractive (PER 8,9x, EV/EBITDA 3,8x) malgré une hausse récente de +27%, indiquant que le marché n'a pas encore pleinement intégré la qualité des fondamentaux. Le comportement du cours, bien que volatil (31,2%), montre une tendance haussière robuste, mais les statistiques (kurtosis, skewness) et les indicateurs techniques (RSI 76,7, Stochastique 94,5) signalent un surachat extrême à court terme. Les fondamentaux sont excellents (ROE 29,6%, croissance CA +8-9%, notation AAA) et les perspectives 2026 sont positives. Les prédictions IA (35 320 → 35 017 FCFA sur 10 jours) suggèrent une consolidation technique après la forte hausse, ce qui est cohérent avec les signaux de surachat. **Recommandation finale : ACHAT** (pour les investisseurs de moyen/long terme) avec un niveau de confiance **Élevé** et un risque global **Moyen** (volatilité élevée mais fondamentaux solides). Horizon d'investissement optimal : **Moyen terme (3-12 mois)** pour bénéficier de la croissance 2026 et du rendement du dividende (1 740 FCFA net, soit ~4,7% de rendement), avec un point d'entrée idéal sur une correction technique vers 34 000-35 000 FCFA.</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177.14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5,731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+6.63%</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μ=7,986 FCFA, σ=385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β=0.1988 (Défensif) — Cov=0.000007, Var(idx)=0.000036, ρ=0.052,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7,854</w:t>
            </w:r>
          </w:p>
        </w:tc>
        <w:tc>
          <w:tcPr>
            <w:tcW w:type="dxa" w:w="1440"/>
            <w:shd w:fill="FAFAFA" w:val="clear"/>
          </w:tcPr>
          <w:p>
            <w:r>
              <w:rPr>
                <w:b/>
                <w:sz w:val="17"/>
              </w:rPr>
              <w:t>8,221</w:t>
            </w:r>
          </w:p>
        </w:tc>
        <w:tc>
          <w:tcPr>
            <w:tcW w:type="dxa" w:w="1440"/>
            <w:shd w:fill="FAFAFA" w:val="clear"/>
          </w:tcPr>
          <w:p>
            <w:r>
              <w:rPr>
                <w:sz w:val="17"/>
              </w:rPr>
              <w:t>8,588</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7,712</w:t>
            </w:r>
          </w:p>
        </w:tc>
        <w:tc>
          <w:tcPr>
            <w:tcW w:type="dxa" w:w="1440"/>
            <w:shd w:fill="FAFAFA" w:val="clear"/>
          </w:tcPr>
          <w:p>
            <w:r>
              <w:rPr>
                <w:b/>
                <w:sz w:val="17"/>
              </w:rPr>
              <w:t>8,232</w:t>
            </w:r>
          </w:p>
        </w:tc>
        <w:tc>
          <w:tcPr>
            <w:tcW w:type="dxa" w:w="1440"/>
            <w:shd w:fill="FAFAFA" w:val="clear"/>
          </w:tcPr>
          <w:p>
            <w:r>
              <w:rPr>
                <w:sz w:val="17"/>
              </w:rPr>
              <w:t>8,753</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2026-09-02</w:t>
            </w:r>
          </w:p>
        </w:tc>
        <w:tc>
          <w:tcPr>
            <w:tcW w:type="dxa" w:w="1440"/>
            <w:shd w:fill="FAFAFA" w:val="clear"/>
          </w:tcPr>
          <w:p>
            <w:r>
              <w:rPr>
                <w:sz w:val="17"/>
              </w:rPr>
              <w:t>7,606</w:t>
            </w:r>
          </w:p>
        </w:tc>
        <w:tc>
          <w:tcPr>
            <w:tcW w:type="dxa" w:w="1440"/>
            <w:shd w:fill="FAFAFA" w:val="clear"/>
          </w:tcPr>
          <w:p>
            <w:r>
              <w:rPr>
                <w:b/>
                <w:sz w:val="17"/>
              </w:rPr>
              <w:t>8,244</w:t>
            </w:r>
          </w:p>
        </w:tc>
        <w:tc>
          <w:tcPr>
            <w:tcW w:type="dxa" w:w="1440"/>
            <w:shd w:fill="FAFAFA" w:val="clear"/>
          </w:tcPr>
          <w:p>
            <w:r>
              <w:rPr>
                <w:sz w:val="17"/>
              </w:rPr>
              <w:t>8,882</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7,518</w:t>
            </w:r>
          </w:p>
        </w:tc>
        <w:tc>
          <w:tcPr>
            <w:tcW w:type="dxa" w:w="1440"/>
            <w:shd w:fill="FAFAFA" w:val="clear"/>
          </w:tcPr>
          <w:p>
            <w:r>
              <w:rPr>
                <w:b/>
                <w:sz w:val="17"/>
              </w:rPr>
              <w:t>8,255</w:t>
            </w:r>
          </w:p>
        </w:tc>
        <w:tc>
          <w:tcPr>
            <w:tcW w:type="dxa" w:w="1440"/>
            <w:shd w:fill="FAFAFA" w:val="clear"/>
          </w:tcPr>
          <w:p>
            <w:r>
              <w:rPr>
                <w:sz w:val="17"/>
              </w:rPr>
              <w:t>8,993</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7,441</w:t>
            </w:r>
          </w:p>
        </w:tc>
        <w:tc>
          <w:tcPr>
            <w:tcW w:type="dxa" w:w="1440"/>
            <w:shd w:fill="FAFAFA" w:val="clear"/>
          </w:tcPr>
          <w:p>
            <w:r>
              <w:rPr>
                <w:b/>
                <w:sz w:val="17"/>
              </w:rPr>
              <w:t>8,267</w:t>
            </w:r>
          </w:p>
        </w:tc>
        <w:tc>
          <w:tcPr>
            <w:tcW w:type="dxa" w:w="1440"/>
            <w:shd w:fill="FAFAFA" w:val="clear"/>
          </w:tcPr>
          <w:p>
            <w:r>
              <w:rPr>
                <w:sz w:val="17"/>
              </w:rPr>
              <w:t>9,093</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7,372</w:t>
            </w:r>
          </w:p>
        </w:tc>
        <w:tc>
          <w:tcPr>
            <w:tcW w:type="dxa" w:w="1440"/>
            <w:shd w:fill="FAFAFA" w:val="clear"/>
          </w:tcPr>
          <w:p>
            <w:r>
              <w:rPr>
                <w:b/>
                <w:sz w:val="17"/>
              </w:rPr>
              <w:t>8,278</w:t>
            </w:r>
          </w:p>
        </w:tc>
        <w:tc>
          <w:tcPr>
            <w:tcW w:type="dxa" w:w="1440"/>
            <w:shd w:fill="FAFAFA" w:val="clear"/>
          </w:tcPr>
          <w:p>
            <w:r>
              <w:rPr>
                <w:sz w:val="17"/>
              </w:rPr>
              <w:t>9,184</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7,309</w:t>
            </w:r>
          </w:p>
        </w:tc>
        <w:tc>
          <w:tcPr>
            <w:tcW w:type="dxa" w:w="1440"/>
            <w:shd w:fill="FAFAFA" w:val="clear"/>
          </w:tcPr>
          <w:p>
            <w:r>
              <w:rPr>
                <w:b/>
                <w:sz w:val="17"/>
              </w:rPr>
              <w:t>8,289</w:t>
            </w:r>
          </w:p>
        </w:tc>
        <w:tc>
          <w:tcPr>
            <w:tcW w:type="dxa" w:w="1440"/>
            <w:shd w:fill="FAFAFA" w:val="clear"/>
          </w:tcPr>
          <w:p>
            <w:r>
              <w:rPr>
                <w:sz w:val="17"/>
              </w:rPr>
              <w:t>9,269</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7,251</w:t>
            </w:r>
          </w:p>
        </w:tc>
        <w:tc>
          <w:tcPr>
            <w:tcW w:type="dxa" w:w="1440"/>
            <w:shd w:fill="FAFAFA" w:val="clear"/>
          </w:tcPr>
          <w:p>
            <w:r>
              <w:rPr>
                <w:b/>
                <w:sz w:val="17"/>
              </w:rPr>
              <w:t>8,300</w:t>
            </w:r>
          </w:p>
        </w:tc>
        <w:tc>
          <w:tcPr>
            <w:tcW w:type="dxa" w:w="1440"/>
            <w:shd w:fill="FAFAFA" w:val="clear"/>
          </w:tcPr>
          <w:p>
            <w:r>
              <w:rPr>
                <w:sz w:val="17"/>
              </w:rPr>
              <w:t>9,349</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7,197</w:t>
            </w:r>
          </w:p>
        </w:tc>
        <w:tc>
          <w:tcPr>
            <w:tcW w:type="dxa" w:w="1440"/>
            <w:shd w:fill="FAFAFA" w:val="clear"/>
          </w:tcPr>
          <w:p>
            <w:r>
              <w:rPr>
                <w:b/>
                <w:sz w:val="17"/>
              </w:rPr>
              <w:t>8,311</w:t>
            </w:r>
          </w:p>
        </w:tc>
        <w:tc>
          <w:tcPr>
            <w:tcW w:type="dxa" w:w="1440"/>
            <w:shd w:fill="FAFAFA" w:val="clear"/>
          </w:tcPr>
          <w:p>
            <w:r>
              <w:rPr>
                <w:sz w:val="17"/>
              </w:rPr>
              <w:t>9,424</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7,146</w:t>
            </w:r>
          </w:p>
        </w:tc>
        <w:tc>
          <w:tcPr>
            <w:tcW w:type="dxa" w:w="1440"/>
            <w:shd w:fill="FAFAFA" w:val="clear"/>
          </w:tcPr>
          <w:p>
            <w:r>
              <w:rPr>
                <w:b/>
                <w:sz w:val="17"/>
              </w:rPr>
              <w:t>8,321</w:t>
            </w:r>
          </w:p>
        </w:tc>
        <w:tc>
          <w:tcPr>
            <w:tcW w:type="dxa" w:w="1440"/>
            <w:shd w:fill="FAFAFA" w:val="clear"/>
          </w:tcPr>
          <w:p>
            <w:r>
              <w:rPr>
                <w:sz w:val="17"/>
              </w:rPr>
              <w:t>9,497</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SOGC s'établit à 177,14 milliards FCFA, ce qui positionne le titre parmi les valeurs moyennes à grandes capitalisations de la BRVM, lui conférant une liquidité et une visibilité notables. Avec un BPA de 578 FCFA, chaque action génère un bénéfice substantiel, justifiant un PER de 14,2x. Ce ratio, bien que supérieur à la moyenne historique de la BRVM (8-12x), reflète la prime de qualité et de croissance accordée au titre, les investisseurs acceptant de payer davantage pour une société aux fondamentaux solides. Le P/B de 2,59x confirme cette prime, le marché valorisant la société à plus de 2,5 fois sa valeur comptable, signe d'une confiance dans sa capacité à générer de la valeur future. Enfin, un EV/EBITDA de 7,4x indique que la valeur totale de l'entreprise (dette incluse) reste raisonnable par rapport à sa rentabilité opérationnelle, ce qui est un signal positif pour un investisseur de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SOGC a affiché une progression totale de +6,63%, avec une dernière séance stable (+0,00%), témoignant d'une consolidation après une période de hausse. Le cours a évolué dans un range de 7 100 à 8 600 FCFA, démontrant une amplitude de trading significative de 1 500 FCFA. La moyenne du cours sur la période est de 7 986 FCFA, très proche de la médiane (8 010 FCFA), ce qui indique une distribution quasi symétrique des prix, confirmée par un skewness de -0,404. L'écart-type de 387 FCFA (CV=4,8%) révèle une dispersion modérée autour de la moyenne, tandis que le kurtosis de -0,941 (mésokurtique) suggère une absence de pics extrêmes, réduisant le risque de mouvements violents. La volatilité annualisée de 36,7% classe le titre dans la catégorie "élevée" (&gt;30%), ce qui implique des fluctuations substantielles et un risque de marché important pour les investisseurs, malgré une tendance de fond haussière.</w:t>
      </w:r>
    </w:p>
    <w:p>
      <w:pPr>
        <w:spacing w:after="120" w:line="276" w:lineRule="auto" w:before="240"/>
      </w:pPr>
      <w:r>
        <w:rPr>
          <w:b/>
          <w:color w:val="003366"/>
          <w:sz w:val="24"/>
        </w:rPr>
        <w:t>**PARTIE 2 : ANALYSE TECHNIQUE DÉTAILLÉE**</w:t>
      </w:r>
    </w:p>
    <w:p>
      <w:pPr>
        <w:spacing w:after="120" w:line="276" w:lineRule="auto"/>
      </w:pPr>
      <w:r>
        <w:t>**Moyennes Mobiles** : Le cours actuel (8 200 FCFA) est supérieur à la MM20 (8 049 FCFA) mais inférieur à la MM50 (8 193,3 FCFA). Cette configuration, où le prix est sous la moyenne à long terme, indique une dynamique de court terme positive mais une tendance de fond incertaine. La décision "Vente" suggère que la MM50 agit comme une résistance, et un franchissement de ce niveau serait nécessaire pour confirmer un retournement haussier durable.</w:t>
      </w:r>
    </w:p>
    <w:p>
      <w:pPr>
        <w:spacing w:after="120" w:line="276" w:lineRule="auto"/>
      </w:pPr>
      <w:r>
        <w:t>**Bandes de Bollinger** : Le prix se situe à 8 200 FCFA, entre la borne inférieure (7 557,6 FCFA) et la borne supérieure (8 540,4 FCFA), proche de la moyenne de la bande. Cette position neutre indique une volatilité modérée, sans signal de surachat ou de survente. La décision "Neutre" est cohérente avec une phase de consolidation, le marché attendant un catalyseur pour sortir de ce range.</w:t>
      </w:r>
    </w:p>
    <w:p>
      <w:pPr>
        <w:spacing w:after="120" w:line="276" w:lineRule="auto"/>
      </w:pPr>
      <w:r>
        <w:t>**MACD** : La valeur du MACD (12,204) est positive et nettement supérieure à sa ligne de signal (-27,729), formant un croisement haussier. Cette divergence positive indique un momentum de prix en amélioration, signalant une possible poursuite de la hausse à court terme. La décision "Achat" est donc justifiée par ce regain de dynamique positive.</w:t>
      </w:r>
    </w:p>
    <w:p>
      <w:pPr>
        <w:spacing w:after="120" w:line="276" w:lineRule="auto"/>
      </w:pPr>
      <w:r>
        <w:t>**RSI** : Avec une valeur de 52,404, le RSI se situe en zone neutre (entre 30 et 70), indiquant un équilibre entre pressions acheteuses et vendeuses. Il n'y a pas de signal de surachat ou de survente, ce qui laisse de la marge pour une évolution dans les deux sens. La décision "Neutre" est appropriée, le titre n'étant ni survendu ni suracheté.</w:t>
      </w:r>
    </w:p>
    <w:p>
      <w:pPr>
        <w:spacing w:after="120" w:line="276" w:lineRule="auto"/>
      </w:pPr>
      <w:r>
        <w:t>**Stochastique** : Les valeurs %K et %D sont toutes deux à 90,769, un niveau très élevé, proche de la zone de surachat (&gt;80). Ce niveau indique que le prix a fortement progressé récemment et pourrait être sujet à une correction technique. La décision "Vente" est donc un signal de prudence, suggérant un possible repli à court terme.</w:t>
      </w:r>
    </w:p>
    <w:p>
      <w:pPr>
        <w:spacing w:after="120" w:line="276" w:lineRule="auto"/>
      </w:pPr>
      <w:r>
        <w:t>**Conclusion technique** : Les indicateurs techniques sont mitigés, avec un MACD haussier et un RSI neutre contrastant avec des moyennes mobiles vendeuses et un stochastique suracheté. Cette divergence suggère une phase de consolidation avec un biais haussier à court terme, mais un risque de correction technique est présent. Un franchissement de la MM50 serait le signal clé pour confirmer une tendance haussière plus robuste.</w:t>
      </w:r>
    </w:p>
    <w:p>
      <w:pPr>
        <w:spacing w:after="120" w:line="276" w:lineRule="auto" w:before="240"/>
      </w:pPr>
      <w:r>
        <w:rPr>
          <w:b/>
          <w:color w:val="003366"/>
          <w:sz w:val="24"/>
        </w:rPr>
        <w:t>**PARTIE 3 : ANALYSE FONDAMENTALE (SECTION CRITIQUE)**</w:t>
      </w:r>
    </w:p>
    <w:p>
      <w:pPr>
        <w:spacing w:after="120" w:line="276" w:lineRule="auto"/>
      </w:pPr>
      <w:r>
        <w:t>En 2025, les données structurées de SOGC révèlent une santé financière robuste. Le chiffre d'affaires s'établit à 98,979 milliards FCFA, en croissance de 10,7% par rapport à 2024, et le résultat net atteint 12,493 milliards FCFA. La rentabilité est excellente avec un ROE de 18,26% et un ROA de 13,84%, démontrant une utilisation efficace des capitaux propres et des actifs. La marge nette de 12,62% et la marge opérationnelle de 17,24% confirment une bonne maîtrise des coûts. La structure financière est saine avec une autonomie financière de 75,79% et une capacité de remboursement quasi nulle (0,04 an). Le BFR de 7,124 milliards FCFA, bien que positif, est gérable, et les délais clients (29,6 jours) et fournisseurs (31,7 jours) sont équilibrés. Les rapports trimestriels 2025 montrent une dynamique exceptionnelle au T1 (CA +63%, RN +263%) et au S1 (CA +52%, RN +152%), mais un ralentissement au 9M (CA +21%, RN +39,5%), indiquant un contexte de prix moins favorable au S2. Sur la base de ces rapports, on estime que l'exercice 2025, bien qu'en léger repli par rapport à 2024, confirme la solidité du modèle économique. La recommandation fondamentale est de **CONSERVER**, la société affichant des performances solides mais un potentiel de croissance future dépendant fortement de la volatilité des prix des matières premières.</w:t>
      </w:r>
    </w:p>
    <w:p>
      <w:pPr>
        <w:spacing w:after="120" w:line="276" w:lineRule="auto" w:before="240"/>
      </w:pPr>
      <w:r>
        <w:rPr>
          <w:b/>
          <w:color w:val="003366"/>
          <w:sz w:val="24"/>
        </w:rPr>
        <w:t>**PARTIE 4 : CONCLUSION D'INVESTISSEMENT**</w:t>
      </w:r>
    </w:p>
    <w:p>
      <w:pPr>
        <w:spacing w:after="120" w:line="276" w:lineRule="auto"/>
      </w:pPr>
      <w:r>
        <w:t>La valorisation de SOGC (PER 14,2x, P/B 2,59x, EV/EBITDA 7,4x) est modérée, reflétant une prime de qualité justifiée par des fondamentaux solides. Le comportement du cours sur 100 jours est haussier (+6,63%) avec une volatilité élevée (36,7%), mais une distribution des prix stable (kurtosis mésokurtique). Les signaux techniques sont mitigés, avec un MACD haussier et un RSI neutre, mais des moyennes mobiles vendeuses et un stochastique suracheté, suggérant une consolidation. Les fondamentaux sont robustes, avec un ROE de 18,26% et une croissance du CA de 10,7% en 2025, malgré un ralentissement attendu au S2. Les prédictions IA pour les 10 prochains jours (8 221 à 8 267 FCFA) confirment une légère tendance haussière, en ligne avec le MACD. En synthèse, la convergence entre la solidité fondamentale, la valorisation raisonnable et les prédictions IA positives, malgré des signaux techniques partagés, conduit à une recommandation **CONSERVER**. Le niveau de confiance est **Moyen**, et le risque global est **Moyen**. L'horizon d'investissement optimal est le **moyen terme (3-12 mois)**, en attendant une clarification de la tendance technique et une stabilisation des prix des matières premières.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5,555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+34.94%</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7.97% (Moyenne) — μ=7,559 FCFA, σ=602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β=1.0313 (Neutre (suit le marché)) — Cov=0.000037, Var(idx)=0.000036, ρ=0.249,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5,555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8,806</w:t>
            </w:r>
          </w:p>
        </w:tc>
        <w:tc>
          <w:tcPr>
            <w:tcW w:type="dxa" w:w="1440"/>
            <w:shd w:fill="FFDCE0" w:val="clear"/>
          </w:tcPr>
          <w:p>
            <w:r>
              <w:rPr>
                <w:b/>
                <w:sz w:val="17"/>
              </w:rPr>
              <w:t>9,249</w:t>
            </w:r>
          </w:p>
        </w:tc>
        <w:tc>
          <w:tcPr>
            <w:tcW w:type="dxa" w:w="1440"/>
            <w:shd w:fill="FFDCE0" w:val="clear"/>
          </w:tcPr>
          <w:p>
            <w:r>
              <w:rPr>
                <w:sz w:val="17"/>
              </w:rPr>
              <w:t>9,693</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8,595</w:t>
            </w:r>
          </w:p>
        </w:tc>
        <w:tc>
          <w:tcPr>
            <w:tcW w:type="dxa" w:w="1440"/>
            <w:shd w:fill="FFDCE0" w:val="clear"/>
          </w:tcPr>
          <w:p>
            <w:r>
              <w:rPr>
                <w:b/>
                <w:sz w:val="17"/>
              </w:rPr>
              <w:t>9,220</w:t>
            </w:r>
          </w:p>
        </w:tc>
        <w:tc>
          <w:tcPr>
            <w:tcW w:type="dxa" w:w="1440"/>
            <w:shd w:fill="FFDCE0" w:val="clear"/>
          </w:tcPr>
          <w:p>
            <w:r>
              <w:rPr>
                <w:sz w:val="17"/>
              </w:rPr>
              <w:t>9,846</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8,415</w:t>
            </w:r>
          </w:p>
        </w:tc>
        <w:tc>
          <w:tcPr>
            <w:tcW w:type="dxa" w:w="1440"/>
            <w:shd w:fill="FFDCE0" w:val="clear"/>
          </w:tcPr>
          <w:p>
            <w:r>
              <w:rPr>
                <w:b/>
                <w:sz w:val="17"/>
              </w:rPr>
              <w:t>9,177</w:t>
            </w:r>
          </w:p>
        </w:tc>
        <w:tc>
          <w:tcPr>
            <w:tcW w:type="dxa" w:w="1440"/>
            <w:shd w:fill="FFDCE0" w:val="clear"/>
          </w:tcPr>
          <w:p>
            <w:r>
              <w:rPr>
                <w:sz w:val="17"/>
              </w:rPr>
              <w:t>9,938</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8,260</w:t>
            </w:r>
          </w:p>
        </w:tc>
        <w:tc>
          <w:tcPr>
            <w:tcW w:type="dxa" w:w="1440"/>
            <w:shd w:fill="FFDCE0" w:val="clear"/>
          </w:tcPr>
          <w:p>
            <w:r>
              <w:rPr>
                <w:b/>
                <w:sz w:val="17"/>
              </w:rPr>
              <w:t>9,136</w:t>
            </w:r>
          </w:p>
        </w:tc>
        <w:tc>
          <w:tcPr>
            <w:tcW w:type="dxa" w:w="1440"/>
            <w:shd w:fill="FFDCE0" w:val="clear"/>
          </w:tcPr>
          <w:p>
            <w:r>
              <w:rPr>
                <w:sz w:val="17"/>
              </w:rPr>
              <w:t>10,012</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8,123</w:t>
            </w:r>
          </w:p>
        </w:tc>
        <w:tc>
          <w:tcPr>
            <w:tcW w:type="dxa" w:w="1440"/>
            <w:shd w:fill="FFDCE0" w:val="clear"/>
          </w:tcPr>
          <w:p>
            <w:r>
              <w:rPr>
                <w:b/>
                <w:sz w:val="17"/>
              </w:rPr>
              <w:t>9,098</w:t>
            </w:r>
          </w:p>
        </w:tc>
        <w:tc>
          <w:tcPr>
            <w:tcW w:type="dxa" w:w="1440"/>
            <w:shd w:fill="FFDCE0" w:val="clear"/>
          </w:tcPr>
          <w:p>
            <w:r>
              <w:rPr>
                <w:sz w:val="17"/>
              </w:rPr>
              <w:t>10,073</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7,996</w:t>
            </w:r>
          </w:p>
        </w:tc>
        <w:tc>
          <w:tcPr>
            <w:tcW w:type="dxa" w:w="1440"/>
            <w:shd w:fill="FFDCE0" w:val="clear"/>
          </w:tcPr>
          <w:p>
            <w:r>
              <w:rPr>
                <w:b/>
                <w:sz w:val="17"/>
              </w:rPr>
              <w:t>9,060</w:t>
            </w:r>
          </w:p>
        </w:tc>
        <w:tc>
          <w:tcPr>
            <w:tcW w:type="dxa" w:w="1440"/>
            <w:shd w:fill="FFDCE0" w:val="clear"/>
          </w:tcPr>
          <w:p>
            <w:r>
              <w:rPr>
                <w:sz w:val="17"/>
              </w:rPr>
              <w:t>10,124</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7,878</w:t>
            </w:r>
          </w:p>
        </w:tc>
        <w:tc>
          <w:tcPr>
            <w:tcW w:type="dxa" w:w="1440"/>
            <w:shd w:fill="FFDCE0" w:val="clear"/>
          </w:tcPr>
          <w:p>
            <w:r>
              <w:rPr>
                <w:b/>
                <w:sz w:val="17"/>
              </w:rPr>
              <w:t>9,022</w:t>
            </w:r>
          </w:p>
        </w:tc>
        <w:tc>
          <w:tcPr>
            <w:tcW w:type="dxa" w:w="1440"/>
            <w:shd w:fill="FFDCE0" w:val="clear"/>
          </w:tcPr>
          <w:p>
            <w:r>
              <w:rPr>
                <w:sz w:val="17"/>
              </w:rPr>
              <w:t>10,167</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7,767</w:t>
            </w:r>
          </w:p>
        </w:tc>
        <w:tc>
          <w:tcPr>
            <w:tcW w:type="dxa" w:w="1440"/>
            <w:shd w:fill="FFDCE0" w:val="clear"/>
          </w:tcPr>
          <w:p>
            <w:r>
              <w:rPr>
                <w:b/>
                <w:sz w:val="17"/>
              </w:rPr>
              <w:t>8,985</w:t>
            </w:r>
          </w:p>
        </w:tc>
        <w:tc>
          <w:tcPr>
            <w:tcW w:type="dxa" w:w="1440"/>
            <w:shd w:fill="FFDCE0" w:val="clear"/>
          </w:tcPr>
          <w:p>
            <w:r>
              <w:rPr>
                <w:sz w:val="17"/>
              </w:rPr>
              <w:t>10,204</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7,662</w:t>
            </w:r>
          </w:p>
        </w:tc>
        <w:tc>
          <w:tcPr>
            <w:tcW w:type="dxa" w:w="1440"/>
            <w:shd w:fill="FFDCE0" w:val="clear"/>
          </w:tcPr>
          <w:p>
            <w:r>
              <w:rPr>
                <w:b/>
                <w:sz w:val="17"/>
              </w:rPr>
              <w:t>8,949</w:t>
            </w:r>
          </w:p>
        </w:tc>
        <w:tc>
          <w:tcPr>
            <w:tcW w:type="dxa" w:w="1440"/>
            <w:shd w:fill="FFDCE0" w:val="clear"/>
          </w:tcPr>
          <w:p>
            <w:r>
              <w:rPr>
                <w:sz w:val="17"/>
              </w:rPr>
              <w:t>10,236</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7,562</w:t>
            </w:r>
          </w:p>
        </w:tc>
        <w:tc>
          <w:tcPr>
            <w:tcW w:type="dxa" w:w="1440"/>
            <w:shd w:fill="FFDCE0" w:val="clear"/>
          </w:tcPr>
          <w:p>
            <w:r>
              <w:rPr>
                <w:b/>
                <w:sz w:val="17"/>
              </w:rPr>
              <w:t>8,913</w:t>
            </w:r>
          </w:p>
        </w:tc>
        <w:tc>
          <w:tcPr>
            <w:tcW w:type="dxa" w:w="1440"/>
            <w:shd w:fill="FFDCE0" w:val="clear"/>
          </w:tcPr>
          <w:p>
            <w:r>
              <w:rPr>
                <w:sz w:val="17"/>
              </w:rPr>
              <w:t>10,264</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242,80 milliards FCFA, ce qui positionne la société parmi les valeurs moyennes à grandes capitalisations de la BRVM, lui conférant une liquidité et une visibilité notables. Le BPA de 977 FCFA indique que chaque action génère un bénéfice substantiel, justifiant un PER de 9,7x. Ce ratio, inférieur à la moyenne historique du marché (8-12x), suggère que les investisseurs ne paient pas un prix excessif pour les bénéfices de l'entreprise, laissant entrevoir une potentielle sous-évaluation relative. Le P/B de 1,76x, situé dans la fourchette raisonnable de 1 à 2x, indique que le marché valorise la société à environ 76% au-dessus de sa valeur comptable, ce qui est cohérent avec une rentabilité des capitaux propres élevée. Enfin, un EV/EBITDA de 5,9x est attractif, signalant que la valeur totale de l'entreprise (dette incluse) reste modérée par rapport à sa capacité à générer du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progression spectaculaire de +34,94%, avec une dernière séance en hausse de +3,26% à 9 500 FCFA. Le titre a évolué dans une fourchette très large, oscillant entre un plus bas de 6 720 FCFA et un plus haut de 9 660 FCFA, démontrant une forte dynamique haussière. La moyenne du cours sur la période (7 559 FCFA) est inférieure à la médiane (7 498 FCFA), et l'écart positif entre le mode (7 600 FCFA) et la moyenne suggère une distribution asymétrique positive (skewness de 1,732), indiquant que le cours a passé plus de temps sous sa moyenne avant de connaître des pics récents. L'écart-type de 605 FCFA (CV=8,0%) montre une dispersion modérée, mais le kurtosis élevé (3,204) signale un risque de mouvements extrêmes. La volatilité annualisée de 39,4% classe le titre comme très volatil, ce qui implique un risque élevé mais aussi un fort potentiel de rendement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(9 500 FCFA) se situe nettement au-dessus de la MM20 (8 377,25 FCFA) et de la MM50 (7 911,4 FCFA). Cette configuration haussière, où les moyennes sont orientées à la hausse, confirme une tendance de fond positive. La décision d'**Achat** est justifiée par la dynamique actuelle, le prix évoluant dans une phase d'accélération.</w:t>
      </w:r>
    </w:p>
    <w:p>
      <w:pPr>
        <w:spacing w:after="120" w:line="276" w:lineRule="auto"/>
      </w:pPr>
      <w:r>
        <w:t>**Bandes de Bollinger** : Le prix (9 500 FCFA) se rapproche de la borne supérieure (9 969,344 FCFA), indiquant que le titre est en zone de surachat technique à court terme. La largeur des bandes reflète la volatilité élevée. La décision est **Neutre**, car le franchissement de la borne supérieure pourrait signaler une poursuite du mouvement, mais un retour vers la moyenne est également possible.</w:t>
      </w:r>
    </w:p>
    <w:p>
      <w:pPr>
        <w:spacing w:after="120" w:line="276" w:lineRule="auto"/>
      </w:pPr>
      <w:r>
        <w:t>**MACD** : La valeur du MACD (483,131) est supérieure à son signal (373,422), avec un écart positif croissant. Cette configuration est un signal classique d'**Achat**, confirmant la vigueur du momentum haussier à moyen terme.</w:t>
      </w:r>
    </w:p>
    <w:p>
      <w:pPr>
        <w:spacing w:after="120" w:line="276" w:lineRule="auto"/>
      </w:pPr>
      <w:r>
        <w:t>**RSI** : Le RSI à 74,485 est entré en zone de surachat (au-dessus de 70). Cela indique que le titre a fortement monté et qu'un repli technique ou une consolidation est probable à court terme. La décision de **Vente** est un signal de prudence pour les traders à horizon très court.</w:t>
      </w:r>
    </w:p>
    <w:p>
      <w:pPr>
        <w:spacing w:after="120" w:line="276" w:lineRule="auto"/>
      </w:pPr>
      <w:r>
        <w:t>**Stochastique** : Le %K (91,061) et le %D (82,457) sont tous deux en zone de surachat, avec un %K au-dessus de %D. Bien que la tendance soit haussière, ces niveaux extrêmes suggèrent une possible correction. La décision de **Vente** rejoint celle du RSI, signalant une fatigue potentielle du mouvement.</w:t>
      </w:r>
    </w:p>
    <w:p>
      <w:pPr>
        <w:spacing w:after="120" w:line="276" w:lineRule="auto"/>
      </w:pPr>
      <w:r>
        <w:t>**Conclusion technique** : Les indicateurs de tendance (MM, MACD) sont résolument positifs, mais les oscillateurs de momentum (RSI, Stochastique) sont en territoire de surachat. Cette divergence suggère que la tendance de fond reste haussière, mais qu'un repli technique à court terme est de plus en plus probable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SPHC font état d'un chiffre d'affaires de 340,831 milliards FCFA, en croissance de 22% par rapport à 2024. Le résultat net s'établit à 24,972 milliards FCFA, contre 18,79 milliards en 2024, soit une progression de 33%. La rentabilité est excellente avec un ROE de 18,1% et un ROA de 11,1%. La société, une entreprise agro-industrielle, présente un BFR de 65,389 milliards FCFA (positif, nécessitant un financement), avec des délais clients de 35 jours et une durée de stockage de 72 jours. L'endettement reste maîtrisé avec un ratio d'endettement de 25,8% et une excellente couverture des intérêts (1094%). Les rapports trimestriels de 2025 confirment cette dynamique : le T1 2025 (CA +72%, RN +949%) et le S1 2025 (CA +51%, RN +449%) montraient une performance exceptionnelle, portée par la hausse des cours du caoutchouc. Cependant, le rapport du T1 2026, daté de mars 2026, révèle un net ralentissement avec un CA de 71,8 milliards FCFA (-24%) et un résultat net de 2,6 milliards FCFA (-78%), pénalisé par la chute des cours mondiaux et une concurrence accrue. Sur la base de ce T1 2026, on estime que l'exercice 2026 sera difficile, avec une normalisation des résultats à des niveaux inférieurs à ceux de 2025. La solidité financière reste néanmoins un atout majeur face à ces vents contraires.</w:t>
      </w:r>
    </w:p>
    <w:p>
      <w:pPr>
        <w:spacing w:after="120" w:line="276" w:lineRule="auto"/>
      </w:pPr>
      <w:r>
        <w:t>---</w:t>
      </w:r>
    </w:p>
    <w:p>
      <w:pPr>
        <w:spacing w:after="120" w:line="276" w:lineRule="auto"/>
      </w:pPr>
      <w:r>
        <w:t>### PARTIE 4 : CONCLUSION D'INVESTISSEMENT</w:t>
      </w:r>
    </w:p>
    <w:p>
      <w:pPr>
        <w:spacing w:after="120" w:line="276" w:lineRule="auto"/>
      </w:pPr>
      <w:r>
        <w:t>La valorisation de SPHC (PER 9,7x, P/B 1,76x, EV/EBITDA 5,9x) indique une sous-évaluation relative par rapport à ses fondamentaux historiques, ce qui est un point positif. Le comportement du cours sur 100 jours est très favorable, avec une tendance haussière marquée, mais la volatilité élevée (39,4%) et le kurtosis important signalent un risque de retournement brutal. Les signaux techniques sont mitigés : la tendance de fond (MM, MACD) est haussière, mais les oscillateurs (RSI, Stochastique) sont en surachat, suggérant un repli à court terme. Les fondamentaux de l'entreprise sont solides pour 2025, mais les estimations pour 2026, basées sur le T1 2026, sont en forte baisse, ce qui crée une divergence entre la performance passée et les perspectives immédiates. Les prédictions IA (9 249 FCFA à J+10) confirment cette analyse en anticipant une correction du cours vers des niveaux plus proches de la moyenne. En synthèse, la convergence des signaux de valorisation et de tendance est contrebalancée par les signaux techniques de surachat et les perspectives fondamentales dégradées. Par conséquent, la recommandation est **CONSERVER** avec un niveau de confiance **Moyen**. Le risque global est **Élevé** en raison de la volatilité et de l'incertitude sur les cours du caoutchouc. L'horizon d'investissement optimal est le **moyen terme (3-12 mois)**, en attendant que le marché intègre les résultats 2026 et que les indicateurs techniques se neutralisent.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6,143 titres</w:t>
            </w:r>
          </w:p>
        </w:tc>
        <w:tc>
          <w:tcPr>
            <w:tcW w:type="dxa" w:w="2268"/>
            <w:shd w:fill="FFF2CC" w:val="clear"/>
          </w:tcPr>
          <w:p>
            <w:r>
              <w:rPr>
                <w:b/>
                <w:color w:val="503200"/>
                <w:sz w:val="16"/>
              </w:rPr>
              <w:t xml:space="preserve">Cours actuel : </w:t>
            </w:r>
            <w:r>
              <w:rPr>
                <w:color w:val="000000"/>
                <w:sz w:val="17"/>
              </w:rPr>
              <w:t>2,595 FCFA</w:t>
            </w:r>
          </w:p>
          <w:p>
            <w:r>
              <w:rPr>
                <w:b/>
                <w:color w:val="503200"/>
                <w:sz w:val="16"/>
              </w:rPr>
              <w:t xml:space="preserve">Var. 100 jours : </w:t>
            </w:r>
            <w:r>
              <w:rPr>
                <w:b/>
                <w:color w:val="B40000"/>
                <w:sz w:val="17"/>
              </w:rPr>
              <w:t>-17.36%</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11.22% (Moyenne) — μ=3,032 FCFA, σ=340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β=-0.7424 (Contre-cyclique) — Cov=-0.000027, Var(idx)=0.000036, ρ=-0.111,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σ_j=4.01%/j (Modérée) — Vol. annualisée≈63.7%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2,351</w:t>
            </w:r>
          </w:p>
        </w:tc>
        <w:tc>
          <w:tcPr>
            <w:tcW w:type="dxa" w:w="1440"/>
            <w:shd w:fill="FFDCE0" w:val="clear"/>
          </w:tcPr>
          <w:p>
            <w:r>
              <w:rPr>
                <w:b/>
                <w:sz w:val="17"/>
              </w:rPr>
              <w:t>2,456</w:t>
            </w:r>
          </w:p>
        </w:tc>
        <w:tc>
          <w:tcPr>
            <w:tcW w:type="dxa" w:w="1440"/>
            <w:shd w:fill="FFDCE0" w:val="clear"/>
          </w:tcPr>
          <w:p>
            <w:r>
              <w:rPr>
                <w:sz w:val="17"/>
              </w:rPr>
              <w:t>2,561</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2,183</w:t>
            </w:r>
          </w:p>
        </w:tc>
        <w:tc>
          <w:tcPr>
            <w:tcW w:type="dxa" w:w="1440"/>
            <w:shd w:fill="FFDCE0" w:val="clear"/>
          </w:tcPr>
          <w:p>
            <w:r>
              <w:rPr>
                <w:b/>
                <w:sz w:val="17"/>
              </w:rPr>
              <w:t>2,323</w:t>
            </w:r>
          </w:p>
        </w:tc>
        <w:tc>
          <w:tcPr>
            <w:tcW w:type="dxa" w:w="1440"/>
            <w:shd w:fill="FFDCE0" w:val="clear"/>
          </w:tcPr>
          <w:p>
            <w:r>
              <w:rPr>
                <w:sz w:val="17"/>
              </w:rPr>
              <w:t>2,463</w:t>
            </w:r>
          </w:p>
        </w:tc>
        <w:tc>
          <w:tcPr>
            <w:tcW w:type="dxa" w:w="1440"/>
            <w:shd w:fill="FFDCE0" w:val="clear"/>
          </w:tcPr>
          <w:p>
            <w:r>
              <w:rPr>
                <w:b/>
                <w:color w:val="C00000"/>
                <w:sz w:val="17"/>
              </w:rPr>
              <w:t>-10.5%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2,016</w:t>
            </w:r>
          </w:p>
        </w:tc>
        <w:tc>
          <w:tcPr>
            <w:tcW w:type="dxa" w:w="1440"/>
            <w:shd w:fill="FFDCE0" w:val="clear"/>
          </w:tcPr>
          <w:p>
            <w:r>
              <w:rPr>
                <w:b/>
                <w:sz w:val="17"/>
              </w:rPr>
              <w:t>2,177</w:t>
            </w:r>
          </w:p>
        </w:tc>
        <w:tc>
          <w:tcPr>
            <w:tcW w:type="dxa" w:w="1440"/>
            <w:shd w:fill="FFDCE0" w:val="clear"/>
          </w:tcPr>
          <w:p>
            <w:r>
              <w:rPr>
                <w:sz w:val="17"/>
              </w:rPr>
              <w:t>2,338</w:t>
            </w:r>
          </w:p>
        </w:tc>
        <w:tc>
          <w:tcPr>
            <w:tcW w:type="dxa" w:w="1440"/>
            <w:shd w:fill="FFDCE0" w:val="clear"/>
          </w:tcPr>
          <w:p>
            <w:r>
              <w:rPr>
                <w:b/>
                <w:color w:val="C00000"/>
                <w:sz w:val="17"/>
              </w:rPr>
              <w:t>-16.1%</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1,868</w:t>
            </w:r>
          </w:p>
        </w:tc>
        <w:tc>
          <w:tcPr>
            <w:tcW w:type="dxa" w:w="1440"/>
            <w:shd w:fill="FFDCE0" w:val="clear"/>
          </w:tcPr>
          <w:p>
            <w:r>
              <w:rPr>
                <w:b/>
                <w:sz w:val="17"/>
              </w:rPr>
              <w:t>2,043</w:t>
            </w:r>
          </w:p>
        </w:tc>
        <w:tc>
          <w:tcPr>
            <w:tcW w:type="dxa" w:w="1440"/>
            <w:shd w:fill="FFDCE0" w:val="clear"/>
          </w:tcPr>
          <w:p>
            <w:r>
              <w:rPr>
                <w:sz w:val="17"/>
              </w:rPr>
              <w:t>2,217</w:t>
            </w:r>
          </w:p>
        </w:tc>
        <w:tc>
          <w:tcPr>
            <w:tcW w:type="dxa" w:w="1440"/>
            <w:shd w:fill="FFDCE0" w:val="clear"/>
          </w:tcPr>
          <w:p>
            <w:r>
              <w:rPr>
                <w:b/>
                <w:color w:val="C00000"/>
                <w:sz w:val="17"/>
              </w:rPr>
              <w:t>-21.3%</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1,744</w:t>
            </w:r>
          </w:p>
        </w:tc>
        <w:tc>
          <w:tcPr>
            <w:tcW w:type="dxa" w:w="1440"/>
            <w:shd w:fill="FFDCE0" w:val="clear"/>
          </w:tcPr>
          <w:p>
            <w:r>
              <w:rPr>
                <w:b/>
                <w:sz w:val="17"/>
              </w:rPr>
              <w:t>1,928</w:t>
            </w:r>
          </w:p>
        </w:tc>
        <w:tc>
          <w:tcPr>
            <w:tcW w:type="dxa" w:w="1440"/>
            <w:shd w:fill="FFDCE0" w:val="clear"/>
          </w:tcPr>
          <w:p>
            <w:r>
              <w:rPr>
                <w:sz w:val="17"/>
              </w:rPr>
              <w:t>2,112</w:t>
            </w:r>
          </w:p>
        </w:tc>
        <w:tc>
          <w:tcPr>
            <w:tcW w:type="dxa" w:w="1440"/>
            <w:shd w:fill="FFDCE0" w:val="clear"/>
          </w:tcPr>
          <w:p>
            <w:r>
              <w:rPr>
                <w:b/>
                <w:color w:val="C00000"/>
                <w:sz w:val="17"/>
              </w:rPr>
              <w:t>-25.7%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1,642</w:t>
            </w:r>
          </w:p>
        </w:tc>
        <w:tc>
          <w:tcPr>
            <w:tcW w:type="dxa" w:w="1440"/>
            <w:shd w:fill="FFDCE0" w:val="clear"/>
          </w:tcPr>
          <w:p>
            <w:r>
              <w:rPr>
                <w:b/>
                <w:sz w:val="17"/>
              </w:rPr>
              <w:t>1,834</w:t>
            </w:r>
          </w:p>
        </w:tc>
        <w:tc>
          <w:tcPr>
            <w:tcW w:type="dxa" w:w="1440"/>
            <w:shd w:fill="FFDCE0" w:val="clear"/>
          </w:tcPr>
          <w:p>
            <w:r>
              <w:rPr>
                <w:sz w:val="17"/>
              </w:rPr>
              <w:t>2,026</w:t>
            </w:r>
          </w:p>
        </w:tc>
        <w:tc>
          <w:tcPr>
            <w:tcW w:type="dxa" w:w="1440"/>
            <w:shd w:fill="FFDCE0" w:val="clear"/>
          </w:tcPr>
          <w:p>
            <w:r>
              <w:rPr>
                <w:b/>
                <w:color w:val="C00000"/>
                <w:sz w:val="17"/>
              </w:rPr>
              <w:t>-29.3%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1,559</w:t>
            </w:r>
          </w:p>
        </w:tc>
        <w:tc>
          <w:tcPr>
            <w:tcW w:type="dxa" w:w="1440"/>
            <w:shd w:fill="FFDCE0" w:val="clear"/>
          </w:tcPr>
          <w:p>
            <w:r>
              <w:rPr>
                <w:b/>
                <w:sz w:val="17"/>
              </w:rPr>
              <w:t>1,757</w:t>
            </w:r>
          </w:p>
        </w:tc>
        <w:tc>
          <w:tcPr>
            <w:tcW w:type="dxa" w:w="1440"/>
            <w:shd w:fill="FFDCE0" w:val="clear"/>
          </w:tcPr>
          <w:p>
            <w:r>
              <w:rPr>
                <w:sz w:val="17"/>
              </w:rPr>
              <w:t>1,956</w:t>
            </w:r>
          </w:p>
        </w:tc>
        <w:tc>
          <w:tcPr>
            <w:tcW w:type="dxa" w:w="1440"/>
            <w:shd w:fill="FFDCE0" w:val="clear"/>
          </w:tcPr>
          <w:p>
            <w:r>
              <w:rPr>
                <w:b/>
                <w:color w:val="C00000"/>
                <w:sz w:val="17"/>
              </w:rPr>
              <w:t>-32.3%</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1,490</w:t>
            </w:r>
          </w:p>
        </w:tc>
        <w:tc>
          <w:tcPr>
            <w:tcW w:type="dxa" w:w="1440"/>
            <w:shd w:fill="FFDCE0" w:val="clear"/>
          </w:tcPr>
          <w:p>
            <w:r>
              <w:rPr>
                <w:b/>
                <w:sz w:val="17"/>
              </w:rPr>
              <w:t>1,695</w:t>
            </w:r>
          </w:p>
        </w:tc>
        <w:tc>
          <w:tcPr>
            <w:tcW w:type="dxa" w:w="1440"/>
            <w:shd w:fill="FFDCE0" w:val="clear"/>
          </w:tcPr>
          <w:p>
            <w:r>
              <w:rPr>
                <w:sz w:val="17"/>
              </w:rPr>
              <w:t>1,899</w:t>
            </w:r>
          </w:p>
        </w:tc>
        <w:tc>
          <w:tcPr>
            <w:tcW w:type="dxa" w:w="1440"/>
            <w:shd w:fill="FFDCE0" w:val="clear"/>
          </w:tcPr>
          <w:p>
            <w:r>
              <w:rPr>
                <w:b/>
                <w:color w:val="C00000"/>
                <w:sz w:val="17"/>
              </w:rPr>
              <w:t>-34.7%</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1,432</w:t>
            </w:r>
          </w:p>
        </w:tc>
        <w:tc>
          <w:tcPr>
            <w:tcW w:type="dxa" w:w="1440"/>
            <w:shd w:fill="FFDCE0" w:val="clear"/>
          </w:tcPr>
          <w:p>
            <w:r>
              <w:rPr>
                <w:b/>
                <w:sz w:val="17"/>
              </w:rPr>
              <w:t>1,642</w:t>
            </w:r>
          </w:p>
        </w:tc>
        <w:tc>
          <w:tcPr>
            <w:tcW w:type="dxa" w:w="1440"/>
            <w:shd w:fill="FFDCE0" w:val="clear"/>
          </w:tcPr>
          <w:p>
            <w:r>
              <w:rPr>
                <w:sz w:val="17"/>
              </w:rPr>
              <w:t>1,852</w:t>
            </w:r>
          </w:p>
        </w:tc>
        <w:tc>
          <w:tcPr>
            <w:tcW w:type="dxa" w:w="1440"/>
            <w:shd w:fill="FFDCE0" w:val="clear"/>
          </w:tcPr>
          <w:p>
            <w:r>
              <w:rPr>
                <w:b/>
                <w:color w:val="C00000"/>
                <w:sz w:val="17"/>
              </w:rPr>
              <w:t>-36.7%</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1,382</w:t>
            </w:r>
          </w:p>
        </w:tc>
        <w:tc>
          <w:tcPr>
            <w:tcW w:type="dxa" w:w="1440"/>
            <w:shd w:fill="FFDCE0" w:val="clear"/>
          </w:tcPr>
          <w:p>
            <w:r>
              <w:rPr>
                <w:b/>
                <w:sz w:val="17"/>
              </w:rPr>
              <w:t>1,598</w:t>
            </w:r>
          </w:p>
        </w:tc>
        <w:tc>
          <w:tcPr>
            <w:tcW w:type="dxa" w:w="1440"/>
            <w:shd w:fill="FFDCE0" w:val="clear"/>
          </w:tcPr>
          <w:p>
            <w:r>
              <w:rPr>
                <w:sz w:val="17"/>
              </w:rPr>
              <w:t>1,813</w:t>
            </w:r>
          </w:p>
        </w:tc>
        <w:tc>
          <w:tcPr>
            <w:tcW w:type="dxa" w:w="1440"/>
            <w:shd w:fill="FFDCE0" w:val="clear"/>
          </w:tcPr>
          <w:p>
            <w:r>
              <w:rPr>
                <w:b/>
                <w:color w:val="C00000"/>
                <w:sz w:val="17"/>
              </w:rPr>
              <w:t>-38.4%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de l'analyse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34,88 milliards FCFA, un niveau relativement modeste sur la BRVM, reflétant la taille réduite de l'entreprise dans le secteur du BTP. Le BPA est négatif à -7 FCFA, ce qui traduit une perte nette par action et explique le PER négatif de -361,2x. Ce ratio est non significatif pour l'analyse comparative, car la société est déficitaire, et les investisseurs ne peuvent pas justifier une prime sur les bénéfices. Le P/B de 97,76x est extrêmement élevé, indiquant que le marché valorise l'actif net comptable à une prime considérable, ce qui est atypique pour une entreprise en perte. Les ratios EV/EBITDA ne sont pas disponibles, mais la combinaison d'un PER négatif et d'un P/B excessif suggère une valorisation spéculative, déconnectée des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STAC a enregistré une baisse significative de -17,36%, avec une légère variation de -0,19% lors de la dernière séance, confirmant une tendance baissière persistante. Le titre a évolué dans une fourchette large, oscillant entre un plus haut de 3 895 FCFA et un plus bas de 2 515 FCFA, soit une amplitude de 1 380 FCFA, illustrant une forte volatilité. La moyenne du cours sur la période est de 3 032 FCFA, tandis que la médiane est de 2 990 FCFA, un écart minime indiquant une distribution quasi symétrique, confirmée par un skewness de 0,390. Le kurtosis de -0,908 (mésokurtique) suggère une absence de pics extrêmes, mais l'écart-type de 342 FCFA (CV=11,3%) montre une dispersion modérée. La volatilité annualisée de 63,7% est très élevée, positionnant le titre comme un actif risqué, bien au-dessus du seuil de 30%.</w:t>
      </w:r>
    </w:p>
    <w:p>
      <w:pPr>
        <w:spacing w:after="120" w:line="276" w:lineRule="auto"/>
      </w:pPr>
      <w:r>
        <w:t>---</w:t>
      </w:r>
    </w:p>
    <w:p>
      <w:pPr>
        <w:spacing w:after="120" w:line="276" w:lineRule="auto"/>
      </w:pPr>
      <w:r>
        <w:t>### PARTIE 2 : ANALYSE TECHNIQUE DÉTAILLÉE</w:t>
      </w:r>
    </w:p>
    <w:p>
      <w:pPr>
        <w:spacing w:after="120" w:line="276" w:lineRule="auto"/>
      </w:pPr>
      <w:r>
        <w:t>**Moyennes Mobiles :** La MM20 à 2 638,25 FCFA et la MM50 à 3 009,1 FCFA sont toutes deux supérieures au cours actuel de 2 595 FCFA, signalant une dynamique baissière. Le croisement des moyennes mobiles, avec la MM20 sous la MM50, renforce la pression vendeuse, justifiant la décision de Vente.</w:t>
      </w:r>
    </w:p>
    <w:p>
      <w:pPr>
        <w:spacing w:after="120" w:line="276" w:lineRule="auto"/>
      </w:pPr>
      <w:r>
        <w:t>**Bandes de Bollinger :** Le cours se situe à 2 595 FCFA, entre la borne inférieure à 2 462,443 FCFA et la borne supérieure à 2 814,057 FCFA, proche de la partie basse de la bande. Cela indique une volatilité modérée et un potentiel de rebond technique, mais sans signal clair, d'où la décision Neutre.</w:t>
      </w:r>
    </w:p>
    <w:p>
      <w:pPr>
        <w:spacing w:after="120" w:line="276" w:lineRule="auto"/>
      </w:pPr>
      <w:r>
        <w:t>**MACD :** Le MACD à -111,018 est au-dessus de son signal à -129,548, montrant un croisement haussier récent. Cette divergence positive suggère un ralentissement de la tendance baissière et un momentum en amélioration, justifiant la décision d'Achat.</w:t>
      </w:r>
    </w:p>
    <w:p>
      <w:pPr>
        <w:spacing w:after="120" w:line="276" w:lineRule="auto"/>
      </w:pPr>
      <w:r>
        <w:t>**RSI :** Le RSI à 39,189 se situe en zone neutre, entre 30 et 70, indiquant que le titre n'est ni suracheté ni survendu. Cela reflète une pression vendeuse modérée, sans signal d'inversion majeur, d'où la décision Neutre.</w:t>
      </w:r>
    </w:p>
    <w:p>
      <w:pPr>
        <w:spacing w:after="120" w:line="276" w:lineRule="auto"/>
      </w:pPr>
      <w:r>
        <w:t>**Stochastique :** Le %K à 50,0 et le %D à 36,925 montrent un croisement haussier en cours, avec le %K au-dessus du %D. Cela suggère un potentiel de reprise à court terme, mais la zone neutre limite la fiabilité, justifiant la décision Neutre.</w:t>
      </w:r>
    </w:p>
    <w:p>
      <w:pPr>
        <w:spacing w:after="120" w:line="276" w:lineRule="auto"/>
      </w:pPr>
      <w:r>
        <w:t>**Conclusion technique :** Les indicateurs sont mitigés, avec un MACD haussier contrastant avec des moyennes mobiles baissières. La tendance globale reste négative, mais des signaux de stabilisation apparaissent, suggérant une possible consolidation avant une décision directionnelle.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STAC révèlent une situation critique : le chiffre d'affaires s'élève à 3,878 milliards FCFA, mais le résultat net est une perte de -96,56 millions FCFA, avec une marge nette de -2,49%. Le ROE est profondément négatif à -27,07%, et le ROA à -1,77%, indiquant une incapacité à générer de la rentabilité sur les capitaux propres et les actifs. Le BFR est négatif à -930,47 millions FCFA, ce qui est favorable pour la trésorerie, mais la dépendance financière est élevée à 129,87%, avec une autonomie financière faible de 6,55%. Les rapports trimestriels de 2025 montrent une reprise d'activité : le CA du S1 2025 atteint 2,271 milliards FCFA (+290% vs S1 2024), et le cumul sur 9 mois est de 3,456 milliards FCFA (+176%), porté par le projet aéroportuaire d'Abidjan. Cependant, les pertes persistent, avec -557 millions FCFA au S1 2025 et -477 millions sur 9 mois, bien que la perte d'exploitation se réduise de 50% à -456 millions. La prévision annuelle de 4 milliards FCFA de CA semble réalisable, mais la rentabilité opérationnelle reste insuffisante, et la trésorerie, bien que positive à 1,330 milliard FCFA, est consommée par les déficits. Les rapports historiques (2020-2021) montrent une performance passée solide, mais la dégradation depuis 2023 est alarmante, avec un CA en chute de 80% en 2024.</w:t>
      </w:r>
    </w:p>
    <w:p>
      <w:pPr>
        <w:spacing w:after="120" w:line="276" w:lineRule="auto"/>
      </w:pPr>
      <w:r>
        <w:t>---</w:t>
      </w:r>
    </w:p>
    <w:p>
      <w:pPr>
        <w:spacing w:after="120" w:line="276" w:lineRule="auto"/>
      </w:pPr>
      <w:r>
        <w:t>### PARTIE 4 : CONCLUSION D'INVESTISSEMENT</w:t>
      </w:r>
    </w:p>
    <w:p>
      <w:pPr>
        <w:spacing w:after="120" w:line="276" w:lineRule="auto"/>
      </w:pPr>
      <w:r>
        <w:t>La valorisation de STAC est clairement surévaluée, avec un PER négatif et un P/B de 97,76x, indiquant que le marché paie une prime injustifiée pour des fondamentaux déficitaires. Le comportement du cours est préoccupant, avec une tendance baissière de -17,36% sur 100 jours et une volatilité élevée de 63,7%, bien que les statistiques montrent une distribution stable. Les signaux techniques sont divergents : le MACD suggère un momentum haussier, mais les moyennes mobiles et le RSI restent baissiers, créant une incertitude. Sur le plan fondamental, la reprise du CA en 2025 est positive, mais les pertes récurrentes et la faiblesse des ratios de rentabilité (ROE -27,07%) compromettent la viabilité à long terme. Les prédictions IA pour les 10 prochains jours prévoient une chute continue du cours à 1 928 FCFA, confirmant la pression baissière. En synthèse, la convergence des signaux (valorisation excessive, tendance baissière, fondamentaux fragiles) justifie une recommandation de **VENTE FORTE**, avec un niveau de confiance **Élevé** et un risque global **Élevé**. L'horizon d'investissement optimal est à court terme (&lt;3 mois) pour les investisseurs cherchant à limiter les pertes, tandis que les spéculateurs pourraient surveiller un éventuel rebond technique, mais avec une prudence extrême.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401.29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3,662 titres</w:t>
            </w:r>
          </w:p>
        </w:tc>
        <w:tc>
          <w:tcPr>
            <w:tcW w:type="dxa" w:w="2268"/>
            <w:shd w:fill="FFF2CC" w:val="clear"/>
          </w:tcPr>
          <w:p>
            <w:r>
              <w:rPr>
                <w:b/>
                <w:color w:val="503200"/>
                <w:sz w:val="16"/>
              </w:rPr>
              <w:t xml:space="preserve">Cours actuel : </w:t>
            </w:r>
            <w:r>
              <w:rPr>
                <w:color w:val="000000"/>
                <w:sz w:val="17"/>
              </w:rPr>
              <w:t>22,350 FCFA</w:t>
            </w:r>
          </w:p>
          <w:p>
            <w:r>
              <w:rPr>
                <w:b/>
                <w:color w:val="503200"/>
                <w:sz w:val="16"/>
              </w:rPr>
              <w:t xml:space="preserve">Var. 100 jours : </w:t>
            </w:r>
            <w:r>
              <w:rPr>
                <w:b/>
                <w:color w:val="007800"/>
                <w:sz w:val="17"/>
              </w:rPr>
              <w:t>+3.95%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6.15% (Moyenne) — μ=22,289 FCFA, σ=1,371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β=0.4689 (Défensif) — Cov=0.000017, Var(idx)=0.000036, ρ=0.123,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21,473</w:t>
            </w:r>
          </w:p>
        </w:tc>
        <w:tc>
          <w:tcPr>
            <w:tcW w:type="dxa" w:w="1440"/>
            <w:shd w:fill="FAFAFA" w:val="clear"/>
          </w:tcPr>
          <w:p>
            <w:r>
              <w:rPr>
                <w:b/>
                <w:sz w:val="17"/>
              </w:rPr>
              <w:t>22,692</w:t>
            </w:r>
          </w:p>
        </w:tc>
        <w:tc>
          <w:tcPr>
            <w:tcW w:type="dxa" w:w="1440"/>
            <w:shd w:fill="FAFAFA" w:val="clear"/>
          </w:tcPr>
          <w:p>
            <w:r>
              <w:rPr>
                <w:sz w:val="17"/>
              </w:rPr>
              <w:t>23,911</w:t>
            </w:r>
          </w:p>
        </w:tc>
        <w:tc>
          <w:tcPr>
            <w:tcW w:type="dxa" w:w="1440"/>
            <w:shd w:fill="FAFAFA" w:val="clear"/>
          </w:tcPr>
          <w:p>
            <w:r>
              <w:rPr>
                <w:b/>
                <w:color w:val="008000"/>
                <w:sz w:val="17"/>
              </w:rPr>
              <w:t>+1.5%</w:t>
            </w:r>
          </w:p>
        </w:tc>
      </w:tr>
      <w:tr>
        <w:tc>
          <w:tcPr>
            <w:tcW w:type="dxa" w:w="1440"/>
            <w:shd w:fill="C6EFCE" w:val="clear"/>
          </w:tcPr>
          <w:p>
            <w:r>
              <w:rPr>
                <w:sz w:val="17"/>
              </w:rPr>
              <w:t>J+2  ⭐</w:t>
            </w:r>
          </w:p>
        </w:tc>
        <w:tc>
          <w:tcPr>
            <w:tcW w:type="dxa" w:w="1440"/>
            <w:shd w:fill="C6EFCE" w:val="clear"/>
          </w:tcPr>
          <w:p>
            <w:r>
              <w:rPr>
                <w:sz w:val="17"/>
              </w:rPr>
              <w:t>2026-09-01</w:t>
            </w:r>
          </w:p>
        </w:tc>
        <w:tc>
          <w:tcPr>
            <w:tcW w:type="dxa" w:w="1440"/>
            <w:shd w:fill="C6EFCE" w:val="clear"/>
          </w:tcPr>
          <w:p>
            <w:r>
              <w:rPr>
                <w:sz w:val="17"/>
              </w:rPr>
              <w:t>21,141</w:t>
            </w:r>
          </w:p>
        </w:tc>
        <w:tc>
          <w:tcPr>
            <w:tcW w:type="dxa" w:w="1440"/>
            <w:shd w:fill="C6EFCE" w:val="clear"/>
          </w:tcPr>
          <w:p>
            <w:r>
              <w:rPr>
                <w:b/>
                <w:sz w:val="17"/>
              </w:rPr>
              <w:t>22,880</w:t>
            </w:r>
          </w:p>
        </w:tc>
        <w:tc>
          <w:tcPr>
            <w:tcW w:type="dxa" w:w="1440"/>
            <w:shd w:fill="C6EFCE" w:val="clear"/>
          </w:tcPr>
          <w:p>
            <w:r>
              <w:rPr>
                <w:sz w:val="17"/>
              </w:rPr>
              <w:t>24,619</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20,937</w:t>
            </w:r>
          </w:p>
        </w:tc>
        <w:tc>
          <w:tcPr>
            <w:tcW w:type="dxa" w:w="1440"/>
            <w:shd w:fill="C6EFCE" w:val="clear"/>
          </w:tcPr>
          <w:p>
            <w:r>
              <w:rPr>
                <w:b/>
                <w:sz w:val="17"/>
              </w:rPr>
              <w:t>23,086</w:t>
            </w:r>
          </w:p>
        </w:tc>
        <w:tc>
          <w:tcPr>
            <w:tcW w:type="dxa" w:w="1440"/>
            <w:shd w:fill="C6EFCE" w:val="clear"/>
          </w:tcPr>
          <w:p>
            <w:r>
              <w:rPr>
                <w:sz w:val="17"/>
              </w:rPr>
              <w:t>25,235</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20,794</w:t>
            </w:r>
          </w:p>
        </w:tc>
        <w:tc>
          <w:tcPr>
            <w:tcW w:type="dxa" w:w="1440"/>
            <w:shd w:fill="C6EFCE" w:val="clear"/>
          </w:tcPr>
          <w:p>
            <w:r>
              <w:rPr>
                <w:b/>
                <w:sz w:val="17"/>
              </w:rPr>
              <w:t>23,298</w:t>
            </w:r>
          </w:p>
        </w:tc>
        <w:tc>
          <w:tcPr>
            <w:tcW w:type="dxa" w:w="1440"/>
            <w:shd w:fill="C6EFCE" w:val="clear"/>
          </w:tcPr>
          <w:p>
            <w:r>
              <w:rPr>
                <w:sz w:val="17"/>
              </w:rPr>
              <w:t>25,801</w:t>
            </w:r>
          </w:p>
        </w:tc>
        <w:tc>
          <w:tcPr>
            <w:tcW w:type="dxa" w:w="1440"/>
            <w:shd w:fill="C6EFCE" w:val="clear"/>
          </w:tcPr>
          <w:p>
            <w:r>
              <w:rPr>
                <w:b/>
                <w:color w:val="008000"/>
                <w:sz w:val="17"/>
              </w:rPr>
              <w:t>+4.2%</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20,691</w:t>
            </w:r>
          </w:p>
        </w:tc>
        <w:tc>
          <w:tcPr>
            <w:tcW w:type="dxa" w:w="1440"/>
            <w:shd w:fill="C6EFCE" w:val="clear"/>
          </w:tcPr>
          <w:p>
            <w:r>
              <w:rPr>
                <w:b/>
                <w:sz w:val="17"/>
              </w:rPr>
              <w:t>23,517</w:t>
            </w:r>
          </w:p>
        </w:tc>
        <w:tc>
          <w:tcPr>
            <w:tcW w:type="dxa" w:w="1440"/>
            <w:shd w:fill="C6EFCE" w:val="clear"/>
          </w:tcPr>
          <w:p>
            <w:r>
              <w:rPr>
                <w:sz w:val="17"/>
              </w:rPr>
              <w:t>26,343</w:t>
            </w:r>
          </w:p>
        </w:tc>
        <w:tc>
          <w:tcPr>
            <w:tcW w:type="dxa" w:w="1440"/>
            <w:shd w:fill="C6EFCE" w:val="clear"/>
          </w:tcPr>
          <w:p>
            <w:r>
              <w:rPr>
                <w:b/>
                <w:color w:val="008000"/>
                <w:sz w:val="17"/>
              </w:rPr>
              <w:t>+5.2%</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20,617</w:t>
            </w:r>
          </w:p>
        </w:tc>
        <w:tc>
          <w:tcPr>
            <w:tcW w:type="dxa" w:w="1440"/>
            <w:shd w:fill="C6EFCE" w:val="clear"/>
          </w:tcPr>
          <w:p>
            <w:r>
              <w:rPr>
                <w:b/>
                <w:sz w:val="17"/>
              </w:rPr>
              <w:t>23,743</w:t>
            </w:r>
          </w:p>
        </w:tc>
        <w:tc>
          <w:tcPr>
            <w:tcW w:type="dxa" w:w="1440"/>
            <w:shd w:fill="C6EFCE" w:val="clear"/>
          </w:tcPr>
          <w:p>
            <w:r>
              <w:rPr>
                <w:sz w:val="17"/>
              </w:rPr>
              <w:t>26,868</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20,566</w:t>
            </w:r>
          </w:p>
        </w:tc>
        <w:tc>
          <w:tcPr>
            <w:tcW w:type="dxa" w:w="1440"/>
            <w:shd w:fill="C6EFCE" w:val="clear"/>
          </w:tcPr>
          <w:p>
            <w:r>
              <w:rPr>
                <w:b/>
                <w:sz w:val="17"/>
              </w:rPr>
              <w:t>23,975</w:t>
            </w:r>
          </w:p>
        </w:tc>
        <w:tc>
          <w:tcPr>
            <w:tcW w:type="dxa" w:w="1440"/>
            <w:shd w:fill="C6EFCE" w:val="clear"/>
          </w:tcPr>
          <w:p>
            <w:r>
              <w:rPr>
                <w:sz w:val="17"/>
              </w:rPr>
              <w:t>27,383</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20,535</w:t>
            </w:r>
          </w:p>
        </w:tc>
        <w:tc>
          <w:tcPr>
            <w:tcW w:type="dxa" w:w="1440"/>
            <w:shd w:fill="C6EFCE" w:val="clear"/>
          </w:tcPr>
          <w:p>
            <w:r>
              <w:rPr>
                <w:b/>
                <w:sz w:val="17"/>
              </w:rPr>
              <w:t>24,216</w:t>
            </w:r>
          </w:p>
        </w:tc>
        <w:tc>
          <w:tcPr>
            <w:tcW w:type="dxa" w:w="1440"/>
            <w:shd w:fill="C6EFCE" w:val="clear"/>
          </w:tcPr>
          <w:p>
            <w:r>
              <w:rPr>
                <w:sz w:val="17"/>
              </w:rPr>
              <w:t>27,896</w:t>
            </w:r>
          </w:p>
        </w:tc>
        <w:tc>
          <w:tcPr>
            <w:tcW w:type="dxa" w:w="1440"/>
            <w:shd w:fill="C6EFCE" w:val="clear"/>
          </w:tcPr>
          <w:p>
            <w:r>
              <w:rPr>
                <w:b/>
                <w:color w:val="008000"/>
                <w:sz w:val="17"/>
              </w:rPr>
              <w:t>+8.3%</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20,521</w:t>
            </w:r>
          </w:p>
        </w:tc>
        <w:tc>
          <w:tcPr>
            <w:tcW w:type="dxa" w:w="1440"/>
            <w:shd w:fill="C6EFCE" w:val="clear"/>
          </w:tcPr>
          <w:p>
            <w:r>
              <w:rPr>
                <w:b/>
                <w:sz w:val="17"/>
              </w:rPr>
              <w:t>24,465</w:t>
            </w:r>
          </w:p>
        </w:tc>
        <w:tc>
          <w:tcPr>
            <w:tcW w:type="dxa" w:w="1440"/>
            <w:shd w:fill="C6EFCE" w:val="clear"/>
          </w:tcPr>
          <w:p>
            <w:r>
              <w:rPr>
                <w:sz w:val="17"/>
              </w:rPr>
              <w:t>28,409</w:t>
            </w:r>
          </w:p>
        </w:tc>
        <w:tc>
          <w:tcPr>
            <w:tcW w:type="dxa" w:w="1440"/>
            <w:shd w:fill="C6EFCE" w:val="clear"/>
          </w:tcPr>
          <w:p>
            <w:r>
              <w:rPr>
                <w:b/>
                <w:color w:val="008000"/>
                <w:sz w:val="17"/>
              </w:rPr>
              <w:t>+9.5%</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20,520</w:t>
            </w:r>
          </w:p>
        </w:tc>
        <w:tc>
          <w:tcPr>
            <w:tcW w:type="dxa" w:w="1440"/>
            <w:shd w:fill="C6EFCE" w:val="clear"/>
          </w:tcPr>
          <w:p>
            <w:r>
              <w:rPr>
                <w:b/>
                <w:sz w:val="17"/>
              </w:rPr>
              <w:t>24,721</w:t>
            </w:r>
          </w:p>
        </w:tc>
        <w:tc>
          <w:tcPr>
            <w:tcW w:type="dxa" w:w="1440"/>
            <w:shd w:fill="C6EFCE" w:val="clear"/>
          </w:tcPr>
          <w:p>
            <w:r>
              <w:rPr>
                <w:sz w:val="17"/>
              </w:rPr>
              <w:t>28,922</w:t>
            </w:r>
          </w:p>
        </w:tc>
        <w:tc>
          <w:tcPr>
            <w:tcW w:type="dxa" w:w="1440"/>
            <w:shd w:fill="C6EFCE" w:val="clear"/>
          </w:tcPr>
          <w:p>
            <w:r>
              <w:rPr>
                <w:b/>
                <w:color w:val="008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r>
    </w:p>
    <w:p>
      <w:pPr>
        <w:spacing w:after="120" w:line="276" w:lineRule="auto" w:before="240"/>
      </w:pPr>
      <w:r>
        <w:rPr>
          <w:b/>
          <w:color w:val="003366"/>
          <w:sz w:val="24"/>
        </w:rPr>
        <w:t>**PARTIE 0 : INDICATEURS DE VALORISATION BOURSIÈRE**</w:t>
      </w:r>
    </w:p>
    <w:p>
      <w:pPr>
        <w:spacing w:after="120" w:line="276" w:lineRule="auto"/>
      </w:pPr>
      <w:r>
        <w:t>La capitalisation boursière de 401,29 milliards FCFA positionne STBC parmi les valeurs à moyenne capitalisation du marché BRVM, un niveau significatif pour le secteur industriel. Le BPA de 2 014 FCFA indique que chaque action génère un bénéfice substantiel. Le PER de 11,1x se situe dans la fourchette moyenne du marché BRVM (8-12x), suggérant une valorisation raisonnable par rapport aux bénéfices générés. Cependant, le P/B de 8,85x révèle une prime significative par rapport à la valeur comptable, témoignant d'attentes élevées du marché. L'EV/EBITDA de 8,0x, dans la zone raisonnable (5-10x), indique que la valeur d'entreprise reste cohérente avec la capacité opérationnelle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modeste de +3,95%, avec une dernière séance en baisse de -1,50% à 22 350 FCFA. Le titre a évolué dans une fourchette de 19 705 à 25 000 FCFA, démontrant une amplitude de trading notable. La moyenne de 22 289 FCFA et la médiane de 22 048 FCFA sont très proches, indiquant une distribution relativement symétrique des prix. L'écart-type de 1 378 FCFA avec un coefficient de variation de 6,2% révèle une dispersion modérée. Le kurtosis de -0,976 (mésokurtique) suggère l'absence de risques extrêmes, tandis que le skewness de 0,284 confirme une symétrie acceptable. La volatilité annualisée de 36,3% classe le titre comme très volatil, nécessitant une gestion prudente du risque.</w:t>
      </w:r>
    </w:p>
    <w:p>
      <w:pPr>
        <w:spacing w:after="120" w:line="276" w:lineRule="auto" w:before="240"/>
      </w:pPr>
      <w:r>
        <w:rPr>
          <w:b/>
          <w:color w:val="003366"/>
          <w:sz w:val="24"/>
        </w:rPr>
        <w:t>**PARTIE 2 : ANALYSE TECHNIQUE DÉTAILLÉE**</w:t>
      </w:r>
    </w:p>
    <w:p>
      <w:pPr>
        <w:spacing w:after="120" w:line="276" w:lineRule="auto"/>
      </w:pPr>
      <w:r>
        <w:t>**Moyennes Mobiles**: Le cours actuel de 22 350 FCFA se situe sous les MM20 (23 304 FCFA) et MM50 (23 431 FCFA), indiquant une tendance baissière à court et moyen terme. La décision de vente est justifiée par cette configuration baissière.</w:t>
      </w:r>
    </w:p>
    <w:p>
      <w:pPr>
        <w:spacing w:after="120" w:line="276" w:lineRule="auto"/>
      </w:pPr>
      <w:r>
        <w:t>**Bandes de Bollinger**: Le prix se positionne dans la partie inférieure des bandes, entre la borne inférieure (21 412 FCFA) et la moyenne. Cette position suggère une pression vendeuse modérée, justifiant la décision neutre.</w:t>
      </w:r>
    </w:p>
    <w:p>
      <w:pPr>
        <w:spacing w:after="120" w:line="276" w:lineRule="auto"/>
      </w:pPr>
      <w:r>
        <w:t>**MACD**: La valeur de -304,8 sous le signal de -157,4 confirme un momentum baissier. La divergence négative indique une dynamique défavorable, justifiant la décision de vente.</w:t>
      </w:r>
    </w:p>
    <w:p>
      <w:pPr>
        <w:spacing w:after="120" w:line="276" w:lineRule="auto"/>
      </w:pPr>
      <w:r>
        <w:t>**RSI**: À 35,2, le RSI se situe en zone neutre mais proche de la survente (&lt;30). Cette valeur suggère un potentiel de rebond technique sans signal fort, justifiant la décision neutre.</w:t>
      </w:r>
    </w:p>
    <w:p>
      <w:pPr>
        <w:spacing w:after="120" w:line="276" w:lineRule="auto"/>
      </w:pPr>
      <w:r>
        <w:t>**Stochastique**: Le %K (30,2) et %D (23,1) évoluent en zone de survente sans croisement haussier confirmé. La décision neutre reflète l'absence de signal directionnel clair.</w:t>
      </w:r>
    </w:p>
    <w:p>
      <w:pPr>
        <w:spacing w:after="120" w:line="276" w:lineRule="auto"/>
      </w:pPr>
      <w:r>
        <w:t>**Conclusion technique**: Les indicateurs techniques sont majoritairement baissiers, avec une pression vendeuse dominante. Le MACD et les moyennes mobiles confirment la tendance baissière, tandis que le RSI et le stochastique suggèrent un potentiel de rebond technique. La prudence reste de mise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entreprise non bancaire avec un chiffre d'affaires de 268,537 milliards FCFA, en croissance de 25,3%, et un résultat net de 36,158 milliards FCFA. Le ROE exceptionnel de 79,75% et le ROA de 48,09% démontrent une excellente rentabilité. Le BFR négatif de 5,639 milliards FCFA est favorable, indiquant une gestion efficace du cycle d'exploitation. Les délais clients de 42,57 jours et la durée de stockage de 5,73 jours sont raisonnables. L'autonomie financière de 60,3% et la solvabilité de 251,9% confirment une structure financière saine. Selon le rapport annuel 2025 (analysé par DeepSeek le 26/06/2026), le résultat net a baissé de 17,5% malgré la croissance du CA, impacté par la hausse des droits d'accise. Le rapport T1 2026 (publié en 2026) montre un CA en hausse de 12% à 68,8 milliards FCFA, avec un résultat net stable à 9,3 milliards FCFA. Sur cette base, on estime que l'exercice 2026 pourrait maintenir une croissance modérée avec une stabilisation des marges.</w:t>
      </w:r>
    </w:p>
    <w:p>
      <w:pPr>
        <w:spacing w:after="120" w:line="276" w:lineRule="auto" w:before="240"/>
      </w:pPr>
      <w:r>
        <w:rPr>
          <w:b/>
          <w:color w:val="003366"/>
          <w:sz w:val="24"/>
        </w:rPr>
        <w:t>**PARTIE 4 : CONCLUSION D'INVESTISSEMENT**</w:t>
      </w:r>
    </w:p>
    <w:p>
      <w:pPr>
        <w:spacing w:after="120" w:line="276" w:lineRule="auto"/>
      </w:pPr>
      <w:r>
        <w:t>La valorisation de STBC présente un profil contrasté : le PER de 11,1x est raisonnable, mais le P/B de 8,85x indique une prime élevée. Le comportement du cours montre une tendance baissière récente avec une volatilité élevée (36,3%), bien que les statistiques descriptives suggèrent une distribution normale sans risque extrême. Les signaux techniques sont majoritairement baissiers, avec le MACD et les moyennes mobiles en position de vente. Les fondamentaux restent solides avec un ROE exceptionnel de 79,75% et une croissance du CA de 25,3% en 2025, malgré une dégradation des marges. Les prédictions IA pour les 10 prochains jours indiquent une trajectoire haussière progressive de 22 692 à 23 517 FCFA, contredisant les signaux techniques baissiers. Cette divergence entre les fondamentaux solides, la valorisation raisonnable et les perspectives de rebond technique suggère une recommandation **CONSERVER**. Le niveau de confiance est **moyen**, avec un risque global **élevé** en raison de la volatilité. L'horizon d'investissement optimal serait le **moyen terme (3-12 mois)**, permettant de bénéficier du potentiel de redressement tout en surveillant l'évolution des marges et de la réglementation fiscale.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214.07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7,425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007800"/>
                <w:sz w:val="17"/>
              </w:rPr>
              <w:t>+25.69%</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6.08% (Moyenne) — μ=2,903 FCFA, σ=176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β=-0.2506 (Contre-cyclique) — Cov=-0.000009, Var(idx)=0.000036, ρ=-0.059,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7,425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3,186</w:t>
            </w:r>
          </w:p>
        </w:tc>
        <w:tc>
          <w:tcPr>
            <w:tcW w:type="dxa" w:w="1440"/>
            <w:shd w:fill="FAFAFA" w:val="clear"/>
          </w:tcPr>
          <w:p>
            <w:r>
              <w:rPr>
                <w:b/>
                <w:sz w:val="17"/>
              </w:rPr>
              <w:t>3,370</w:t>
            </w:r>
          </w:p>
        </w:tc>
        <w:tc>
          <w:tcPr>
            <w:tcW w:type="dxa" w:w="1440"/>
            <w:shd w:fill="FAFAFA" w:val="clear"/>
          </w:tcPr>
          <w:p>
            <w:r>
              <w:rPr>
                <w:sz w:val="17"/>
              </w:rPr>
              <w:t>3,554</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3,097</w:t>
            </w:r>
          </w:p>
        </w:tc>
        <w:tc>
          <w:tcPr>
            <w:tcW w:type="dxa" w:w="1440"/>
            <w:shd w:fill="FAFAFA" w:val="clear"/>
          </w:tcPr>
          <w:p>
            <w:r>
              <w:rPr>
                <w:b/>
                <w:sz w:val="17"/>
              </w:rPr>
              <w:t>3,356</w:t>
            </w:r>
          </w:p>
        </w:tc>
        <w:tc>
          <w:tcPr>
            <w:tcW w:type="dxa" w:w="1440"/>
            <w:shd w:fill="FAFAFA" w:val="clear"/>
          </w:tcPr>
          <w:p>
            <w:r>
              <w:rPr>
                <w:sz w:val="17"/>
              </w:rPr>
              <w:t>3,615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3,027</w:t>
            </w:r>
          </w:p>
        </w:tc>
        <w:tc>
          <w:tcPr>
            <w:tcW w:type="dxa" w:w="1440"/>
            <w:shd w:fill="FAFAFA" w:val="clear"/>
          </w:tcPr>
          <w:p>
            <w:r>
              <w:rPr>
                <w:b/>
                <w:sz w:val="17"/>
              </w:rPr>
              <w:t>3,343</w:t>
            </w:r>
          </w:p>
        </w:tc>
        <w:tc>
          <w:tcPr>
            <w:tcW w:type="dxa" w:w="1440"/>
            <w:shd w:fill="FAFAFA" w:val="clear"/>
          </w:tcPr>
          <w:p>
            <w:r>
              <w:rPr>
                <w:sz w:val="17"/>
              </w:rPr>
              <w:t>3,660</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2,966</w:t>
            </w:r>
          </w:p>
        </w:tc>
        <w:tc>
          <w:tcPr>
            <w:tcW w:type="dxa" w:w="1440"/>
            <w:shd w:fill="FFDCE0" w:val="clear"/>
          </w:tcPr>
          <w:p>
            <w:r>
              <w:rPr>
                <w:b/>
                <w:sz w:val="17"/>
              </w:rPr>
              <w:t>3,330</w:t>
            </w:r>
          </w:p>
        </w:tc>
        <w:tc>
          <w:tcPr>
            <w:tcW w:type="dxa" w:w="1440"/>
            <w:shd w:fill="FFDCE0" w:val="clear"/>
          </w:tcPr>
          <w:p>
            <w:r>
              <w:rPr>
                <w:sz w:val="17"/>
              </w:rPr>
              <w:t>3,694</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2,912</w:t>
            </w:r>
          </w:p>
        </w:tc>
        <w:tc>
          <w:tcPr>
            <w:tcW w:type="dxa" w:w="1440"/>
            <w:shd w:fill="FFDCE0" w:val="clear"/>
          </w:tcPr>
          <w:p>
            <w:r>
              <w:rPr>
                <w:b/>
                <w:sz w:val="17"/>
              </w:rPr>
              <w:t>3,317</w:t>
            </w:r>
          </w:p>
        </w:tc>
        <w:tc>
          <w:tcPr>
            <w:tcW w:type="dxa" w:w="1440"/>
            <w:shd w:fill="FFDCE0" w:val="clear"/>
          </w:tcPr>
          <w:p>
            <w:r>
              <w:rPr>
                <w:sz w:val="17"/>
              </w:rPr>
              <w:t>3,723</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2,862</w:t>
            </w:r>
          </w:p>
        </w:tc>
        <w:tc>
          <w:tcPr>
            <w:tcW w:type="dxa" w:w="1440"/>
            <w:shd w:fill="FFDCE0" w:val="clear"/>
          </w:tcPr>
          <w:p>
            <w:r>
              <w:rPr>
                <w:b/>
                <w:sz w:val="17"/>
              </w:rPr>
              <w:t>3,305</w:t>
            </w:r>
          </w:p>
        </w:tc>
        <w:tc>
          <w:tcPr>
            <w:tcW w:type="dxa" w:w="1440"/>
            <w:shd w:fill="FFDCE0" w:val="clear"/>
          </w:tcPr>
          <w:p>
            <w:r>
              <w:rPr>
                <w:sz w:val="17"/>
              </w:rPr>
              <w:t>3,747</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2,816</w:t>
            </w:r>
          </w:p>
        </w:tc>
        <w:tc>
          <w:tcPr>
            <w:tcW w:type="dxa" w:w="1440"/>
            <w:shd w:fill="FFDCE0" w:val="clear"/>
          </w:tcPr>
          <w:p>
            <w:r>
              <w:rPr>
                <w:b/>
                <w:sz w:val="17"/>
              </w:rPr>
              <w:t>3,292</w:t>
            </w:r>
          </w:p>
        </w:tc>
        <w:tc>
          <w:tcPr>
            <w:tcW w:type="dxa" w:w="1440"/>
            <w:shd w:fill="FFDCE0" w:val="clear"/>
          </w:tcPr>
          <w:p>
            <w:r>
              <w:rPr>
                <w:sz w:val="17"/>
              </w:rPr>
              <w:t>3,768</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2,773</w:t>
            </w:r>
          </w:p>
        </w:tc>
        <w:tc>
          <w:tcPr>
            <w:tcW w:type="dxa" w:w="1440"/>
            <w:shd w:fill="FFDCE0" w:val="clear"/>
          </w:tcPr>
          <w:p>
            <w:r>
              <w:rPr>
                <w:b/>
                <w:sz w:val="17"/>
              </w:rPr>
              <w:t>3,280</w:t>
            </w:r>
          </w:p>
        </w:tc>
        <w:tc>
          <w:tcPr>
            <w:tcW w:type="dxa" w:w="1440"/>
            <w:shd w:fill="FFDCE0" w:val="clear"/>
          </w:tcPr>
          <w:p>
            <w:r>
              <w:rPr>
                <w:sz w:val="17"/>
              </w:rPr>
              <w:t>3,787</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2,732</w:t>
            </w:r>
          </w:p>
        </w:tc>
        <w:tc>
          <w:tcPr>
            <w:tcW w:type="dxa" w:w="1440"/>
            <w:shd w:fill="FFDCE0" w:val="clear"/>
          </w:tcPr>
          <w:p>
            <w:r>
              <w:rPr>
                <w:b/>
                <w:sz w:val="17"/>
              </w:rPr>
              <w:t>3,268</w:t>
            </w:r>
          </w:p>
        </w:tc>
        <w:tc>
          <w:tcPr>
            <w:tcW w:type="dxa" w:w="1440"/>
            <w:shd w:fill="FFDCE0" w:val="clear"/>
          </w:tcPr>
          <w:p>
            <w:r>
              <w:rPr>
                <w:sz w:val="17"/>
              </w:rPr>
              <w:t>3,804</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2,693</w:t>
            </w:r>
          </w:p>
        </w:tc>
        <w:tc>
          <w:tcPr>
            <w:tcW w:type="dxa" w:w="1440"/>
            <w:shd w:fill="FFDCE0" w:val="clear"/>
          </w:tcPr>
          <w:p>
            <w:r>
              <w:rPr>
                <w:b/>
                <w:sz w:val="17"/>
              </w:rPr>
              <w:t>3,256</w:t>
            </w:r>
          </w:p>
        </w:tc>
        <w:tc>
          <w:tcPr>
            <w:tcW w:type="dxa" w:w="1440"/>
            <w:shd w:fill="FFDCE0" w:val="clear"/>
          </w:tcPr>
          <w:p>
            <w:r>
              <w:rPr>
                <w:sz w:val="17"/>
              </w:rPr>
              <w:t>3,819</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214,07 milliards FCFA, ce qui en fait l'une des valeurs les plus significatives de la cote, reflétant la position dominante du groupe dans le secteur pétrolier ivoirien. Le BPA de 144 FCFA par action génère un PER de 23,6x, nettement supérieur à la moyenne historique de la BRVM (8-12x). Cette prime substantielle indique que le marché intègre des anticipations de croissance future ou une prime de qualité pour ce leader de marché, mais elle expose également le titre à un risque de correction si ces attentes ne se matérialisent pas. Le P/B de 5,91x, bien au-delà du seuil de 4x, confirme cette valorisation exigeante, le marché payant près de 6 fois la valeur comptable des actifs. Enfin, l'EV/EBITDA de 12,0x se situe dans la fourchette haute des valeurs comparables, signalant que la création de valeur opérationnelle est déjà largement intégrée dans le prix de l'action.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remarquable de +25,69%, passant d'un plus bas de 2 650 FCFA à un plus haut de 3 595 FCFA, avec une légère consolidation de -0,44% lors de la dernière séance. La moyenne de 2 903 FCFA, proche de la médiane (2 880 FCFA) et du mode (2 900 FCFA), indique une distribution relativement symétrique des cours, mais le skewness positif de 1,601 révèle que les journées sous la moyenne ont été plus fréquentes, suggérant des mouvements de hausse ponctuels et marqués. L'écart-type de 177 FCFA (CV=6,1%) témoigne d'une dispersion modérée, tandis que le kurtosis de 3,046 (leptokurtique) signale un risque de variations extrêmes, avec des queues de distribution épaisses. La volatilité annualisée de 40,5% classe le titre dans la catégorie des valeurs à forte volatilité (&gt;30%), ce qui implique un risque élevé mais aussi un potentiel de rendement significatif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3 400 FCFA se positionne nettement au-dessus de la MM20 (3 138 FCFA) et de la MM50 (2 998,9 FCFA), avec un écart de +8,3% et +13,4% respectivement. Cette configuration haussière, où les moyennes courtes sont au-dessus des moyennes longues, confirme une dynamique positive soutenue. La décision d'achat est justifiée par cette structure de tendance clairement ascendante.</w:t>
      </w:r>
    </w:p>
    <w:p>
      <w:pPr>
        <w:spacing w:after="120" w:line="276" w:lineRule="auto"/>
      </w:pPr>
      <w:r>
        <w:t>**Bandes de Bollinger** : Le prix se situe à 3 400 FCFA, proche de la borne supérieure (3 602,6 FCFA) mais dans la zone neutre, indiquant une pression acheteuse encore présente sans excès. L'écart entre les bornes (929 FCFA) reflète une volatilité élevée. La décision neutre s'explique par la position du cours dans la moitié supérieure des bandes, sans franchissement décisif de la borne supérieure.</w:t>
      </w:r>
    </w:p>
    <w:p>
      <w:pPr>
        <w:spacing w:after="120" w:line="276" w:lineRule="auto"/>
      </w:pPr>
      <w:r>
        <w:t>**MACD** : La valeur du MACD (138,2) reste nettement au-dessus de son signal (104,1), avec un écart positif de 34 points. Cette configuration confirme un momentum haussier solide, bien que l'écart se soit légèrement réduit récemment. La décision d'achat est maintenue tant que le MACD demeure au-dessus de sa ligne de signal.</w:t>
      </w:r>
    </w:p>
    <w:p>
      <w:pPr>
        <w:spacing w:after="120" w:line="276" w:lineRule="auto"/>
      </w:pPr>
      <w:r>
        <w:t>**RSI** : À 74,5, le RSI entre en zone de surachat (&gt;70), signalant que le titre est temporairement surévalué à court terme. Cette situation suggère un risque de consolidation ou de correction technique, justifiant la décision de vente. Les investisseurs pourraient considérer une prise de bénéfices partielle.</w:t>
      </w:r>
    </w:p>
    <w:p>
      <w:pPr>
        <w:spacing w:after="120" w:line="276" w:lineRule="auto"/>
      </w:pPr>
      <w:r>
        <w:t>**Stochastique** : Le %K (69,8) est passé sous le %D (82,3), formant un croisement baissier potentiel. Cette configuration indique un affaiblissement du momentum haussier, bien que les valeurs restent en zone neutre. La décision neutre reflète cette ambiguïté technique.</w:t>
      </w:r>
    </w:p>
    <w:p>
      <w:pPr>
        <w:spacing w:after="120" w:line="276" w:lineRule="auto"/>
      </w:pPr>
      <w:r>
        <w:t>**Conclusion technique** : La tendance de fond reste résolument haussière, confirmée par les moyennes mobiles et le MACD. Cependant, les signaux de surachat (RSI) et le croisement baissier du stochastique suggèrent un essoufflement à court terme. Une phase de consolidation semble probable avant la poursuite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TotalEnergies Marketing Côte d'Ivoire a réalisé un chiffre d'affaires de 588,7 milliards FCFA, en repli de 5,2% par rapport à 2024 (621,0 milliards FCFA), mais avec une amélioration notable de la rentabilité opérationnelle : le résultat d'exploitation a progressé de 18% à 12,3 milliards FCFA et l'EBE de 12% à 22,3 milliards FCFA. Le résultat net s'établit à 9,09 milliards FCFA (-3%), avec un ROE de 25,1% (excellent, &gt;15%) et un ROA de 4,8%. La marge nette reste faible à 1,54%, typique du secteur de distribution. Le BFR négatif de -9,66 milliards FCFA constitue un avantage structurel, financé par les délais fournisseurs (49,7 jours) et une rotation rapide des stocks (13,8 jours). Cependant, la trésorerie nette est négative (-21,9 milliards FCFA) et le ratio d'endettement atteint 90,2%, signalant une dépendance aux financements court terme. Le rapport T1 2026 (daté de 2026) montre une reprise : CA de 154,4 milliards FCFA (+4,3%) et résultat net de 2,33 milliards FCFA (+5,5%), laissant présager une amélioration pour l'exercice 2026. La politique de dividende reste généreuse avec 10 milliards FCFA proposés, soit un taux de distribution supérieur à 100%, financé partiellement par les réserves.</w:t>
      </w:r>
    </w:p>
    <w:p>
      <w:pPr>
        <w:spacing w:after="120" w:line="276" w:lineRule="auto"/>
      </w:pPr>
      <w:r>
        <w:t>---</w:t>
      </w:r>
    </w:p>
    <w:p>
      <w:pPr>
        <w:spacing w:after="120" w:line="276" w:lineRule="auto"/>
      </w:pPr>
      <w:r>
        <w:t>### PARTIE 4 : CONCLUSION D'INVESTISSEMENT</w:t>
      </w:r>
    </w:p>
    <w:p>
      <w:pPr>
        <w:spacing w:after="120" w:line="276" w:lineRule="auto"/>
      </w:pPr>
      <w:r>
        <w:t>La valorisation de TTLC apparaît exigeante avec un PER de 23,6x et un P/B de 5,91x, nettement supérieurs aux moyennes du marché BRVM, ce qui reflète la prime de qualité accordée à ce leader mais limite le potentiel de hausse. Le comportement du cours sur 100 jours (+25,69%) montre une dynamique positive soutenue, mais la volatilité élevée (40,5%) et le kurtosis leptokurtique signalent un risque de mouvements brusques. Les signaux techniques sont partagés : tendance haussière confirmée par les MM et le MACD, mais RSI en surachat et stochastique en croisement baissier suggèrent une consolidation à court terme. Les fondamentaux restent solides avec un ROE de 25,1%, une amélioration opérationnelle et une reprise au T1 2026, mais la trésorerie négative et le payout &gt;100% constituent des points de vigilance. Les prédictions IA (3 370 FCFA à J+1, 3 317 FCFA à J+10) indiquent une légère correction de -2,4%, cohérente avec les signaux de surachat technique. **Recommandation : CONSERVER** — la convergence entre la valorisation élevée, les signaux techniques mitigés et les fondamentaux solides mais en amélioration lente justifie une position prudente. **Niveau de confiance : Moyen** — **Risque global : Élevé** (volatilité, valorisation, trésorerie). **Horizon optimal : Moyen terme (3-12 mois)** pour capitaliser sur la reprise opérationnelle tout en gérant le risque de correction technique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2,632 titres</w:t>
            </w:r>
          </w:p>
        </w:tc>
        <w:tc>
          <w:tcPr>
            <w:tcW w:type="dxa" w:w="2268"/>
            <w:shd w:fill="FFF2CC" w:val="clear"/>
          </w:tcPr>
          <w:p>
            <w:r>
              <w:rPr>
                <w:b/>
                <w:color w:val="503200"/>
                <w:sz w:val="16"/>
              </w:rPr>
              <w:t xml:space="preserve">Cours actuel : </w:t>
            </w:r>
            <w:r>
              <w:rPr>
                <w:color w:val="000000"/>
                <w:sz w:val="17"/>
              </w:rPr>
              <w:t>3,795 FCFA</w:t>
            </w:r>
          </w:p>
          <w:p>
            <w:r>
              <w:rPr>
                <w:b/>
                <w:color w:val="503200"/>
                <w:sz w:val="16"/>
              </w:rPr>
              <w:t xml:space="preserve">Var. 100 jours : </w:t>
            </w:r>
            <w:r>
              <w:rPr>
                <w:b/>
                <w:color w:val="007800"/>
                <w:sz w:val="17"/>
              </w:rPr>
              <w:t>+13.28%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10.51% (Moyenne) — μ=3,508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β=0.7553 (Défensif) — Cov=0.000027, Var(idx)=0.000036, ρ=0.150,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3,478</w:t>
            </w:r>
          </w:p>
        </w:tc>
        <w:tc>
          <w:tcPr>
            <w:tcW w:type="dxa" w:w="1440"/>
            <w:shd w:fill="FFDCE0" w:val="clear"/>
          </w:tcPr>
          <w:p>
            <w:r>
              <w:rPr>
                <w:b/>
                <w:sz w:val="17"/>
              </w:rPr>
              <w:t>3,638</w:t>
            </w:r>
          </w:p>
        </w:tc>
        <w:tc>
          <w:tcPr>
            <w:tcW w:type="dxa" w:w="1440"/>
            <w:shd w:fill="FFDCE0" w:val="clear"/>
          </w:tcPr>
          <w:p>
            <w:r>
              <w:rPr>
                <w:sz w:val="17"/>
              </w:rPr>
              <w:t>3,798</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3,354</w:t>
            </w:r>
          </w:p>
        </w:tc>
        <w:tc>
          <w:tcPr>
            <w:tcW w:type="dxa" w:w="1440"/>
            <w:shd w:fill="FFDCE0" w:val="clear"/>
          </w:tcPr>
          <w:p>
            <w:r>
              <w:rPr>
                <w:b/>
                <w:sz w:val="17"/>
              </w:rPr>
              <w:t>3,577</w:t>
            </w:r>
          </w:p>
        </w:tc>
        <w:tc>
          <w:tcPr>
            <w:tcW w:type="dxa" w:w="1440"/>
            <w:shd w:fill="FFDCE0" w:val="clear"/>
          </w:tcPr>
          <w:p>
            <w:r>
              <w:rPr>
                <w:sz w:val="17"/>
              </w:rPr>
              <w:t>3,799</w:t>
            </w:r>
          </w:p>
        </w:tc>
        <w:tc>
          <w:tcPr>
            <w:tcW w:type="dxa" w:w="1440"/>
            <w:shd w:fill="FFDCE0" w:val="clear"/>
          </w:tcPr>
          <w:p>
            <w:r>
              <w:rPr>
                <w:b/>
                <w:color w:val="C00000"/>
                <w:sz w:val="17"/>
              </w:rPr>
              <w:t>-5.8%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3,254</w:t>
            </w:r>
          </w:p>
        </w:tc>
        <w:tc>
          <w:tcPr>
            <w:tcW w:type="dxa" w:w="1440"/>
            <w:shd w:fill="FFDCE0" w:val="clear"/>
          </w:tcPr>
          <w:p>
            <w:r>
              <w:rPr>
                <w:b/>
                <w:sz w:val="17"/>
              </w:rPr>
              <w:t>3,522</w:t>
            </w:r>
          </w:p>
        </w:tc>
        <w:tc>
          <w:tcPr>
            <w:tcW w:type="dxa" w:w="1440"/>
            <w:shd w:fill="FFDCE0" w:val="clear"/>
          </w:tcPr>
          <w:p>
            <w:r>
              <w:rPr>
                <w:sz w:val="17"/>
              </w:rPr>
              <w:t>3,790</w:t>
            </w:r>
          </w:p>
        </w:tc>
        <w:tc>
          <w:tcPr>
            <w:tcW w:type="dxa" w:w="1440"/>
            <w:shd w:fill="FFDCE0" w:val="clear"/>
          </w:tcPr>
          <w:p>
            <w:r>
              <w:rPr>
                <w:b/>
                <w:color w:val="C00000"/>
                <w:sz w:val="17"/>
              </w:rPr>
              <w:t>-7.2%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3,169</w:t>
            </w:r>
          </w:p>
        </w:tc>
        <w:tc>
          <w:tcPr>
            <w:tcW w:type="dxa" w:w="1440"/>
            <w:shd w:fill="FFDCE0" w:val="clear"/>
          </w:tcPr>
          <w:p>
            <w:r>
              <w:rPr>
                <w:b/>
                <w:sz w:val="17"/>
              </w:rPr>
              <w:t>3,475</w:t>
            </w:r>
          </w:p>
        </w:tc>
        <w:tc>
          <w:tcPr>
            <w:tcW w:type="dxa" w:w="1440"/>
            <w:shd w:fill="FFDCE0" w:val="clear"/>
          </w:tcPr>
          <w:p>
            <w:r>
              <w:rPr>
                <w:sz w:val="17"/>
              </w:rPr>
              <w:t>3,780</w:t>
            </w:r>
          </w:p>
        </w:tc>
        <w:tc>
          <w:tcPr>
            <w:tcW w:type="dxa" w:w="1440"/>
            <w:shd w:fill="FFDCE0" w:val="clear"/>
          </w:tcPr>
          <w:p>
            <w:r>
              <w:rPr>
                <w:b/>
                <w:color w:val="C00000"/>
                <w:sz w:val="17"/>
              </w:rPr>
              <w:t>-8.4%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3,095</w:t>
            </w:r>
          </w:p>
        </w:tc>
        <w:tc>
          <w:tcPr>
            <w:tcW w:type="dxa" w:w="1440"/>
            <w:shd w:fill="FFDCE0" w:val="clear"/>
          </w:tcPr>
          <w:p>
            <w:r>
              <w:rPr>
                <w:b/>
                <w:sz w:val="17"/>
              </w:rPr>
              <w:t>3,432</w:t>
            </w:r>
          </w:p>
        </w:tc>
        <w:tc>
          <w:tcPr>
            <w:tcW w:type="dxa" w:w="1440"/>
            <w:shd w:fill="FFDCE0" w:val="clear"/>
          </w:tcPr>
          <w:p>
            <w:r>
              <w:rPr>
                <w:sz w:val="17"/>
              </w:rPr>
              <w:t>3,770</w:t>
            </w:r>
          </w:p>
        </w:tc>
        <w:tc>
          <w:tcPr>
            <w:tcW w:type="dxa" w:w="1440"/>
            <w:shd w:fill="FFDCE0" w:val="clear"/>
          </w:tcPr>
          <w:p>
            <w:r>
              <w:rPr>
                <w:b/>
                <w:color w:val="C00000"/>
                <w:sz w:val="17"/>
              </w:rPr>
              <w:t>-9.6%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3,028</w:t>
            </w:r>
          </w:p>
        </w:tc>
        <w:tc>
          <w:tcPr>
            <w:tcW w:type="dxa" w:w="1440"/>
            <w:shd w:fill="FFDCE0" w:val="clear"/>
          </w:tcPr>
          <w:p>
            <w:r>
              <w:rPr>
                <w:b/>
                <w:sz w:val="17"/>
              </w:rPr>
              <w:t>3,393</w:t>
            </w:r>
          </w:p>
        </w:tc>
        <w:tc>
          <w:tcPr>
            <w:tcW w:type="dxa" w:w="1440"/>
            <w:shd w:fill="FFDCE0" w:val="clear"/>
          </w:tcPr>
          <w:p>
            <w:r>
              <w:rPr>
                <w:sz w:val="17"/>
              </w:rPr>
              <w:t>3,759</w:t>
            </w:r>
          </w:p>
        </w:tc>
        <w:tc>
          <w:tcPr>
            <w:tcW w:type="dxa" w:w="1440"/>
            <w:shd w:fill="FFDCE0" w:val="clear"/>
          </w:tcPr>
          <w:p>
            <w:r>
              <w:rPr>
                <w:b/>
                <w:color w:val="C00000"/>
                <w:sz w:val="17"/>
              </w:rPr>
              <w:t>-10.6%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2,966</w:t>
            </w:r>
          </w:p>
        </w:tc>
        <w:tc>
          <w:tcPr>
            <w:tcW w:type="dxa" w:w="1440"/>
            <w:shd w:fill="FFDCE0" w:val="clear"/>
          </w:tcPr>
          <w:p>
            <w:r>
              <w:rPr>
                <w:b/>
                <w:sz w:val="17"/>
              </w:rPr>
              <w:t>3,357</w:t>
            </w:r>
          </w:p>
        </w:tc>
        <w:tc>
          <w:tcPr>
            <w:tcW w:type="dxa" w:w="1440"/>
            <w:shd w:fill="FFDCE0" w:val="clear"/>
          </w:tcPr>
          <w:p>
            <w:r>
              <w:rPr>
                <w:sz w:val="17"/>
              </w:rPr>
              <w:t>3,747</w:t>
            </w:r>
          </w:p>
        </w:tc>
        <w:tc>
          <w:tcPr>
            <w:tcW w:type="dxa" w:w="1440"/>
            <w:shd w:fill="FFDCE0" w:val="clear"/>
          </w:tcPr>
          <w:p>
            <w:r>
              <w:rPr>
                <w:b/>
                <w:color w:val="C00000"/>
                <w:sz w:val="17"/>
              </w:rPr>
              <w:t>-11.6%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2,909</w:t>
            </w:r>
          </w:p>
        </w:tc>
        <w:tc>
          <w:tcPr>
            <w:tcW w:type="dxa" w:w="1440"/>
            <w:shd w:fill="FFDCE0" w:val="clear"/>
          </w:tcPr>
          <w:p>
            <w:r>
              <w:rPr>
                <w:b/>
                <w:sz w:val="17"/>
              </w:rPr>
              <w:t>3,322</w:t>
            </w:r>
          </w:p>
        </w:tc>
        <w:tc>
          <w:tcPr>
            <w:tcW w:type="dxa" w:w="1440"/>
            <w:shd w:fill="FFDCE0" w:val="clear"/>
          </w:tcPr>
          <w:p>
            <w:r>
              <w:rPr>
                <w:sz w:val="17"/>
              </w:rPr>
              <w:t>3,735</w:t>
            </w:r>
          </w:p>
        </w:tc>
        <w:tc>
          <w:tcPr>
            <w:tcW w:type="dxa" w:w="1440"/>
            <w:shd w:fill="FFDCE0" w:val="clear"/>
          </w:tcPr>
          <w:p>
            <w:r>
              <w:rPr>
                <w:b/>
                <w:color w:val="C00000"/>
                <w:sz w:val="17"/>
              </w:rPr>
              <w:t>-12.5%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2,856</w:t>
            </w:r>
          </w:p>
        </w:tc>
        <w:tc>
          <w:tcPr>
            <w:tcW w:type="dxa" w:w="1440"/>
            <w:shd w:fill="FFDCE0" w:val="clear"/>
          </w:tcPr>
          <w:p>
            <w:r>
              <w:rPr>
                <w:b/>
                <w:sz w:val="17"/>
              </w:rPr>
              <w:t>3,290</w:t>
            </w:r>
          </w:p>
        </w:tc>
        <w:tc>
          <w:tcPr>
            <w:tcW w:type="dxa" w:w="1440"/>
            <w:shd w:fill="FFDCE0" w:val="clear"/>
          </w:tcPr>
          <w:p>
            <w:r>
              <w:rPr>
                <w:sz w:val="17"/>
              </w:rPr>
              <w:t>3,723</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2,806</w:t>
            </w:r>
          </w:p>
        </w:tc>
        <w:tc>
          <w:tcPr>
            <w:tcW w:type="dxa" w:w="1440"/>
            <w:shd w:fill="FFDCE0" w:val="clear"/>
          </w:tcPr>
          <w:p>
            <w:r>
              <w:rPr>
                <w:b/>
                <w:sz w:val="17"/>
              </w:rPr>
              <w:t>3,259</w:t>
            </w:r>
          </w:p>
        </w:tc>
        <w:tc>
          <w:tcPr>
            <w:tcW w:type="dxa" w:w="1440"/>
            <w:shd w:fill="FFDCE0" w:val="clear"/>
          </w:tcPr>
          <w:p>
            <w:r>
              <w:rPr>
                <w:sz w:val="17"/>
              </w:rPr>
              <w:t>3,712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123,63 milliards FCFA, ce qui positionne la société parmi les valeurs moyennes à grandes capitalisations de la BRVM, reflétant son statut de leader sur le marché sénégalais des produits pétroliers. Avec un BPA de 208 FCFA, chaque action génère un bénéfice modeste, typique du secteur de la distribution de commodités. Le PER de 18,2x se situe nettement au-dessus de la moyenne historique de la BRVM (8-12x), indiquant que les investisseurs paient une prime substantielle pour détenir ce titre, probablement en raison de sa position défensive et de son actionnariat solide (TotalEnergies à 69,1%). Le P/B de 4,38x confirme cette valorisation exigeante, le marché valorisant fortement les actifs nets de l'entreprise. Enfin, l'EV/EBITDA de 7,7x, dans la fourchette raisonnable de 5-10x, tempère légèrement cette lecture en montrant que la valeur d'entreprise reste cohérente avec la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remarquable de +13,28%, avec une accélération notable lors de la dernière séance (+2,99%), portant le cours à 3 795 FCFA. Le titre a évolué dans une fourchette large de 2 845 à 4 500 FCFA, démontrant une amplitude de trading significative de plus de 58%. La moyenne du cours sur la période (3 508 FCFA) est inférieure à la médiane (3 468 FCFA), et le skewness positif de 0,522 indique une asymétrie avec davantage de journées sous la moyenne, mais des épisodes de hausse marqués qui tirent la moyenne vers le haut. L'écart-type de 370 FCFA (CV=10,6%) révèle une dispersion modérée autour de la moyenne, tandis que le kurtosis de -0,159 (mésokurtique) suggère une distribution proche de la normale, sans risque de pics extrêmes. La volatilité annualisée de 47,9% classe le titre dans la catégorie des valeurs à forte volatilité, ce qui implique un risque élevé mais aussi un potentiel de rendement significatif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La MM20 à 3 688,5 FCFA et la MM50 à 3 796,9 FCFA encadrent le cours actuel de 3 795 FCFA. Le prix se situe au-dessus de la MM20 (signal haussier à court terme) mais légèrement sous la MM50 (signal baissier à moyen terme). Cette configuration en "croisement potentiel" suggère une phase de consolidation, justifiant la décision de Vente émise par cet indicateur, car la tendance moyenne n'est pas clairement établie.</w:t>
      </w:r>
    </w:p>
    <w:p>
      <w:pPr>
        <w:spacing w:after="120" w:line="276" w:lineRule="auto"/>
      </w:pPr>
      <w:r>
        <w:t>**Bandes de Bollinger** : Le cours à 3 795 FCFA se positionne dans la partie supérieure des bandes, entre la borne inférieure à 3 435,5 FCFA et la borne supérieure à 3 941,5 FCFA. Cette position indique une pression acheteuse modérée sans atteindre la zone de surachat. La largeur des bandes reflète la volatilité élevée du titre. La décision Neutre est cohérente avec une absence de signal directionnel fort.</w:t>
      </w:r>
    </w:p>
    <w:p>
      <w:pPr>
        <w:spacing w:after="120" w:line="276" w:lineRule="auto"/>
      </w:pPr>
      <w:r>
        <w:t>**MACD** : La valeur du MACD à 13,913 est nettement supérieure au signal à -3,039, créant une divergence positive significative. Cette configuration indique un momentum haussier en développement, avec une accélération de la dynamique des prix. La décision Achat est justifiée par ce croisement haussier qui précède généralement une poursuite de la tendance.</w:t>
      </w:r>
    </w:p>
    <w:p>
      <w:pPr>
        <w:spacing w:after="120" w:line="276" w:lineRule="auto"/>
      </w:pPr>
      <w:r>
        <w:t>**RSI** : À 63,594, le RSI se situe dans la zone neutre-haute, sans atteindre le seuil de surachat de 70. Cette valeur indique une pression acheteuse soutenue mais non excessive, laissant une marge de progression avant une éventuelle correction. La décision Neutre est appropriée, le RSI n'étant ni survendu ni suracheté.</w:t>
      </w:r>
    </w:p>
    <w:p>
      <w:pPr>
        <w:spacing w:after="120" w:line="276" w:lineRule="auto"/>
      </w:pPr>
      <w:r>
        <w:t>**Stochastique** : Le %K à 55,263 et le %D à 53,188 sont proches et évoluent dans la zone neutre. Le léger écart positif du %K par rapport au %D suggère un début de momentum haussier, mais sans croisement significatif. La décision Neutre reflète l'absence de signal clair de ce momentum oscillateur.</w:t>
      </w:r>
    </w:p>
    <w:p>
      <w:pPr>
        <w:spacing w:after="120" w:line="276" w:lineRule="auto"/>
      </w:pPr>
      <w:r>
        <w:t>**Conclusion technique** : La convergence des indicateurs est mitigée, avec un MACD clairement haussier contrastant avec des moyennes mobiles baissières et des oscillateurs neutres. Cette configuration suggère une phase de transition où le momentum positif récent pourrait l'emporter sur la tendance moyenne, mais avec une prudence nécessaire. Le titre semble en phase d'accumulation avec un potentiel haussier à court terme.</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(484,945 milliards), conformément à la stratégie d'abandon du fuel lourd. Le résultat net s'établit à 6,779 milliards FCFA, en recul de 5,1% par rapport aux 7,140 milliards de 2024. La rentabilité des fonds propres (ROE) atteint un excellent niveau de 24,01%, tandis que le ROA s'établit à 3,95%, reflétant une gestion efficace des actifs. La marge nette reste faible à 1,49%, typique du secteur de distribution pétrolière. Le BFR négatif de -36,899 milliards FCFA constitue un avantage compétitif majeur, TTLS finançant son exploitation grâce aux délais fournisseurs (97,76 jours) nettement supérieurs aux délais clients (47,43 jours). La trésorerie s'est considérablement améliorée, passant de 8,4 milliards en 2024 à 20,567 milliards en 2025, avec une capacité d'autofinancement de 15,698 milliards FCFA. Sur la base du rapport T1 2026 (CA de 99,9 milliards, -10% mais résultat net en hausse de +5% à 1,585 milliard), on estime que l'exercice 2026 pourrait maintenir un résultat net stable autour de 6,5-7 milliards FCFA, grâce à l'amélioration des marges sur les lubrifiants et la diversification vers le GPL et l'export. Les perspectives liées à la mise en production du champ Sangomar et du GNL (GTA) offrent des relais de croissance significatifs pour les prochaines années.</w:t>
      </w:r>
    </w:p>
    <w:p>
      <w:pPr>
        <w:spacing w:after="120" w:line="276" w:lineRule="auto" w:before="240"/>
      </w:pPr>
      <w:r>
        <w:rPr>
          <w:b/>
          <w:color w:val="003366"/>
          <w:sz w:val="24"/>
        </w:rPr>
        <w:t>**PARTIE 4 : CONCLUSION D'INVESTISSEMENT**</w:t>
      </w:r>
    </w:p>
    <w:p>
      <w:pPr>
        <w:spacing w:after="120" w:line="276" w:lineRule="auto"/>
      </w:pPr>
      <w:r>
        <w:t>La synthèse globale révèle une configuration contrastée pour TTLS. La valorisation (PER de 18,2x, P/B de 4,38x) apparaît exigeante par rapport aux standards BRVM, mais l'EV/EBITDA de 7,7x tempère cette lecture. Le comportement du cours sur 100 jours (+13,28%) avec une volatilité élevée (47,9%) et une asymétrie positive indique une dynamique haussière soutenue. Les signaux techniques sont partagés, avec un MACD haussier mais des moyennes mobiles baissières, suggérant une phase de transition. Les fondamentaux restent solides avec un ROE excellent (24%), une trésorerie abondante (20,6 milliards) et un BFR négatif favorable, malgré une baisse du CA et du résultat net liée à des choix stratégiques assumés. Les prédictions IA sur 10 jours (3 638 à 3 432 FCFA) indiquent une correction attendue de 5 à 10%, contredisant le momentum technique actuel et suggérant un point d'entrée potentiel plus favorable. La convergence entre la valorisation élevée, les signaux techniques mitigés, les fondamentaux solides mais en décélération, et la prédiction de correction, conduit à une recommandation de **CONSERVER** avec un niveau de confiance **Moyen**. Le risque global est **Élevé** en raison de la volatilité du titre et de la dépendance réglementaire. L'horizon d'investissement optimal serait le **moyen terme (3-12 mois)**, permettant d'absorber la correction attendue et de bénéficier des perspectives de croissance liées aux projets énergétiques sénégalais.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-8.56%</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μ=56,684 FCFA, σ=3,551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β=0.3811 (Défensif) — Cov=0.000014, Var(idx)=0.000037, ρ=0.059,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σ_j=3.96%/j (Modérée) — Vol. annualisée≈62.8%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2026-08-31</w:t>
            </w:r>
          </w:p>
        </w:tc>
        <w:tc>
          <w:tcPr>
            <w:tcW w:type="dxa" w:w="1440"/>
            <w:shd w:fill="C6EFCE" w:val="clear"/>
          </w:tcPr>
          <w:p>
            <w:r>
              <w:rPr>
                <w:sz w:val="17"/>
              </w:rPr>
              <w:t>50,849</w:t>
            </w:r>
          </w:p>
        </w:tc>
        <w:tc>
          <w:tcPr>
            <w:tcW w:type="dxa" w:w="1440"/>
            <w:shd w:fill="C6EFCE" w:val="clear"/>
          </w:tcPr>
          <w:p>
            <w:r>
              <w:rPr>
                <w:b/>
                <w:sz w:val="17"/>
              </w:rPr>
              <w:t>54,054</w:t>
            </w:r>
          </w:p>
        </w:tc>
        <w:tc>
          <w:tcPr>
            <w:tcW w:type="dxa" w:w="1440"/>
            <w:shd w:fill="C6EFCE" w:val="clear"/>
          </w:tcPr>
          <w:p>
            <w:r>
              <w:rPr>
                <w:sz w:val="17"/>
              </w:rPr>
              <w:t>57,258</w:t>
            </w:r>
          </w:p>
        </w:tc>
        <w:tc>
          <w:tcPr>
            <w:tcW w:type="dxa" w:w="1440"/>
            <w:shd w:fill="C6EFCE" w:val="clear"/>
          </w:tcPr>
          <w:p>
            <w:r>
              <w:rPr>
                <w:b/>
                <w:color w:val="008000"/>
                <w:sz w:val="17"/>
              </w:rPr>
              <w:t>+3.6%</w:t>
            </w:r>
          </w:p>
        </w:tc>
      </w:tr>
      <w:tr>
        <w:tc>
          <w:tcPr>
            <w:tcW w:type="dxa" w:w="1440"/>
            <w:shd w:fill="C6EFCE" w:val="clear"/>
          </w:tcPr>
          <w:p>
            <w:r>
              <w:rPr>
                <w:sz w:val="17"/>
              </w:rPr>
              <w:t>J+2  ⭐</w:t>
            </w:r>
          </w:p>
        </w:tc>
        <w:tc>
          <w:tcPr>
            <w:tcW w:type="dxa" w:w="1440"/>
            <w:shd w:fill="C6EFCE" w:val="clear"/>
          </w:tcPr>
          <w:p>
            <w:r>
              <w:rPr>
                <w:sz w:val="17"/>
              </w:rPr>
              <w:t>2026-09-01</w:t>
            </w:r>
          </w:p>
        </w:tc>
        <w:tc>
          <w:tcPr>
            <w:tcW w:type="dxa" w:w="1440"/>
            <w:shd w:fill="C6EFCE" w:val="clear"/>
          </w:tcPr>
          <w:p>
            <w:r>
              <w:rPr>
                <w:sz w:val="17"/>
              </w:rPr>
              <w:t>49,825</w:t>
            </w:r>
          </w:p>
        </w:tc>
        <w:tc>
          <w:tcPr>
            <w:tcW w:type="dxa" w:w="1440"/>
            <w:shd w:fill="C6EFCE" w:val="clear"/>
          </w:tcPr>
          <w:p>
            <w:r>
              <w:rPr>
                <w:b/>
                <w:sz w:val="17"/>
              </w:rPr>
              <w:t>54,384</w:t>
            </w:r>
          </w:p>
        </w:tc>
        <w:tc>
          <w:tcPr>
            <w:tcW w:type="dxa" w:w="1440"/>
            <w:shd w:fill="C6EFCE" w:val="clear"/>
          </w:tcPr>
          <w:p>
            <w:r>
              <w:rPr>
                <w:sz w:val="17"/>
              </w:rPr>
              <w:t>58,943</w:t>
            </w:r>
          </w:p>
        </w:tc>
        <w:tc>
          <w:tcPr>
            <w:tcW w:type="dxa" w:w="1440"/>
            <w:shd w:fill="C6EFCE" w:val="clear"/>
          </w:tcPr>
          <w:p>
            <w:r>
              <w:rPr>
                <w:b/>
                <w:color w:val="008000"/>
                <w:sz w:val="17"/>
              </w:rPr>
              <w:t>+4.2%</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49,276</w:t>
            </w:r>
          </w:p>
        </w:tc>
        <w:tc>
          <w:tcPr>
            <w:tcW w:type="dxa" w:w="1440"/>
            <w:shd w:fill="C6EFCE" w:val="clear"/>
          </w:tcPr>
          <w:p>
            <w:r>
              <w:rPr>
                <w:b/>
                <w:sz w:val="17"/>
              </w:rPr>
              <w:t>54,914</w:t>
            </w:r>
          </w:p>
        </w:tc>
        <w:tc>
          <w:tcPr>
            <w:tcW w:type="dxa" w:w="1440"/>
            <w:shd w:fill="C6EFCE" w:val="clear"/>
          </w:tcPr>
          <w:p>
            <w:r>
              <w:rPr>
                <w:sz w:val="17"/>
              </w:rPr>
              <w:t>60,552</w:t>
            </w:r>
          </w:p>
        </w:tc>
        <w:tc>
          <w:tcPr>
            <w:tcW w:type="dxa" w:w="1440"/>
            <w:shd w:fill="C6EFCE" w:val="clear"/>
          </w:tcPr>
          <w:p>
            <w:r>
              <w:rPr>
                <w:b/>
                <w:color w:val="008000"/>
                <w:sz w:val="17"/>
              </w:rPr>
              <w:t>+5.2%</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48,923</w:t>
            </w:r>
          </w:p>
        </w:tc>
        <w:tc>
          <w:tcPr>
            <w:tcW w:type="dxa" w:w="1440"/>
            <w:shd w:fill="C6EFCE" w:val="clear"/>
          </w:tcPr>
          <w:p>
            <w:r>
              <w:rPr>
                <w:b/>
                <w:sz w:val="17"/>
              </w:rPr>
              <w:t>55,503</w:t>
            </w:r>
          </w:p>
        </w:tc>
        <w:tc>
          <w:tcPr>
            <w:tcW w:type="dxa" w:w="1440"/>
            <w:shd w:fill="C6EFCE" w:val="clear"/>
          </w:tcPr>
          <w:p>
            <w:r>
              <w:rPr>
                <w:sz w:val="17"/>
              </w:rPr>
              <w:t>62,083</w:t>
            </w:r>
          </w:p>
        </w:tc>
        <w:tc>
          <w:tcPr>
            <w:tcW w:type="dxa" w:w="1440"/>
            <w:shd w:fill="C6EFCE" w:val="clear"/>
          </w:tcPr>
          <w:p>
            <w:r>
              <w:rPr>
                <w:b/>
                <w:color w:val="008000"/>
                <w:sz w:val="17"/>
              </w:rPr>
              <w:t>+6.3%</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48,679</w:t>
            </w:r>
          </w:p>
        </w:tc>
        <w:tc>
          <w:tcPr>
            <w:tcW w:type="dxa" w:w="1440"/>
            <w:shd w:fill="C6EFCE" w:val="clear"/>
          </w:tcPr>
          <w:p>
            <w:r>
              <w:rPr>
                <w:b/>
                <w:sz w:val="17"/>
              </w:rPr>
              <w:t>56,117</w:t>
            </w:r>
          </w:p>
        </w:tc>
        <w:tc>
          <w:tcPr>
            <w:tcW w:type="dxa" w:w="1440"/>
            <w:shd w:fill="C6EFCE" w:val="clear"/>
          </w:tcPr>
          <w:p>
            <w:r>
              <w:rPr>
                <w:sz w:val="17"/>
              </w:rPr>
              <w:t>63,555</w:t>
            </w:r>
          </w:p>
        </w:tc>
        <w:tc>
          <w:tcPr>
            <w:tcW w:type="dxa" w:w="1440"/>
            <w:shd w:fill="C6EFCE" w:val="clear"/>
          </w:tcPr>
          <w:p>
            <w:r>
              <w:rPr>
                <w:b/>
                <w:color w:val="008000"/>
                <w:sz w:val="17"/>
              </w:rPr>
              <w:t>+7.5%</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48,505</w:t>
            </w:r>
          </w:p>
        </w:tc>
        <w:tc>
          <w:tcPr>
            <w:tcW w:type="dxa" w:w="1440"/>
            <w:shd w:fill="C6EFCE" w:val="clear"/>
          </w:tcPr>
          <w:p>
            <w:r>
              <w:rPr>
                <w:b/>
                <w:sz w:val="17"/>
              </w:rPr>
              <w:t>56,744</w:t>
            </w:r>
          </w:p>
        </w:tc>
        <w:tc>
          <w:tcPr>
            <w:tcW w:type="dxa" w:w="1440"/>
            <w:shd w:fill="C6EFCE" w:val="clear"/>
          </w:tcPr>
          <w:p>
            <w:r>
              <w:rPr>
                <w:sz w:val="17"/>
              </w:rPr>
              <w:t>64,983</w:t>
            </w:r>
          </w:p>
        </w:tc>
        <w:tc>
          <w:tcPr>
            <w:tcW w:type="dxa" w:w="1440"/>
            <w:shd w:fill="C6EFCE" w:val="clear"/>
          </w:tcPr>
          <w:p>
            <w:r>
              <w:rPr>
                <w:b/>
                <w:color w:val="008000"/>
                <w:sz w:val="17"/>
              </w:rPr>
              <w:t>+8.7%</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48,381</w:t>
            </w:r>
          </w:p>
        </w:tc>
        <w:tc>
          <w:tcPr>
            <w:tcW w:type="dxa" w:w="1440"/>
            <w:shd w:fill="C6EFCE" w:val="clear"/>
          </w:tcPr>
          <w:p>
            <w:r>
              <w:rPr>
                <w:b/>
                <w:sz w:val="17"/>
              </w:rPr>
              <w:t>57,379</w:t>
            </w:r>
          </w:p>
        </w:tc>
        <w:tc>
          <w:tcPr>
            <w:tcW w:type="dxa" w:w="1440"/>
            <w:shd w:fill="C6EFCE" w:val="clear"/>
          </w:tcPr>
          <w:p>
            <w:r>
              <w:rPr>
                <w:sz w:val="17"/>
              </w:rPr>
              <w:t>66,378</w:t>
            </w:r>
          </w:p>
        </w:tc>
        <w:tc>
          <w:tcPr>
            <w:tcW w:type="dxa" w:w="1440"/>
            <w:shd w:fill="C6EFCE" w:val="clear"/>
          </w:tcPr>
          <w:p>
            <w:r>
              <w:rPr>
                <w:b/>
                <w:color w:val="008000"/>
                <w:sz w:val="17"/>
              </w:rPr>
              <w:t>+9.9%</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48,293</w:t>
            </w:r>
          </w:p>
        </w:tc>
        <w:tc>
          <w:tcPr>
            <w:tcW w:type="dxa" w:w="1440"/>
            <w:shd w:fill="C6EFCE" w:val="clear"/>
          </w:tcPr>
          <w:p>
            <w:r>
              <w:rPr>
                <w:b/>
                <w:sz w:val="17"/>
              </w:rPr>
              <w:t>58,021</w:t>
            </w:r>
          </w:p>
        </w:tc>
        <w:tc>
          <w:tcPr>
            <w:tcW w:type="dxa" w:w="1440"/>
            <w:shd w:fill="C6EFCE" w:val="clear"/>
          </w:tcPr>
          <w:p>
            <w:r>
              <w:rPr>
                <w:sz w:val="17"/>
              </w:rPr>
              <w:t>67,749</w:t>
            </w:r>
          </w:p>
        </w:tc>
        <w:tc>
          <w:tcPr>
            <w:tcW w:type="dxa" w:w="1440"/>
            <w:shd w:fill="C6EFCE" w:val="clear"/>
          </w:tcPr>
          <w:p>
            <w:r>
              <w:rPr>
                <w:b/>
                <w:color w:val="008000"/>
                <w:sz w:val="17"/>
              </w:rPr>
              <w:t>+11.2%</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48,235</w:t>
            </w:r>
          </w:p>
        </w:tc>
        <w:tc>
          <w:tcPr>
            <w:tcW w:type="dxa" w:w="1440"/>
            <w:shd w:fill="C6EFCE" w:val="clear"/>
          </w:tcPr>
          <w:p>
            <w:r>
              <w:rPr>
                <w:b/>
                <w:sz w:val="17"/>
              </w:rPr>
              <w:t>58,668</w:t>
            </w:r>
          </w:p>
        </w:tc>
        <w:tc>
          <w:tcPr>
            <w:tcW w:type="dxa" w:w="1440"/>
            <w:shd w:fill="C6EFCE" w:val="clear"/>
          </w:tcPr>
          <w:p>
            <w:r>
              <w:rPr>
                <w:sz w:val="17"/>
              </w:rPr>
              <w:t>69,101</w:t>
            </w:r>
          </w:p>
        </w:tc>
        <w:tc>
          <w:tcPr>
            <w:tcW w:type="dxa" w:w="1440"/>
            <w:shd w:fill="C6EFCE" w:val="clear"/>
          </w:tcPr>
          <w:p>
            <w:r>
              <w:rPr>
                <w:b/>
                <w:color w:val="008000"/>
                <w:sz w:val="17"/>
              </w:rPr>
              <w:t>+12.4%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48,199</w:t>
            </w:r>
          </w:p>
        </w:tc>
        <w:tc>
          <w:tcPr>
            <w:tcW w:type="dxa" w:w="1440"/>
            <w:shd w:fill="C6EFCE" w:val="clear"/>
          </w:tcPr>
          <w:p>
            <w:r>
              <w:rPr>
                <w:b/>
                <w:sz w:val="17"/>
              </w:rPr>
              <w:t>59,318</w:t>
            </w:r>
          </w:p>
        </w:tc>
        <w:tc>
          <w:tcPr>
            <w:tcW w:type="dxa" w:w="1440"/>
            <w:shd w:fill="C6EFCE" w:val="clear"/>
          </w:tcPr>
          <w:p>
            <w:r>
              <w:rPr>
                <w:sz w:val="17"/>
              </w:rPr>
              <w:t>70,437</w:t>
            </w:r>
          </w:p>
        </w:tc>
        <w:tc>
          <w:tcPr>
            <w:tcW w:type="dxa" w:w="1440"/>
            <w:shd w:fill="C6EFCE" w:val="clear"/>
          </w:tcPr>
          <w:p>
            <w:r>
              <w:rPr>
                <w:b/>
                <w:color w:val="008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479,37 milliards FCFA, un niveau significatif qui la positionne parmi les valeurs moyennes à grandes capitalisations de la BRVM, reflétant la présence d'un groupe international comme Unilever dans l'économie ivoirienne. Le BPA (Bénéfice Par Action) n'est pas calculable en raison de l'absence de données financières structurées récentes dans la base, tout comme le PER, le P/B et l'EV/EBITDA. Cette absence s'explique par le fait que les derniers rapports financiers disponibles datent de 2023 et 2024, avec des résultats marqués par une forte volatilité (passage d'une perte massive en 2022 à un bénéfice modeste en 2023), rendant les ratios de valorisation peu représentatifs d'une situation financière stable. Les investisseurs doivent donc s'appuyer sur les analyses fondamentales narratives et les indicateurs techniques pour évaluer le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-8,56%, avec une dernière séance stable (+0,00%), témoignant d'une tendance baissière marquée sur la période. Le cours a évolué dans une fourchette de 50 000 FCFA (plus bas) à 69 005 FCFA (plus haut), soit une amplitude de près de 38%, indiquant une volatilité intraday significative. La moyenne du cours (56 684 FCFA) est supérieure à la médiane (56 252 FCFA), ce qui, combiné à un skewness positif de 0,537, suggère une asymétrie avec davantage de journées sous la moyenne mais quelques fortes hausses ponctuelles. L'écart-type de 3 568 FCFA (CV=6,3%) révèle une dispersion modérée autour de la moyenne, tandis que le kurtosis de 0,632 (mésokurtique) indique une distribution proche de la normale, sans risque extrême de pics ou de queues épaisses. La volatilité annualisée de 62,8% est très élevée (&gt;30%), confirmant un profil de risque important pour ce titre, typique des valeurs en phase de restructuration.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(52 200 FCFA) se situe sous les MM20 (54 268 FCFA) et MM50 (54 235 FCFA), mais ces deux moyennes sont quasi identiques, indiquant une consolidation récente. La décision "Achat" suggère que le croisement des MM pourrait précéder un retournement haussier, mais le prix sous les moyennes tempère ce signal, appelant à la prudence.</w:t>
      </w:r>
    </w:p>
    <w:p>
      <w:pPr>
        <w:spacing w:after="120" w:line="276" w:lineRule="auto"/>
      </w:pPr>
      <w:r>
        <w:t>**Bandes de Bollinger** : Le prix évolue dans la partie inférieure des bandes (borne inférieure à 49 749 FCFA, borne supérieure à 58 787 FCFA), proche de la borne basse, ce qui indique une pression vendeuse mais aussi une possible zone de survente. La décision "Neutre" reflète une volatilité modérée, sans cassure nette des bornes, laissant place à une stabilisation potentielle.</w:t>
      </w:r>
    </w:p>
    <w:p>
      <w:pPr>
        <w:spacing w:after="120" w:line="276" w:lineRule="auto"/>
      </w:pPr>
      <w:r>
        <w:t>**MACD** : La valeur négative du MACD (-211,298) sous le signal (65,99) confirme une dynamique baissière à court terme, avec un momentum négatif. La décision "Vente" est cohérente avec la tendance récente, mais l'écart important entre MACD et signal pourrait signaler une fin prochaine de la phase de décroissance.</w:t>
      </w:r>
    </w:p>
    <w:p>
      <w:pPr>
        <w:spacing w:after="120" w:line="276" w:lineRule="auto"/>
      </w:pPr>
      <w:r>
        <w:t>**RSI** : À 42,873, le RSI se situe en zone neutre (30-70), indiquant un équilibre entre acheteurs et vendeurs, sans surachat ni survente. La décision "Neutre" suggère que le marché attend un catalyseur pour orienter le titre, avec une légère tendance baissière.</w:t>
      </w:r>
    </w:p>
    <w:p>
      <w:pPr>
        <w:spacing w:after="120" w:line="276" w:lineRule="auto"/>
      </w:pPr>
      <w:r>
        <w:t>**Stochastique** : Le %K (3,333) est très bas et sous le %D (26,554), indiquant une condition de survente extrême, souvent signe d'un rebond technique imminent. La décision "Achat" est justifiée par ce croisement haussier potentiel, même si la tendance de fond reste fragile.</w:t>
      </w:r>
    </w:p>
    <w:p>
      <w:pPr>
        <w:spacing w:after="120" w:line="276" w:lineRule="auto"/>
      </w:pPr>
      <w:r>
        <w:t>**Conclusion technique** : Les signaux sont mitigés, avec une opposition entre la faiblesse du MACD et du cours sous les MM, et les conditions de survente du stochastique et du RSI neutre. La configuration suggère une possible stabilisation à court terme, mais la tendance baissière dominante nécessite un signal de retournement fort (cassure des MM20/50) pour envisager un achat. La prudence reste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annuelles ne sont pas disponibles dans la base, mais les rapports narratifs officiels fournissent des chiffres clés. Pour l'exercice 2023 (rapport daté du 31/12/2024), UNLC a réalisé un chiffre d'affaires de 24,336 milliards FCFA, stable par rapport à 2022, avec un bénéfice net de 640 millions FCFA (marge nette de 2,63%), en nette amélioration par rapport à la perte massive de 6,9 milliards FCFA en 2022. Le résultat d'exploitation est passé de -6,258 milliards FCFA en 2022 à +3,340 milliards FCFA en 2023, grâce à une réduction des charges et une meilleure gestion des stocks, mais les capitaux propres restent négatifs (-10,658 milliards FCFA) et l'endettement financier s'élève à 4,379 milliards FCFA. Pour 2022 (rapport du 31/12/2023), le CA était de 24,336 milliards FCFA (identique à 2023), avec une perte nette de -6,383 milliards FCFA (marge nette de -26,2%), reflétant des coûts opérationnels élevés (charges de personnel de 12,953 milliards FCFA) et des provisions pour risques de 3,393 milliards FCFA. En 2021 (rapport du 31/12/2022), le CA était également de 24,336 milliards FCFA, mais avec un bénéfice net de 6,091 milliards FCFA (marge nette de 25%), porté par des produits exceptionnels liés à la cession de l'activité Thé. L'évolution sur trois ans montre une forte instabilité : bénéfice exceptionnel en 2021, perte massive en 2022, puis retour à un bénéfice modeste en 2023, avec une stagnation du CA et une structure financière fragile (capitaux propres négatifs). Les estimations pour 2024-2025, basées sur les tendances de 2023, suggèrent une poursuite du redressement opérationnel, mais sans croissance du CA, la rentabilité reste dépendante de la maîtrise des coûts. La recommandation fondamentale est de CONSERVER avec vigilance, car la société montre des signes de redressement mais reste exposée à des risques de liquidité et de concurrence.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d'UNLC ne peut être pleinement évaluée faute de ratios calculables, mais la capitalisation de 479 milliards FCFA paraît élevée au regard de la faible rentabilité (bénéfice net de 640 millions FCFA en 2023, soit un PER implicite supérieur à 700x), indiquant une surévaluation relative. Le comportement du cours sur 100 jours est préoccupant avec une baisse de -8,56%, une volatilité annualisée de 62,8% et une distribution mésokurtique sans risque extrême, mais la tendance baissière domine. Les signaux techniques sont divergents : les MM et le MACD suggèrent une faiblesse persistante, tandis que le stochastique en survente extrême et le RSI neutre laissent entrevoir un rebond technique possible. Les fondamentaux montrent un redressement fragile (amélioration du résultat d'exploitation en 2023) mais des capitaux propres négatifs et une absence de croissance du CA, avec des rapports datant de 2023-2024, donc anciens. Les prédictions IA (J+1 à J+10) prévoient une hausse progressive de 54 054 à 56 117 FCFA, contredisant la tendance baissière récente et suggérant un rebond à court terme. En synthèse, la convergence entre la surévaluation implicite, les fondamentaux fragiles et la tendance baissière plaide pour une prudence, mais les signaux techniques de survente et les prédictions IA haussières offrent une opportunité de trading à court terme. Recommandation finale : **CONSERVER** avec un niveau de confiance **Moyen**, un risque global **Élevé**, et un horizon d'investissement optimal à **court terme (&lt;3 mois)** pour profiter d'un éventuel rebond technique, tout en surveillant les publications financières pour valider un redressement durable.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13,224 titres</w:t>
            </w:r>
          </w:p>
        </w:tc>
        <w:tc>
          <w:tcPr>
            <w:tcW w:type="dxa" w:w="2268"/>
            <w:shd w:fill="FFF2CC" w:val="clear"/>
          </w:tcPr>
          <w:p>
            <w:r>
              <w:rPr>
                <w:b/>
                <w:color w:val="503200"/>
                <w:sz w:val="16"/>
              </w:rPr>
              <w:t xml:space="preserve">Cours actuel : </w:t>
            </w:r>
            <w:r>
              <w:rPr>
                <w:color w:val="000000"/>
                <w:sz w:val="17"/>
              </w:rPr>
              <w:t>2,455 FCFA</w:t>
            </w:r>
          </w:p>
          <w:p>
            <w:r>
              <w:rPr>
                <w:b/>
                <w:color w:val="503200"/>
                <w:sz w:val="16"/>
              </w:rPr>
              <w:t xml:space="preserve">Var. 100 jours : </w:t>
            </w:r>
            <w:r>
              <w:rPr>
                <w:b/>
                <w:color w:val="007800"/>
                <w:sz w:val="17"/>
              </w:rPr>
              <w:t>+23.99%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11.71% (Moyenne) — μ=1,895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β=0.0423 (Défensif) — Cov=0.000002, Var(idx)=0.000036, ρ=0.008,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13,224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2,279</w:t>
            </w:r>
          </w:p>
        </w:tc>
        <w:tc>
          <w:tcPr>
            <w:tcW w:type="dxa" w:w="1440"/>
            <w:shd w:fill="FFDCE0" w:val="clear"/>
          </w:tcPr>
          <w:p>
            <w:r>
              <w:rPr>
                <w:b/>
                <w:sz w:val="17"/>
              </w:rPr>
              <w:t>2,395</w:t>
            </w:r>
          </w:p>
        </w:tc>
        <w:tc>
          <w:tcPr>
            <w:tcW w:type="dxa" w:w="1440"/>
            <w:shd w:fill="FFDCE0" w:val="clear"/>
          </w:tcPr>
          <w:p>
            <w:r>
              <w:rPr>
                <w:sz w:val="17"/>
              </w:rPr>
              <w:t>2,512</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2,220</w:t>
            </w:r>
          </w:p>
        </w:tc>
        <w:tc>
          <w:tcPr>
            <w:tcW w:type="dxa" w:w="1440"/>
            <w:shd w:fill="FFDCE0" w:val="clear"/>
          </w:tcPr>
          <w:p>
            <w:r>
              <w:rPr>
                <w:b/>
                <w:sz w:val="17"/>
              </w:rPr>
              <w:t>2,384</w:t>
            </w:r>
          </w:p>
        </w:tc>
        <w:tc>
          <w:tcPr>
            <w:tcW w:type="dxa" w:w="1440"/>
            <w:shd w:fill="FFDCE0" w:val="clear"/>
          </w:tcPr>
          <w:p>
            <w:r>
              <w:rPr>
                <w:sz w:val="17"/>
              </w:rPr>
              <w:t>2,548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2,169</w:t>
            </w:r>
          </w:p>
        </w:tc>
        <w:tc>
          <w:tcPr>
            <w:tcW w:type="dxa" w:w="1440"/>
            <w:shd w:fill="FFDCE0" w:val="clear"/>
          </w:tcPr>
          <w:p>
            <w:r>
              <w:rPr>
                <w:b/>
                <w:sz w:val="17"/>
              </w:rPr>
              <w:t>2,368</w:t>
            </w:r>
          </w:p>
        </w:tc>
        <w:tc>
          <w:tcPr>
            <w:tcW w:type="dxa" w:w="1440"/>
            <w:shd w:fill="FFDCE0" w:val="clear"/>
          </w:tcPr>
          <w:p>
            <w:r>
              <w:rPr>
                <w:sz w:val="17"/>
              </w:rPr>
              <w:t>2,568</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2,125</w:t>
            </w:r>
          </w:p>
        </w:tc>
        <w:tc>
          <w:tcPr>
            <w:tcW w:type="dxa" w:w="1440"/>
            <w:shd w:fill="FFDCE0" w:val="clear"/>
          </w:tcPr>
          <w:p>
            <w:r>
              <w:rPr>
                <w:b/>
                <w:sz w:val="17"/>
              </w:rPr>
              <w:t>2,353</w:t>
            </w:r>
          </w:p>
        </w:tc>
        <w:tc>
          <w:tcPr>
            <w:tcW w:type="dxa" w:w="1440"/>
            <w:shd w:fill="FFDCE0" w:val="clear"/>
          </w:tcPr>
          <w:p>
            <w:r>
              <w:rPr>
                <w:sz w:val="17"/>
              </w:rPr>
              <w:t>2,582</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2,085</w:t>
            </w:r>
          </w:p>
        </w:tc>
        <w:tc>
          <w:tcPr>
            <w:tcW w:type="dxa" w:w="1440"/>
            <w:shd w:fill="FFDCE0" w:val="clear"/>
          </w:tcPr>
          <w:p>
            <w:r>
              <w:rPr>
                <w:b/>
                <w:sz w:val="17"/>
              </w:rPr>
              <w:t>2,339</w:t>
            </w:r>
          </w:p>
        </w:tc>
        <w:tc>
          <w:tcPr>
            <w:tcW w:type="dxa" w:w="1440"/>
            <w:shd w:fill="FFDCE0" w:val="clear"/>
          </w:tcPr>
          <w:p>
            <w:r>
              <w:rPr>
                <w:sz w:val="17"/>
              </w:rPr>
              <w:t>2,593</w:t>
            </w:r>
          </w:p>
        </w:tc>
        <w:tc>
          <w:tcPr>
            <w:tcW w:type="dxa" w:w="1440"/>
            <w:shd w:fill="FFDCE0" w:val="clear"/>
          </w:tcPr>
          <w:p>
            <w:r>
              <w:rPr>
                <w:b/>
                <w:color w:val="C00000"/>
                <w:sz w:val="17"/>
              </w:rPr>
              <w:t>-4.7%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2,048</w:t>
            </w:r>
          </w:p>
        </w:tc>
        <w:tc>
          <w:tcPr>
            <w:tcW w:type="dxa" w:w="1440"/>
            <w:shd w:fill="FFDCE0" w:val="clear"/>
          </w:tcPr>
          <w:p>
            <w:r>
              <w:rPr>
                <w:b/>
                <w:sz w:val="17"/>
              </w:rPr>
              <w:t>2,325</w:t>
            </w:r>
          </w:p>
        </w:tc>
        <w:tc>
          <w:tcPr>
            <w:tcW w:type="dxa" w:w="1440"/>
            <w:shd w:fill="FFDCE0" w:val="clear"/>
          </w:tcPr>
          <w:p>
            <w:r>
              <w:rPr>
                <w:sz w:val="17"/>
              </w:rPr>
              <w:t>2,602</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2,014</w:t>
            </w:r>
          </w:p>
        </w:tc>
        <w:tc>
          <w:tcPr>
            <w:tcW w:type="dxa" w:w="1440"/>
            <w:shd w:fill="FFDCE0" w:val="clear"/>
          </w:tcPr>
          <w:p>
            <w:r>
              <w:rPr>
                <w:b/>
                <w:sz w:val="17"/>
              </w:rPr>
              <w:t>2,311</w:t>
            </w:r>
          </w:p>
        </w:tc>
        <w:tc>
          <w:tcPr>
            <w:tcW w:type="dxa" w:w="1440"/>
            <w:shd w:fill="FFDCE0" w:val="clear"/>
          </w:tcPr>
          <w:p>
            <w:r>
              <w:rPr>
                <w:sz w:val="17"/>
              </w:rPr>
              <w:t>2,608</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1,981</w:t>
            </w:r>
          </w:p>
        </w:tc>
        <w:tc>
          <w:tcPr>
            <w:tcW w:type="dxa" w:w="1440"/>
            <w:shd w:fill="FFDCE0" w:val="clear"/>
          </w:tcPr>
          <w:p>
            <w:r>
              <w:rPr>
                <w:b/>
                <w:sz w:val="17"/>
              </w:rPr>
              <w:t>2,297</w:t>
            </w:r>
          </w:p>
        </w:tc>
        <w:tc>
          <w:tcPr>
            <w:tcW w:type="dxa" w:w="1440"/>
            <w:shd w:fill="FFDCE0" w:val="clear"/>
          </w:tcPr>
          <w:p>
            <w:r>
              <w:rPr>
                <w:sz w:val="17"/>
              </w:rPr>
              <w:t>2,613</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1,951</w:t>
            </w:r>
          </w:p>
        </w:tc>
        <w:tc>
          <w:tcPr>
            <w:tcW w:type="dxa" w:w="1440"/>
            <w:shd w:fill="FFDCE0" w:val="clear"/>
          </w:tcPr>
          <w:p>
            <w:r>
              <w:rPr>
                <w:b/>
                <w:sz w:val="17"/>
              </w:rPr>
              <w:t>2,284</w:t>
            </w:r>
          </w:p>
        </w:tc>
        <w:tc>
          <w:tcPr>
            <w:tcW w:type="dxa" w:w="1440"/>
            <w:shd w:fill="FFDCE0" w:val="clear"/>
          </w:tcPr>
          <w:p>
            <w:r>
              <w:rPr>
                <w:sz w:val="17"/>
              </w:rPr>
              <w:t>2,617</w:t>
            </w:r>
          </w:p>
        </w:tc>
        <w:tc>
          <w:tcPr>
            <w:tcW w:type="dxa" w:w="1440"/>
            <w:shd w:fill="FFDCE0" w:val="clear"/>
          </w:tcPr>
          <w:p>
            <w:r>
              <w:rPr>
                <w:b/>
                <w:color w:val="C00000"/>
                <w:sz w:val="17"/>
              </w:rPr>
              <w:t>-7.0%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1,921</w:t>
            </w:r>
          </w:p>
        </w:tc>
        <w:tc>
          <w:tcPr>
            <w:tcW w:type="dxa" w:w="1440"/>
            <w:shd w:fill="FFDCE0" w:val="clear"/>
          </w:tcPr>
          <w:p>
            <w:r>
              <w:rPr>
                <w:b/>
                <w:sz w:val="17"/>
              </w:rPr>
              <w:t>2,270</w:t>
            </w:r>
          </w:p>
        </w:tc>
        <w:tc>
          <w:tcPr>
            <w:tcW w:type="dxa" w:w="1440"/>
            <w:shd w:fill="FFDCE0" w:val="clear"/>
          </w:tcPr>
          <w:p>
            <w:r>
              <w:rPr>
                <w:sz w:val="17"/>
              </w:rPr>
              <w:t>2,619</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50,94 milliards FCFA, ce qui la positionne comme une valeur de taille moyenne sur la BRVM, dans un secteur textile où elle demeure un acteur de référence. Le BPA est négatif à -105 FCFA, traduisant une perte nette sur l'exercice 2024, ce qui rend le PER non significatif (-23,3x). En revanche, le P/B de 3,27x indique que le marché valorise l'actif net à plus de trois fois sa valeur comptable, suggérant une prime de croissance ou des anticipations de redressement. Le ratio EV/EBITDA n'est pas calculable en raison de l'EBITDA négatif, ce qui confirme la fragilité opérationnelle récente. Ces éléments appellent à une lecture prudente : le marché semble déjà intégrer un scénario de retour à la rentabilité, ce qui réduit la marge de sécurité pour un nouvel acheteur.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+23,99%, avec une dernière séance en hausse de +1,66% à 2 455 FCFA. Le titre a évolué dans une fourchette très large, entre un plus bas de 1 250 FCFA et un plus haut de 2 495 FCFA, illustrant un mouvement haussier puissant. La moyenne (1 895 FCFA) et la médiane (1 900 FCFA) sont quasi identiques, signe d'une distribution symétrique, confirmée par un skewness proche de zéro (0,119). L'écart-type de 223 FCFA (CV=11,8%) révèle une dispersion modérée autour de la moyenne. Le kurtosis excédentaire de 2,285 indique une distribution leptokurtique, avec un risque de mouvements extrêmes. Enfin, la volatilité annualisée de 51,4% classe le titre comme très volatil, bien au-dessus du seuil de 30%, ce qui implique un risque élevé pour les investisseurs, mais aussi un fort potentiel de gains rapides.</w:t>
      </w:r>
    </w:p>
    <w:p>
      <w:pPr>
        <w:spacing w:after="120" w:line="276" w:lineRule="auto" w:before="240"/>
      </w:pPr>
      <w:r>
        <w:rPr>
          <w:b/>
          <w:color w:val="003366"/>
          <w:sz w:val="24"/>
        </w:rPr>
        <w:t>**PARTIE 2 : ANALYSE TECHNIQUE DÉTAILLÉE**</w:t>
      </w:r>
    </w:p>
    <w:p>
      <w:pPr>
        <w:spacing w:after="120" w:line="276" w:lineRule="auto"/>
      </w:pPr>
      <w:r>
        <w:t>**Moyennes Mobiles** : Le cours actuel (2 455 FCFA) évolue nettement au-dessus de la MM20 (2 131 FCFA) et de la MM50 (1 900,9 FCFA), confirmant une dynamique haussière de court et moyen terme. La configuration est positive, avec un signal d'achat clair, mais l'écart important entre le prix et les moyennes suggère un risque de correction technique.</w:t>
      </w:r>
    </w:p>
    <w:p>
      <w:pPr>
        <w:spacing w:after="120" w:line="276" w:lineRule="auto"/>
      </w:pPr>
      <w:r>
        <w:t>**Bandes de Bollinger** : Le prix se situe sous la borne supérieure (2 637 FCFA) mais au-dessus de la borne inférieure (1 624 FCFA), dans une zone neutre. La largeur des bandes reflète une volatilité élevée. Le fait que le cours s'approche de la borne supérieure indique une pression acheteuse soutenue, mais sans signal de surachat extrême.</w:t>
      </w:r>
    </w:p>
    <w:p>
      <w:pPr>
        <w:spacing w:after="120" w:line="276" w:lineRule="auto"/>
      </w:pPr>
      <w:r>
        <w:t>**MACD** : Le MACD (171,9) est nettement au-dessus de sa ligne de signal (140,2), confirmant un momentum haussier robuste. La divergence positive indique que la tendance haussière est toujours soutenue par les volumes et la dynamique des prix, ce qui valide le signal d'achat.</w:t>
      </w:r>
    </w:p>
    <w:p>
      <w:pPr>
        <w:spacing w:after="120" w:line="276" w:lineRule="auto"/>
      </w:pPr>
      <w:r>
        <w:t>**RSI** : Le RSI s'établit à 83,6, largement au-dessus du seuil de surachat (70). Ce niveau extrême signale que le titre est survendu d'un point de vue technique, avec un risque élevé de retournement ou de consolidation à court terme. La prudence est donc recommandée malgré la tendance haussière.</w:t>
      </w:r>
    </w:p>
    <w:p>
      <w:pPr>
        <w:spacing w:after="120" w:line="276" w:lineRule="auto"/>
      </w:pPr>
      <w:r>
        <w:t>**Stochastique** : Le %K (93,3) et le %D (88,0) sont tous deux en zone de surachat, avec un écart qui suggère une possible divergence baissière. Le croisement potentiel de ces lignes pourrait déclencher un signal de vente à court terme, renforçant l'idée d'une pause dans la hausse.</w:t>
      </w:r>
    </w:p>
    <w:p>
      <w:pPr>
        <w:spacing w:after="120" w:line="276" w:lineRule="auto"/>
      </w:pPr>
      <w:r>
        <w:t>**Conclusion technique** : Les indicateurs de tendance (MM, MACD) sont positifs, mais les oscillateurs (RSI, Stochastique) signalent un surachat extrême. Cette divergence entre momentum et tendance suggère un risque de correction technique à court terme, bien que la tendance de fond reste haussière. Un repli vers les moyennes mobiles (2 130-2 000 FCFA) serait sain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2024, selon les données structurées officielles, UNXC a réalisé un chiffre d'affaires de 27,333 milliards FCFA, en croissance de 15,4% par rapport à 2023, mais avec un résultat net déficitaire de -2,189 milliards FCFA, soit une marge nette de -8,0%. Le ROE ressort à -14,0% et le ROA à -6,4%, traduisant une rentabilité négative des capitaux propres et des actifs. Le BFR est positif à 2,149 milliards FCFA, ce qui est défavorable, avec un délai de stockage très élevé (254,7 jours) et un délai clients de 51 jours, indiquant une immobilisation importante de capital. Les rapports trimestriels 2025 (T1, S1, T3) montrent une amélioration spectaculaire du résultat net grâce à une cession-bail immobilière exceptionnelle (+9,99 milliards FCFA), mais le résultat des activités ordinaires reste déficitaire (-371 millions FCFA sur 9 mois). Le rapport S1 2026 confirme un retour à l'équilibre opérationnel avec un résultat d'exploitation positif de 771 millions FCFA, et un résultat net de 771 millions FCFA, hors éléments exceptionnels. On estime donc que l'exercice 2026 pourrait marquer un véritable tournant, avec une rentabilité récurrente enfin positive, portée par la maîtrise des coûts et l'expansion à l'export.</w:t>
      </w:r>
    </w:p>
    <w:p>
      <w:pPr>
        <w:spacing w:after="120" w:line="276" w:lineRule="auto" w:before="240"/>
      </w:pPr>
      <w:r>
        <w:rPr>
          <w:b/>
          <w:color w:val="003366"/>
          <w:sz w:val="24"/>
        </w:rPr>
        <w:t>**PARTIE 4 : CONCLUSION D'INVESTISSEMENT**</w:t>
      </w:r>
    </w:p>
    <w:p>
      <w:pPr>
        <w:spacing w:after="120" w:line="276" w:lineRule="auto"/>
      </w:pPr>
      <w:r>
        <w:t>La valorisation d'UNXC est délicate : le PER est négatif et le P/B de 3,27x est élevé, indiquant que le marché anticipe déjà un redressement. Le comportement du cours est très haussier (+24% en 100 jours) mais avec une volatilité extrême (51,4%) et un kurtosis élevé, signalant des risques de mouvements brusques. Les signaux techniques sont partagés : la tendance est positive, mais le RSI et le stochastique en surachat suggèrent une correction imminente. Les fondamentaux montrent une amélioration nette en 2026, avec un retour à la rentabilité opérationnelle, mais la société reste fragile et dépendante de la conjoncture. Les prédictions IA indiquent une légère baisse sur les 10 prochains jours (de 2 395 à 2 339 FCFA), ce qui contredit la tendance haussière récente et confirme le risque de consolidation. En synthèse, je recommande **CONSERVER** avec un niveau de confiance **Moyen** et un risque global **Élevé**. L'horizon d'investissement optimal est le **moyen terme (3-12 mois)**, en attendant la confirmation d'une rentabilité durable et une correction technique du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