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11/08/2026 à 05:31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43 ACHAT  |  4 NEUTRE  |  0 VENTE  (sur 47 sociétés)</w:t>
      </w:r>
    </w:p>
    <w:p>
      <w:pPr>
        <w:spacing w:before="20" w:after="20"/>
        <w:ind w:left="360" w:right="360"/>
        <w:shd w:val="clear" w:color="auto" w:fill="EBF5FB"/>
      </w:pPr>
      <w:r>
        <w:rPr>
          <w:b/>
          <w:sz w:val="19"/>
        </w:rPr>
        <w:t xml:space="preserve">Top opportunité :  </w:t>
      </w:r>
      <w:r>
        <w:rPr>
          <w:color w:val="008000"/>
          <w:sz w:val="19"/>
        </w:rPr>
        <w:t>BOAC  (score 76/100)</w:t>
      </w:r>
    </w:p>
    <w:p>
      <w:pPr>
        <w:spacing w:before="20" w:after="20"/>
        <w:ind w:left="360" w:right="360"/>
        <w:shd w:val="clear" w:color="auto" w:fill="EBF5FB"/>
      </w:pPr>
      <w:r>
        <w:rPr>
          <w:b/>
          <w:sz w:val="19"/>
        </w:rPr>
        <w:t xml:space="preserve">Secteur surperformant :  </w:t>
      </w:r>
      <w:r>
        <w:rPr>
          <w:color w:val="008000"/>
          <w:sz w:val="19"/>
        </w:rPr>
        <w:t>SERVICES PUBLICS  (+55.0%)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22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490.51 points </w:t>
      </w:r>
      <w:r>
        <w:rPr>
          <w:color w:val="008000"/>
        </w:rPr>
        <w:t>(+1.04%)</w:t>
      </w:r>
      <w:r>
        <w:t xml:space="preserve"> sur la séance. </w:t>
      </w:r>
      <w:r>
        <w:t>La capitalisation globale du marché atteint 18 895,908 milliards FCFA.</w:t>
      </w:r>
    </w:p>
    <w:p/>
    <w:p>
      <w:pPr>
        <w:pStyle w:val="Heading3"/>
      </w:pPr>
      <w:r>
        <w:t>📊 Évolution de l'indice BRVM Composite (100 derniers jours)</w:t>
      </w:r>
    </w:p>
    <w:p>
      <w:r>
        <w:rPr>
          <w:b/>
        </w:rPr>
        <w:t xml:space="preserve">BRVM Composite — </w:t>
      </w:r>
      <w:r>
        <w:t xml:space="preserve">Sur les 97 derniers jours de cotation (2026-03-17 au 2026-08-10), l'indice BRVM Composite a évolué de </w:t>
      </w:r>
      <w:r>
        <w:rPr>
          <w:b/>
          <w:color w:val="008000"/>
        </w:rPr>
        <w:t>+19.05%</w:t>
      </w:r>
      <w:r>
        <w:t>, passant de 412.02 pts à 490.51 pts. Le plus haut atteint est 490.51 pts et le plus bas 397.33 pts. Sur l'ensemble de la période, la moyenne de l'indice s'établit à 434.61 pts, la médiane à 428.01 pts et le mode à 403.36 pts</w:t>
      </w:r>
      <w:r>
        <w:t xml:space="preserve"> (asymétrie positive — plus de jours sous la moyenne). </w:t>
      </w:r>
      <w:r>
        <w:t xml:space="preserve">L'écart-type de 30.60 pts (CV=7.0%) traduit une modérée dispersion des cotations. Le kurtosis de -1.30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+18.95%</w:t>
      </w:r>
      <w:r>
        <w:t xml:space="preserve"> sur la période, passant de 15 885,659 Mds FCFA à 18 895,908 Mds FCFA. Le pic de capitalisation observé est de 18 895,908 Mds FCFA et le plancher de 15 319,235 Mds FCFA. La moyenne de la capitalisation sur la période s'établit à 16 749,281 Mds FCFA, la médiane à 16 499,451 Mds FCFA et le mode à 15 319,235 Mds FCFA</w:t>
      </w:r>
      <w:r>
        <w:t xml:space="preserve"> (asymétrie positive). </w:t>
      </w:r>
      <w:r>
        <w:t>L'écart-type de 1 173,658 Mds FCFA (CV=7.0%) reflète une modérée variabilité de la valorisation du marché. Le kurtosis de -1.29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ONTBF - ONTBF - ONATEL BURKINA FASO</w:t>
      </w:r>
      <w:r>
        <w:t xml:space="preserve"> | Prix: 2910 FCFA | </w:t>
      </w:r>
      <w:r>
        <w:rPr>
          <w:b/>
          <w:color w:val="008000"/>
        </w:rPr>
        <w:t>ACHAT FORT</w:t>
      </w:r>
      <w:r>
        <w:t xml:space="preserve"> | Confiance: Élevée | Risque: Faible</w:t>
      </w:r>
    </w:p>
    <w:p>
      <w:pPr>
        <w:pStyle w:val="ListNumber"/>
      </w:pPr>
      <w:r>
        <w:rPr>
          <w:b/>
        </w:rPr>
        <w:t>SIBC - SIBC - SOCIETE IVOIRIENNE DE BANQUE</w:t>
      </w:r>
      <w:r>
        <w:t xml:space="preserve"> | Prix: 9320 FCFA | </w:t>
      </w:r>
      <w:r>
        <w:rPr>
          <w:b/>
          <w:color w:val="008000"/>
        </w:rPr>
        <w:t>ACHAT FORT</w:t>
      </w:r>
      <w:r>
        <w:t xml:space="preserve"> | Confiance: Élevée | Risque: Faible</w:t>
      </w:r>
    </w:p>
    <w:p>
      <w:pPr>
        <w:pStyle w:val="ListNumber"/>
      </w:pPr>
      <w:r>
        <w:rPr>
          <w:b/>
        </w:rPr>
        <w:t>ABJC - ABJC - SERVAIR ABIDJAN CI</w:t>
      </w:r>
      <w:r>
        <w:t xml:space="preserve"> | Prix: 3010 FCFA | </w:t>
      </w:r>
      <w:r>
        <w:rPr>
          <w:b/>
          <w:color w:val="008000"/>
        </w:rPr>
        <w:t>ACHAT</w:t>
      </w:r>
      <w:r>
        <w:t xml:space="preserve"> | Confiance: Faible | Risque: Moyen</w:t>
      </w:r>
    </w:p>
    <w:p>
      <w:pPr>
        <w:pStyle w:val="ListNumber"/>
      </w:pPr>
      <w:r>
        <w:rPr>
          <w:b/>
        </w:rPr>
        <w:t>BICB - BIIC BN - Banque internationale pour le commerce du benin</w:t>
      </w:r>
      <w:r>
        <w:t xml:space="preserve"> | Prix: 7670 FCFA | </w:t>
      </w:r>
      <w:r>
        <w:rPr>
          <w:b/>
          <w:color w:val="008000"/>
        </w:rPr>
        <w:t>ACHAT</w:t>
      </w:r>
      <w:r>
        <w:t xml:space="preserve"> | Confiance: Faible | Risque: Faible</w:t>
      </w:r>
    </w:p>
    <w:p>
      <w:pPr>
        <w:pStyle w:val="ListNumber"/>
      </w:pPr>
      <w:r>
        <w:rPr>
          <w:b/>
        </w:rPr>
        <w:t>BICC - BICI CI - Banque internationale pour le commerce et l'industrie de la Côte d'Ivoire</w:t>
      </w:r>
      <w:r>
        <w:t xml:space="preserve"> | Prix: 29150 FCFA | </w:t>
      </w:r>
      <w:r>
        <w:rPr>
          <w:b/>
          <w:color w:val="008000"/>
        </w:rPr>
        <w:t>ACHAT</w:t>
      </w:r>
      <w:r>
        <w:t xml:space="preserve"> | Confiance: Faible | Risque: Moyen</w:t>
      </w:r>
    </w:p>
    <w:p>
      <w:pPr>
        <w:pStyle w:val="ListNumber"/>
      </w:pPr>
      <w:r>
        <w:rPr>
          <w:b/>
        </w:rPr>
        <w:t>BNBC - BNBC - BERNABE CI</w:t>
      </w:r>
      <w:r>
        <w:t xml:space="preserve"> | Prix: 1905 FCFA | </w:t>
      </w:r>
      <w:r>
        <w:rPr>
          <w:b/>
          <w:color w:val="008000"/>
        </w:rPr>
        <w:t>ACHAT</w:t>
      </w:r>
      <w:r>
        <w:t xml:space="preserve"> | Confiance: Moyen | Risque: Moyen</w:t>
      </w:r>
    </w:p>
    <w:p>
      <w:pPr>
        <w:pStyle w:val="ListNumber"/>
      </w:pPr>
      <w:r>
        <w:rPr>
          <w:b/>
        </w:rPr>
        <w:t>BOAB - BANK OF AFRICA BENIN</w:t>
      </w:r>
      <w:r>
        <w:t xml:space="preserve"> | Prix: 8650 FCFA | </w:t>
      </w:r>
      <w:r>
        <w:rPr>
          <w:b/>
          <w:color w:val="008000"/>
        </w:rPr>
        <w:t>ACHAT</w:t>
      </w:r>
      <w:r>
        <w:t xml:space="preserve"> | Confiance: Moyen | Risque: Moyen</w:t>
      </w:r>
    </w:p>
    <w:p>
      <w:pPr>
        <w:pStyle w:val="ListNumber"/>
      </w:pPr>
      <w:r>
        <w:rPr>
          <w:b/>
        </w:rPr>
        <w:t>BOABF - BANK OF AFRICA BURKINA FASO</w:t>
      </w:r>
      <w:r>
        <w:t xml:space="preserve"> | Prix: 7325 FCFA | </w:t>
      </w:r>
      <w:r>
        <w:rPr>
          <w:b/>
          <w:color w:val="008000"/>
        </w:rPr>
        <w:t>ACHAT</w:t>
      </w:r>
      <w:r>
        <w:t xml:space="preserve"> | Confiance: Faible | Risque: Faible</w:t>
      </w:r>
    </w:p>
    <w:p>
      <w:pPr>
        <w:pStyle w:val="ListNumber"/>
      </w:pPr>
      <w:r>
        <w:rPr>
          <w:b/>
        </w:rPr>
        <w:t>BOAC - BANK OF AFRICA COTE D'IVOIRE</w:t>
      </w:r>
      <w:r>
        <w:t xml:space="preserve"> | Prix: 11600 FCFA | </w:t>
      </w:r>
      <w:r>
        <w:rPr>
          <w:b/>
          <w:color w:val="008000"/>
        </w:rPr>
        <w:t>ACHAT</w:t>
      </w:r>
      <w:r>
        <w:t xml:space="preserve"> | Confiance: Moyen | Risque: Faible</w:t>
      </w:r>
    </w:p>
    <w:p>
      <w:pPr>
        <w:pStyle w:val="ListNumber"/>
      </w:pPr>
      <w:r>
        <w:rPr>
          <w:b/>
        </w:rPr>
        <w:t>BOAM - BANK OF AFRICA MALI</w:t>
      </w:r>
      <w:r>
        <w:t xml:space="preserve"> | Prix: 5700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SDCC - SDCC - Société de Distribution d'Eau de Côte d'Ivoire</w:t>
      </w:r>
      <w:r>
        <w:t xml:space="preserve"> | Prix: 11890 FCFA | </w:t>
      </w:r>
      <w:r>
        <w:rPr>
          <w:b/>
          <w:color w:val="C00000"/>
        </w:rPr>
        <w:t>CONSERVER ⚠️</w:t>
      </w:r>
      <w:r>
        <w:t xml:space="preserve"> | Confiance: Moyen | Risque: Moyen</w:t>
      </w:r>
    </w:p>
    <w:p>
      <w:pPr>
        <w:pStyle w:val="ListNumber"/>
      </w:pPr>
      <w:r>
        <w:rPr>
          <w:b/>
        </w:rPr>
        <w:t>SIVC - SIVC - ERIUM CI (Ex AIR LIQUIDECI)</w:t>
      </w:r>
      <w:r>
        <w:t xml:space="preserve"> | Prix: 2280 FCFA | </w:t>
      </w:r>
      <w:r>
        <w:rPr>
          <w:b/>
          <w:color w:val="C00000"/>
        </w:rPr>
        <w:t>CONSERVER ⚠️</w:t>
      </w:r>
      <w:r>
        <w:t xml:space="preserve"> | Confiance: Moyen | Risque: Faible</w:t>
      </w:r>
    </w:p>
    <w:p>
      <w:pPr>
        <w:pStyle w:val="ListNumber"/>
      </w:pPr>
      <w:r>
        <w:rPr>
          <w:b/>
        </w:rPr>
        <w:t>SPHC - SPHC - Société Africaine de Plantation d'Hévéas de Côte d'Ivoire</w:t>
      </w:r>
      <w:r>
        <w:t xml:space="preserve"> | Prix: 7900 FCFA | </w:t>
      </w:r>
      <w:r>
        <w:rPr>
          <w:b/>
          <w:color w:val="C00000"/>
        </w:rPr>
        <w:t>CONSERVER ⚠️</w:t>
      </w:r>
      <w:r>
        <w:t xml:space="preserve"> | Confiance: Moyen | Risque: Faible</w:t>
      </w:r>
    </w:p>
    <w:p>
      <w:pPr>
        <w:pStyle w:val="ListNumber"/>
      </w:pPr>
      <w:r>
        <w:rPr>
          <w:b/>
        </w:rPr>
        <w:t>ECOC - ECOC - ECOBANK COTE D'IVOIRE</w:t>
      </w:r>
      <w:r>
        <w:t xml:space="preserve"> | Prix: 16200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55.01%</w:t>
      </w:r>
      <w:r>
        <w:t xml:space="preserve">  |  </w:t>
      </w:r>
      <w:r>
        <w:rPr>
          <w:b/>
        </w:rPr>
        <w:t xml:space="preserve">vs BRVM Composite: </w:t>
      </w:r>
      <w:r>
        <w:rPr>
          <w:b/>
          <w:color w:val="008000"/>
        </w:rPr>
        <w:t>+35.96%  🟢 Surperformance</w:t>
      </w:r>
      <w:r>
        <w:br/>
      </w:r>
      <w:r>
        <w:rPr>
          <w:b/>
        </w:rPr>
        <w:t xml:space="preserve">Sentiment général: </w:t>
      </w:r>
      <w:r>
        <w:t xml:space="preserve">ACHAT  |  </w:t>
      </w:r>
      <w:r>
        <w:rPr>
          <w:b/>
        </w:rPr>
        <w:t xml:space="preserve">Risque moyen: </w:t>
      </w:r>
      <w:r>
        <w:t xml:space="preserve">Moyen  |  </w:t>
      </w:r>
      <w:r>
        <w:rPr>
          <w:b/>
        </w:rPr>
        <w:t xml:space="preserve">Prix moyen: </w:t>
      </w:r>
      <w:r>
        <w:t>8520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34.36%</w:t>
      </w:r>
      <w:r>
        <w:t xml:space="preserve">  |  </w:t>
      </w:r>
      <w:r>
        <w:rPr>
          <w:b/>
        </w:rPr>
        <w:t xml:space="preserve">vs BRVM Composite: </w:t>
      </w:r>
      <w:r>
        <w:rPr>
          <w:b/>
          <w:color w:val="008000"/>
        </w:rPr>
        <w:t>+15.31%  🟢 Surperformance</w:t>
      </w:r>
      <w:r>
        <w:br/>
      </w:r>
      <w:r>
        <w:rPr>
          <w:b/>
        </w:rPr>
        <w:t xml:space="preserve">Sentiment général: </w:t>
      </w:r>
      <w:r>
        <w:t xml:space="preserve">ACHAT  |  </w:t>
      </w:r>
      <w:r>
        <w:rPr>
          <w:b/>
        </w:rPr>
        <w:t xml:space="preserve">Risque moyen: </w:t>
      </w:r>
      <w:r>
        <w:t xml:space="preserve">Faible  |  </w:t>
      </w:r>
      <w:r>
        <w:rPr>
          <w:b/>
        </w:rPr>
        <w:t xml:space="preserve">Prix moyen: </w:t>
      </w:r>
      <w:r>
        <w:t>12990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24.84%</w:t>
      </w:r>
      <w:r>
        <w:t xml:space="preserve">  |  </w:t>
      </w:r>
      <w:r>
        <w:rPr>
          <w:b/>
        </w:rPr>
        <w:t xml:space="preserve">vs BRVM Composite: </w:t>
      </w:r>
      <w:r>
        <w:rPr>
          <w:b/>
          <w:color w:val="008000"/>
        </w:rPr>
        <w:t>+5.79%  🟢 Surperformance</w:t>
      </w:r>
      <w:r>
        <w:br/>
      </w:r>
      <w:r>
        <w:rPr>
          <w:b/>
        </w:rPr>
        <w:t xml:space="preserve">Sentiment général: </w:t>
      </w:r>
      <w:r>
        <w:t xml:space="preserve">ACHAT  |  </w:t>
      </w:r>
      <w:r>
        <w:rPr>
          <w:b/>
        </w:rPr>
        <w:t xml:space="preserve">Risque moyen: </w:t>
      </w:r>
      <w:r>
        <w:t xml:space="preserve">Faible  |  </w:t>
      </w:r>
      <w:r>
        <w:rPr>
          <w:b/>
        </w:rPr>
        <w:t xml:space="preserve">Prix moyen: </w:t>
      </w:r>
      <w:r>
        <w:t>18814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10.85%</w:t>
      </w:r>
      <w:r>
        <w:t xml:space="preserve">  |  </w:t>
      </w:r>
      <w:r>
        <w:rPr>
          <w:b/>
        </w:rPr>
        <w:t xml:space="preserve">vs BRVM Composite: </w:t>
      </w:r>
      <w:r>
        <w:rPr>
          <w:b/>
          <w:color w:val="C00000"/>
        </w:rPr>
        <w:t>-8.20%  🔴 Sous-performance</w:t>
      </w:r>
      <w:r>
        <w:br/>
      </w:r>
      <w:r>
        <w:rPr>
          <w:b/>
        </w:rPr>
        <w:t xml:space="preserve">Sentiment général: </w:t>
      </w:r>
      <w:r>
        <w:t xml:space="preserve">ACHAT  |  </w:t>
      </w:r>
      <w:r>
        <w:rPr>
          <w:b/>
        </w:rPr>
        <w:t xml:space="preserve">Risque moyen: </w:t>
      </w:r>
      <w:r>
        <w:t xml:space="preserve">Moyen  |  </w:t>
      </w:r>
      <w:r>
        <w:rPr>
          <w:b/>
        </w:rPr>
        <w:t xml:space="preserve">Prix moyen: </w:t>
      </w:r>
      <w:r>
        <w:t>6354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7.44%</w:t>
      </w:r>
      <w:r>
        <w:t xml:space="preserve">  |  </w:t>
      </w:r>
      <w:r>
        <w:rPr>
          <w:b/>
        </w:rPr>
        <w:t xml:space="preserve">vs BRVM Composite: </w:t>
      </w:r>
      <w:r>
        <w:rPr>
          <w:b/>
          <w:color w:val="C00000"/>
        </w:rPr>
        <w:t>-11.61%  🔴 Sous-performance</w:t>
      </w:r>
      <w:r>
        <w:br/>
      </w:r>
      <w:r>
        <w:rPr>
          <w:b/>
        </w:rPr>
        <w:t xml:space="preserve">Sentiment général: </w:t>
      </w:r>
      <w:r>
        <w:t xml:space="preserve">ACHAT  |  </w:t>
      </w:r>
      <w:r>
        <w:rPr>
          <w:b/>
        </w:rPr>
        <w:t xml:space="preserve">Risque moyen: </w:t>
      </w:r>
      <w:r>
        <w:t xml:space="preserve">Moyen  |  </w:t>
      </w:r>
      <w:r>
        <w:rPr>
          <w:b/>
        </w:rPr>
        <w:t xml:space="preserve">Prix moyen: </w:t>
      </w:r>
      <w:r>
        <w:t>2794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6.19%</w:t>
      </w:r>
      <w:r>
        <w:t xml:space="preserve">  |  </w:t>
      </w:r>
      <w:r>
        <w:rPr>
          <w:b/>
        </w:rPr>
        <w:t xml:space="preserve">vs BRVM Composite: </w:t>
      </w:r>
      <w:r>
        <w:rPr>
          <w:b/>
          <w:color w:val="C00000"/>
        </w:rPr>
        <w:t>-12.86%  🔴 Sous-performance</w:t>
      </w:r>
      <w:r>
        <w:br/>
      </w:r>
      <w:r>
        <w:rPr>
          <w:b/>
        </w:rPr>
        <w:t xml:space="preserve">Sentiment général: </w:t>
      </w:r>
      <w:r>
        <w:t xml:space="preserve">ACHAT  |  </w:t>
      </w:r>
      <w:r>
        <w:rPr>
          <w:b/>
        </w:rPr>
        <w:t xml:space="preserve">Risque moyen: </w:t>
      </w:r>
      <w:r>
        <w:t xml:space="preserve">Faible  |  </w:t>
      </w:r>
      <w:r>
        <w:rPr>
          <w:b/>
        </w:rPr>
        <w:t xml:space="preserve">Prix moyen: </w:t>
      </w:r>
      <w:r>
        <w:t>17303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-2.09%</w:t>
      </w:r>
      <w:r>
        <w:t xml:space="preserve">  |  </w:t>
      </w:r>
      <w:r>
        <w:rPr>
          <w:b/>
        </w:rPr>
        <w:t xml:space="preserve">vs BRVM Composite: </w:t>
      </w:r>
      <w:r>
        <w:rPr>
          <w:b/>
          <w:color w:val="C00000"/>
        </w:rPr>
        <w:t>-21.14%  🔴 Sous-performance</w:t>
      </w:r>
      <w:r>
        <w:br/>
      </w:r>
      <w:r>
        <w:rPr>
          <w:b/>
        </w:rPr>
        <w:t xml:space="preserve">Sentiment général: </w:t>
      </w:r>
      <w:r>
        <w:t xml:space="preserve">ACHAT  |  </w:t>
      </w:r>
      <w:r>
        <w:rPr>
          <w:b/>
        </w:rPr>
        <w:t xml:space="preserve">Risque moyen: </w:t>
      </w:r>
      <w:r>
        <w:t xml:space="preserve">Moyen  |  </w:t>
      </w:r>
      <w:r>
        <w:rPr>
          <w:b/>
        </w:rPr>
        <w:t xml:space="preserve">Prix moyen: </w:t>
      </w:r>
      <w:r>
        <w:t>2438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PALC, SAFC, SIBC, SMBC, UNXC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BNBC, BOAB, BOAC, BOAN, BOAS, CIEC, ETIT, LNBB, ONTBF, ORAC, ORGT, PRSC, SCRC, SDSC, SEMC, SHEC, STAC, STBC,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BICB, BICC, BOABF, BOAM, CABC, CBIBF, CFAC, FTSC, NEIC, NSBC, NTLC, SGBC, SICC, SLBC, SNTS, SOGC, TTLC</w:t>
            </w:r>
          </w:p>
        </w:tc>
        <w:tc>
          <w:tcPr>
            <w:tcW w:type="dxa" w:w="2160"/>
            <w:shd w:fill="FFC7CE" w:val="clear"/>
          </w:tcPr>
          <w:p>
            <w:pPr>
              <w:spacing w:before="40" w:after="40"/>
            </w:pPr>
            <w:r/>
            <w:r>
              <w:rPr>
                <w:b w:val="0"/>
                <w:sz w:val="16"/>
              </w:rPr>
              <w:t>ECOC, SDCC, SIVC, SPHC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2476296</w:t>
            </w:r>
          </w:p>
        </w:tc>
        <w:tc>
          <w:tcPr>
            <w:tcW w:type="dxa" w:w="1728"/>
          </w:tcPr>
          <w:p>
            <w:r>
              <w:t>171134599 FCFA</w:t>
            </w:r>
          </w:p>
        </w:tc>
        <w:tc>
          <w:tcPr>
            <w:tcW w:type="dxa" w:w="1728"/>
          </w:tcPr>
          <w:p>
            <w:r>
              <w:t>109.38%</w:t>
            </w:r>
          </w:p>
        </w:tc>
        <w:tc>
          <w:tcPr>
            <w:tcW w:type="dxa" w:w="1728"/>
          </w:tcPr>
          <w:p>
            <w:r>
              <w:t>ACHAT</w:t>
            </w:r>
          </w:p>
        </w:tc>
      </w:tr>
      <w:tr>
        <w:tc>
          <w:tcPr>
            <w:tcW w:type="dxa" w:w="1728"/>
          </w:tcPr>
          <w:p>
            <w:r>
              <w:t>SDSC (SDSC - AFRICA GLOBAL LOGISTICS CI)</w:t>
            </w:r>
          </w:p>
        </w:tc>
        <w:tc>
          <w:tcPr>
            <w:tcW w:type="dxa" w:w="1728"/>
          </w:tcPr>
          <w:p>
            <w:r>
              <w:t>17112</w:t>
            </w:r>
          </w:p>
        </w:tc>
        <w:tc>
          <w:tcPr>
            <w:tcW w:type="dxa" w:w="1728"/>
          </w:tcPr>
          <w:p>
            <w:r>
              <w:t>43516790 FCFA</w:t>
            </w:r>
          </w:p>
        </w:tc>
        <w:tc>
          <w:tcPr>
            <w:tcW w:type="dxa" w:w="1728"/>
          </w:tcPr>
          <w:p>
            <w:r>
              <w:t>30.56%</w:t>
            </w:r>
          </w:p>
        </w:tc>
        <w:tc>
          <w:tcPr>
            <w:tcW w:type="dxa" w:w="1728"/>
          </w:tcPr>
          <w:p>
            <w:r>
              <w:t>ACHAT</w:t>
            </w:r>
          </w:p>
        </w:tc>
      </w:tr>
      <w:tr>
        <w:tc>
          <w:tcPr>
            <w:tcW w:type="dxa" w:w="1728"/>
          </w:tcPr>
          <w:p>
            <w:r>
              <w:t>SNTS (SNTS - SONATEL SN)</w:t>
            </w:r>
          </w:p>
        </w:tc>
        <w:tc>
          <w:tcPr>
            <w:tcW w:type="dxa" w:w="1728"/>
          </w:tcPr>
          <w:p>
            <w:r>
              <w:t>13292</w:t>
            </w:r>
          </w:p>
        </w:tc>
        <w:tc>
          <w:tcPr>
            <w:tcW w:type="dxa" w:w="1728"/>
          </w:tcPr>
          <w:p>
            <w:r>
              <w:t>414080494 FCFA</w:t>
            </w:r>
          </w:p>
        </w:tc>
        <w:tc>
          <w:tcPr>
            <w:tcW w:type="dxa" w:w="1728"/>
          </w:tcPr>
          <w:p>
            <w:r>
              <w:t>11.11%</w:t>
            </w:r>
          </w:p>
        </w:tc>
        <w:tc>
          <w:tcPr>
            <w:tcW w:type="dxa" w:w="1728"/>
          </w:tcPr>
          <w:p>
            <w:r>
              <w:t>ACHAT</w:t>
            </w:r>
          </w:p>
        </w:tc>
      </w:tr>
      <w:tr>
        <w:tc>
          <w:tcPr>
            <w:tcW w:type="dxa" w:w="1728"/>
          </w:tcPr>
          <w:p>
            <w:r>
              <w:t>UNXC (UNXC - UNIWAX COTE D'IVOIRE)</w:t>
            </w:r>
          </w:p>
        </w:tc>
        <w:tc>
          <w:tcPr>
            <w:tcW w:type="dxa" w:w="1728"/>
          </w:tcPr>
          <w:p>
            <w:r>
              <w:t>10519</w:t>
            </w:r>
          </w:p>
        </w:tc>
        <w:tc>
          <w:tcPr>
            <w:tcW w:type="dxa" w:w="1728"/>
          </w:tcPr>
          <w:p>
            <w:r>
              <w:t>19522785 FCFA</w:t>
            </w:r>
          </w:p>
        </w:tc>
        <w:tc>
          <w:tcPr>
            <w:tcW w:type="dxa" w:w="1728"/>
          </w:tcPr>
          <w:p>
            <w:r>
              <w:t>-3.25%</w:t>
            </w:r>
          </w:p>
        </w:tc>
        <w:tc>
          <w:tcPr>
            <w:tcW w:type="dxa" w:w="1728"/>
          </w:tcPr>
          <w:p>
            <w:r>
              <w:t>ACHAT</w:t>
            </w:r>
          </w:p>
        </w:tc>
      </w:tr>
      <w:tr>
        <w:tc>
          <w:tcPr>
            <w:tcW w:type="dxa" w:w="1728"/>
          </w:tcPr>
          <w:p>
            <w:r>
              <w:t>SIBC (SIBC - SOCIETE IVOIRIENNE DE BANQUE)</w:t>
            </w:r>
          </w:p>
        </w:tc>
        <w:tc>
          <w:tcPr>
            <w:tcW w:type="dxa" w:w="1728"/>
          </w:tcPr>
          <w:p>
            <w:r>
              <w:t>9487</w:t>
            </w:r>
          </w:p>
        </w:tc>
        <w:tc>
          <w:tcPr>
            <w:tcW w:type="dxa" w:w="1728"/>
          </w:tcPr>
          <w:p>
            <w:r>
              <w:t>84537073 FCFA</w:t>
            </w:r>
          </w:p>
        </w:tc>
        <w:tc>
          <w:tcPr>
            <w:tcW w:type="dxa" w:w="1728"/>
          </w:tcPr>
          <w:p>
            <w:r>
              <w:t>31.27%</w:t>
            </w:r>
          </w:p>
        </w:tc>
        <w:tc>
          <w:tcPr>
            <w:tcW w:type="dxa" w:w="1728"/>
          </w:tcPr>
          <w:p>
            <w:r>
              <w:t>ACHAT FORT</w:t>
            </w:r>
          </w:p>
        </w:tc>
      </w:tr>
      <w:tr>
        <w:tc>
          <w:tcPr>
            <w:tcW w:type="dxa" w:w="1728"/>
          </w:tcPr>
          <w:p>
            <w:r>
              <w:t>ONTBF (ONTBF - ONATEL BURKINA FASO)</w:t>
            </w:r>
          </w:p>
        </w:tc>
        <w:tc>
          <w:tcPr>
            <w:tcW w:type="dxa" w:w="1728"/>
          </w:tcPr>
          <w:p>
            <w:r>
              <w:t>9057</w:t>
            </w:r>
          </w:p>
        </w:tc>
        <w:tc>
          <w:tcPr>
            <w:tcW w:type="dxa" w:w="1728"/>
          </w:tcPr>
          <w:p>
            <w:r>
              <w:t>24862754 FCFA</w:t>
            </w:r>
          </w:p>
        </w:tc>
        <w:tc>
          <w:tcPr>
            <w:tcW w:type="dxa" w:w="1728"/>
          </w:tcPr>
          <w:p>
            <w:r>
              <w:t>-3.64%</w:t>
            </w:r>
          </w:p>
        </w:tc>
        <w:tc>
          <w:tcPr>
            <w:tcW w:type="dxa" w:w="1728"/>
          </w:tcPr>
          <w:p>
            <w:r>
              <w:t>ACHAT FORT</w:t>
            </w:r>
          </w:p>
        </w:tc>
      </w:tr>
      <w:tr>
        <w:tc>
          <w:tcPr>
            <w:tcW w:type="dxa" w:w="1728"/>
          </w:tcPr>
          <w:p>
            <w:r>
              <w:t>BOAS (BANK OF AFRICA SENEGAL)</w:t>
            </w:r>
          </w:p>
        </w:tc>
        <w:tc>
          <w:tcPr>
            <w:tcW w:type="dxa" w:w="1728"/>
          </w:tcPr>
          <w:p>
            <w:r>
              <w:t>8888</w:t>
            </w:r>
          </w:p>
        </w:tc>
        <w:tc>
          <w:tcPr>
            <w:tcW w:type="dxa" w:w="1728"/>
          </w:tcPr>
          <w:p>
            <w:r>
              <w:t>66406776 FCFA</w:t>
            </w:r>
          </w:p>
        </w:tc>
        <w:tc>
          <w:tcPr>
            <w:tcW w:type="dxa" w:w="1728"/>
          </w:tcPr>
          <w:p>
            <w:r>
              <w:t>10.79%</w:t>
            </w:r>
          </w:p>
        </w:tc>
        <w:tc>
          <w:tcPr>
            <w:tcW w:type="dxa" w:w="1728"/>
          </w:tcPr>
          <w:p>
            <w:r>
              <w:t>ACHAT</w:t>
            </w:r>
          </w:p>
        </w:tc>
      </w:tr>
      <w:tr>
        <w:tc>
          <w:tcPr>
            <w:tcW w:type="dxa" w:w="1728"/>
          </w:tcPr>
          <w:p>
            <w:r>
              <w:t>BICB (BIIC BN - Banque internationale pour le commerce du benin)</w:t>
            </w:r>
          </w:p>
        </w:tc>
        <w:tc>
          <w:tcPr>
            <w:tcW w:type="dxa" w:w="1728"/>
          </w:tcPr>
          <w:p>
            <w:r>
              <w:t>7948</w:t>
            </w:r>
          </w:p>
        </w:tc>
        <w:tc>
          <w:tcPr>
            <w:tcW w:type="dxa" w:w="1728"/>
          </w:tcPr>
          <w:p>
            <w:r>
              <w:t>58274055 FCFA</w:t>
            </w:r>
          </w:p>
        </w:tc>
        <w:tc>
          <w:tcPr>
            <w:tcW w:type="dxa" w:w="1728"/>
          </w:tcPr>
          <w:p>
            <w:r>
              <w:t>48.21%</w:t>
            </w:r>
          </w:p>
        </w:tc>
        <w:tc>
          <w:tcPr>
            <w:tcW w:type="dxa" w:w="1728"/>
          </w:tcPr>
          <w:p>
            <w:r>
              <w:t>ACHAT</w:t>
            </w:r>
          </w:p>
        </w:tc>
      </w:tr>
      <w:tr>
        <w:tc>
          <w:tcPr>
            <w:tcW w:type="dxa" w:w="1728"/>
          </w:tcPr>
          <w:p>
            <w:r>
              <w:t>SCRC (SCRC - SUCRIVOIRE)</w:t>
            </w:r>
          </w:p>
        </w:tc>
        <w:tc>
          <w:tcPr>
            <w:tcW w:type="dxa" w:w="1728"/>
          </w:tcPr>
          <w:p>
            <w:r>
              <w:t>7497</w:t>
            </w:r>
          </w:p>
        </w:tc>
        <w:tc>
          <w:tcPr>
            <w:tcW w:type="dxa" w:w="1728"/>
          </w:tcPr>
          <w:p>
            <w:r>
              <w:t>27256351 FCFA</w:t>
            </w:r>
          </w:p>
        </w:tc>
        <w:tc>
          <w:tcPr>
            <w:tcW w:type="dxa" w:w="1728"/>
          </w:tcPr>
          <w:p>
            <w:r>
              <w:t>142.95%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LNBB (LNBB - LOTERIE NATIONALE DU BENIN)</w:t>
            </w:r>
          </w:p>
        </w:tc>
        <w:tc>
          <w:tcPr>
            <w:tcW w:type="dxa" w:w="1728"/>
          </w:tcPr>
          <w:p>
            <w:r>
              <w:t>3482</w:t>
            </w:r>
          </w:p>
        </w:tc>
        <w:tc>
          <w:tcPr>
            <w:tcW w:type="dxa" w:w="1728"/>
          </w:tcPr>
          <w:p>
            <w:r>
              <w:t>15022097 FCFA</w:t>
            </w:r>
          </w:p>
        </w:tc>
        <w:tc>
          <w:tcPr>
            <w:tcW w:type="dxa" w:w="1728"/>
          </w:tcPr>
          <w:p>
            <w:r>
              <w:t>10.13%</w:t>
            </w:r>
          </w:p>
        </w:tc>
        <w:tc>
          <w:tcPr>
            <w:tcW w:type="dxa" w:w="1728"/>
          </w:tcPr>
          <w:p>
            <w:r>
              <w:t>ACHAT</w:t>
            </w:r>
          </w:p>
        </w:tc>
      </w:tr>
      <w:tr>
        <w:tc>
          <w:tcPr>
            <w:tcW w:type="dxa" w:w="1728"/>
          </w:tcPr>
          <w:p>
            <w:r>
              <w:t>TTLS (TTLS - TOTAL ENERGIES MARKETING SENEGAL)</w:t>
            </w:r>
          </w:p>
        </w:tc>
        <w:tc>
          <w:tcPr>
            <w:tcW w:type="dxa" w:w="1728"/>
          </w:tcPr>
          <w:p>
            <w:r>
              <w:t>3292</w:t>
            </w:r>
          </w:p>
        </w:tc>
        <w:tc>
          <w:tcPr>
            <w:tcW w:type="dxa" w:w="1728"/>
          </w:tcPr>
          <w:p>
            <w:r>
              <w:t>12389216 FCFA</w:t>
            </w:r>
          </w:p>
        </w:tc>
        <w:tc>
          <w:tcPr>
            <w:tcW w:type="dxa" w:w="1728"/>
          </w:tcPr>
          <w:p>
            <w:r>
              <w:t>10.94%</w:t>
            </w:r>
          </w:p>
        </w:tc>
        <w:tc>
          <w:tcPr>
            <w:tcW w:type="dxa" w:w="1728"/>
          </w:tcPr>
          <w:p>
            <w:r>
              <w:t>ACHAT</w:t>
            </w:r>
          </w:p>
        </w:tc>
      </w:tr>
      <w:tr>
        <w:tc>
          <w:tcPr>
            <w:tcW w:type="dxa" w:w="1728"/>
          </w:tcPr>
          <w:p>
            <w:r>
              <w:t>CABC (CABC - SICABLE COTE D'IVOIRE)</w:t>
            </w:r>
          </w:p>
        </w:tc>
        <w:tc>
          <w:tcPr>
            <w:tcW w:type="dxa" w:w="1728"/>
          </w:tcPr>
          <w:p>
            <w:r>
              <w:t>3126</w:t>
            </w:r>
          </w:p>
        </w:tc>
        <w:tc>
          <w:tcPr>
            <w:tcW w:type="dxa" w:w="1728"/>
          </w:tcPr>
          <w:p>
            <w:r>
              <w:t>11370626 FCFA</w:t>
            </w:r>
          </w:p>
        </w:tc>
        <w:tc>
          <w:tcPr>
            <w:tcW w:type="dxa" w:w="1728"/>
          </w:tcPr>
          <w:p>
            <w:r>
              <w:t>-1.82%</w:t>
            </w:r>
          </w:p>
        </w:tc>
        <w:tc>
          <w:tcPr>
            <w:tcW w:type="dxa" w:w="1728"/>
          </w:tcPr>
          <w:p>
            <w:r>
              <w:t>ACHAT</w:t>
            </w:r>
          </w:p>
        </w:tc>
      </w:tr>
      <w:tr>
        <w:tc>
          <w:tcPr>
            <w:tcW w:type="dxa" w:w="1728"/>
          </w:tcPr>
          <w:p>
            <w:r>
              <w:t>SOGC (SOGC - Société des caoutchoucs de Grand-Béréby)</w:t>
            </w:r>
          </w:p>
        </w:tc>
        <w:tc>
          <w:tcPr>
            <w:tcW w:type="dxa" w:w="1728"/>
          </w:tcPr>
          <w:p>
            <w:r>
              <w:t>3093</w:t>
            </w:r>
          </w:p>
        </w:tc>
        <w:tc>
          <w:tcPr>
            <w:tcW w:type="dxa" w:w="1728"/>
          </w:tcPr>
          <w:p>
            <w:r>
              <w:t>25198459 FCFA</w:t>
            </w:r>
          </w:p>
        </w:tc>
        <w:tc>
          <w:tcPr>
            <w:tcW w:type="dxa" w:w="1728"/>
          </w:tcPr>
          <w:p>
            <w:r>
              <w:t>-10.61%</w:t>
            </w:r>
          </w:p>
        </w:tc>
        <w:tc>
          <w:tcPr>
            <w:tcW w:type="dxa" w:w="1728"/>
          </w:tcPr>
          <w:p>
            <w:r>
              <w:t>ACHAT</w:t>
            </w:r>
          </w:p>
        </w:tc>
      </w:tr>
      <w:tr>
        <w:tc>
          <w:tcPr>
            <w:tcW w:type="dxa" w:w="1728"/>
          </w:tcPr>
          <w:p>
            <w:r>
              <w:t>ECOC (ECOC - ECOBANK COTE D'IVOIRE)</w:t>
            </w:r>
          </w:p>
        </w:tc>
        <w:tc>
          <w:tcPr>
            <w:tcW w:type="dxa" w:w="1728"/>
          </w:tcPr>
          <w:p>
            <w:r>
              <w:t>3039</w:t>
            </w:r>
          </w:p>
        </w:tc>
        <w:tc>
          <w:tcPr>
            <w:tcW w:type="dxa" w:w="1728"/>
          </w:tcPr>
          <w:p>
            <w:r>
              <w:t>48544430 FCFA</w:t>
            </w:r>
          </w:p>
        </w:tc>
        <w:tc>
          <w:tcPr>
            <w:tcW w:type="dxa" w:w="1728"/>
          </w:tcPr>
          <w:p>
            <w:r>
              <w:t>-1.25%</w:t>
            </w:r>
          </w:p>
        </w:tc>
        <w:tc>
          <w:tcPr>
            <w:tcW w:type="dxa" w:w="1728"/>
          </w:tcPr>
          <w:p>
            <w:r>
              <w:t>CONSERVER ⚠️</w:t>
            </w:r>
          </w:p>
        </w:tc>
      </w:tr>
      <w:tr>
        <w:tc>
          <w:tcPr>
            <w:tcW w:type="dxa" w:w="1728"/>
          </w:tcPr>
          <w:p>
            <w:r>
              <w:t>PALC (PALC - PALM COTE D'IVOIRE)</w:t>
            </w:r>
          </w:p>
        </w:tc>
        <w:tc>
          <w:tcPr>
            <w:tcW w:type="dxa" w:w="1728"/>
          </w:tcPr>
          <w:p>
            <w:r>
              <w:t>2603</w:t>
            </w:r>
          </w:p>
        </w:tc>
        <w:tc>
          <w:tcPr>
            <w:tcW w:type="dxa" w:w="1728"/>
          </w:tcPr>
          <w:p>
            <w:r>
              <w:t>22860625 FCFA</w:t>
            </w:r>
          </w:p>
        </w:tc>
        <w:tc>
          <w:tcPr>
            <w:tcW w:type="dxa" w:w="1728"/>
          </w:tcPr>
          <w:p>
            <w:r>
              <w:t>-3.29%</w:t>
            </w:r>
          </w:p>
        </w:tc>
        <w:tc>
          <w:tcPr>
            <w:tcW w:type="dxa" w:w="1728"/>
          </w:tcPr>
          <w:p>
            <w:r>
              <w:t>ACHAT</w:t>
            </w:r>
          </w:p>
        </w:tc>
      </w:tr>
      <w:tr>
        <w:tc>
          <w:tcPr>
            <w:tcW w:type="dxa" w:w="1728"/>
          </w:tcPr>
          <w:p>
            <w:r>
              <w:t>SMBC (SMBC - Société Multinationale de Bitumes COTE D'IVOIRE)</w:t>
            </w:r>
          </w:p>
        </w:tc>
        <w:tc>
          <w:tcPr>
            <w:tcW w:type="dxa" w:w="1728"/>
          </w:tcPr>
          <w:p>
            <w:r>
              <w:t>2074</w:t>
            </w:r>
          </w:p>
        </w:tc>
        <w:tc>
          <w:tcPr>
            <w:tcW w:type="dxa" w:w="1728"/>
          </w:tcPr>
          <w:p>
            <w:r>
              <w:t>32989355 FCFA</w:t>
            </w:r>
          </w:p>
        </w:tc>
        <w:tc>
          <w:tcPr>
            <w:tcW w:type="dxa" w:w="1728"/>
          </w:tcPr>
          <w:p>
            <w:r>
              <w:t>23.73%</w:t>
            </w:r>
          </w:p>
        </w:tc>
        <w:tc>
          <w:tcPr>
            <w:tcW w:type="dxa" w:w="1728"/>
          </w:tcPr>
          <w:p>
            <w:r>
              <w:t>ACHAT</w:t>
            </w:r>
          </w:p>
        </w:tc>
      </w:tr>
      <w:tr>
        <w:tc>
          <w:tcPr>
            <w:tcW w:type="dxa" w:w="1728"/>
          </w:tcPr>
          <w:p>
            <w:r>
              <w:t>BNBC (BNBC - BERNABE CI)</w:t>
            </w:r>
          </w:p>
        </w:tc>
        <w:tc>
          <w:tcPr>
            <w:tcW w:type="dxa" w:w="1728"/>
          </w:tcPr>
          <w:p>
            <w:r>
              <w:t>2001</w:t>
            </w:r>
          </w:p>
        </w:tc>
        <w:tc>
          <w:tcPr>
            <w:tcW w:type="dxa" w:w="1728"/>
          </w:tcPr>
          <w:p>
            <w:r>
              <w:t>3782634 FCFA</w:t>
            </w:r>
          </w:p>
        </w:tc>
        <w:tc>
          <w:tcPr>
            <w:tcW w:type="dxa" w:w="1728"/>
          </w:tcPr>
          <w:p>
            <w:r>
              <w:t>16.87%</w:t>
            </w:r>
          </w:p>
        </w:tc>
        <w:tc>
          <w:tcPr>
            <w:tcW w:type="dxa" w:w="1728"/>
          </w:tcPr>
          <w:p>
            <w:r>
              <w:t>ACHAT</w:t>
            </w:r>
          </w:p>
        </w:tc>
      </w:tr>
      <w:tr>
        <w:tc>
          <w:tcPr>
            <w:tcW w:type="dxa" w:w="1728"/>
          </w:tcPr>
          <w:p>
            <w:r>
              <w:t>SLBC (SLBC - SOLIBRA COTE D'IVOIRE)</w:t>
            </w:r>
          </w:p>
        </w:tc>
        <w:tc>
          <w:tcPr>
            <w:tcW w:type="dxa" w:w="1728"/>
          </w:tcPr>
          <w:p>
            <w:r>
              <w:t>1961</w:t>
            </w:r>
          </w:p>
        </w:tc>
        <w:tc>
          <w:tcPr>
            <w:tcW w:type="dxa" w:w="1728"/>
          </w:tcPr>
          <w:p>
            <w:r>
              <w:t>76121381 FCFA</w:t>
            </w:r>
          </w:p>
        </w:tc>
        <w:tc>
          <w:tcPr>
            <w:tcW w:type="dxa" w:w="1728"/>
          </w:tcPr>
          <w:p>
            <w:r>
              <w:t>-6.32%</w:t>
            </w:r>
          </w:p>
        </w:tc>
        <w:tc>
          <w:tcPr>
            <w:tcW w:type="dxa" w:w="1728"/>
          </w:tcPr>
          <w:p>
            <w:r>
              <w:t>ACHAT</w:t>
            </w:r>
          </w:p>
        </w:tc>
      </w:tr>
      <w:tr>
        <w:tc>
          <w:tcPr>
            <w:tcW w:type="dxa" w:w="1728"/>
          </w:tcPr>
          <w:p>
            <w:r>
              <w:t>SPHC (SPHC - Société Africaine de Plantation d'Hévéas de Côte d'Ivoire)</w:t>
            </w:r>
          </w:p>
        </w:tc>
        <w:tc>
          <w:tcPr>
            <w:tcW w:type="dxa" w:w="1728"/>
          </w:tcPr>
          <w:p>
            <w:r>
              <w:t>1832</w:t>
            </w:r>
          </w:p>
        </w:tc>
        <w:tc>
          <w:tcPr>
            <w:tcW w:type="dxa" w:w="1728"/>
          </w:tcPr>
          <w:p>
            <w:r>
              <w:t>13608823 FCFA</w:t>
            </w:r>
          </w:p>
        </w:tc>
        <w:tc>
          <w:tcPr>
            <w:tcW w:type="dxa" w:w="1728"/>
          </w:tcPr>
          <w:p>
            <w:r>
              <w:t>-5.95%</w:t>
            </w:r>
          </w:p>
        </w:tc>
        <w:tc>
          <w:tcPr>
            <w:tcW w:type="dxa" w:w="1728"/>
          </w:tcPr>
          <w:p>
            <w:r>
              <w:t>CONSERVER ⚠️</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SGBC - SGBC - SOCIETE GENERALE COTE D'IVOIRE</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ABJC - ABJC - SERVAIR ABIDJAN CI</w:t>
      </w:r>
    </w:p>
    <w:p>
      <w:r>
        <w:rPr>
          <w:b/>
        </w:rPr>
        <w:t xml:space="preserve">Score de divergence: </w:t>
      </w:r>
      <w:r>
        <w:t>5/8</w:t>
        <w:br/>
      </w:r>
      <w:r>
        <w:rPr>
          <w:b/>
        </w:rPr>
        <w:t xml:space="preserve">Description: </w:t>
      </w:r>
      <w:r>
        <w:t>Signaux de vente: MM, MACD | Recommandation finale: ACHAT</w:t>
        <w:br/>
      </w:r>
    </w:p>
    <w:p/>
    <w:p>
      <w:pPr>
        <w:pStyle w:val="Heading3"/>
      </w:pPr>
      <w:r>
        <w:t>3.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4. FTSC - FTSC - FILTISAC COTE D'IVOIRE</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5. NTLC - NTLC - NESTLE COTE D'IVOIRE</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6. BICC - BICI CI - Banque internationale pour le commerce et l'industrie de la Côte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7. BOABF - BANK OF AFRICA BURKINA FASO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BOAM - BANK OF AFRICA MALI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10. CBIBF - CBIBF - CORIS BANK INTERNATIONAL BURKINA FASO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BICB (BIIC BN - Banque internationale pour le commerce du benin)</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ont connu une volatilité marquée : une chute de près de 8% le 10 août 2026 suite aux anticipations d'apaisement des tensions au Moyen-Orient, suivie d'une remontée le 7 août avant l'ouverture des marchés européens, puis d'une nouvelle hausse conjointe des prix du pétrole brut et du sucre le 11 août 2026. Cette instabilité reflète un marché mondial des matières premières nerveux, influencé par les évolutions géopolitiques et les anticipations des investisseurs.</w:t>
      </w:r>
    </w:p>
    <w:p>
      <w:pPr>
        <w:pStyle w:val="Heading3"/>
      </w:pPr>
      <w:r>
        <w:rPr>
          <w:color w:val="500050"/>
        </w:rPr>
        <w:t>⚡ Impact estimé sur la BRVM</w:t>
      </w:r>
    </w:p>
    <w:p>
      <w:pPr>
        <w:spacing w:before="20" w:after="40"/>
        <w:ind w:left="280"/>
      </w:pPr>
      <w:r>
        <w:rPr>
          <w:i/>
          <w:sz w:val="18"/>
        </w:rPr>
        <w:t>La baisse des prix du pétrole est globalement positive pour les économies importatrices nettes de la zone UEMOA, réduisant les coûts énergétiques pour les sociétés industrielles comme STAC et SDSC. Cependant, la hausse du sucre pourrait bénéficier aux entreprises du secteur agro-alimentaire telles que SCRC et STBC, tandis que les sociétés énergétiques SHEC et SMBC verront leurs marges affectées par la volatilité des prix du brut.</w:t>
      </w:r>
    </w:p>
    <w:p>
      <w:pPr>
        <w:pStyle w:val="Heading2"/>
      </w:pPr>
      <w:r>
        <w:rPr>
          <w:color w:val="006E32"/>
        </w:rPr>
        <w:t>🌍 Plan Africain</w:t>
      </w:r>
    </w:p>
    <w:p>
      <w:pPr>
        <w:spacing w:before="20" w:after="40"/>
        <w:ind w:left="0"/>
      </w:pPr>
      <w:r>
        <w:rPr>
          <w:sz w:val="18"/>
        </w:rPr>
        <w:t>L'investissement dans l'économie des soins est présenté comme un "levier de croissance stratégique" par un responsable sénégalais (28 juillet 2026), tandis que l'OMS recommande l'investissement privé dans la santé en Mauritanie comme moteur de croissance économique (16 juillet 2026). Par ailleurs, la Senelec a émis 108 milliards de FCFA de dette verte à la Bourse de Luxembourg (18 juillet 2026), illustrant l'intérêt croissant pour la finance verte sur le continent.</w:t>
      </w:r>
    </w:p>
    <w:p>
      <w:pPr>
        <w:pStyle w:val="Heading3"/>
      </w:pPr>
      <w:r>
        <w:rPr>
          <w:color w:val="500050"/>
        </w:rPr>
        <w:t>⚡ Impact estimé sur la BRVM</w:t>
      </w:r>
    </w:p>
    <w:p>
      <w:pPr>
        <w:spacing w:before="20" w:after="40"/>
        <w:ind w:left="280"/>
      </w:pPr>
      <w:r>
        <w:rPr>
          <w:i/>
          <w:sz w:val="18"/>
        </w:rPr>
        <w:t>Ces initiatives dans les secteurs de la santé et de la finance verte pourraient indirectement stimuler l'activité des banques cotées comme BOAC et SIBC, qui pourraient participer au financement de ces projets. L'émission de dette verte par Senelec démontre l'appétit des investisseurs internationaux pour les titres africains, ce qui pourrait renforcer la confiance dans les émissions obligataires de la région.</w:t>
      </w:r>
    </w:p>
    <w:p>
      <w:pPr>
        <w:pStyle w:val="Heading2"/>
      </w:pPr>
      <w:r>
        <w:rPr>
          <w:color w:val="145A28"/>
        </w:rPr>
        <w:t>🌍 Plan Afrique de l'Ouest</w:t>
      </w:r>
    </w:p>
    <w:p>
      <w:pPr>
        <w:spacing w:before="20" w:after="40"/>
        <w:ind w:left="0"/>
      </w:pPr>
      <w:r>
        <w:rPr>
          <w:sz w:val="18"/>
        </w:rPr>
        <w:t>Le lancement de la monnaie unique ECO en 2027 est au cœur des discussions, les économistes guinéens soulignant la nécessité d'une convergence préalable des économies de la CEDEAO (10 août 2026). Le Premier ministre guinéen a salué le modèle ivoirien de développement (7 août 2026), témoignant de l'influence économique de la Côte d'Ivoire dans la sous-région.</w:t>
      </w:r>
    </w:p>
    <w:p>
      <w:pPr>
        <w:pStyle w:val="Heading3"/>
      </w:pPr>
      <w:r>
        <w:rPr>
          <w:color w:val="500050"/>
        </w:rPr>
        <w:t>⚡ Impact estimé sur la BRVM</w:t>
      </w:r>
    </w:p>
    <w:p>
      <w:pPr>
        <w:spacing w:before="20" w:after="40"/>
        <w:ind w:left="280"/>
      </w:pPr>
      <w:r>
        <w:rPr>
          <w:i/>
          <w:sz w:val="18"/>
        </w:rPr>
        <w:t>Le projet ECO suscite des incertitudes mais aussi des espoirs d'intégration économique renforcée. Les sociétés cotées ayant une forte présence régionale, comme ORAC et ONTBF dans les télécommunications, pourraient bénéficier d'une harmonisation monétaire facilitant les échanges transfrontaliers. La reconnaissance du modèle ivoirien renforce l'attractivité de la BRVM, dominée par les valeurs ivoiriennes.</w:t>
      </w:r>
    </w:p>
    <w:p>
      <w:pPr>
        <w:pStyle w:val="Heading2"/>
      </w:pPr>
      <w:r>
        <w:rPr>
          <w:color w:val="8C4600"/>
        </w:rPr>
        <w:t>🏦 Plan UEMOA / Zone Franc</w:t>
      </w:r>
    </w:p>
    <w:p>
      <w:pPr>
        <w:spacing w:before="20" w:after="40"/>
        <w:ind w:left="0"/>
      </w:pPr>
      <w:r>
        <w:rPr>
          <w:sz w:val="18"/>
        </w:rPr>
        <w:t>L'exportation d'huile d'arachide du Sénégal a atteint en 2025 son plus haut niveau en six ans (11 août 2026), signe d'une dynamique positive dans le secteur agricole. La stabilité politique au Mali est réaffirmée par le Premier ministre concernant les relations avec l'Algérie (10 août 2026), tandis que la transhumance politique au Sénégal (10 août 2026) crée une certaine incertitude.</w:t>
      </w:r>
    </w:p>
    <w:p>
      <w:pPr>
        <w:pStyle w:val="Heading3"/>
      </w:pPr>
      <w:r>
        <w:rPr>
          <w:color w:val="500050"/>
        </w:rPr>
        <w:t>⚡ Impact estimé sur la BRVM</w:t>
      </w:r>
    </w:p>
    <w:p>
      <w:pPr>
        <w:spacing w:before="20" w:after="40"/>
        <w:ind w:left="280"/>
      </w:pPr>
      <w:r>
        <w:rPr>
          <w:i/>
          <w:sz w:val="18"/>
        </w:rPr>
        <w:t>La performance sénégalaise dans l'exportation d'huile d'arachide est positive pour les sociétés agro-industrielles comme PALC et STBC. L'instabilité politique sénégalaise pourrait avoir un impact limité sur la BRVM, mais mérite une surveillance. Le secteur bancaire (BOAN, SAFC) reste dépendant de la liquidité BCEAO et de la santé économique régionale.</w:t>
      </w:r>
    </w:p>
    <w:p>
      <w:pPr>
        <w:pStyle w:val="Heading2"/>
      </w:pPr>
      <w:r>
        <w:rPr>
          <w:color w:val="003366"/>
        </w:rPr>
        <w:t>📈 Plan BRVM</w:t>
      </w:r>
    </w:p>
    <w:p>
      <w:pPr>
        <w:spacing w:before="20" w:after="40"/>
        <w:ind w:left="0"/>
      </w:pPr>
      <w:r>
        <w:rPr>
          <w:sz w:val="18"/>
        </w:rPr>
        <w:t>L'indice BRVM Composite se situe à 490.51 points. Les résultats encourageants des sociétés cotées ivoiriennes ont été mis en avant en juin 2026, suggérant une dynamique positive. Les secteurs clés restent les services financiers avec BOAC, SIBC, ORGT, SAFC et BOAN, ainsi que la consommation et l'énergie.</w:t>
      </w:r>
    </w:p>
    <w:p>
      <w:pPr>
        <w:pStyle w:val="Heading3"/>
      </w:pPr>
      <w:r>
        <w:rPr>
          <w:color w:val="500050"/>
        </w:rPr>
        <w:t>⚡ Impact estimé sur la BRVM</w:t>
      </w:r>
    </w:p>
    <w:p>
      <w:pPr>
        <w:spacing w:before="20" w:after="40"/>
        <w:ind w:left="280"/>
      </w:pPr>
      <w:r>
        <w:rPr>
          <w:i/>
          <w:sz w:val="18"/>
        </w:rPr>
        <w:t>Les fondamentaux des sociétés ivoiriennes semblent solides. Les banques (BOAC, SIBC, SAFC, BOAN) devraient continuer à bénéficier d'une activité économique régionale soutenue. Les valeurs de consommation (UNXC, PALC, STBC, SCRC) sont soutenues par la demande intérieure. Les sociétés énergétiques (SHEC, SMBC) doivent surveiller la volatilité des prix du pétrole. Les télécoms (ORAC, ONTBF) restent des valeurs défensives attractives.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au Moyen-Orient et leur possible apaisement influencent directement les prix du pétrole, créant une incertitude géopolitique mondiale. Les anticipations d'une détente ont provoqué une chute de 8% des prix du brut le 10 août 2026, avant une remontée le 11 août, indiquant une situation encore instable.</w:t>
      </w:r>
    </w:p>
    <w:p>
      <w:pPr>
        <w:pStyle w:val="Heading3"/>
      </w:pPr>
      <w:r>
        <w:rPr>
          <w:color w:val="500050"/>
        </w:rPr>
        <w:t>⚡ Impact estimé sur la BRVM</w:t>
      </w:r>
    </w:p>
    <w:p>
      <w:pPr>
        <w:spacing w:before="20" w:after="40"/>
        <w:ind w:left="280"/>
      </w:pPr>
      <w:r>
        <w:rPr>
          <w:i/>
          <w:sz w:val="18"/>
        </w:rPr>
        <w:t>L'apaisement des tensions au Moyen-Orient est positif pour la stabilité des marchés financiers mondiaux et pourrait réduire la prime de risque exigée par les investisseurs sur les marchés émergents, dont la BRVM. Une détente durable favoriserait l'appétit pour le risque et les flux entrants vers la bourse régionale.</w:t>
      </w:r>
    </w:p>
    <w:p>
      <w:pPr>
        <w:pStyle w:val="Heading2"/>
      </w:pPr>
      <w:r>
        <w:rPr>
          <w:color w:val="006E32"/>
        </w:rPr>
        <w:t>🌍 Plan Africain</w:t>
      </w:r>
    </w:p>
    <w:p>
      <w:pPr>
        <w:spacing w:before="20" w:after="40"/>
        <w:ind w:left="0"/>
      </w:pPr>
      <w:r>
        <w:rPr>
          <w:sz w:val="18"/>
        </w:rPr>
        <w:t>La transhumance politique au Sénégal (10 août 2026) et les relations Mali-Algérie maintenues malgré les tensions (10 août 2026) sont les principaux faits politiques africains. La situation semble globalement stable, avec des tensions localisées.</w:t>
      </w:r>
    </w:p>
    <w:p>
      <w:pPr>
        <w:pStyle w:val="Heading3"/>
      </w:pPr>
      <w:r>
        <w:rPr>
          <w:color w:val="500050"/>
        </w:rPr>
        <w:t>⚡ Impact estimé sur la BRVM</w:t>
      </w:r>
    </w:p>
    <w:p>
      <w:pPr>
        <w:spacing w:before="20" w:after="40"/>
        <w:ind w:left="280"/>
      </w:pPr>
      <w:r>
        <w:rPr>
          <w:i/>
          <w:sz w:val="18"/>
        </w:rPr>
        <w:t>La stabilité politique relative en Afrique de l'Ouest est un facteur positif pour la confiance des investisseurs. Les tensions politiques au Sénégal, pays membre de l'UEMOA, sont à surveiller mais n'affectent pas directement les sociétés cotées à la BRVM. La continuité diplomatique Mali-Algérie réduit les risques régionaux.</w:t>
      </w:r>
    </w:p>
    <w:p>
      <w:pPr>
        <w:pStyle w:val="Heading2"/>
      </w:pPr>
      <w:r>
        <w:rPr>
          <w:color w:val="145A28"/>
        </w:rPr>
        <w:t>🌍 Plan Afrique de l'Ouest</w:t>
      </w:r>
    </w:p>
    <w:p>
      <w:pPr>
        <w:spacing w:before="20" w:after="40"/>
        <w:ind w:left="0"/>
      </w:pPr>
      <w:r>
        <w:rPr>
          <w:sz w:val="18"/>
        </w:rPr>
        <w:t>Le projet de monnaie unique ECO en 2027 reste un sujet politique majeur dans la région, avec des prérequis économiques à remplir. Le Premier ministre guinéen salue le modèle ivoirien, renforçant les liens régionaux.</w:t>
      </w:r>
    </w:p>
    <w:p>
      <w:pPr>
        <w:pStyle w:val="Heading3"/>
      </w:pPr>
      <w:r>
        <w:rPr>
          <w:color w:val="500050"/>
        </w:rPr>
        <w:t>⚡ Impact estimé sur la BRVM</w:t>
      </w:r>
    </w:p>
    <w:p>
      <w:pPr>
        <w:spacing w:before="20" w:after="40"/>
        <w:ind w:left="280"/>
      </w:pPr>
      <w:r>
        <w:rPr>
          <w:i/>
          <w:sz w:val="18"/>
        </w:rPr>
        <w:t>Les discussions sur l'ECO créent une incertitude politique modérée. Cependant, la reconnaissance du modèle ivoirien renforce la position de la Côte d'Ivoire et de la BRVM comme place financière de référence dans la sous-région. Les sociétés cotées ayant une expansion régionale (ORAC, ONTBF) pourraient bénéficier d'une intégration politique renforcée.</w:t>
      </w:r>
    </w:p>
    <w:p>
      <w:pPr>
        <w:pStyle w:val="Heading2"/>
      </w:pPr>
      <w:r>
        <w:rPr>
          <w:color w:val="8C4600"/>
        </w:rPr>
        <w:t>🏦 Plan UEMOA / Zone Franc</w:t>
      </w:r>
    </w:p>
    <w:p>
      <w:pPr>
        <w:spacing w:before="20" w:after="40"/>
        <w:ind w:left="0"/>
      </w:pPr>
      <w:r>
        <w:rPr>
          <w:sz w:val="18"/>
        </w:rPr>
        <w:t>La situation politique dans les pays membres est marquée par la transhumance politique au Sénégal et la stabilité maintenue au Mali. Aucune réforme institutionnelle majeure n'est signalée dans les actualités fournies.</w:t>
      </w:r>
    </w:p>
    <w:p>
      <w:pPr>
        <w:pStyle w:val="Heading3"/>
      </w:pPr>
      <w:r>
        <w:rPr>
          <w:color w:val="500050"/>
        </w:rPr>
        <w:t>⚡ Impact estimé sur la BRVM</w:t>
      </w:r>
    </w:p>
    <w:p>
      <w:pPr>
        <w:spacing w:before="20" w:after="40"/>
        <w:ind w:left="280"/>
      </w:pPr>
      <w:r>
        <w:rPr>
          <w:i/>
          <w:sz w:val="18"/>
        </w:rPr>
        <w:t>L'instabilité politique sénégalaise est un facteur de risque limité pour la BRVM, le Sénégal ayant un poids relatif dans l'indice. La stabilité politique dans les autres pays membres, notamment la Côte d'Ivoire, est un soutien pour le marché. Les risques réglementaires semblent faibles à court terme.</w:t>
      </w:r>
    </w:p>
    <w:p>
      <w:pPr>
        <w:pStyle w:val="Heading2"/>
      </w:pPr>
      <w:r>
        <w:rPr>
          <w:color w:val="003366"/>
        </w:rPr>
        <w:t>📈 Plan BRVM</w:t>
      </w:r>
    </w:p>
    <w:p>
      <w:pPr>
        <w:spacing w:before="20" w:after="40"/>
        <w:ind w:left="0"/>
      </w:pPr>
      <w:r>
        <w:rPr>
          <w:sz w:val="18"/>
        </w:rPr>
        <w:t>Aucune actualité spécifique sur la réglementation CREPMF, les nouvelles cotations ou la gouvernance des sociétés cotées n'est disponible dans les données fournies.</w:t>
      </w:r>
    </w:p>
    <w:p>
      <w:pPr>
        <w:pStyle w:val="Heading3"/>
      </w:pPr>
      <w:r>
        <w:rPr>
          <w:color w:val="500050"/>
        </w:rPr>
        <w:t>⚡ Impact estimé sur la BRVM</w:t>
      </w:r>
    </w:p>
    <w:p>
      <w:pPr>
        <w:spacing w:before="20" w:after="40"/>
        <w:ind w:left="280"/>
      </w:pPr>
      <w:r>
        <w:rPr>
          <w:i/>
          <w:sz w:val="18"/>
        </w:rPr>
        <w:t>Données insuffisantes pour évaluer les impacts réglementaires directs sur le marché. La stabilité réglementaire reste un facteur clé pour la confiance des investisseurs, mais aucune information récente ne permet d'anticiper des changements majeurs.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mondiaux sont influencés par la volatilité des prix du pétrole, avec des mouvements de 8% à la baisse puis des remontées. Les anticipations géopolitiques guident les marchés des matières premières, avec des répercussions sur les marchés actions et obligataires internationaux.</w:t>
      </w:r>
    </w:p>
    <w:p>
      <w:pPr>
        <w:pStyle w:val="Heading3"/>
      </w:pPr>
      <w:r>
        <w:rPr>
          <w:color w:val="500050"/>
        </w:rPr>
        <w:t>⚡ Impact estimé sur la BRVM</w:t>
      </w:r>
    </w:p>
    <w:p>
      <w:pPr>
        <w:spacing w:before="20" w:after="40"/>
        <w:ind w:left="280"/>
      </w:pPr>
      <w:r>
        <w:rPr>
          <w:i/>
          <w:sz w:val="18"/>
        </w:rPr>
        <w:t>La volatilité des marchés mondiaux peut entraîner une prudence accrue des investisseurs internationaux vis-à-vis des marchés émergents, y compris la BRVM. Cependant, la baisse des prix du pétrole est un facteur positif pour les économies importatrices comme celles de l'UEMOA, ce qui pourrait soutenir les valorisations des sociétés cotées.</w:t>
      </w:r>
    </w:p>
    <w:p>
      <w:pPr>
        <w:pStyle w:val="Heading2"/>
      </w:pPr>
      <w:r>
        <w:rPr>
          <w:color w:val="006E32"/>
        </w:rPr>
        <w:t>🌍 Plan Africain</w:t>
      </w:r>
    </w:p>
    <w:p>
      <w:pPr>
        <w:spacing w:before="20" w:after="40"/>
        <w:ind w:left="0"/>
      </w:pPr>
      <w:r>
        <w:rPr>
          <w:sz w:val="18"/>
        </w:rPr>
        <w:t>L'émission de dette verte de 108 milliards de FCFA par Senelec à la Bourse de Luxembourg (18 juillet 2026) est un événement financier notable. Elle démontre la capacité des entités africaines à accéder aux marchés internationaux de capitaux.</w:t>
      </w:r>
    </w:p>
    <w:p>
      <w:pPr>
        <w:pStyle w:val="Heading3"/>
      </w:pPr>
      <w:r>
        <w:rPr>
          <w:color w:val="500050"/>
        </w:rPr>
        <w:t>⚡ Impact estimé sur la BRVM</w:t>
      </w:r>
    </w:p>
    <w:p>
      <w:pPr>
        <w:spacing w:before="20" w:after="40"/>
        <w:ind w:left="280"/>
      </w:pPr>
      <w:r>
        <w:rPr>
          <w:i/>
          <w:sz w:val="18"/>
        </w:rPr>
        <w:t>Cette émission obligataire pourrait créer une concurrence pour les capitaux disponibles pour les titres africains, mais elle renforce aussi la visibilité de la région auprès des investisseurs internationaux. Les banques cotées (BOAC, SIBC) pourraient être impliquées dans des opérations similaires à l'avenir, renforçant leur attractivité.</w:t>
      </w:r>
    </w:p>
    <w:p>
      <w:pPr>
        <w:pStyle w:val="Heading2"/>
      </w:pPr>
      <w:r>
        <w:rPr>
          <w:color w:val="145A28"/>
        </w:rPr>
        <w:t>🌍 Plan Afrique de l'Ouest</w:t>
      </w:r>
    </w:p>
    <w:p>
      <w:pPr>
        <w:spacing w:before="20" w:after="40"/>
        <w:ind w:left="0"/>
      </w:pPr>
      <w:r>
        <w:rPr>
          <w:sz w:val="18"/>
        </w:rPr>
        <w:t>Aucune information spécifique sur les bourses régionales concurrentes ou les flux de capitaux sous-régionaux n'est disponible dans les actualités fournies.</w:t>
      </w:r>
    </w:p>
    <w:p>
      <w:pPr>
        <w:pStyle w:val="Heading3"/>
      </w:pPr>
      <w:r>
        <w:rPr>
          <w:color w:val="500050"/>
        </w:rPr>
        <w:t>⚡ Impact estimé sur la BRVM</w:t>
      </w:r>
    </w:p>
    <w:p>
      <w:pPr>
        <w:spacing w:before="20" w:after="40"/>
        <w:ind w:left="280"/>
      </w:pPr>
      <w:r>
        <w:rPr>
          <w:i/>
          <w:sz w:val="18"/>
        </w:rPr>
        <w:t>Données insuffisantes. La BRVM reste la principale bourse de la région, et aucune menace concurrentielle immédiate n'est identifiée dans les actualités.</w:t>
      </w:r>
    </w:p>
    <w:p>
      <w:pPr>
        <w:pStyle w:val="Heading2"/>
      </w:pPr>
      <w:r>
        <w:rPr>
          <w:color w:val="8C4600"/>
        </w:rPr>
        <w:t>🏦 Plan UEMOA / Zone Franc</w:t>
      </w:r>
    </w:p>
    <w:p>
      <w:pPr>
        <w:spacing w:before="20" w:after="40"/>
        <w:ind w:left="0"/>
      </w:pPr>
      <w:r>
        <w:rPr>
          <w:sz w:val="18"/>
        </w:rPr>
        <w:t>Aucune information spécifique sur le marché des titres publics UEMOA, le taux interbancaire ou la liquidité bancaire n'est disponible dans les actualités fournies.</w:t>
      </w:r>
    </w:p>
    <w:p>
      <w:pPr>
        <w:pStyle w:val="Heading3"/>
      </w:pPr>
      <w:r>
        <w:rPr>
          <w:color w:val="500050"/>
        </w:rPr>
        <w:t>⚡ Impact estimé sur la BRVM</w:t>
      </w:r>
    </w:p>
    <w:p>
      <w:pPr>
        <w:spacing w:before="20" w:after="40"/>
        <w:ind w:left="280"/>
      </w:pPr>
      <w:r>
        <w:rPr>
          <w:i/>
          <w:sz w:val="18"/>
        </w:rPr>
        <w:t>Données insuffisantes. L'arbitrage entre titres publics et actions BRVM dépend de l'évolution des taux BCEAO et de la liquidité du marché, non documentée ici.</w:t>
      </w:r>
    </w:p>
    <w:p>
      <w:pPr>
        <w:pStyle w:val="Heading2"/>
      </w:pPr>
      <w:r>
        <w:rPr>
          <w:color w:val="003366"/>
        </w:rPr>
        <w:t>📈 Plan BRVM</w:t>
      </w:r>
    </w:p>
    <w:p>
      <w:pPr>
        <w:spacing w:before="20" w:after="40"/>
        <w:ind w:left="0"/>
      </w:pPr>
      <w:r>
        <w:rPr>
          <w:sz w:val="18"/>
        </w:rPr>
        <w:t>L'indice BRVM Composite est à 490.51 points. Les résultats encourageants des sociétés cotées ivoiriennes (juin 2026) sont le principal fait marquant. Les secteurs financiers, de consommation et d'énergie dominent la cote.</w:t>
      </w:r>
    </w:p>
    <w:p>
      <w:pPr>
        <w:pStyle w:val="Heading3"/>
      </w:pPr>
      <w:r>
        <w:rPr>
          <w:color w:val="500050"/>
        </w:rPr>
        <w:t>⚡ Impact estimé sur la BRVM</w:t>
      </w:r>
    </w:p>
    <w:p>
      <w:pPr>
        <w:spacing w:before="20" w:after="40"/>
        <w:ind w:left="280"/>
      </w:pPr>
      <w:r>
        <w:rPr>
          <w:i/>
          <w:sz w:val="18"/>
        </w:rPr>
        <w:t>Les fondamentaux solides des sociétés ivoiriennes soutiennent une perspective positive pour l'indice. Les banques (SGBC, BICB, BOAC, SIBC, SAFC, BOAN) sont soutenues par la croissance régionale. Les valeurs de consommation (PALC, SOGC, SIVC, STBC, SCRC) bénéficient de la demande intérieure. Les télécoms (ONTBF, ORAC) offrent une stabilité défensive. Les valeurs industrielles (CFAC, ETIT, NTLC, STAC, SDSC) pourraient profiter de la baisse des coûts énergétiques. Les titres sous pression seraient ceux liés à l'énergie (SHEC, SMBC) en raison de la volatilité des prix du pétrole.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est globalement favorable pour la BRVM, avec une baisse des prix du pétrole bénéfique aux économies importatrices de la zone UEMOA et des résultats encourageants des sociétés cotées ivoiriennes. La stabilité politique régionale, malgré quelques tensions localisées, et le projet ECO en discussion n'affectent pas négativement la confiance des investisseurs. Les fondamentaux des secteurs bancaires et de consommation restent solides.</w:t>
      </w:r>
    </w:p>
    <w:p>
      <w:pPr>
        <w:spacing w:before="20" w:after="40"/>
        <w:ind w:left="0"/>
      </w:pPr>
      <w:r>
        <w:rPr>
          <w:sz w:val="18"/>
        </w:rPr>
        <w:t>**Recommandation :** Maintenir une position investie sur les valeurs de qualité (SGBC, BICB, PALC, ONTBF) tout en surveillant la volatilité des prix du pétrole pour les titres énergétiques (SHEC, SMBC). Les opportunités d'achat se situent sur les valeurs financières et de consommation de base, soutenues par la dynamique économique régionale.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2026-08-08</w:t>
            </w:r>
          </w:p>
        </w:tc>
        <w:tc>
          <w:tcPr>
            <w:tcW w:type="dxa" w:w="1728"/>
          </w:tcPr>
          <w:p>
            <w:r>
              <w:rPr>
                <w:sz w:val="14"/>
              </w:rPr>
              <w:t xml:space="preserve">Prix du carburant : le gouvernement prolonge l'aide « grands rouleurs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pétrole or matiè</w:t>
            </w:r>
          </w:p>
        </w:tc>
      </w:tr>
      <w:tr>
        <w:tc>
          <w:tcPr>
            <w:tcW w:type="dxa" w:w="1728"/>
          </w:tcPr>
          <w:p>
            <w:r>
              <w:rPr>
                <w:sz w:val="14"/>
              </w:rPr>
              <w:t>2026-08-05</w:t>
            </w:r>
          </w:p>
        </w:tc>
        <w:tc>
          <w:tcPr>
            <w:tcW w:type="dxa" w:w="1728"/>
          </w:tcPr>
          <w:p>
            <w:r>
              <w:rPr>
                <w:sz w:val="14"/>
              </w:rPr>
              <w:t>Les prix du pétrole et du maïs s'effondrent simultanément. - Vietnam.v</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2026-08-04</w:t>
            </w:r>
          </w:p>
        </w:tc>
        <w:tc>
          <w:tcPr>
            <w:tcW w:type="dxa" w:w="1728"/>
          </w:tcPr>
          <w:p>
            <w:r>
              <w:rPr>
                <w:sz w:val="14"/>
              </w:rPr>
              <w:t>La chute des prix du pétrole a entraîné une baisse de l'indice MXV pen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2026-07-11</w:t>
            </w:r>
          </w:p>
        </w:tc>
        <w:tc>
          <w:tcPr>
            <w:tcW w:type="dxa" w:w="1728"/>
          </w:tcPr>
          <w:p>
            <w:r>
              <w:rPr>
                <w:sz w:val="14"/>
              </w:rPr>
              <w:t>La RDC lance la Kinshasa Stock Exchange, sa première Bourse - Africtel</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2026-08-07</w:t>
            </w:r>
          </w:p>
        </w:tc>
        <w:tc>
          <w:tcPr>
            <w:tcW w:type="dxa" w:w="1728"/>
          </w:tcPr>
          <w:p>
            <w:r>
              <w:rPr>
                <w:sz w:val="14"/>
              </w:rPr>
              <w:t xml:space="preserve">Le Premier ministre guinéen salue le modèle ivoirien de développement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2026-08-04</w:t>
            </w:r>
          </w:p>
        </w:tc>
        <w:tc>
          <w:tcPr>
            <w:tcW w:type="dxa" w:w="1728"/>
          </w:tcPr>
          <w:p>
            <w:r>
              <w:rPr>
                <w:sz w:val="14"/>
              </w:rPr>
              <w:t>L'ECO, la monnaie unique de la CEDEAO en 2027 : un nouveau départ ou u</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La Guinée renonce à intégrer la monnaie unique Eco - lebrief.ma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2026-08-06</w:t>
            </w:r>
          </w:p>
        </w:tc>
        <w:tc>
          <w:tcPr>
            <w:tcW w:type="dxa" w:w="1728"/>
          </w:tcPr>
          <w:p>
            <w:r>
              <w:rPr>
                <w:sz w:val="14"/>
              </w:rPr>
              <w:t xml:space="preserve">Décryptage - Kalilou SYLLA, Commissaire aux Affaires économiques et à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2026-08-05</w:t>
            </w:r>
          </w:p>
        </w:tc>
        <w:tc>
          <w:tcPr>
            <w:tcW w:type="dxa" w:w="1728"/>
          </w:tcPr>
          <w:p>
            <w:r>
              <w:rPr>
                <w:sz w:val="14"/>
              </w:rPr>
              <w:t>Afrique de l’Ouest: la BIDC prévoit une croissance de 4,7% en 2026 pui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 xml:space="preserve">Mali-Algérie : Abdoulaye Maïga assure que les relations diplomatiques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Sénégal : l’exportation d’huile d’arachide atteint en 2025 son plus ha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Sénégal : pourquoi les fonds spéciaux doivent demeurer secrets - Jeune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2026-08-09</w:t>
            </w:r>
          </w:p>
        </w:tc>
        <w:tc>
          <w:tcPr>
            <w:tcW w:type="dxa" w:w="1728"/>
          </w:tcPr>
          <w:p>
            <w:r>
              <w:rPr>
                <w:sz w:val="14"/>
              </w:rPr>
              <w:t>Sénégal : El Malick Ndiaye met en garde contre tout report des électio</w:t>
            </w:r>
          </w:p>
        </w:tc>
        <w:tc>
          <w:tcPr>
            <w:tcW w:type="dxa" w:w="1728"/>
          </w:tcPr>
          <w:p>
            <w:r>
              <w:rPr>
                <w:sz w:val="14"/>
              </w:rPr>
              <w:t>Neutre</w:t>
            </w:r>
          </w:p>
        </w:tc>
        <w:tc>
          <w:tcPr>
            <w:tcW w:type="dxa" w:w="1728"/>
          </w:tcPr>
          <w:p>
            <w:r>
              <w:rPr>
                <w:color w:val="008000"/>
                <w:sz w:val="14"/>
              </w:rPr>
              <w:t>Positif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Sénégal : pourquoi les fonds spéciaux doivent demeurer secrets - Jeune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Sénégal : pourquoi les fonds spéciaux doivent demeurer secrets - Jeune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2026-08-06</w:t>
            </w:r>
          </w:p>
        </w:tc>
        <w:tc>
          <w:tcPr>
            <w:tcW w:type="dxa" w:w="1728"/>
          </w:tcPr>
          <w:p>
            <w:r>
              <w:rPr>
                <w:sz w:val="14"/>
              </w:rPr>
              <w:t>Mali : Les FAMa accueillent 254 anciens combattants issus de groupes 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 xml:space="preserve">Mali-Algérie : Abdoulaye Maïga assure que les relations diplomatiques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2026-08-11</w:t>
            </w:r>
          </w:p>
        </w:tc>
        <w:tc>
          <w:tcPr>
            <w:tcW w:type="dxa" w:w="1728"/>
          </w:tcPr>
          <w:p>
            <w:r>
              <w:rPr>
                <w:sz w:val="14"/>
              </w:rPr>
              <w:t>Sénégal : l’exportation d’huile d’arachide atteint en 2025 son plus ha</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2026-08-10</w:t>
            </w:r>
          </w:p>
        </w:tc>
        <w:tc>
          <w:tcPr>
            <w:tcW w:type="dxa" w:w="1728"/>
          </w:tcPr>
          <w:p>
            <w:r>
              <w:rPr>
                <w:sz w:val="14"/>
              </w:rPr>
              <w:t>Sénégal : pourquoi les fonds spéciaux doivent demeurer secrets - Jeune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2026-08-10</w:t>
            </w:r>
          </w:p>
        </w:tc>
        <w:tc>
          <w:tcPr>
            <w:tcW w:type="dxa" w:w="1728"/>
          </w:tcPr>
          <w:p>
            <w:r>
              <w:rPr>
                <w:sz w:val="14"/>
              </w:rPr>
              <w:t>Les prix du pétrole ont chuté de près de 8 % suite à l'augmentation de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2026-08-07</w:t>
            </w:r>
          </w:p>
        </w:tc>
        <w:tc>
          <w:tcPr>
            <w:tcW w:type="dxa" w:w="1728"/>
          </w:tcPr>
          <w:p>
            <w:r>
              <w:rPr>
                <w:sz w:val="14"/>
              </w:rPr>
              <w:t>Avant l'ouverture des marchés européens : le prix du pétrole remonte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prix du pétrole brut et du sucre ont tous deux augmenté. - Vietnam</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2026-08-10</w:t>
            </w:r>
          </w:p>
        </w:tc>
        <w:tc>
          <w:tcPr>
            <w:tcW w:type="dxa" w:w="1728"/>
          </w:tcPr>
          <w:p>
            <w:r>
              <w:rPr>
                <w:sz w:val="14"/>
              </w:rPr>
              <w:t>Guinée. Lancement de l’ECO en 2027: les prérequis des économistes - Le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2026-08-10</w:t>
            </w:r>
          </w:p>
        </w:tc>
        <w:tc>
          <w:tcPr>
            <w:tcW w:type="dxa" w:w="1728"/>
          </w:tcPr>
          <w:p>
            <w:r>
              <w:rPr>
                <w:sz w:val="14"/>
              </w:rPr>
              <w:t>Sénégal : De la transhumance politique à la géométrie variable des all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matieres_premieres  (4 alerte(s))</w:t>
      </w:r>
    </w:p>
    <w:p>
      <w:pPr>
        <w:spacing w:before="40" w:after="40"/>
        <w:ind w:left="360"/>
      </w:pPr>
      <w:r>
        <w:rPr>
          <w:color w:val="646464"/>
          <w:sz w:val="17"/>
        </w:rPr>
        <w:t xml:space="preserve">[11/08/2026] ⚪  </w:t>
      </w:r>
      <w:r>
        <w:rPr>
          <w:b/>
          <w:color w:val="505050"/>
          <w:sz w:val="18"/>
        </w:rPr>
        <w:t>Les prix du pétrole brut et du sucre ont tous deux augmenté.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brut et du sucre ont enregistré une hausse sur les marchés internationaux, selon une information rapportée par Vietnam.vn. Cette évolution des matières premières pourrait avoir des répercussions sur les coûts de production et les prix à la consommation dans les économies importatrices. Pour la BRVM, cette tendance est à surveill</w:t>
      </w:r>
    </w:p>
    <w:p>
      <w:pPr>
        <w:spacing w:before="0" w:after="40"/>
        <w:ind w:left="600"/>
      </w:pPr>
      <w:r>
        <w:rPr>
          <w:color w:val="00643C"/>
          <w:sz w:val="16"/>
        </w:rPr>
        <w:t>Points clés : Hausse des prix du pétrole brut sur le marché international.  •  Augmentation des prix du sucre, une matière première clé pour l'agroalimentaire.</w:t>
      </w:r>
    </w:p>
    <w:p>
      <w:pPr>
        <w:spacing w:before="0" w:after="60"/>
        <w:ind w:left="600"/>
      </w:pPr>
      <w:r>
        <w:rPr>
          <w:color w:val="0064B4"/>
          <w:sz w:val="15"/>
        </w:rPr>
        <w:t>Source : https://news.google.com/rss/articles/CBMiZ0FVX3lxTE13YmV5dFFWcEpLLWtVMnpIYWw0SXl</w:t>
      </w:r>
    </w:p>
    <w:p>
      <w:pPr>
        <w:spacing w:before="40" w:after="40"/>
        <w:ind w:left="360"/>
      </w:pPr>
      <w:r>
        <w:rPr>
          <w:color w:val="646464"/>
          <w:sz w:val="17"/>
        </w:rPr>
        <w:t xml:space="preserve">[10/08/2026] ⚪  </w:t>
      </w:r>
      <w:r>
        <w:rPr>
          <w:b/>
          <w:color w:val="505050"/>
          <w:sz w:val="18"/>
        </w:rPr>
        <w:t>Les prix du pétrole ont chuté de près de 8 % suite à l'augmentation des anticipations d'apaisement des tensions au Moyen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chuté de près de 8% en raison des anticipations d'un apaisement des tensions au Moyen-Orient. Cette baisse pourrait réduire les coûts énergétiques pour les économies importantes, mais elle reflète aussi une volatilité géopolitique. Pour la BRVM, cela pourrait influencer les secteurs dépendants du pétrole, notamment les compa</w:t>
      </w:r>
    </w:p>
    <w:p>
      <w:pPr>
        <w:spacing w:before="0" w:after="40"/>
        <w:ind w:left="600"/>
      </w:pPr>
      <w:r>
        <w:rPr>
          <w:color w:val="00643C"/>
          <w:sz w:val="16"/>
        </w:rPr>
        <w:t>Points clés : Chute de près de 8% des prix du pétrole.  •  Anticipations d'apaisement des tensions au Moyen-Orient.</w:t>
      </w:r>
    </w:p>
    <w:p>
      <w:pPr>
        <w:spacing w:before="0" w:after="60"/>
        <w:ind w:left="600"/>
      </w:pPr>
      <w:r>
        <w:rPr>
          <w:color w:val="0064B4"/>
          <w:sz w:val="15"/>
        </w:rPr>
        <w:t>Source : https://news.google.com/rss/articles/CBMikAFBVV95cUxPc1NWMGlKZHoyRkFVZkZINElIbUp</w:t>
      </w:r>
    </w:p>
    <w:p>
      <w:pPr>
        <w:spacing w:before="40" w:after="40"/>
        <w:ind w:left="360"/>
      </w:pPr>
      <w:r>
        <w:rPr>
          <w:color w:val="646464"/>
          <w:sz w:val="17"/>
        </w:rPr>
        <w:t xml:space="preserve">[08/08/2026] 🟢  </w:t>
      </w:r>
      <w:r>
        <w:rPr>
          <w:b/>
          <w:color w:val="008000"/>
          <w:sz w:val="18"/>
        </w:rPr>
        <w:t>Prix du carburant : le gouvernement prolonge l'aide « grands rouleurs » - Les Echos</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a décidé de prolonger l'aide destinée aux 'grands rouleurs', une mesure visant à atténuer l'impact de la hausse des prix du carburant sur les transporteurs et les professionnels de la route. Cette prolongation intervient dans un contexte de tensions sur les prix des matières premières, notamment le pétrole. La mesure devrait souteni</w:t>
      </w:r>
    </w:p>
    <w:p>
      <w:pPr>
        <w:spacing w:before="0" w:after="40"/>
        <w:ind w:left="600"/>
      </w:pPr>
      <w:r>
        <w:rPr>
          <w:color w:val="00643C"/>
          <w:sz w:val="16"/>
        </w:rPr>
        <w:t>Points clés : Prolongation de l'aide gouvernementale pour les 'grands rouleurs' (transporteurs et professionnels de la route).  •  Mesure visant à atténuer l'impact de la hausse des prix du carburant sur les coûts de transport et l'inflation.</w:t>
      </w:r>
    </w:p>
    <w:p>
      <w:pPr>
        <w:spacing w:before="0" w:after="60"/>
        <w:ind w:left="600"/>
      </w:pPr>
      <w:r>
        <w:rPr>
          <w:color w:val="0064B4"/>
          <w:sz w:val="15"/>
        </w:rPr>
        <w:t>Source : https://news.google.com/rss/articles/CBMiuwFBVV95cUxOeFIxY2VBZHl4V21NbEZyenJHR0R</w:t>
      </w:r>
    </w:p>
    <w:p>
      <w:pPr>
        <w:spacing w:before="40" w:after="40"/>
        <w:ind w:left="360"/>
      </w:pPr>
      <w:r>
        <w:rPr>
          <w:color w:val="646464"/>
          <w:sz w:val="17"/>
        </w:rPr>
        <w:t xml:space="preserve">[07/08/2026] 🟢  </w:t>
      </w:r>
      <w:r>
        <w:rPr>
          <w:b/>
          <w:color w:val="008000"/>
          <w:sz w:val="18"/>
        </w:rPr>
        <w:t>Avant l'ouverture des marchés européens : le prix du pétrole remonte (07/08/2026) - XTB</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remonte avant l'ouverture des marchés européens, selon une note de XTB datée du 7 août 2026. Cette hausse est observée dans un contexte international, sans précision sur les causes exactes. Le mouvement pourrait influencer les secteurs liés à l'énergie et aux matières premières.</w:t>
      </w:r>
    </w:p>
    <w:p>
      <w:pPr>
        <w:spacing w:before="0" w:after="40"/>
        <w:ind w:left="600"/>
      </w:pPr>
      <w:r>
        <w:rPr>
          <w:color w:val="00643C"/>
          <w:sz w:val="16"/>
        </w:rPr>
        <w:t>Points clés : Hausse du prix du pétrole avant l'ouverture des marchés européens.  •  Information publiée par XTB, un courtier en ligne, le 07/08/2026.</w:t>
      </w:r>
    </w:p>
    <w:p>
      <w:pPr>
        <w:spacing w:before="0" w:after="60"/>
        <w:ind w:left="600"/>
      </w:pPr>
      <w:r>
        <w:rPr>
          <w:color w:val="0064B4"/>
          <w:sz w:val="15"/>
        </w:rPr>
        <w:t>Source : https://news.google.com/rss/articles/CBMiuAFBVV95cUxNWHRXcHlvaldxWjhuTTJNX2ZJeEl</w:t>
      </w:r>
    </w:p>
    <w:p>
      <w:pPr>
        <w:spacing w:before="120" w:after="40"/>
      </w:pPr>
      <w:r>
        <w:rPr>
          <w:b/>
          <w:color w:val="00467F"/>
          <w:sz w:val="20"/>
        </w:rPr>
        <w:t>🔑 politique  (13 alerte(s))</w:t>
      </w:r>
    </w:p>
    <w:p>
      <w:pPr>
        <w:spacing w:before="40" w:after="40"/>
        <w:ind w:left="360"/>
      </w:pPr>
      <w:r>
        <w:rPr>
          <w:color w:val="646464"/>
          <w:sz w:val="17"/>
        </w:rPr>
        <w:t xml:space="preserve">[11/08/2026] 🟢  </w:t>
      </w:r>
      <w:r>
        <w:rPr>
          <w:b/>
          <w:color w:val="008000"/>
          <w:sz w:val="18"/>
        </w:rPr>
        <w:t>Sénégal : l’exportation d’huile d’arachide atteint en 2025 son plus haut niveau en six ans - AGENCE ECOFIN</w:t>
      </w:r>
      <w:r>
        <w:rPr>
          <w:color w:val="787878"/>
          <w:sz w:val="15"/>
        </w:rPr>
        <w:t xml:space="preserve">  [politique]</w:t>
      </w:r>
      <w:r>
        <w:rPr>
          <w:color w:val="B47800"/>
          <w:sz w:val="16"/>
        </w:rPr>
        <w:t xml:space="preserve">  ★ 50/10</w:t>
      </w:r>
    </w:p>
    <w:p>
      <w:pPr>
        <w:spacing w:before="0" w:after="20"/>
        <w:ind w:left="600"/>
      </w:pPr>
      <w:r>
        <w:rPr>
          <w:color w:val="323232"/>
          <w:sz w:val="17"/>
        </w:rPr>
        <w:t>Le Sénégal a atteint en 2025 son plus haut niveau d'exportation d'huile d'arachide depuis six ans, selon l'Agence Ecofin. Cette performance reflète une dynamique positive dans le secteur agricole et agro-industriel du pays. Elle pourrait renforcer les revenus d'exportation et soutenir la balance commerciale sénégalaise. Cette nouvelle est de nature</w:t>
      </w:r>
    </w:p>
    <w:p>
      <w:pPr>
        <w:spacing w:before="0" w:after="40"/>
        <w:ind w:left="600"/>
      </w:pPr>
      <w:r>
        <w:rPr>
          <w:color w:val="00643C"/>
          <w:sz w:val="16"/>
        </w:rPr>
        <w:t>Points clés : Exportation d'huile d'arachide à son plus haut niveau en six ans en 2025.  •  Performance attribuée au secteur agricole sénégalais, avec des retombées économiques potentielles.</w:t>
      </w:r>
    </w:p>
    <w:p>
      <w:pPr>
        <w:spacing w:before="0" w:after="60"/>
        <w:ind w:left="600"/>
      </w:pPr>
      <w:r>
        <w:rPr>
          <w:color w:val="0064B4"/>
          <w:sz w:val="15"/>
        </w:rPr>
        <w:t>Source : https://news.google.com/rss/articles/CBMi3gFBVV95cUxQM0FvYjRUdE1DMG9pWGM2ZXpudXZ</w:t>
      </w:r>
    </w:p>
    <w:p>
      <w:pPr>
        <w:spacing w:before="40" w:after="40"/>
        <w:ind w:left="360"/>
      </w:pPr>
      <w:r>
        <w:rPr>
          <w:color w:val="646464"/>
          <w:sz w:val="17"/>
        </w:rPr>
        <w:t xml:space="preserve">[10/08/2026] ⚪  </w:t>
      </w:r>
      <w:r>
        <w:rPr>
          <w:b/>
          <w:color w:val="505050"/>
          <w:sz w:val="18"/>
        </w:rPr>
        <w:t>Sénégal : pourquoi les fonds spéciaux doivent demeurer secrets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traite de la controverse au Sénégal concernant la confidentialité des fonds spéciaux, qui sont des budgets discrétionnaires utilisés par le gouvernement. L'auteur défend l'opacité de ces fonds en arguant qu'ils sont nécessaires pour des raisons de sécurité nationale et d'efficacité administrative, malgré les critiques sur</w:t>
      </w:r>
    </w:p>
    <w:p>
      <w:pPr>
        <w:spacing w:before="0" w:after="40"/>
        <w:ind w:left="600"/>
      </w:pPr>
      <w:r>
        <w:rPr>
          <w:color w:val="00643C"/>
          <w:sz w:val="16"/>
        </w:rPr>
        <w:t>Points clés : Défense de la confidentialité des fonds spéciaux pour des raisons de sécurité et d'efficacité.  •  Critiques sur le manque de transparence et les risques de mauvaise gestion.  •  Contexte politique sénégalais et implications pour la gouvernance régionale.</w:t>
      </w:r>
    </w:p>
    <w:p>
      <w:pPr>
        <w:spacing w:before="0" w:after="60"/>
        <w:ind w:left="600"/>
      </w:pPr>
      <w:r>
        <w:rPr>
          <w:color w:val="0064B4"/>
          <w:sz w:val="15"/>
        </w:rPr>
        <w:t>Source : https://news.google.com/rss/articles/CBMirAFBVV95cUxOUmtXSlY1U3l2TVNVNTVmaXFVY3R</w:t>
      </w:r>
    </w:p>
    <w:p>
      <w:pPr>
        <w:spacing w:before="40" w:after="40"/>
        <w:ind w:left="360"/>
      </w:pPr>
      <w:r>
        <w:rPr>
          <w:color w:val="646464"/>
          <w:sz w:val="17"/>
        </w:rPr>
        <w:t xml:space="preserve">[10/08/2026] ⚪  </w:t>
      </w:r>
      <w:r>
        <w:rPr>
          <w:b/>
          <w:color w:val="505050"/>
          <w:sz w:val="18"/>
        </w:rPr>
        <w:t>Mali-Algérie : Abdoulaye Maïga assure que les relations diplomatiques restent intactes - koaci.com</w:t>
      </w:r>
      <w:r>
        <w:rPr>
          <w:color w:val="787878"/>
          <w:sz w:val="15"/>
        </w:rPr>
        <w:t xml:space="preserve">  [politique]</w:t>
      </w:r>
      <w:r>
        <w:rPr>
          <w:color w:val="B47800"/>
          <w:sz w:val="16"/>
        </w:rPr>
        <w:t xml:space="preserve">  ★ 50/10</w:t>
      </w:r>
    </w:p>
    <w:p>
      <w:pPr>
        <w:spacing w:before="0" w:after="20"/>
        <w:ind w:left="600"/>
      </w:pPr>
      <w:r>
        <w:rPr>
          <w:color w:val="323232"/>
          <w:sz w:val="17"/>
        </w:rPr>
        <w:t>Le Premier ministre malien Abdoulaye Maïga a déclaré que les relations diplomatiques entre le Mali et l'Algérie restent intactes, malgré les tensions récentes. Il a insisté sur la volonté de maintenir le dialogue et la coopération entre les deux pays. Cette déclaration vise à apaiser les inquiétudes sur une éventuelle rupture diplomatique.</w:t>
      </w:r>
    </w:p>
    <w:p>
      <w:pPr>
        <w:spacing w:before="0" w:after="40"/>
        <w:ind w:left="600"/>
      </w:pPr>
      <w:r>
        <w:rPr>
          <w:color w:val="00643C"/>
          <w:sz w:val="16"/>
        </w:rPr>
        <w:t>Points clés : Maintien des relations diplomatiques entre le Mali et l'Algérie  •  Volonté de dialogue et de coopération affichée par le Mali</w:t>
      </w:r>
    </w:p>
    <w:p>
      <w:pPr>
        <w:spacing w:before="0" w:after="60"/>
        <w:ind w:left="600"/>
      </w:pPr>
      <w:r>
        <w:rPr>
          <w:color w:val="0064B4"/>
          <w:sz w:val="15"/>
        </w:rPr>
        <w:t>Source : https://news.google.com/rss/articles/CBMi5wFBVV95cUxONGd4Z21ZUkMxczJYSG1OZVJHX0Y</w:t>
      </w:r>
    </w:p>
    <w:p>
      <w:pPr>
        <w:spacing w:before="40" w:after="40"/>
        <w:ind w:left="360"/>
      </w:pPr>
      <w:r>
        <w:rPr>
          <w:color w:val="646464"/>
          <w:sz w:val="17"/>
        </w:rPr>
        <w:t xml:space="preserve">[10/08/2026] 🔴  </w:t>
      </w:r>
      <w:r>
        <w:rPr>
          <w:b/>
          <w:color w:val="C00000"/>
          <w:sz w:val="18"/>
        </w:rPr>
        <w:t>Sénégal : De la transhumance politique à la géométrie variable des alliances - SeneNews</w:t>
      </w:r>
      <w:r>
        <w:rPr>
          <w:color w:val="787878"/>
          <w:sz w:val="15"/>
        </w:rPr>
        <w:t xml:space="preserve">  [politique]</w:t>
      </w:r>
      <w:r>
        <w:rPr>
          <w:color w:val="B47800"/>
          <w:sz w:val="16"/>
        </w:rPr>
        <w:t xml:space="preserve">  ★ 50/10</w:t>
      </w:r>
    </w:p>
    <w:p>
      <w:pPr>
        <w:spacing w:before="0" w:after="20"/>
        <w:ind w:left="600"/>
      </w:pPr>
      <w:r>
        <w:rPr>
          <w:color w:val="323232"/>
          <w:sz w:val="17"/>
        </w:rPr>
        <w:t>L'article de SeneNews traite de la transhumance politique au Sénégal, un phénomène où les hommes politiques changent fréquemment de partis, et des alliances changeantes qui en résultent. Ce comportement, souvent motivé par des intérêts personnels plutôt que par des convictions idéologiques, fragilise la stabilité politique et la confiance des élect</w:t>
      </w:r>
    </w:p>
    <w:p>
      <w:pPr>
        <w:spacing w:before="0" w:after="40"/>
        <w:ind w:left="600"/>
      </w:pPr>
      <w:r>
        <w:rPr>
          <w:color w:val="00643C"/>
          <w:sz w:val="16"/>
        </w:rPr>
        <w:t>Points clés : La transhumance politique est un phénomène récurrent au Sénégal, affectant la crédibilité des partis et des élus.  •  Les alliances politiques sont instables et souvent motivées par des intérêts électoraux à court terme.  •  Cette instabilité politique peut décourager les investisseurs et affecter la confiance dans les institutions.  •  Le Sénégal, en tant que membre de l'UEMOA, influence la dynamique économique et politique de la zone.</w:t>
      </w:r>
    </w:p>
    <w:p>
      <w:pPr>
        <w:spacing w:before="0" w:after="60"/>
        <w:ind w:left="600"/>
      </w:pPr>
      <w:r>
        <w:rPr>
          <w:color w:val="0064B4"/>
          <w:sz w:val="15"/>
        </w:rPr>
        <w:t>Source : https://news.google.com/rss/articles/CBMi3gFBVV95cUxNRS0yZW1vamRMc0xhUDJ4V0w2c3M</w:t>
      </w:r>
    </w:p>
    <w:p>
      <w:pPr>
        <w:spacing w:before="40" w:after="40"/>
        <w:ind w:left="360"/>
      </w:pPr>
      <w:r>
        <w:rPr>
          <w:color w:val="646464"/>
          <w:sz w:val="17"/>
        </w:rPr>
        <w:t xml:space="preserve">[09/08/2026] ⚪  </w:t>
      </w:r>
      <w:r>
        <w:rPr>
          <w:b/>
          <w:color w:val="505050"/>
          <w:sz w:val="18"/>
        </w:rPr>
        <w:t>Mali : Moussa Mara appelle à l’unité après sa libération - Africa24 TV</w:t>
      </w:r>
      <w:r>
        <w:rPr>
          <w:color w:val="787878"/>
          <w:sz w:val="15"/>
        </w:rPr>
        <w:t xml:space="preserve">  [politique]</w:t>
      </w:r>
      <w:r>
        <w:rPr>
          <w:color w:val="B47800"/>
          <w:sz w:val="16"/>
        </w:rPr>
        <w:t xml:space="preserve">  ★ 50/10</w:t>
      </w:r>
    </w:p>
    <w:p>
      <w:pPr>
        <w:spacing w:before="0" w:after="20"/>
        <w:ind w:left="600"/>
      </w:pPr>
      <w:r>
        <w:rPr>
          <w:color w:val="323232"/>
          <w:sz w:val="17"/>
        </w:rPr>
        <w:t>L'ancien Premier ministre malien Moussa Mara a été libéré et appelle à l'unité nationale. Cet événement politique intervient dans un contexte de tensions au Mali, mais n'a pas de lien direct avec les marchés financiers de l'UEMOA. La stabilité politique au Mali est un facteur à surveiller pour la confiance des investisseurs dans la région.</w:t>
      </w:r>
    </w:p>
    <w:p>
      <w:pPr>
        <w:spacing w:before="0" w:after="40"/>
        <w:ind w:left="600"/>
      </w:pPr>
      <w:r>
        <w:rPr>
          <w:color w:val="00643C"/>
          <w:sz w:val="16"/>
        </w:rPr>
        <w:t>Points clés : Libération de Moussa Mara, figure politique malienne.  •  Appel à l'unité nationale après sa libération.  •  Contexte politique malien reste fragile, mais sans impact direct sur les entreprises cotées à la BRVM.</w:t>
      </w:r>
    </w:p>
    <w:p>
      <w:pPr>
        <w:spacing w:before="0" w:after="60"/>
        <w:ind w:left="600"/>
      </w:pPr>
      <w:r>
        <w:rPr>
          <w:color w:val="0064B4"/>
          <w:sz w:val="15"/>
        </w:rPr>
        <w:t>Source : https://news.google.com/rss/articles/CBMigwFBVV95cUxNLTYxMFYtS0RzQk9SUFVWRVJya3h</w:t>
      </w:r>
    </w:p>
    <w:p>
      <w:pPr>
        <w:spacing w:before="120" w:after="40"/>
      </w:pPr>
      <w:r>
        <w:rPr>
          <w:b/>
          <w:color w:val="00467F"/>
          <w:sz w:val="20"/>
        </w:rPr>
        <w:t>🔑 économique  (3 alerte(s))</w:t>
      </w:r>
    </w:p>
    <w:p>
      <w:pPr>
        <w:spacing w:before="40" w:after="40"/>
        <w:ind w:left="360"/>
      </w:pPr>
      <w:r>
        <w:rPr>
          <w:color w:val="646464"/>
          <w:sz w:val="17"/>
        </w:rPr>
        <w:t xml:space="preserve">[10/08/2026] ⚪  </w:t>
      </w:r>
      <w:r>
        <w:rPr>
          <w:b/>
          <w:color w:val="505050"/>
          <w:sz w:val="18"/>
        </w:rPr>
        <w:t>Guinée. Lancement de l’ECO en 2027: les prérequis des économistes - Le360 Afrique</w:t>
      </w:r>
      <w:r>
        <w:rPr>
          <w:color w:val="787878"/>
          <w:sz w:val="15"/>
        </w:rPr>
        <w:t xml:space="preserve">  [économique]</w:t>
      </w:r>
      <w:r>
        <w:rPr>
          <w:color w:val="B47800"/>
          <w:sz w:val="16"/>
        </w:rPr>
        <w:t xml:space="preserve">  ★ 50/10</w:t>
      </w:r>
    </w:p>
    <w:p>
      <w:pPr>
        <w:spacing w:before="0" w:after="20"/>
        <w:ind w:left="600"/>
      </w:pPr>
      <w:r>
        <w:rPr>
          <w:color w:val="323232"/>
          <w:sz w:val="17"/>
        </w:rPr>
        <w:t>Les économistes guinéens estiment que le lancement de la monnaie unique ECO en 2027 nécessite au préalable la convergence des économies de la CEDEAO, notamment en matière de déficits publics, d'inflation et de réserves de change. Ils insistent sur la nécessité de renforcer les institutions régionales et de garantir la stabilité politique et sécurit</w:t>
      </w:r>
    </w:p>
    <w:p>
      <w:pPr>
        <w:spacing w:before="0" w:after="40"/>
        <w:ind w:left="600"/>
      </w:pPr>
      <w:r>
        <w:rPr>
          <w:color w:val="00643C"/>
          <w:sz w:val="16"/>
        </w:rPr>
        <w:t>Points clés : Convergence des critères macroéconomiques (déficit, inflation, réserves) indispensable avant 2027.  •  Renforcement des institutions régionales et stabilité politique/sécuritaire comme conditions préalables.</w:t>
      </w:r>
    </w:p>
    <w:p>
      <w:pPr>
        <w:spacing w:before="0" w:after="60"/>
        <w:ind w:left="600"/>
      </w:pPr>
      <w:r>
        <w:rPr>
          <w:color w:val="0064B4"/>
          <w:sz w:val="15"/>
        </w:rPr>
        <w:t>Source : https://news.google.com/rss/articles/CBMiwgFBVV95cUxPbUhnZV84d1ZaRFo1ODZtaFBNelR</w:t>
      </w:r>
    </w:p>
    <w:p>
      <w:pPr>
        <w:spacing w:before="40" w:after="40"/>
        <w:ind w:left="360"/>
      </w:pPr>
      <w:r>
        <w:rPr>
          <w:color w:val="646464"/>
          <w:sz w:val="17"/>
        </w:rPr>
        <w:t xml:space="preserve">[07/08/2026] 🟢  </w:t>
      </w:r>
      <w:r>
        <w:rPr>
          <w:b/>
          <w:color w:val="008000"/>
          <w:sz w:val="18"/>
        </w:rPr>
        <w:t>Le Premier ministre guinéen salue le modèle ivoirien de développement - Africtelegraph</w:t>
      </w:r>
      <w:r>
        <w:rPr>
          <w:color w:val="787878"/>
          <w:sz w:val="15"/>
        </w:rPr>
        <w:t xml:space="preserve">  [économique]</w:t>
      </w:r>
      <w:r>
        <w:rPr>
          <w:color w:val="B47800"/>
          <w:sz w:val="16"/>
        </w:rPr>
        <w:t xml:space="preserve">  ★ 50/10</w:t>
      </w:r>
    </w:p>
    <w:p>
      <w:pPr>
        <w:spacing w:before="0" w:after="20"/>
        <w:ind w:left="600"/>
      </w:pPr>
      <w:r>
        <w:rPr>
          <w:color w:val="323232"/>
          <w:sz w:val="17"/>
        </w:rPr>
        <w:t>Le Premier ministre guinéen a exprimé son admiration pour le modèle de développement ivoirien, saluant ses performances économiques et sa stratégie de croissance. Il a souligné l'importance de s'inspirer de cette réussite pour renforcer la coopération régionale et stimuler le développement de la Guinée. Cette reconnaissance met en lumière la positi</w:t>
      </w:r>
    </w:p>
    <w:p>
      <w:pPr>
        <w:spacing w:before="0" w:after="40"/>
        <w:ind w:left="600"/>
      </w:pPr>
      <w:r>
        <w:rPr>
          <w:color w:val="00643C"/>
          <w:sz w:val="16"/>
        </w:rPr>
        <w:t>Points clés : Le Premier ministre guinéen salue le modèle ivoirien de développement.  •  La Côte d'Ivoire est présentée comme un exemple de réussite économique en Afrique de l'Ouest.  •  Cette déclaration pourrait renforcer les liens économiques et politiques entre la Guinée et la Côte d'Ivoire.</w:t>
      </w:r>
    </w:p>
    <w:p>
      <w:pPr>
        <w:spacing w:before="0" w:after="60"/>
        <w:ind w:left="600"/>
      </w:pPr>
      <w:r>
        <w:rPr>
          <w:color w:val="0064B4"/>
          <w:sz w:val="15"/>
        </w:rPr>
        <w:t>Source : https://news.google.com/rss/articles/CBMipAFBVV95cUxOSVdHSGdIMTd4ZlFFWUMwVHBIX0E</w:t>
      </w:r>
    </w:p>
    <w:p>
      <w:pPr>
        <w:spacing w:before="40" w:after="40"/>
        <w:ind w:left="360"/>
      </w:pPr>
      <w:r>
        <w:rPr>
          <w:color w:val="646464"/>
          <w:sz w:val="17"/>
        </w:rPr>
        <w:t xml:space="preserve">[06/08/2026] 🟢  </w:t>
      </w:r>
      <w:r>
        <w:rPr>
          <w:b/>
          <w:color w:val="008000"/>
          <w:sz w:val="18"/>
        </w:rPr>
        <w:t xml:space="preserve">Décryptage - Kalilou SYLLA, Commissaire aux Affaires économiques et à l'Agriculture de la CEDEAO - Côte d'Ivoire : « La </w:t>
      </w:r>
      <w:r>
        <w:rPr>
          <w:color w:val="787878"/>
          <w:sz w:val="15"/>
        </w:rPr>
        <w:t xml:space="preserve">  [économique]</w:t>
      </w:r>
      <w:r>
        <w:rPr>
          <w:color w:val="B47800"/>
          <w:sz w:val="16"/>
        </w:rPr>
        <w:t xml:space="preserve">  ★ 50/10</w:t>
      </w:r>
    </w:p>
    <w:p>
      <w:pPr>
        <w:spacing w:before="0" w:after="20"/>
        <w:ind w:left="600"/>
      </w:pPr>
      <w:r>
        <w:rPr>
          <w:color w:val="323232"/>
          <w:sz w:val="17"/>
        </w:rPr>
        <w:t>Le Commissaire aux Affaires économiques et à l'Agriculture de la CEDEAO, Kalilou Sylla, souligne que la souveraineté alimentaire en Afrique de l'Ouest ne peut être réalisée sans un écosystème fiable qui fédère tous les acteurs de la filière agricole. Il insiste sur la nécessité de renforcer les chaînes de valeur, d'améliorer l'accès aux financement</w:t>
      </w:r>
    </w:p>
    <w:p>
      <w:pPr>
        <w:spacing w:before="0" w:after="40"/>
        <w:ind w:left="600"/>
      </w:pPr>
      <w:r>
        <w:rPr>
          <w:color w:val="00643C"/>
          <w:sz w:val="16"/>
        </w:rPr>
        <w:t>Points clés : La souveraineté alimentaire nécessite un écosystème fiable et inclusif.  •  La CEDEAO mise sur la coordination régionale et le financement agricole.</w:t>
      </w:r>
    </w:p>
    <w:p>
      <w:pPr>
        <w:spacing w:before="0" w:after="60"/>
        <w:ind w:left="600"/>
      </w:pPr>
      <w:r>
        <w:rPr>
          <w:color w:val="0064B4"/>
          <w:sz w:val="15"/>
        </w:rPr>
        <w:t>Source : https://news.google.com/rss/articles/CBMirAJBVV95cUxOWDBPWVJjS0U3WnN1akl2NGVjd3V</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11,600</w:t>
            </w:r>
          </w:p>
        </w:tc>
        <w:tc>
          <w:tcPr>
            <w:tcW w:type="dxa" w:w="1080"/>
            <w:shd w:fill="C6EFCE" w:val="clear"/>
          </w:tcPr>
          <w:p>
            <w:r>
              <w:rPr>
                <w:b/>
                <w:sz w:val="16"/>
              </w:rPr>
              <w:t>76/100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9,320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1,935</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17,000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3,110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9,100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16,530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STBC</w:t>
            </w:r>
          </w:p>
        </w:tc>
        <w:tc>
          <w:tcPr>
            <w:tcW w:type="dxa" w:w="1080"/>
            <w:shd w:fill="C6EFCE" w:val="clear"/>
          </w:tcPr>
          <w:p>
            <w:r>
              <w:rPr>
                <w:sz w:val="16"/>
              </w:rPr>
              <w:t>CONSOMMATION DE BA</w:t>
            </w:r>
          </w:p>
        </w:tc>
        <w:tc>
          <w:tcPr>
            <w:tcW w:type="dxa" w:w="1080"/>
            <w:shd w:fill="C6EFCE" w:val="clear"/>
          </w:tcPr>
          <w:p>
            <w:r>
              <w:rPr>
                <w:sz w:val="16"/>
              </w:rPr>
              <w:t>25,000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2,910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11</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2,630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4,990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13</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14</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3,620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2,585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37,005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7,670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7,325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5,700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7,750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4,295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16,615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SNTS</w:t>
            </w:r>
          </w:p>
        </w:tc>
        <w:tc>
          <w:tcPr>
            <w:tcW w:type="dxa" w:w="1080"/>
            <w:shd w:fill="EBF5FB" w:val="clear"/>
          </w:tcPr>
          <w:p>
            <w:r>
              <w:rPr>
                <w:sz w:val="16"/>
              </w:rPr>
              <w:t>TELECOMMUNICATIONS</w:t>
            </w:r>
          </w:p>
        </w:tc>
        <w:tc>
          <w:tcPr>
            <w:tcW w:type="dxa" w:w="1080"/>
            <w:shd w:fill="EBF5FB" w:val="clear"/>
          </w:tcPr>
          <w:p>
            <w:r>
              <w:rPr>
                <w:sz w:val="16"/>
              </w:rPr>
              <w:t>32,000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7,875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2,995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8,650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2,135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28,450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5,150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2,265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23,650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7,615</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29,150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3,010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16,200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44</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7,900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FEFEFE" w:val="clear"/>
          </w:tcPr>
          <w:p>
            <w:r>
              <w:rPr>
                <w:sz w:val="16"/>
              </w:rPr>
              <w:t>45</w:t>
            </w:r>
          </w:p>
        </w:tc>
        <w:tc>
          <w:tcPr>
            <w:tcW w:type="dxa" w:w="1080"/>
            <w:shd w:fill="FEFEFE" w:val="clear"/>
          </w:tcPr>
          <w:p>
            <w:r>
              <w:rPr>
                <w:sz w:val="16"/>
              </w:rPr>
              <w:t>SIVC</w:t>
            </w:r>
          </w:p>
        </w:tc>
        <w:tc>
          <w:tcPr>
            <w:tcW w:type="dxa" w:w="1080"/>
            <w:shd w:fill="FEFEFE" w:val="clear"/>
          </w:tcPr>
          <w:p>
            <w:r>
              <w:rPr>
                <w:sz w:val="16"/>
              </w:rPr>
              <w:t>INDUSTRIELS</w:t>
            </w:r>
          </w:p>
        </w:tc>
        <w:tc>
          <w:tcPr>
            <w:tcW w:type="dxa" w:w="1080"/>
            <w:shd w:fill="FEFEFE" w:val="clear"/>
          </w:tcPr>
          <w:p>
            <w:r>
              <w:rPr>
                <w:sz w:val="16"/>
              </w:rPr>
              <w:t>2,280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46</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54,595</w:t>
            </w:r>
          </w:p>
        </w:tc>
        <w:tc>
          <w:tcPr>
            <w:tcW w:type="dxa" w:w="1080"/>
            <w:shd w:fill="FEFEFE" w:val="clear"/>
          </w:tcPr>
          <w:p>
            <w:r>
              <w:rPr>
                <w:b/>
                <w:sz w:val="16"/>
              </w:rPr>
              <w:t>53/100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11,890</w:t>
            </w:r>
          </w:p>
        </w:tc>
        <w:tc>
          <w:tcPr>
            <w:tcW w:type="dxa" w:w="1080"/>
            <w:shd w:fill="FEFEFE" w:val="clear"/>
          </w:tcPr>
          <w:p>
            <w:r>
              <w:rPr>
                <w:b/>
                <w:sz w:val="16"/>
              </w:rPr>
              <w:t>47/100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11,600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9,320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1,935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ORAC</w:t>
            </w:r>
          </w:p>
        </w:tc>
        <w:tc>
          <w:tcPr>
            <w:tcW w:type="dxa" w:w="1728"/>
            <w:shd w:fill="DEEAF1" w:val="clear"/>
          </w:tcPr>
          <w:p>
            <w:r>
              <w:rPr>
                <w:sz w:val="17"/>
              </w:rPr>
              <w:t>ORAC - ORANGE COTE D'IVOIRE</w:t>
            </w:r>
          </w:p>
        </w:tc>
        <w:tc>
          <w:tcPr>
            <w:tcW w:type="dxa" w:w="1728"/>
            <w:shd w:fill="DEEAF1" w:val="clear"/>
          </w:tcPr>
          <w:p>
            <w:r>
              <w:rPr>
                <w:sz w:val="17"/>
              </w:rPr>
              <w:t>17,000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3,110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STBC</w:t>
            </w:r>
          </w:p>
        </w:tc>
        <w:tc>
          <w:tcPr>
            <w:tcW w:type="dxa" w:w="1728"/>
            <w:shd w:fill="DEEAF1" w:val="clear"/>
          </w:tcPr>
          <w:p>
            <w:r>
              <w:rPr>
                <w:sz w:val="17"/>
              </w:rPr>
              <w:t>STBC - SITAB COTE D'IVOIRE</w:t>
            </w:r>
          </w:p>
        </w:tc>
        <w:tc>
          <w:tcPr>
            <w:tcW w:type="dxa" w:w="1728"/>
            <w:shd w:fill="DEEAF1" w:val="clear"/>
          </w:tcPr>
          <w:p>
            <w:r>
              <w:rPr>
                <w:sz w:val="17"/>
              </w:rPr>
              <w:t>25,000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2,910</w:t>
            </w:r>
          </w:p>
        </w:tc>
        <w:tc>
          <w:tcPr>
            <w:tcW w:type="dxa" w:w="1728"/>
            <w:shd w:fill="DEEAF1" w:val="clear"/>
          </w:tcPr>
          <w:p>
            <w:r>
              <w:rPr>
                <w:sz w:val="17"/>
              </w:rPr>
              <w:t>71/100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37,005</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11,600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9,320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1,935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ORAC</w:t>
            </w:r>
          </w:p>
        </w:tc>
        <w:tc>
          <w:tcPr>
            <w:tcW w:type="dxa" w:w="1728"/>
            <w:shd w:fill="E2EFDA" w:val="clear"/>
          </w:tcPr>
          <w:p>
            <w:r>
              <w:rPr>
                <w:sz w:val="17"/>
              </w:rPr>
              <w:t>ORAC - ORANGE COTE D'IVOIRE</w:t>
            </w:r>
          </w:p>
        </w:tc>
        <w:tc>
          <w:tcPr>
            <w:tcW w:type="dxa" w:w="1728"/>
            <w:shd w:fill="E2EFDA" w:val="clear"/>
          </w:tcPr>
          <w:p>
            <w:r>
              <w:rPr>
                <w:sz w:val="17"/>
              </w:rPr>
              <w:t>17,000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ORGT</w:t>
            </w:r>
          </w:p>
        </w:tc>
        <w:tc>
          <w:tcPr>
            <w:tcW w:type="dxa" w:w="1728"/>
            <w:shd w:fill="E2EFDA" w:val="clear"/>
          </w:tcPr>
          <w:p>
            <w:r>
              <w:rPr>
                <w:sz w:val="17"/>
              </w:rPr>
              <w:t>ORGT - ORAGROUP TOGO</w:t>
            </w:r>
          </w:p>
        </w:tc>
        <w:tc>
          <w:tcPr>
            <w:tcW w:type="dxa" w:w="1728"/>
            <w:shd w:fill="E2EFDA" w:val="clear"/>
          </w:tcPr>
          <w:p>
            <w:r>
              <w:rPr>
                <w:sz w:val="17"/>
              </w:rPr>
              <w:t>3,110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9,100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SMBC</w:t>
            </w:r>
          </w:p>
        </w:tc>
        <w:tc>
          <w:tcPr>
            <w:tcW w:type="dxa" w:w="1728"/>
            <w:shd w:fill="E2EFDA" w:val="clear"/>
          </w:tcPr>
          <w:p>
            <w:r>
              <w:rPr>
                <w:sz w:val="17"/>
              </w:rPr>
              <w:t>SMBC - Société Multinational</w:t>
            </w:r>
          </w:p>
        </w:tc>
        <w:tc>
          <w:tcPr>
            <w:tcW w:type="dxa" w:w="1728"/>
            <w:shd w:fill="E2EFDA" w:val="clear"/>
          </w:tcPr>
          <w:p>
            <w:r>
              <w:rPr>
                <w:sz w:val="17"/>
              </w:rPr>
              <w:t>16,530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11,600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9,320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1,935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ORAC</w:t>
            </w:r>
          </w:p>
        </w:tc>
        <w:tc>
          <w:tcPr>
            <w:tcW w:type="dxa" w:w="1728"/>
            <w:shd w:fill="FCE4D6" w:val="clear"/>
          </w:tcPr>
          <w:p>
            <w:r>
              <w:rPr>
                <w:sz w:val="17"/>
              </w:rPr>
              <w:t>ORAC - ORANGE COTE D'IVOIRE</w:t>
            </w:r>
          </w:p>
        </w:tc>
        <w:tc>
          <w:tcPr>
            <w:tcW w:type="dxa" w:w="1728"/>
            <w:shd w:fill="FCE4D6" w:val="clear"/>
          </w:tcPr>
          <w:p>
            <w:r>
              <w:rPr>
                <w:sz w:val="17"/>
              </w:rPr>
              <w:t>17,000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ORGT</w:t>
            </w:r>
          </w:p>
        </w:tc>
        <w:tc>
          <w:tcPr>
            <w:tcW w:type="dxa" w:w="1728"/>
            <w:shd w:fill="FCE4D6" w:val="clear"/>
          </w:tcPr>
          <w:p>
            <w:r>
              <w:rPr>
                <w:sz w:val="17"/>
              </w:rPr>
              <w:t>ORGT - ORAGROUP TOGO</w:t>
            </w:r>
          </w:p>
        </w:tc>
        <w:tc>
          <w:tcPr>
            <w:tcW w:type="dxa" w:w="1728"/>
            <w:shd w:fill="FCE4D6" w:val="clear"/>
          </w:tcPr>
          <w:p>
            <w:r>
              <w:rPr>
                <w:sz w:val="17"/>
              </w:rPr>
              <w:t>3,110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9,100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SMBC</w:t>
            </w:r>
          </w:p>
        </w:tc>
        <w:tc>
          <w:tcPr>
            <w:tcW w:type="dxa" w:w="1728"/>
            <w:shd w:fill="FCE4D6" w:val="clear"/>
          </w:tcPr>
          <w:p>
            <w:r>
              <w:rPr>
                <w:sz w:val="17"/>
              </w:rPr>
              <w:t>SMBC - Société Multinational</w:t>
            </w:r>
          </w:p>
        </w:tc>
        <w:tc>
          <w:tcPr>
            <w:tcW w:type="dxa" w:w="1728"/>
            <w:shd w:fill="FCE4D6" w:val="clear"/>
          </w:tcPr>
          <w:p>
            <w:r>
              <w:rPr>
                <w:sz w:val="17"/>
              </w:rPr>
              <w:t>16,530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(75.0 &gt; 70) — risque de correction</w:t>
      </w:r>
    </w:p>
    <w:p>
      <w:pPr>
        <w:pStyle w:val="ListBullet"/>
        <w:spacing w:before="20"/>
        <w:ind w:left="400"/>
      </w:pPr>
      <w:r>
        <w:rPr>
          <w:sz w:val="18"/>
        </w:rPr>
        <w:t>⚠️ Cours à 2.3% du plus haut 100j (7,850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(80.0 &gt; 70) — risque de correction</w:t>
      </w:r>
    </w:p>
    <w:p>
      <w:pPr>
        <w:pStyle w:val="ListBullet"/>
        <w:spacing w:before="20"/>
        <w:ind w:left="400"/>
      </w:pPr>
      <w:r>
        <w:rPr>
          <w:sz w:val="18"/>
        </w:rPr>
        <w:t>⚠️ Cours à 0.8% du plus haut 100j (16,750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RSI surachat (83.1 &gt; 70) — risque de correction</w:t>
      </w:r>
    </w:p>
    <w:p>
      <w:pPr>
        <w:pStyle w:val="ListBullet"/>
        <w:spacing w:before="20"/>
        <w:ind w:left="400"/>
      </w:pPr>
      <w:r>
        <w:rPr>
          <w:sz w:val="18"/>
        </w:rPr>
        <w:t>⚠️ Cours à 0.5% du plus haut 100j (39,200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(79.9 &gt; 70) — risque de correction</w:t>
      </w:r>
    </w:p>
    <w:p>
      <w:pPr>
        <w:pStyle w:val="ListBullet"/>
        <w:spacing w:before="20"/>
        <w:ind w:left="400"/>
      </w:pPr>
      <w:r>
        <w:rPr>
          <w:sz w:val="18"/>
        </w:rPr>
        <w:t>⚠️ Cours à 0.0% du plus haut 100j (7,615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1.2% du plus haut 100j (29,490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Cours à 0.0% du plus haut 100j (7,325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(84.5 &gt; 70) — risque de correction</w:t>
      </w:r>
    </w:p>
    <w:p>
      <w:pPr>
        <w:pStyle w:val="ListBullet"/>
        <w:spacing w:before="20"/>
        <w:ind w:left="400"/>
      </w:pPr>
      <w:r>
        <w:rPr>
          <w:sz w:val="18"/>
        </w:rPr>
        <w:t>⚠️ Cours à 0.0% du plus haut 100j (11,600 FCFA)</w:t>
      </w:r>
    </w:p>
    <w:p>
      <w:pPr>
        <w:spacing w:before="120"/>
      </w:pPr>
      <w:r>
        <w:rPr>
          <w:b/>
          <w:color w:val="0050A0"/>
          <w:sz w:val="20"/>
        </w:rPr>
        <w:t>BOAM — BANK OF AFRICA MALI</w:t>
      </w:r>
    </w:p>
    <w:p>
      <w:pPr>
        <w:pStyle w:val="ListBullet"/>
        <w:spacing w:before="20"/>
        <w:ind w:left="400"/>
      </w:pPr>
      <w:r>
        <w:rPr>
          <w:sz w:val="18"/>
        </w:rPr>
        <w:t>⚠️ Cours à 1.2% du plus haut 100j (5,770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RSI surachat (70.5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NSBC — NSBC - NSIA BANQUE COTE D'IVOIRE</w:t>
      </w:r>
    </w:p>
    <w:p>
      <w:pPr>
        <w:pStyle w:val="ListBullet"/>
        <w:spacing w:before="20"/>
        <w:ind w:left="400"/>
      </w:pPr>
      <w:r>
        <w:rPr>
          <w:sz w:val="18"/>
        </w:rPr>
        <w:t>⚠️ Cours à 1.5% du plus haut 100j (24,020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(78.3 &gt; 70) — risque de correction</w:t>
      </w:r>
    </w:p>
    <w:p>
      <w:pPr>
        <w:pStyle w:val="ListBullet"/>
        <w:spacing w:before="20"/>
        <w:ind w:left="400"/>
      </w:pPr>
      <w:r>
        <w:rPr>
          <w:sz w:val="18"/>
        </w:rPr>
        <w:t>⚠️ Cours à 1.0% du plus haut 100j (17,175 FCFA)</w:t>
      </w:r>
    </w:p>
    <w:p>
      <w:pPr>
        <w:spacing w:before="120"/>
      </w:pPr>
      <w:r>
        <w:rPr>
          <w:b/>
          <w:color w:val="0050A0"/>
          <w:sz w:val="20"/>
        </w:rPr>
        <w:t>SDCC — SDCC - Société de Distribution d'Eau de Côte d'Ivoire</w:t>
      </w:r>
    </w:p>
    <w:p>
      <w:pPr>
        <w:pStyle w:val="ListBullet"/>
        <w:spacing w:before="20"/>
        <w:ind w:left="400"/>
      </w:pPr>
      <w:r>
        <w:rPr>
          <w:sz w:val="18"/>
        </w:rPr>
        <w:t>⚠️ Cours à 2.5% du plus haut 100j (12,195 FCFA)</w:t>
      </w:r>
    </w:p>
    <w:p>
      <w:pPr>
        <w:pStyle w:val="ListBullet"/>
        <w:spacing w:before="20"/>
        <w:ind w:left="400"/>
      </w:pPr>
      <w:r>
        <w:rPr>
          <w:sz w:val="18"/>
        </w:rPr>
        <w:t>🟠 Divergence tech(VENTE) / fond(NEUTRE) — recommandation ajustée à CONSERVER ⚠️</w:t>
      </w:r>
    </w:p>
    <w:p>
      <w:pPr>
        <w:spacing w:before="120"/>
      </w:pPr>
      <w:r>
        <w:rPr>
          <w:b/>
          <w:color w:val="0050A0"/>
          <w:sz w:val="20"/>
        </w:rPr>
        <w:t>SHEC — SHEC - VIVO ENERGY COTE D'IVOIRE</w:t>
      </w:r>
    </w:p>
    <w:p>
      <w:pPr>
        <w:pStyle w:val="ListBullet"/>
        <w:spacing w:before="20"/>
        <w:ind w:left="400"/>
      </w:pPr>
      <w:r>
        <w:rPr>
          <w:sz w:val="18"/>
        </w:rPr>
        <w:t>🔴 RSI surachat (70.3 &gt; 70) — risque de correction</w:t>
      </w:r>
    </w:p>
    <w:p>
      <w:pPr>
        <w:pStyle w:val="ListBullet"/>
        <w:spacing w:before="20"/>
        <w:ind w:left="400"/>
      </w:pPr>
      <w:r>
        <w:rPr>
          <w:sz w:val="18"/>
        </w:rPr>
        <w:t>⚠️ Cours à 1.5% du plus haut 100j (2,325 FCFA)</w:t>
      </w:r>
    </w:p>
    <w:p>
      <w:pPr>
        <w:spacing w:before="120"/>
      </w:pPr>
      <w:r>
        <w:rPr>
          <w:b/>
          <w:color w:val="0050A0"/>
          <w:sz w:val="20"/>
        </w:rPr>
        <w:t>SNTS — SNTS - SONATEL SN</w:t>
      </w:r>
    </w:p>
    <w:p>
      <w:pPr>
        <w:pStyle w:val="ListBullet"/>
        <w:spacing w:before="20"/>
        <w:ind w:left="400"/>
      </w:pPr>
      <w:r>
        <w:rPr>
          <w:sz w:val="18"/>
        </w:rPr>
        <w:t>⚠️ Cours à 1.5% du plus haut 100j (32,500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(75.4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STBC — STBC - SITAB COTE D'IVOIRE</w:t>
      </w:r>
    </w:p>
    <w:p>
      <w:pPr>
        <w:pStyle w:val="ListBullet"/>
        <w:spacing w:before="20"/>
        <w:ind w:left="400"/>
      </w:pPr>
      <w:r>
        <w:rPr>
          <w:sz w:val="18"/>
        </w:rPr>
        <w:t>🔴 RSI surachat (79.2 &gt; 70) — risque de correction</w:t>
      </w:r>
    </w:p>
    <w:p>
      <w:pPr>
        <w:pStyle w:val="ListBullet"/>
        <w:spacing w:before="20"/>
        <w:ind w:left="400"/>
      </w:pPr>
      <w:r>
        <w:rPr>
          <w:sz w:val="18"/>
        </w:rPr>
        <w:t>⚠️ Cours à 0.0% du plus haut 100j (25,000 FCFA)</w:t>
      </w:r>
    </w:p>
    <w:p>
      <w:pPr>
        <w:spacing w:before="120"/>
      </w:pPr>
      <w:r>
        <w:rPr>
          <w:b/>
          <w:color w:val="0050A0"/>
          <w:sz w:val="20"/>
        </w:rPr>
        <w:t>TTLC — TTLC - TOTAL ENERGIES MARKETING COTE D'IVOIRE</w:t>
      </w:r>
    </w:p>
    <w:p>
      <w:pPr>
        <w:pStyle w:val="ListBullet"/>
        <w:spacing w:before="20"/>
        <w:ind w:left="400"/>
      </w:pPr>
      <w:r>
        <w:rPr>
          <w:sz w:val="18"/>
        </w:rPr>
        <w:t>⚠️ Cours à 2.1% du plus haut 100j (3,060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RSI surachat (85.0 &gt; 70) — risque de correction</w:t>
      </w:r>
    </w:p>
    <w:p>
      <w:pPr>
        <w:spacing w:before="120"/>
      </w:pPr>
      <w:r>
        <w:rPr>
          <w:b/>
          <w:color w:val="0050A0"/>
          <w:sz w:val="20"/>
        </w:rPr>
        <w:t>SIBC — SIBC - SOCIETE IVOIRIENNE DE BANQUE</w:t>
      </w:r>
    </w:p>
    <w:p>
      <w:pPr>
        <w:pStyle w:val="ListBullet"/>
        <w:spacing w:before="20"/>
        <w:ind w:left="400"/>
      </w:pPr>
      <w:r>
        <w:rPr>
          <w:sz w:val="18"/>
        </w:rPr>
        <w:t>⚠️ Cours à 0.0% du plus haut 100j (9,320 FCFA)</w:t>
      </w:r>
    </w:p>
    <w:p>
      <w:pPr>
        <w:spacing w:before="120"/>
      </w:pPr>
      <w:r>
        <w:rPr>
          <w:b/>
          <w:color w:val="0050A0"/>
          <w:sz w:val="20"/>
        </w:rPr>
        <w:t>SIVC — SIVC - ERIUM CI (Ex AIR LIQUIDECI)</w:t>
      </w:r>
    </w:p>
    <w:p>
      <w:pPr>
        <w:pStyle w:val="ListBullet"/>
        <w:spacing w:before="20"/>
        <w:ind w:left="400"/>
      </w:pPr>
      <w:r>
        <w:rPr>
          <w:sz w:val="18"/>
        </w:rPr>
        <w:t>🟠 Divergence tech(VENTE) / fond(NEUTRE) — recommandation ajustée à CONSERVER ⚠️</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RSI survente (26.2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21.0/100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21.0/100).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38.6/100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UNLC</w:t>
            </w:r>
          </w:p>
        </w:tc>
        <w:tc>
          <w:tcPr>
            <w:tcW w:type="dxa" w:w="2268"/>
            <w:shd w:fill="FFFFFF" w:val="clear"/>
          </w:tcPr>
          <w:p>
            <w:r>
              <w:rPr>
                <w:sz w:val="16"/>
              </w:rPr>
              <w:t>UNLC - UNILEVER COTE D'IVOIR…</w:t>
            </w:r>
          </w:p>
        </w:tc>
        <w:tc>
          <w:tcPr>
            <w:tcW w:type="dxa" w:w="1701"/>
            <w:shd w:fill="FFFFFF" w:val="clear"/>
          </w:tcPr>
          <w:p>
            <w:r>
              <w:rPr>
                <w:sz w:val="16"/>
              </w:rPr>
              <w:t>CONSOMMATION DE BA</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Liquidité très faible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28.2/100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SICC (38.6/100 — Moyen) : </w:t>
      </w:r>
      <w:r>
        <w:rPr>
          <w:sz w:val="17"/>
        </w:rPr>
        <w:t>Volatilité=Élevée | Bêta=Contre-cyclique | Liquidité=Très faible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UNLC (32.8/100 — Moyen) : </w:t>
      </w:r>
      <w:r>
        <w:rPr>
          <w:sz w:val="17"/>
        </w:rPr>
        <w:t>Volatilité=Moyenne | Bêta=Très agressif | Liquidité=Très 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(28.2/100 — Moyen) : </w:t>
      </w:r>
      <w:r>
        <w:rPr>
          <w:sz w:val="17"/>
        </w:rPr>
        <w:t>Volatilité=Élevée | Bêta=Défensif | Liquidité=Bonne | Divergence signaux=taux divergence=0% (Convergent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SPHC</w:t>
            </w:r>
          </w:p>
        </w:tc>
        <w:tc>
          <w:tcPr>
            <w:tcW w:type="dxa" w:w="2268"/>
            <w:shd w:fill="FFFFFF" w:val="clear"/>
          </w:tcPr>
          <w:p>
            <w:r>
              <w:rPr>
                <w:sz w:val="16"/>
              </w:rPr>
              <w:t>SPHC - Société Africaine de …</w:t>
            </w:r>
          </w:p>
        </w:tc>
        <w:tc>
          <w:tcPr>
            <w:tcW w:type="dxa" w:w="1701"/>
            <w:shd w:fill="FFFFFF" w:val="clear"/>
          </w:tcPr>
          <w:p>
            <w:r>
              <w:rPr>
                <w:sz w:val="16"/>
              </w:rPr>
              <w:t>CONSOMMATION DE BA</w:t>
            </w:r>
          </w:p>
        </w:tc>
        <w:tc>
          <w:tcPr>
            <w:tcW w:type="dxa" w:w="1020"/>
            <w:shd w:fill="C6EFCE" w:val="clear"/>
          </w:tcPr>
          <w:p>
            <w:r>
              <w:rPr>
                <w:b/>
                <w:color w:val="007800"/>
                <w:sz w:val="16"/>
              </w:rPr>
              <w:t>16.3/100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38.6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28.2</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24.5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18.1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-10.81%  |  Médiane : -6.89%</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14   Faible : 33 (70%)   → Confiance dominante : Faible</w:t>
            </w:r>
          </w:p>
        </w:tc>
      </w:tr>
    </w:tbl>
    <w:p/>
    <w:p>
      <w:r>
        <w:rPr>
          <w:i/>
          <w:color w:val="282828"/>
          <w:sz w:val="18"/>
        </w:rPr>
        <w:t>📝 Analyse : Les modèles anticipent une correction généralisée. 38 sociétés sur 47 sont orientées à la baisse avec une variation moyenne de -10.81%.</w:t>
      </w:r>
    </w:p>
    <w:p>
      <w:r>
        <w:rPr>
          <w:i/>
          <w:color w:val="282828"/>
          <w:sz w:val="18"/>
        </w:rPr>
        <w:t>🎯 Fiabilité : ⚠️ La confiance est globalement FAIBLE (70%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6,210 FCFA</w:t>
            </w:r>
          </w:p>
        </w:tc>
        <w:tc>
          <w:tcPr>
            <w:tcW w:type="dxa" w:w="1134"/>
            <w:shd w:fill="C6EFCE" w:val="clear"/>
          </w:tcPr>
          <w:p>
            <w:r>
              <w:rPr>
                <w:b/>
                <w:color w:val="007800"/>
                <w:sz w:val="16"/>
              </w:rPr>
              <w:t>+77.42%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23,650 FCFA</w:t>
            </w:r>
          </w:p>
        </w:tc>
        <w:tc>
          <w:tcPr>
            <w:tcW w:type="dxa" w:w="1417"/>
            <w:shd w:fill="FFFFFF" w:val="clear"/>
          </w:tcPr>
          <w:p>
            <w:r>
              <w:rPr>
                <w:sz w:val="16"/>
              </w:rPr>
              <w:t>27,766 FCFA</w:t>
            </w:r>
          </w:p>
        </w:tc>
        <w:tc>
          <w:tcPr>
            <w:tcW w:type="dxa" w:w="1134"/>
            <w:shd w:fill="C6EFCE" w:val="clear"/>
          </w:tcPr>
          <w:p>
            <w:r>
              <w:rPr>
                <w:b/>
                <w:color w:val="007800"/>
                <w:sz w:val="16"/>
              </w:rPr>
              <w:t>+17.40%</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54,595 FCFA</w:t>
            </w:r>
          </w:p>
        </w:tc>
        <w:tc>
          <w:tcPr>
            <w:tcW w:type="dxa" w:w="1417"/>
            <w:shd w:fill="FFFFFF" w:val="clear"/>
          </w:tcPr>
          <w:p>
            <w:r>
              <w:rPr>
                <w:sz w:val="16"/>
              </w:rPr>
              <w:t>61,441 FCFA</w:t>
            </w:r>
          </w:p>
        </w:tc>
        <w:tc>
          <w:tcPr>
            <w:tcW w:type="dxa" w:w="1134"/>
            <w:shd w:fill="C6EFCE" w:val="clear"/>
          </w:tcPr>
          <w:p>
            <w:r>
              <w:rPr>
                <w:b/>
                <w:color w:val="007800"/>
                <w:sz w:val="16"/>
              </w:rPr>
              <w:t>+12.54%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25,000 FCFA</w:t>
            </w:r>
          </w:p>
        </w:tc>
        <w:tc>
          <w:tcPr>
            <w:tcW w:type="dxa" w:w="1417"/>
            <w:shd w:fill="FFFFFF" w:val="clear"/>
          </w:tcPr>
          <w:p>
            <w:r>
              <w:rPr>
                <w:sz w:val="16"/>
              </w:rPr>
              <w:t>27,409 FCFA</w:t>
            </w:r>
          </w:p>
        </w:tc>
        <w:tc>
          <w:tcPr>
            <w:tcW w:type="dxa" w:w="1134"/>
            <w:shd w:fill="C6EFCE" w:val="clear"/>
          </w:tcPr>
          <w:p>
            <w:r>
              <w:rPr>
                <w:b/>
                <w:color w:val="007800"/>
                <w:sz w:val="16"/>
              </w:rPr>
              <w:t>+9.64%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2,135 FCFA</w:t>
            </w:r>
          </w:p>
        </w:tc>
        <w:tc>
          <w:tcPr>
            <w:tcW w:type="dxa" w:w="1417"/>
            <w:shd w:fill="FFFFFF" w:val="clear"/>
          </w:tcPr>
          <w:p>
            <w:r>
              <w:rPr>
                <w:sz w:val="16"/>
              </w:rPr>
              <w:t>2,209 FCFA</w:t>
            </w:r>
          </w:p>
        </w:tc>
        <w:tc>
          <w:tcPr>
            <w:tcW w:type="dxa" w:w="1134"/>
            <w:shd w:fill="C6EFCE" w:val="clear"/>
          </w:tcPr>
          <w:p>
            <w:r>
              <w:rPr>
                <w:b/>
                <w:color w:val="007800"/>
                <w:sz w:val="16"/>
              </w:rPr>
              <w:t>+3.45%</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(+77.4%) — signal potentiellement excessif, à croiser avec l'analyse technique. Trajectoire : 📈 Hausse continue. Cours actuel : 3,500 FCFA → prédit J+10 : 6,210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(+17.4%) — potentiel de revalorisation notable. Trajectoire : 📈 Hausse continue. Cours actuel : 23,650 FCFA → prédit J+10 : 27,766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(+12.5%) — potentiel de revalorisation notable. Trajectoire : 📈 Hausse continue. Cours actuel : 54,595 FCFA → prédit J+10 : 61,441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(+9.6%) — signal raisonnable et crédible. Trajectoire : 📈 Hausse continue. Cours actuel : 25,000 FCFA → prédit J+10 : 27,409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(+3.4%) — progression graduelle attendue. Trajectoire : 📈 Hausse continue. Cours actuel : 2,135 FCFA → prédit J+10 : 2,209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3,620 FCFA</w:t>
            </w:r>
          </w:p>
        </w:tc>
        <w:tc>
          <w:tcPr>
            <w:tcW w:type="dxa" w:w="1417"/>
            <w:shd w:fill="FFFFFF" w:val="clear"/>
          </w:tcPr>
          <w:p>
            <w:r>
              <w:rPr>
                <w:sz w:val="16"/>
              </w:rPr>
              <w:t>1,660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4,990 FCFA</w:t>
            </w:r>
          </w:p>
        </w:tc>
        <w:tc>
          <w:tcPr>
            <w:tcW w:type="dxa" w:w="1417"/>
            <w:shd w:fill="FFFFFF" w:val="clear"/>
          </w:tcPr>
          <w:p>
            <w:r>
              <w:rPr>
                <w:sz w:val="16"/>
              </w:rPr>
              <w:t>2,288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67 FCFA</w:t>
            </w:r>
          </w:p>
        </w:tc>
        <w:tc>
          <w:tcPr>
            <w:tcW w:type="dxa" w:w="1417"/>
            <w:shd w:fill="FFFFFF" w:val="clear"/>
          </w:tcPr>
          <w:p>
            <w:r>
              <w:rPr>
                <w:sz w:val="16"/>
              </w:rPr>
              <w:t>31 FCFA</w:t>
            </w:r>
          </w:p>
        </w:tc>
        <w:tc>
          <w:tcPr>
            <w:tcW w:type="dxa" w:w="1134"/>
            <w:shd w:fill="FFC7CE" w:val="clear"/>
          </w:tcPr>
          <w:p>
            <w:r>
              <w:rPr>
                <w:b/>
                <w:color w:val="B40000"/>
                <w:sz w:val="16"/>
              </w:rPr>
              <w:t>-54.13%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STAC — STAC - SETAO COTE D'IVOIRE</w:t>
            </w:r>
          </w:p>
        </w:tc>
        <w:tc>
          <w:tcPr>
            <w:tcW w:type="dxa" w:w="1701"/>
            <w:shd w:fill="FFFFFF" w:val="clear"/>
          </w:tcPr>
          <w:p>
            <w:r>
              <w:rPr>
                <w:sz w:val="16"/>
              </w:rPr>
              <w:t>INDUSTRIELS</w:t>
            </w:r>
          </w:p>
        </w:tc>
        <w:tc>
          <w:tcPr>
            <w:tcW w:type="dxa" w:w="1417"/>
            <w:shd w:fill="FFFFFF" w:val="clear"/>
          </w:tcPr>
          <w:p>
            <w:r>
              <w:rPr>
                <w:sz w:val="16"/>
              </w:rPr>
              <w:t>2,630 FCFA</w:t>
            </w:r>
          </w:p>
        </w:tc>
        <w:tc>
          <w:tcPr>
            <w:tcW w:type="dxa" w:w="1417"/>
            <w:shd w:fill="FFFFFF" w:val="clear"/>
          </w:tcPr>
          <w:p>
            <w:r>
              <w:rPr>
                <w:sz w:val="16"/>
              </w:rPr>
              <w:t>1,597 FCFA</w:t>
            </w:r>
          </w:p>
        </w:tc>
        <w:tc>
          <w:tcPr>
            <w:tcW w:type="dxa" w:w="1134"/>
            <w:shd w:fill="FFC7CE" w:val="clear"/>
          </w:tcPr>
          <w:p>
            <w:r>
              <w:rPr>
                <w:b/>
                <w:color w:val="B40000"/>
                <w:sz w:val="16"/>
              </w:rPr>
              <w:t>-39.27%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2,265 FCFA</w:t>
            </w:r>
          </w:p>
        </w:tc>
        <w:tc>
          <w:tcPr>
            <w:tcW w:type="dxa" w:w="1417"/>
            <w:shd w:fill="FFFFFF" w:val="clear"/>
          </w:tcPr>
          <w:p>
            <w:r>
              <w:rPr>
                <w:sz w:val="16"/>
              </w:rPr>
              <w:t>1,376 FCFA</w:t>
            </w:r>
          </w:p>
        </w:tc>
        <w:tc>
          <w:tcPr>
            <w:tcW w:type="dxa" w:w="1134"/>
            <w:shd w:fill="FFC7CE" w:val="clear"/>
          </w:tcPr>
          <w:p>
            <w:r>
              <w:rPr>
                <w:b/>
                <w:color w:val="B40000"/>
                <w:sz w:val="16"/>
              </w:rPr>
              <w:t>-39.26%</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3,620 FCFA → prédit J+10 : 1,660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4,990 FCFA → prédit J+10 : 2,288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67 FCFA → prédit J+10 : 31 FCFA. ⚠️ Confiance limitée — volatilité élevée. Ne pas agir sur ce seul signal.</w:t>
      </w:r>
    </w:p>
    <w:p>
      <w:pPr>
        <w:pStyle w:val="ListBullet"/>
      </w:pPr>
      <w:r>
        <w:rPr>
          <w:b/>
          <w:color w:val="B40000"/>
          <w:sz w:val="18"/>
        </w:rPr>
        <w:t xml:space="preserve">#4 STAC </w:t>
      </w:r>
      <w:r>
        <w:rPr>
          <w:sz w:val="17"/>
        </w:rPr>
        <w:t>(STAC - SETAO COTE D'IVOIRE) — baisse très forte (-39.3%) — amplitude potentiellement surestimée par le modèle. Trajectoire : 📉 Baisse continue. Cours actuel : 2,630 FCFA → prédit J+10 : 1,597 FCFA. ⚠️ Confiance limitée — volatilité élevée. Ne pas agir sur ce seul signal.</w:t>
      </w:r>
    </w:p>
    <w:p>
      <w:pPr>
        <w:pStyle w:val="ListBullet"/>
      </w:pPr>
      <w:r>
        <w:rPr>
          <w:b/>
          <w:color w:val="B40000"/>
          <w:sz w:val="18"/>
        </w:rPr>
        <w:t xml:space="preserve">#5 NEIC </w:t>
      </w:r>
      <w:r>
        <w:rPr>
          <w:sz w:val="17"/>
        </w:rPr>
        <w:t>(NEIC - NEI-CEDA CI) — baisse très forte (-39.3%) — amplitude potentiellement surestimée par le modèle. Trajectoire : 📉 Baisse continue. Cours actuel : 2,265 FCFA → prédit J+10 : 1,376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6,210</w:t>
            </w:r>
          </w:p>
        </w:tc>
        <w:tc>
          <w:tcPr>
            <w:tcW w:type="dxa" w:w="1134"/>
            <w:shd w:fill="C6EFCE" w:val="clear"/>
          </w:tcPr>
          <w:p>
            <w:r>
              <w:rPr>
                <w:b/>
                <w:color w:val="007800"/>
                <w:sz w:val="16"/>
              </w:rPr>
              <w:t>+77.42%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23,650</w:t>
            </w:r>
          </w:p>
        </w:tc>
        <w:tc>
          <w:tcPr>
            <w:tcW w:type="dxa" w:w="1417"/>
            <w:shd w:fill="FFFFFF" w:val="clear"/>
          </w:tcPr>
          <w:p>
            <w:r>
              <w:rPr>
                <w:sz w:val="16"/>
              </w:rPr>
              <w:t>27,766</w:t>
            </w:r>
          </w:p>
        </w:tc>
        <w:tc>
          <w:tcPr>
            <w:tcW w:type="dxa" w:w="1134"/>
            <w:shd w:fill="C6EFCE" w:val="clear"/>
          </w:tcPr>
          <w:p>
            <w:r>
              <w:rPr>
                <w:b/>
                <w:color w:val="007800"/>
                <w:sz w:val="16"/>
              </w:rPr>
              <w:t>+17.40%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54,595</w:t>
            </w:r>
          </w:p>
        </w:tc>
        <w:tc>
          <w:tcPr>
            <w:tcW w:type="dxa" w:w="1417"/>
            <w:shd w:fill="FFFFFF" w:val="clear"/>
          </w:tcPr>
          <w:p>
            <w:r>
              <w:rPr>
                <w:sz w:val="16"/>
              </w:rPr>
              <w:t>61,441</w:t>
            </w:r>
          </w:p>
        </w:tc>
        <w:tc>
          <w:tcPr>
            <w:tcW w:type="dxa" w:w="1134"/>
            <w:shd w:fill="C6EFCE" w:val="clear"/>
          </w:tcPr>
          <w:p>
            <w:r>
              <w:rPr>
                <w:b/>
                <w:color w:val="007800"/>
                <w:sz w:val="16"/>
              </w:rPr>
              <w:t>+12.54%</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25,000</w:t>
            </w:r>
          </w:p>
        </w:tc>
        <w:tc>
          <w:tcPr>
            <w:tcW w:type="dxa" w:w="1417"/>
            <w:shd w:fill="FFFFFF" w:val="clear"/>
          </w:tcPr>
          <w:p>
            <w:r>
              <w:rPr>
                <w:sz w:val="16"/>
              </w:rPr>
              <w:t>27,409</w:t>
            </w:r>
          </w:p>
        </w:tc>
        <w:tc>
          <w:tcPr>
            <w:tcW w:type="dxa" w:w="1134"/>
            <w:shd w:fill="C6EFCE" w:val="clear"/>
          </w:tcPr>
          <w:p>
            <w:r>
              <w:rPr>
                <w:b/>
                <w:color w:val="007800"/>
                <w:sz w:val="16"/>
              </w:rPr>
              <w:t>+9.64%</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2,135</w:t>
            </w:r>
          </w:p>
        </w:tc>
        <w:tc>
          <w:tcPr>
            <w:tcW w:type="dxa" w:w="1417"/>
            <w:shd w:fill="FFFFFF" w:val="clear"/>
          </w:tcPr>
          <w:p>
            <w:r>
              <w:rPr>
                <w:sz w:val="16"/>
              </w:rPr>
              <w:t>2,209</w:t>
            </w:r>
          </w:p>
        </w:tc>
        <w:tc>
          <w:tcPr>
            <w:tcW w:type="dxa" w:w="1134"/>
            <w:shd w:fill="C6EFCE" w:val="clear"/>
          </w:tcPr>
          <w:p>
            <w:r>
              <w:rPr>
                <w:b/>
                <w:color w:val="007800"/>
                <w:sz w:val="16"/>
              </w:rPr>
              <w:t>+3.45%</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7,875</w:t>
            </w:r>
          </w:p>
        </w:tc>
        <w:tc>
          <w:tcPr>
            <w:tcW w:type="dxa" w:w="1417"/>
            <w:shd w:fill="FFFFFF" w:val="clear"/>
          </w:tcPr>
          <w:p>
            <w:r>
              <w:rPr>
                <w:sz w:val="16"/>
              </w:rPr>
              <w:t>8,112</w:t>
            </w:r>
          </w:p>
        </w:tc>
        <w:tc>
          <w:tcPr>
            <w:tcW w:type="dxa" w:w="1134"/>
            <w:shd w:fill="C6EFCE" w:val="clear"/>
          </w:tcPr>
          <w:p>
            <w:r>
              <w:rPr>
                <w:b/>
                <w:color w:val="007800"/>
                <w:sz w:val="16"/>
              </w:rPr>
              <w:t>+3.01%</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9,100</w:t>
            </w:r>
          </w:p>
        </w:tc>
        <w:tc>
          <w:tcPr>
            <w:tcW w:type="dxa" w:w="1417"/>
            <w:shd w:fill="FFFFFF" w:val="clear"/>
          </w:tcPr>
          <w:p>
            <w:r>
              <w:rPr>
                <w:sz w:val="16"/>
              </w:rPr>
              <w:t>9,332</w:t>
            </w:r>
          </w:p>
        </w:tc>
        <w:tc>
          <w:tcPr>
            <w:tcW w:type="dxa" w:w="1134"/>
            <w:shd w:fill="C6EFCE" w:val="clear"/>
          </w:tcPr>
          <w:p>
            <w:r>
              <w:rPr>
                <w:b/>
                <w:color w:val="007800"/>
                <w:sz w:val="16"/>
              </w:rPr>
              <w:t>+2.55%</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1,905</w:t>
            </w:r>
          </w:p>
        </w:tc>
        <w:tc>
          <w:tcPr>
            <w:tcW w:type="dxa" w:w="1417"/>
            <w:shd w:fill="FFFFFF" w:val="clear"/>
          </w:tcPr>
          <w:p>
            <w:r>
              <w:rPr>
                <w:sz w:val="16"/>
              </w:rPr>
              <w:t>1,905</w:t>
            </w:r>
          </w:p>
        </w:tc>
        <w:tc>
          <w:tcPr>
            <w:tcW w:type="dxa" w:w="1134"/>
            <w:shd w:fill="FFEB9C" w:val="clear"/>
          </w:tcPr>
          <w:p>
            <w:r>
              <w:rPr>
                <w:b/>
                <w:color w:val="646400"/>
                <w:sz w:val="16"/>
              </w:rPr>
              <w:t>-0.01%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37,005</w:t>
            </w:r>
          </w:p>
        </w:tc>
        <w:tc>
          <w:tcPr>
            <w:tcW w:type="dxa" w:w="1417"/>
            <w:shd w:fill="FFFFFF" w:val="clear"/>
          </w:tcPr>
          <w:p>
            <w:r>
              <w:rPr>
                <w:sz w:val="16"/>
              </w:rPr>
              <w:t>36,683</w:t>
            </w:r>
          </w:p>
        </w:tc>
        <w:tc>
          <w:tcPr>
            <w:tcW w:type="dxa" w:w="1134"/>
            <w:shd w:fill="FFEB9C" w:val="clear"/>
          </w:tcPr>
          <w:p>
            <w:r>
              <w:rPr>
                <w:b/>
                <w:color w:val="646400"/>
                <w:sz w:val="16"/>
              </w:rPr>
              <w:t>-0.87%</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3,110</w:t>
            </w:r>
          </w:p>
        </w:tc>
        <w:tc>
          <w:tcPr>
            <w:tcW w:type="dxa" w:w="1417"/>
            <w:shd w:fill="FFFFFF" w:val="clear"/>
          </w:tcPr>
          <w:p>
            <w:r>
              <w:rPr>
                <w:sz w:val="16"/>
              </w:rPr>
              <w:t>3,077</w:t>
            </w:r>
          </w:p>
        </w:tc>
        <w:tc>
          <w:tcPr>
            <w:tcW w:type="dxa" w:w="1134"/>
            <w:shd w:fill="FFC7CE" w:val="clear"/>
          </w:tcPr>
          <w:p>
            <w:r>
              <w:rPr>
                <w:b/>
                <w:color w:val="B40000"/>
                <w:sz w:val="16"/>
              </w:rPr>
              <w:t>-1.07%</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16,200</w:t>
            </w:r>
          </w:p>
        </w:tc>
        <w:tc>
          <w:tcPr>
            <w:tcW w:type="dxa" w:w="1417"/>
            <w:shd w:fill="FFFFFF" w:val="clear"/>
          </w:tcPr>
          <w:p>
            <w:r>
              <w:rPr>
                <w:sz w:val="16"/>
              </w:rPr>
              <w:t>16,021</w:t>
            </w:r>
          </w:p>
        </w:tc>
        <w:tc>
          <w:tcPr>
            <w:tcW w:type="dxa" w:w="1134"/>
            <w:shd w:fill="FFC7CE" w:val="clear"/>
          </w:tcPr>
          <w:p>
            <w:r>
              <w:rPr>
                <w:b/>
                <w:color w:val="B40000"/>
                <w:sz w:val="16"/>
              </w:rPr>
              <w:t>-1.10%</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2,910</w:t>
            </w:r>
          </w:p>
        </w:tc>
        <w:tc>
          <w:tcPr>
            <w:tcW w:type="dxa" w:w="1417"/>
            <w:shd w:fill="FFFFFF" w:val="clear"/>
          </w:tcPr>
          <w:p>
            <w:r>
              <w:rPr>
                <w:sz w:val="16"/>
              </w:rPr>
              <w:t>2,861</w:t>
            </w:r>
          </w:p>
        </w:tc>
        <w:tc>
          <w:tcPr>
            <w:tcW w:type="dxa" w:w="1134"/>
            <w:shd w:fill="FFC7CE" w:val="clear"/>
          </w:tcPr>
          <w:p>
            <w:r>
              <w:rPr>
                <w:b/>
                <w:color w:val="B40000"/>
                <w:sz w:val="16"/>
              </w:rPr>
              <w:t>-1.68%</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17,000</w:t>
            </w:r>
          </w:p>
        </w:tc>
        <w:tc>
          <w:tcPr>
            <w:tcW w:type="dxa" w:w="1417"/>
            <w:shd w:fill="FFFFFF" w:val="clear"/>
          </w:tcPr>
          <w:p>
            <w:r>
              <w:rPr>
                <w:sz w:val="16"/>
              </w:rPr>
              <w:t>16,711</w:t>
            </w:r>
          </w:p>
        </w:tc>
        <w:tc>
          <w:tcPr>
            <w:tcW w:type="dxa" w:w="1134"/>
            <w:shd w:fill="FFC7CE" w:val="clear"/>
          </w:tcPr>
          <w:p>
            <w:r>
              <w:rPr>
                <w:b/>
                <w:color w:val="B40000"/>
                <w:sz w:val="16"/>
              </w:rPr>
              <w:t>-1.70%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5,200</w:t>
            </w:r>
          </w:p>
        </w:tc>
        <w:tc>
          <w:tcPr>
            <w:tcW w:type="dxa" w:w="1417"/>
            <w:shd w:fill="FFFFFF" w:val="clear"/>
          </w:tcPr>
          <w:p>
            <w:r>
              <w:rPr>
                <w:sz w:val="16"/>
              </w:rPr>
              <w:t>5,081</w:t>
            </w:r>
          </w:p>
        </w:tc>
        <w:tc>
          <w:tcPr>
            <w:tcW w:type="dxa" w:w="1134"/>
            <w:shd w:fill="FFC7CE" w:val="clear"/>
          </w:tcPr>
          <w:p>
            <w:r>
              <w:rPr>
                <w:b/>
                <w:color w:val="B40000"/>
                <w:sz w:val="16"/>
              </w:rPr>
              <w:t>-2.28%</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2,995</w:t>
            </w:r>
          </w:p>
        </w:tc>
        <w:tc>
          <w:tcPr>
            <w:tcW w:type="dxa" w:w="1417"/>
            <w:shd w:fill="FFFFFF" w:val="clear"/>
          </w:tcPr>
          <w:p>
            <w:r>
              <w:rPr>
                <w:sz w:val="16"/>
              </w:rPr>
              <w:t>2,915</w:t>
            </w:r>
          </w:p>
        </w:tc>
        <w:tc>
          <w:tcPr>
            <w:tcW w:type="dxa" w:w="1134"/>
            <w:shd w:fill="FFC7CE" w:val="clear"/>
          </w:tcPr>
          <w:p>
            <w:r>
              <w:rPr>
                <w:b/>
                <w:color w:val="B40000"/>
                <w:sz w:val="16"/>
              </w:rPr>
              <w:t>-2.66%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16,615</w:t>
            </w:r>
          </w:p>
        </w:tc>
        <w:tc>
          <w:tcPr>
            <w:tcW w:type="dxa" w:w="1417"/>
            <w:shd w:fill="FFFFFF" w:val="clear"/>
          </w:tcPr>
          <w:p>
            <w:r>
              <w:rPr>
                <w:sz w:val="16"/>
              </w:rPr>
              <w:t>16,035</w:t>
            </w:r>
          </w:p>
        </w:tc>
        <w:tc>
          <w:tcPr>
            <w:tcW w:type="dxa" w:w="1134"/>
            <w:shd w:fill="FFC7CE" w:val="clear"/>
          </w:tcPr>
          <w:p>
            <w:r>
              <w:rPr>
                <w:b/>
                <w:color w:val="B40000"/>
                <w:sz w:val="16"/>
              </w:rPr>
              <w:t>-3.49%</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32,000</w:t>
            </w:r>
          </w:p>
        </w:tc>
        <w:tc>
          <w:tcPr>
            <w:tcW w:type="dxa" w:w="1417"/>
            <w:shd w:fill="FFFFFF" w:val="clear"/>
          </w:tcPr>
          <w:p>
            <w:r>
              <w:rPr>
                <w:sz w:val="16"/>
              </w:rPr>
              <w:t>30,851</w:t>
            </w:r>
          </w:p>
        </w:tc>
        <w:tc>
          <w:tcPr>
            <w:tcW w:type="dxa" w:w="1134"/>
            <w:shd w:fill="FFC7CE" w:val="clear"/>
          </w:tcPr>
          <w:p>
            <w:r>
              <w:rPr>
                <w:b/>
                <w:color w:val="B40000"/>
                <w:sz w:val="16"/>
              </w:rPr>
              <w:t>-3.59%</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7,900</w:t>
            </w:r>
          </w:p>
        </w:tc>
        <w:tc>
          <w:tcPr>
            <w:tcW w:type="dxa" w:w="1417"/>
            <w:shd w:fill="FFFFFF" w:val="clear"/>
          </w:tcPr>
          <w:p>
            <w:r>
              <w:rPr>
                <w:sz w:val="16"/>
              </w:rPr>
              <w:t>7,580</w:t>
            </w:r>
          </w:p>
        </w:tc>
        <w:tc>
          <w:tcPr>
            <w:tcW w:type="dxa" w:w="1134"/>
            <w:shd w:fill="FFC7CE" w:val="clear"/>
          </w:tcPr>
          <w:p>
            <w:r>
              <w:rPr>
                <w:b/>
                <w:color w:val="B40000"/>
                <w:sz w:val="16"/>
              </w:rPr>
              <w:t>-4.05%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16,530</w:t>
            </w:r>
          </w:p>
        </w:tc>
        <w:tc>
          <w:tcPr>
            <w:tcW w:type="dxa" w:w="1417"/>
            <w:shd w:fill="FFFFFF" w:val="clear"/>
          </w:tcPr>
          <w:p>
            <w:r>
              <w:rPr>
                <w:sz w:val="16"/>
              </w:rPr>
              <w:t>15,807</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37,281</w:t>
            </w:r>
          </w:p>
        </w:tc>
        <w:tc>
          <w:tcPr>
            <w:tcW w:type="dxa" w:w="1134"/>
            <w:shd w:fill="FFC7CE" w:val="clear"/>
          </w:tcPr>
          <w:p>
            <w:r>
              <w:rPr>
                <w:b/>
                <w:color w:val="B40000"/>
                <w:sz w:val="16"/>
              </w:rPr>
              <w:t>-4.41%</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4,450</w:t>
            </w:r>
          </w:p>
        </w:tc>
        <w:tc>
          <w:tcPr>
            <w:tcW w:type="dxa" w:w="1417"/>
            <w:shd w:fill="FFFFFF" w:val="clear"/>
          </w:tcPr>
          <w:p>
            <w:r>
              <w:rPr>
                <w:sz w:val="16"/>
              </w:rPr>
              <w:t>4,242</w:t>
            </w:r>
          </w:p>
        </w:tc>
        <w:tc>
          <w:tcPr>
            <w:tcW w:type="dxa" w:w="1134"/>
            <w:shd w:fill="FFC7CE" w:val="clear"/>
          </w:tcPr>
          <w:p>
            <w:r>
              <w:rPr>
                <w:b/>
                <w:color w:val="B40000"/>
                <w:sz w:val="16"/>
              </w:rPr>
              <w:t>-4.67%</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1,935</w:t>
            </w:r>
          </w:p>
        </w:tc>
        <w:tc>
          <w:tcPr>
            <w:tcW w:type="dxa" w:w="1417"/>
            <w:shd w:fill="FFFFFF" w:val="clear"/>
          </w:tcPr>
          <w:p>
            <w:r>
              <w:rPr>
                <w:sz w:val="16"/>
              </w:rPr>
              <w:t>1,813</w:t>
            </w:r>
          </w:p>
        </w:tc>
        <w:tc>
          <w:tcPr>
            <w:tcW w:type="dxa" w:w="1134"/>
            <w:shd w:fill="FFC7CE" w:val="clear"/>
          </w:tcPr>
          <w:p>
            <w:r>
              <w:rPr>
                <w:b/>
                <w:color w:val="B40000"/>
                <w:sz w:val="16"/>
              </w:rPr>
              <w:t>-6.31%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2,585</w:t>
            </w:r>
          </w:p>
        </w:tc>
        <w:tc>
          <w:tcPr>
            <w:tcW w:type="dxa" w:w="1417"/>
            <w:shd w:fill="FFFFFF" w:val="clear"/>
          </w:tcPr>
          <w:p>
            <w:r>
              <w:rPr>
                <w:sz w:val="16"/>
              </w:rPr>
              <w:t>2,407</w:t>
            </w:r>
          </w:p>
        </w:tc>
        <w:tc>
          <w:tcPr>
            <w:tcW w:type="dxa" w:w="1134"/>
            <w:shd w:fill="FFC7CE" w:val="clear"/>
          </w:tcPr>
          <w:p>
            <w:r>
              <w:rPr>
                <w:b/>
                <w:color w:val="B40000"/>
                <w:sz w:val="16"/>
              </w:rPr>
              <w:t>-6.89%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4,295</w:t>
            </w:r>
          </w:p>
        </w:tc>
        <w:tc>
          <w:tcPr>
            <w:tcW w:type="dxa" w:w="1417"/>
            <w:shd w:fill="FFFFFF" w:val="clear"/>
          </w:tcPr>
          <w:p>
            <w:r>
              <w:rPr>
                <w:sz w:val="16"/>
              </w:rPr>
              <w:t>3,999</w:t>
            </w:r>
          </w:p>
        </w:tc>
        <w:tc>
          <w:tcPr>
            <w:tcW w:type="dxa" w:w="1134"/>
            <w:shd w:fill="FFC7CE" w:val="clear"/>
          </w:tcPr>
          <w:p>
            <w:r>
              <w:rPr>
                <w:b/>
                <w:color w:val="B40000"/>
                <w:sz w:val="16"/>
              </w:rPr>
              <w:t>-6.89%</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11,890</w:t>
            </w:r>
          </w:p>
        </w:tc>
        <w:tc>
          <w:tcPr>
            <w:tcW w:type="dxa" w:w="1417"/>
            <w:shd w:fill="FFFFFF" w:val="clear"/>
          </w:tcPr>
          <w:p>
            <w:r>
              <w:rPr>
                <w:sz w:val="16"/>
              </w:rPr>
              <w:t>10,701</w:t>
            </w:r>
          </w:p>
        </w:tc>
        <w:tc>
          <w:tcPr>
            <w:tcW w:type="dxa" w:w="1134"/>
            <w:shd w:fill="FFC7CE" w:val="clear"/>
          </w:tcPr>
          <w:p>
            <w:r>
              <w:rPr>
                <w:b/>
                <w:color w:val="B40000"/>
                <w:sz w:val="16"/>
              </w:rPr>
              <w:t>-10.00%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29,150</w:t>
            </w:r>
          </w:p>
        </w:tc>
        <w:tc>
          <w:tcPr>
            <w:tcW w:type="dxa" w:w="1417"/>
            <w:shd w:fill="FFFFFF" w:val="clear"/>
          </w:tcPr>
          <w:p>
            <w:r>
              <w:rPr>
                <w:sz w:val="16"/>
              </w:rPr>
              <w:t>26,233</w:t>
            </w:r>
          </w:p>
        </w:tc>
        <w:tc>
          <w:tcPr>
            <w:tcW w:type="dxa" w:w="1134"/>
            <w:shd w:fill="FFC7CE" w:val="clear"/>
          </w:tcPr>
          <w:p>
            <w:r>
              <w:rPr>
                <w:b/>
                <w:color w:val="B40000"/>
                <w:sz w:val="16"/>
              </w:rPr>
              <w:t>-10.01%</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3,010</w:t>
            </w:r>
          </w:p>
        </w:tc>
        <w:tc>
          <w:tcPr>
            <w:tcW w:type="dxa" w:w="1417"/>
            <w:shd w:fill="FFFFFF" w:val="clear"/>
          </w:tcPr>
          <w:p>
            <w:r>
              <w:rPr>
                <w:sz w:val="16"/>
              </w:rPr>
              <w:t>2,698</w:t>
            </w:r>
          </w:p>
        </w:tc>
        <w:tc>
          <w:tcPr>
            <w:tcW w:type="dxa" w:w="1134"/>
            <w:shd w:fill="FFC7CE" w:val="clear"/>
          </w:tcPr>
          <w:p>
            <w:r>
              <w:rPr>
                <w:b/>
                <w:color w:val="B40000"/>
                <w:sz w:val="16"/>
              </w:rPr>
              <w:t>-10.37%</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7,325</w:t>
            </w:r>
          </w:p>
        </w:tc>
        <w:tc>
          <w:tcPr>
            <w:tcW w:type="dxa" w:w="1417"/>
            <w:shd w:fill="FFFFFF" w:val="clear"/>
          </w:tcPr>
          <w:p>
            <w:r>
              <w:rPr>
                <w:sz w:val="16"/>
              </w:rPr>
              <w:t>6,537</w:t>
            </w:r>
          </w:p>
        </w:tc>
        <w:tc>
          <w:tcPr>
            <w:tcW w:type="dxa" w:w="1134"/>
            <w:shd w:fill="FFC7CE" w:val="clear"/>
          </w:tcPr>
          <w:p>
            <w:r>
              <w:rPr>
                <w:b/>
                <w:color w:val="B40000"/>
                <w:sz w:val="16"/>
              </w:rPr>
              <w:t>-10.76%</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5,700</w:t>
            </w:r>
          </w:p>
        </w:tc>
        <w:tc>
          <w:tcPr>
            <w:tcW w:type="dxa" w:w="1417"/>
            <w:shd w:fill="FFFFFF" w:val="clear"/>
          </w:tcPr>
          <w:p>
            <w:r>
              <w:rPr>
                <w:sz w:val="16"/>
              </w:rPr>
              <w:t>5,085</w:t>
            </w:r>
          </w:p>
        </w:tc>
        <w:tc>
          <w:tcPr>
            <w:tcW w:type="dxa" w:w="1134"/>
            <w:shd w:fill="FFC7CE" w:val="clear"/>
          </w:tcPr>
          <w:p>
            <w:r>
              <w:rPr>
                <w:b/>
                <w:color w:val="B40000"/>
                <w:sz w:val="16"/>
              </w:rPr>
              <w:t>-10.79%</w:t>
            </w:r>
          </w:p>
        </w:tc>
        <w:tc>
          <w:tcPr>
            <w:tcW w:type="dxa" w:w="1134"/>
            <w:shd w:fill="FFEB9C" w:val="clear"/>
          </w:tcPr>
          <w:p>
            <w:r>
              <w:rPr>
                <w:sz w:val="16"/>
              </w:rPr>
              <w:t>Moyenne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8,650</w:t>
            </w:r>
          </w:p>
        </w:tc>
        <w:tc>
          <w:tcPr>
            <w:tcW w:type="dxa" w:w="1417"/>
            <w:shd w:fill="FFFFFF" w:val="clear"/>
          </w:tcPr>
          <w:p>
            <w:r>
              <w:rPr>
                <w:sz w:val="16"/>
              </w:rPr>
              <w:t>7,689</w:t>
            </w:r>
          </w:p>
        </w:tc>
        <w:tc>
          <w:tcPr>
            <w:tcW w:type="dxa" w:w="1134"/>
            <w:shd w:fill="FFC7CE" w:val="clear"/>
          </w:tcPr>
          <w:p>
            <w:r>
              <w:rPr>
                <w:b/>
                <w:color w:val="B40000"/>
                <w:sz w:val="16"/>
              </w:rPr>
              <w:t>-11.11%</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1,320</w:t>
            </w:r>
          </w:p>
        </w:tc>
        <w:tc>
          <w:tcPr>
            <w:tcW w:type="dxa" w:w="1134"/>
            <w:shd w:fill="FFC7CE" w:val="clear"/>
          </w:tcPr>
          <w:p>
            <w:r>
              <w:rPr>
                <w:b/>
                <w:color w:val="B40000"/>
                <w:sz w:val="16"/>
              </w:rPr>
              <w:t>-11.99%</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3,600</w:t>
            </w:r>
          </w:p>
        </w:tc>
        <w:tc>
          <w:tcPr>
            <w:tcW w:type="dxa" w:w="1417"/>
            <w:shd w:fill="FFFFFF" w:val="clear"/>
          </w:tcPr>
          <w:p>
            <w:r>
              <w:rPr>
                <w:sz w:val="16"/>
              </w:rPr>
              <w:t>3,168</w:t>
            </w:r>
          </w:p>
        </w:tc>
        <w:tc>
          <w:tcPr>
            <w:tcW w:type="dxa" w:w="1134"/>
            <w:shd w:fill="FFC7CE" w:val="clear"/>
          </w:tcPr>
          <w:p>
            <w:r>
              <w:rPr>
                <w:b/>
                <w:color w:val="B40000"/>
                <w:sz w:val="16"/>
              </w:rPr>
              <w:t>-12.01%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7,750</w:t>
            </w:r>
          </w:p>
        </w:tc>
        <w:tc>
          <w:tcPr>
            <w:tcW w:type="dxa" w:w="1417"/>
            <w:shd w:fill="FFFFFF" w:val="clear"/>
          </w:tcPr>
          <w:p>
            <w:r>
              <w:rPr>
                <w:sz w:val="16"/>
              </w:rPr>
              <w:t>6,736</w:t>
            </w:r>
          </w:p>
        </w:tc>
        <w:tc>
          <w:tcPr>
            <w:tcW w:type="dxa" w:w="1134"/>
            <w:shd w:fill="FFC7CE" w:val="clear"/>
          </w:tcPr>
          <w:p>
            <w:r>
              <w:rPr>
                <w:b/>
                <w:color w:val="B40000"/>
                <w:sz w:val="16"/>
              </w:rPr>
              <w:t>-13.08%</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1,695</w:t>
            </w:r>
          </w:p>
        </w:tc>
        <w:tc>
          <w:tcPr>
            <w:tcW w:type="dxa" w:w="1417"/>
            <w:shd w:fill="FFFFFF" w:val="clear"/>
          </w:tcPr>
          <w:p>
            <w:r>
              <w:rPr>
                <w:sz w:val="16"/>
              </w:rPr>
              <w:t>1,450</w:t>
            </w:r>
          </w:p>
        </w:tc>
        <w:tc>
          <w:tcPr>
            <w:tcW w:type="dxa" w:w="1134"/>
            <w:shd w:fill="FFC7CE" w:val="clear"/>
          </w:tcPr>
          <w:p>
            <w:r>
              <w:rPr>
                <w:b/>
                <w:color w:val="B40000"/>
                <w:sz w:val="16"/>
              </w:rPr>
              <w:t>-14.43%</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7,615</w:t>
            </w:r>
          </w:p>
        </w:tc>
        <w:tc>
          <w:tcPr>
            <w:tcW w:type="dxa" w:w="1417"/>
            <w:shd w:fill="FFFFFF" w:val="clear"/>
          </w:tcPr>
          <w:p>
            <w:r>
              <w:rPr>
                <w:sz w:val="16"/>
              </w:rPr>
              <w:t>6,507</w:t>
            </w:r>
          </w:p>
        </w:tc>
        <w:tc>
          <w:tcPr>
            <w:tcW w:type="dxa" w:w="1134"/>
            <w:shd w:fill="FFC7CE" w:val="clear"/>
          </w:tcPr>
          <w:p>
            <w:r>
              <w:rPr>
                <w:b/>
                <w:color w:val="B40000"/>
                <w:sz w:val="16"/>
              </w:rPr>
              <w:t>-14.55%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9,320</w:t>
            </w:r>
          </w:p>
        </w:tc>
        <w:tc>
          <w:tcPr>
            <w:tcW w:type="dxa" w:w="1417"/>
            <w:shd w:fill="FFFFFF" w:val="clear"/>
          </w:tcPr>
          <w:p>
            <w:r>
              <w:rPr>
                <w:sz w:val="16"/>
              </w:rPr>
              <w:t>7,234</w:t>
            </w:r>
          </w:p>
        </w:tc>
        <w:tc>
          <w:tcPr>
            <w:tcW w:type="dxa" w:w="1134"/>
            <w:shd w:fill="FFC7CE" w:val="clear"/>
          </w:tcPr>
          <w:p>
            <w:r>
              <w:rPr>
                <w:b/>
                <w:color w:val="B40000"/>
                <w:sz w:val="16"/>
              </w:rPr>
              <w:t>-22.38%</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2,280</w:t>
            </w:r>
          </w:p>
        </w:tc>
        <w:tc>
          <w:tcPr>
            <w:tcW w:type="dxa" w:w="1417"/>
            <w:shd w:fill="FFFFFF" w:val="clear"/>
          </w:tcPr>
          <w:p>
            <w:r>
              <w:rPr>
                <w:sz w:val="16"/>
              </w:rPr>
              <w:t>1,706</w:t>
            </w:r>
          </w:p>
        </w:tc>
        <w:tc>
          <w:tcPr>
            <w:tcW w:type="dxa" w:w="1134"/>
            <w:shd w:fill="FFC7CE" w:val="clear"/>
          </w:tcPr>
          <w:p>
            <w:r>
              <w:rPr>
                <w:b/>
                <w:color w:val="B40000"/>
                <w:sz w:val="16"/>
              </w:rPr>
              <w:t>-25.17%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11,600</w:t>
            </w:r>
          </w:p>
        </w:tc>
        <w:tc>
          <w:tcPr>
            <w:tcW w:type="dxa" w:w="1417"/>
            <w:shd w:fill="FFFFFF" w:val="clear"/>
          </w:tcPr>
          <w:p>
            <w:r>
              <w:rPr>
                <w:sz w:val="16"/>
              </w:rPr>
              <w:t>8,574</w:t>
            </w:r>
          </w:p>
        </w:tc>
        <w:tc>
          <w:tcPr>
            <w:tcW w:type="dxa" w:w="1134"/>
            <w:shd w:fill="FFC7CE" w:val="clear"/>
          </w:tcPr>
          <w:p>
            <w:r>
              <w:rPr>
                <w:b/>
                <w:color w:val="B40000"/>
                <w:sz w:val="16"/>
              </w:rPr>
              <w:t>-26.09%</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2,290</w:t>
            </w:r>
          </w:p>
        </w:tc>
        <w:tc>
          <w:tcPr>
            <w:tcW w:type="dxa" w:w="1417"/>
            <w:shd w:fill="FFFFFF" w:val="clear"/>
          </w:tcPr>
          <w:p>
            <w:r>
              <w:rPr>
                <w:sz w:val="16"/>
              </w:rPr>
              <w:t>1,657</w:t>
            </w:r>
          </w:p>
        </w:tc>
        <w:tc>
          <w:tcPr>
            <w:tcW w:type="dxa" w:w="1134"/>
            <w:shd w:fill="FFC7CE" w:val="clear"/>
          </w:tcPr>
          <w:p>
            <w:r>
              <w:rPr>
                <w:b/>
                <w:color w:val="B40000"/>
                <w:sz w:val="16"/>
              </w:rPr>
              <w:t>-27.64%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7,670</w:t>
            </w:r>
          </w:p>
        </w:tc>
        <w:tc>
          <w:tcPr>
            <w:tcW w:type="dxa" w:w="1417"/>
            <w:shd w:fill="FFFFFF" w:val="clear"/>
          </w:tcPr>
          <w:p>
            <w:r>
              <w:rPr>
                <w:sz w:val="16"/>
              </w:rPr>
              <w:t>5,414</w:t>
            </w:r>
          </w:p>
        </w:tc>
        <w:tc>
          <w:tcPr>
            <w:tcW w:type="dxa" w:w="1134"/>
            <w:shd w:fill="FFC7CE" w:val="clear"/>
          </w:tcPr>
          <w:p>
            <w:r>
              <w:rPr>
                <w:b/>
                <w:color w:val="B40000"/>
                <w:sz w:val="16"/>
              </w:rPr>
              <w:t>-29.42%</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5,150</w:t>
            </w:r>
          </w:p>
        </w:tc>
        <w:tc>
          <w:tcPr>
            <w:tcW w:type="dxa" w:w="1417"/>
            <w:shd w:fill="FFFFFF" w:val="clear"/>
          </w:tcPr>
          <w:p>
            <w:r>
              <w:rPr>
                <w:sz w:val="16"/>
              </w:rPr>
              <w:t>3,174</w:t>
            </w:r>
          </w:p>
        </w:tc>
        <w:tc>
          <w:tcPr>
            <w:tcW w:type="dxa" w:w="1134"/>
            <w:shd w:fill="FFC7CE" w:val="clear"/>
          </w:tcPr>
          <w:p>
            <w:r>
              <w:rPr>
                <w:b/>
                <w:color w:val="B40000"/>
                <w:sz w:val="16"/>
              </w:rPr>
              <w:t>-38.36%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28,450</w:t>
            </w:r>
          </w:p>
        </w:tc>
        <w:tc>
          <w:tcPr>
            <w:tcW w:type="dxa" w:w="1417"/>
            <w:shd w:fill="FFFFFF" w:val="clear"/>
          </w:tcPr>
          <w:p>
            <w:r>
              <w:rPr>
                <w:sz w:val="16"/>
              </w:rPr>
              <w:t>17,350</w:t>
            </w:r>
          </w:p>
        </w:tc>
        <w:tc>
          <w:tcPr>
            <w:tcW w:type="dxa" w:w="1134"/>
            <w:shd w:fill="FFC7CE" w:val="clear"/>
          </w:tcPr>
          <w:p>
            <w:r>
              <w:rPr>
                <w:b/>
                <w:color w:val="B40000"/>
                <w:sz w:val="16"/>
              </w:rPr>
              <w:t>-39.02%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2,265</w:t>
            </w:r>
          </w:p>
        </w:tc>
        <w:tc>
          <w:tcPr>
            <w:tcW w:type="dxa" w:w="1417"/>
            <w:shd w:fill="FFFFFF" w:val="clear"/>
          </w:tcPr>
          <w:p>
            <w:r>
              <w:rPr>
                <w:sz w:val="16"/>
              </w:rPr>
              <w:t>1,376</w:t>
            </w:r>
          </w:p>
        </w:tc>
        <w:tc>
          <w:tcPr>
            <w:tcW w:type="dxa" w:w="1134"/>
            <w:shd w:fill="FFC7CE" w:val="clear"/>
          </w:tcPr>
          <w:p>
            <w:r>
              <w:rPr>
                <w:b/>
                <w:color w:val="B40000"/>
                <w:sz w:val="16"/>
              </w:rPr>
              <w:t>-39.26%</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2,630</w:t>
            </w:r>
          </w:p>
        </w:tc>
        <w:tc>
          <w:tcPr>
            <w:tcW w:type="dxa" w:w="1417"/>
            <w:shd w:fill="FFFFFF" w:val="clear"/>
          </w:tcPr>
          <w:p>
            <w:r>
              <w:rPr>
                <w:sz w:val="16"/>
              </w:rPr>
              <w:t>1,597</w:t>
            </w:r>
          </w:p>
        </w:tc>
        <w:tc>
          <w:tcPr>
            <w:tcW w:type="dxa" w:w="1134"/>
            <w:shd w:fill="FFC7CE" w:val="clear"/>
          </w:tcPr>
          <w:p>
            <w:r>
              <w:rPr>
                <w:b/>
                <w:color w:val="B40000"/>
                <w:sz w:val="16"/>
              </w:rPr>
              <w:t>-39.27%</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31</w:t>
            </w:r>
          </w:p>
        </w:tc>
        <w:tc>
          <w:tcPr>
            <w:tcW w:type="dxa" w:w="1134"/>
            <w:shd w:fill="FFC7CE" w:val="clear"/>
          </w:tcPr>
          <w:p>
            <w:r>
              <w:rPr>
                <w:b/>
                <w:color w:val="B40000"/>
                <w:sz w:val="16"/>
              </w:rPr>
              <w:t>-54.13%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4,990</w:t>
            </w:r>
          </w:p>
        </w:tc>
        <w:tc>
          <w:tcPr>
            <w:tcW w:type="dxa" w:w="1417"/>
            <w:shd w:fill="FFFFFF" w:val="clear"/>
          </w:tcPr>
          <w:p>
            <w:r>
              <w:rPr>
                <w:sz w:val="16"/>
              </w:rPr>
              <w:t>2,288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3,620</w:t>
            </w:r>
          </w:p>
        </w:tc>
        <w:tc>
          <w:tcPr>
            <w:tcW w:type="dxa" w:w="1417"/>
            <w:shd w:fill="FFFFFF" w:val="clear"/>
          </w:tcPr>
          <w:p>
            <w:r>
              <w:rPr>
                <w:sz w:val="16"/>
              </w:rPr>
              <w:t>1,660</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32.85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3,203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B40000"/>
                <w:sz w:val="17"/>
              </w:rPr>
              <w:t>-11.34%</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54.3%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7.46% (Moyenne) — μ=3,222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β=-0.7975 (Contre-cyclique) — Cov=-0.000029, Var(idx)=0.000036, ρ=-0.140,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3,203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0547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2026-08-11</w:t>
            </w:r>
          </w:p>
        </w:tc>
        <w:tc>
          <w:tcPr>
            <w:tcW w:type="dxa" w:w="1440"/>
            <w:shd w:fill="FAFAFA" w:val="clear"/>
          </w:tcPr>
          <w:p>
            <w:r>
              <w:rPr>
                <w:sz w:val="17"/>
              </w:rPr>
              <w:t>2,831</w:t>
            </w:r>
          </w:p>
        </w:tc>
        <w:tc>
          <w:tcPr>
            <w:tcW w:type="dxa" w:w="1440"/>
            <w:shd w:fill="FAFAFA" w:val="clear"/>
          </w:tcPr>
          <w:p>
            <w:r>
              <w:rPr>
                <w:b/>
                <w:sz w:val="17"/>
              </w:rPr>
              <w:t>2,965</w:t>
            </w:r>
          </w:p>
        </w:tc>
        <w:tc>
          <w:tcPr>
            <w:tcW w:type="dxa" w:w="1440"/>
            <w:shd w:fill="FAFAFA" w:val="clear"/>
          </w:tcPr>
          <w:p>
            <w:r>
              <w:rPr>
                <w:sz w:val="17"/>
              </w:rPr>
              <w:t>3,099</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2,746</w:t>
            </w:r>
          </w:p>
        </w:tc>
        <w:tc>
          <w:tcPr>
            <w:tcW w:type="dxa" w:w="1440"/>
            <w:shd w:fill="FFDCE0" w:val="clear"/>
          </w:tcPr>
          <w:p>
            <w:r>
              <w:rPr>
                <w:b/>
                <w:sz w:val="17"/>
              </w:rPr>
              <w:t>2,934</w:t>
            </w:r>
          </w:p>
        </w:tc>
        <w:tc>
          <w:tcPr>
            <w:tcW w:type="dxa" w:w="1440"/>
            <w:shd w:fill="FFDCE0" w:val="clear"/>
          </w:tcPr>
          <w:p>
            <w:r>
              <w:rPr>
                <w:sz w:val="17"/>
              </w:rPr>
              <w:t>3,122</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2,668</w:t>
            </w:r>
          </w:p>
        </w:tc>
        <w:tc>
          <w:tcPr>
            <w:tcW w:type="dxa" w:w="1440"/>
            <w:shd w:fill="FFDCE0" w:val="clear"/>
          </w:tcPr>
          <w:p>
            <w:r>
              <w:rPr>
                <w:b/>
                <w:sz w:val="17"/>
              </w:rPr>
              <w:t>2,895</w:t>
            </w:r>
          </w:p>
        </w:tc>
        <w:tc>
          <w:tcPr>
            <w:tcW w:type="dxa" w:w="1440"/>
            <w:shd w:fill="FFDCE0" w:val="clear"/>
          </w:tcPr>
          <w:p>
            <w:r>
              <w:rPr>
                <w:sz w:val="17"/>
              </w:rPr>
              <w:t>3,122</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2,601</w:t>
            </w:r>
          </w:p>
        </w:tc>
        <w:tc>
          <w:tcPr>
            <w:tcW w:type="dxa" w:w="1440"/>
            <w:shd w:fill="FFDCE0" w:val="clear"/>
          </w:tcPr>
          <w:p>
            <w:r>
              <w:rPr>
                <w:b/>
                <w:sz w:val="17"/>
              </w:rPr>
              <w:t>2,860</w:t>
            </w:r>
          </w:p>
        </w:tc>
        <w:tc>
          <w:tcPr>
            <w:tcW w:type="dxa" w:w="1440"/>
            <w:shd w:fill="FFDCE0" w:val="clear"/>
          </w:tcPr>
          <w:p>
            <w:r>
              <w:rPr>
                <w:sz w:val="17"/>
              </w:rPr>
              <w:t>3,119</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2,543</w:t>
            </w:r>
          </w:p>
        </w:tc>
        <w:tc>
          <w:tcPr>
            <w:tcW w:type="dxa" w:w="1440"/>
            <w:shd w:fill="FFDCE0" w:val="clear"/>
          </w:tcPr>
          <w:p>
            <w:r>
              <w:rPr>
                <w:b/>
                <w:sz w:val="17"/>
              </w:rPr>
              <w:t>2,830</w:t>
            </w:r>
          </w:p>
        </w:tc>
        <w:tc>
          <w:tcPr>
            <w:tcW w:type="dxa" w:w="1440"/>
            <w:shd w:fill="FFDCE0" w:val="clear"/>
          </w:tcPr>
          <w:p>
            <w:r>
              <w:rPr>
                <w:sz w:val="17"/>
              </w:rPr>
              <w:t>3,116</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2,490</w:t>
            </w:r>
          </w:p>
        </w:tc>
        <w:tc>
          <w:tcPr>
            <w:tcW w:type="dxa" w:w="1440"/>
            <w:shd w:fill="FFDCE0" w:val="clear"/>
          </w:tcPr>
          <w:p>
            <w:r>
              <w:rPr>
                <w:b/>
                <w:sz w:val="17"/>
              </w:rPr>
              <w:t>2,801</w:t>
            </w:r>
          </w:p>
        </w:tc>
        <w:tc>
          <w:tcPr>
            <w:tcW w:type="dxa" w:w="1440"/>
            <w:shd w:fill="FFDCE0" w:val="clear"/>
          </w:tcPr>
          <w:p>
            <w:r>
              <w:rPr>
                <w:sz w:val="17"/>
              </w:rPr>
              <w:t>3,112</w:t>
            </w:r>
          </w:p>
        </w:tc>
        <w:tc>
          <w:tcPr>
            <w:tcW w:type="dxa" w:w="1440"/>
            <w:shd w:fill="FFDCE0" w:val="clear"/>
          </w:tcPr>
          <w:p>
            <w:r>
              <w:rPr>
                <w:b/>
                <w:color w:val="C00000"/>
                <w:sz w:val="17"/>
              </w:rPr>
              <w:t>-6.9%</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2,441</w:t>
            </w:r>
          </w:p>
        </w:tc>
        <w:tc>
          <w:tcPr>
            <w:tcW w:type="dxa" w:w="1440"/>
            <w:shd w:fill="FFDCE0" w:val="clear"/>
          </w:tcPr>
          <w:p>
            <w:r>
              <w:rPr>
                <w:b/>
                <w:sz w:val="17"/>
              </w:rPr>
              <w:t>2,774</w:t>
            </w:r>
          </w:p>
        </w:tc>
        <w:tc>
          <w:tcPr>
            <w:tcW w:type="dxa" w:w="1440"/>
            <w:shd w:fill="FFDCE0" w:val="clear"/>
          </w:tcPr>
          <w:p>
            <w:r>
              <w:rPr>
                <w:sz w:val="17"/>
              </w:rPr>
              <w:t>3,106</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2,395</w:t>
            </w:r>
          </w:p>
        </w:tc>
        <w:tc>
          <w:tcPr>
            <w:tcW w:type="dxa" w:w="1440"/>
            <w:shd w:fill="FFDCE0" w:val="clear"/>
          </w:tcPr>
          <w:p>
            <w:r>
              <w:rPr>
                <w:b/>
                <w:sz w:val="17"/>
              </w:rPr>
              <w:t>2,747</w:t>
            </w:r>
          </w:p>
        </w:tc>
        <w:tc>
          <w:tcPr>
            <w:tcW w:type="dxa" w:w="1440"/>
            <w:shd w:fill="FFDCE0" w:val="clear"/>
          </w:tcPr>
          <w:p>
            <w:r>
              <w:rPr>
                <w:sz w:val="17"/>
              </w:rPr>
              <w:t>3,099</w:t>
            </w:r>
          </w:p>
        </w:tc>
        <w:tc>
          <w:tcPr>
            <w:tcW w:type="dxa" w:w="1440"/>
            <w:shd w:fill="FFDCE0" w:val="clear"/>
          </w:tcPr>
          <w:p>
            <w:r>
              <w:rPr>
                <w:b/>
                <w:color w:val="C00000"/>
                <w:sz w:val="17"/>
              </w:rPr>
              <w:t>-8.7%</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2,352</w:t>
            </w:r>
          </w:p>
        </w:tc>
        <w:tc>
          <w:tcPr>
            <w:tcW w:type="dxa" w:w="1440"/>
            <w:shd w:fill="FFDCE0" w:val="clear"/>
          </w:tcPr>
          <w:p>
            <w:r>
              <w:rPr>
                <w:b/>
                <w:sz w:val="17"/>
              </w:rPr>
              <w:t>2,722</w:t>
            </w:r>
          </w:p>
        </w:tc>
        <w:tc>
          <w:tcPr>
            <w:tcW w:type="dxa" w:w="1440"/>
            <w:shd w:fill="FFDCE0" w:val="clear"/>
          </w:tcPr>
          <w:p>
            <w:r>
              <w:rPr>
                <w:sz w:val="17"/>
              </w:rPr>
              <w:t>3,092</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2,312</w:t>
            </w:r>
          </w:p>
        </w:tc>
        <w:tc>
          <w:tcPr>
            <w:tcW w:type="dxa" w:w="1440"/>
            <w:shd w:fill="FFDCE0" w:val="clear"/>
          </w:tcPr>
          <w:p>
            <w:r>
              <w:rPr>
                <w:b/>
                <w:sz w:val="17"/>
              </w:rPr>
              <w:t>2,698</w:t>
            </w:r>
          </w:p>
        </w:tc>
        <w:tc>
          <w:tcPr>
            <w:tcW w:type="dxa" w:w="1440"/>
            <w:shd w:fill="FFDCE0" w:val="clear"/>
          </w:tcPr>
          <w:p>
            <w:r>
              <w:rPr>
                <w:sz w:val="17"/>
              </w:rPr>
              <w:t>3,084</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d'ABJC s'établit à 32,85 milliards FCFA, un niveau qui la positionne comme une valeur de taille moyenne sur le marché de la BRVM. Avec un BPA de 124 FCFA, le titre se négocie à un PER de 24,3x, ce qui est nettement supérieur à la moyenne historique du marché régional (8-12x). Les investisseurs paient donc une prime significative pour les bénéfices de l'entreprise, ce qui suggère soit des attentes de croissance élevées, soit une surévaluation relative. Le P/B de 6,37x confirme cette lecture : le marché valorise l'actif net comptable plus de six fois au-dessus de sa valeur, un niveau exigeant qui reflète une forte confiance dans la marque et la position de marché de Servair Abidjan. Enfin, l'EV/EBITDA de 12,2x, bien que dans la fourchette haute (10-15x), indique que la valeur totale de l'entreprise (dette incluse) reste cohérente avec sa capacité opérationnelle à générer de l'EBITDA, mais sans marge de sécurité particulière.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 enregistré une baisse significative de -11,34%, passant d'un plus haut de 3 780 FCFA à un plus bas de 2 800 FCFA, pour clôturer à 3 010 FCFA. La dernière séance est restée stable (+0,00%). La tendance générale est donc clairement baissière, avec un cours qui évolue dans la partie inférieure de son range de trading. Les statistiques descriptives révèlent une distribution relativement symétrique (skewness de 0,230) et mésokurtique (kurtosis de -0,819), indiquant l'absence de mouvements extrêmes ou de pics de volatilité anormaux. La moyenne (3 222 FCFA) et la médiane (3 212 FCFA) sont très proches, confirmant une distribution normale des prix. L'écart-type de 242 FCFA (CV=7,5%) montre une dispersion modérée autour de la moyenne. Cependant, la volatilité annualisée de 54,3% est très élevée (&gt;30%), signalant un risque de prix substantiel pour les investisseurs, malgré une distribution statistique apparemment calme.</w:t>
      </w:r>
    </w:p>
    <w:p>
      <w:pPr>
        <w:spacing w:after="120" w:line="276" w:lineRule="auto" w:before="240"/>
      </w:pPr>
      <w:r>
        <w:rPr>
          <w:b/>
          <w:color w:val="003366"/>
          <w:sz w:val="24"/>
        </w:rPr>
        <w:t>**PARTIE 2 : ANALYSE TECHNIQUE DÉTAILLÉE**</w:t>
      </w:r>
    </w:p>
    <w:p>
      <w:pPr>
        <w:spacing w:after="120" w:line="276" w:lineRule="auto"/>
      </w:pPr>
      <w:r>
        <w:t>**Moyennes Mobiles** : Le cours actuel (3 010 FCFA) est inférieur à la MM20 (3 040,5 FCFA) et nettement sous la MM50 (3 160,2 FCFA). Cette configuration baissière, où le prix évolue sous les deux moyennes clés, confirme la tendance négative de moyen terme. La décision de "Vente" est justifiée par cette dynamique, les acheteurs ne parvenant pas à reprendre le contrôle face à la pression vendeuse.</w:t>
      </w:r>
    </w:p>
    <w:p>
      <w:pPr>
        <w:spacing w:after="120" w:line="276" w:lineRule="auto"/>
      </w:pPr>
      <w:r>
        <w:t>**Bandes de Bollinger** : Le prix se situe entre la borne inférieure (2 845,9 FCFA) et la borne supérieure (3 235,1 FCFA), plus près de la borne basse, ce qui indique une pression vendeuse persistante. La décision "Neutre" s'explique par le fait que le cours n'a pas encore touché la borne inférieure, laissant une marge de baisse potentielle. La volatilité, mesurée par l'écart entre les bandes, reste élevée, cohérente avec la volatilité annualisée de 54,3%.</w:t>
      </w:r>
    </w:p>
    <w:p>
      <w:pPr>
        <w:spacing w:after="120" w:line="276" w:lineRule="auto"/>
      </w:pPr>
      <w:r>
        <w:t>**MACD** : Le MACD (-52,26) est négatif et inférieur à sa ligne de signal (-45,99), confirmant un momentum baissier. La divergence négative entre les deux lignes indique que la dynamique de vente s'accentue, justifiant la décision de "Vente". Cette configuration suggère que la tendance baissière pourrait se poursuivre à court terme.</w:t>
      </w:r>
    </w:p>
    <w:p>
      <w:pPr>
        <w:spacing w:after="120" w:line="276" w:lineRule="auto"/>
      </w:pPr>
      <w:r>
        <w:t>**RSI** : À 53,57, le RSI se situe en zone neutre (30-70), indiquant un équilibre relatif entre acheteurs et vendeurs. La décision "Neutre" est cohérente, le titre n'étant ni suracheté ni survendu. Cette valeur suggère que la pression vendeuse s'est atténuée après la baisse récente, mais sans signal d'achat clair.</w:t>
      </w:r>
    </w:p>
    <w:p>
      <w:pPr>
        <w:spacing w:after="120" w:line="276" w:lineRule="auto"/>
      </w:pPr>
      <w:r>
        <w:t>**Stochastique** : Le %K (55,26) est supérieur au %D (36,84), indiquant un croisement haussier potentiel à court terme. Cependant, les deux lignes restent en zone neutre, ce qui limite la portée du signal. La décision "Neutre" reflète cette ambiguïté, le croisement n'étant pas encore confirmé par une dynamique de prix forte.</w:t>
      </w:r>
    </w:p>
    <w:p>
      <w:pPr>
        <w:spacing w:after="120" w:line="276" w:lineRule="auto"/>
      </w:pPr>
      <w:r>
        <w:t>**Conclusion technique** : Les indicateurs techniques sont majoritairement baissiers (MM, MACD) avec une tendance neutre sur les oscillateurs (RSI, Stochastique, Bollinger). Cette divergence suggère que la tendance de fond reste négative, mais qu'un rebond technique de court terme est possible. La prudence est de mise, la tendance baissière dominant les signaux de court terme.</w:t>
      </w:r>
    </w:p>
    <w:p>
      <w:pPr>
        <w:spacing w:after="120" w:line="276" w:lineRule="auto" w:before="240"/>
      </w:pPr>
      <w:r>
        <w:rPr>
          <w:b/>
          <w:color w:val="003366"/>
          <w:sz w:val="24"/>
        </w:rPr>
        <w:t>**PARTIE 3 : ANALYSE FONDAMENTALE (SECTION CRITIQUE)**</w:t>
      </w:r>
    </w:p>
    <w:p>
      <w:pPr>
        <w:spacing w:after="120" w:line="276" w:lineRule="auto"/>
      </w:pPr>
      <w:r>
        <w:t>En 2025, Servair Abidjan (ABJC) a réalisé un chiffre d'affaires de 13,298 milliards FCFA, en hausse de 6,7% par rapport à 2024 (12,467 milliards FCFA). Le résultat net s'établit à 1,351 milliard FCFA, en baisse de 12,1% par rapport à 2024 (1,515 milliard FCFA), principalement en raison d'une augmentation de 46,7% de la charge d'impôt (839,75 millions FCFA). La rentabilité reste solide avec une marge nette de 10,2%, un ROE de 26,2% et un ROA de 14,6%, tous deux excellents (&gt;15% et &gt;10% respectivement). La structure financière est saine : capitaux propres de 5,159 milliards FCFA (autonomie financière de 55,9%), trésorerie nette de 4,035 milliards FCFA et endettement financier très faible (65,89 millions FCFA). Le BFR est positif mais modéré (257,45 millions FCFA), avec un délai client de 70 jours et un délai fournisseur de 92 jours, ce qui est acceptable. Les rapports trimestriels 2025 montrent une trajectoire contrastée : le T1 2025 a été marqué par une baisse du résultat net (-6,8%) due à des charges exceptionnelles et un litige avec la BCEAO, mais le T3 2025 a enregistré un net redressement (+17,1% de résultat net). Le rapport T1 2026 (daté de 2026) indique une dégradation de la rentabilité (-35,6% de résultat net) due à des ajustements de redevances aéroportuaires. Sur la base de ces éléments, on estime que l'exercice 2026 pourrait être difficile, avec une pression sur les marges. La recommandation fondamentale est de conserver le titre, la société affichant des fondamentaux solides mais confrontée à des vents contraires conjoncturels.</w:t>
      </w:r>
    </w:p>
    <w:p>
      <w:pPr>
        <w:spacing w:after="120" w:line="276" w:lineRule="auto" w:before="240"/>
      </w:pPr>
      <w:r>
        <w:rPr>
          <w:b/>
          <w:color w:val="003366"/>
          <w:sz w:val="24"/>
        </w:rPr>
        <w:t>**PARTIE 4 : CONCLUSION D'INVESTISSEMENT**</w:t>
      </w:r>
    </w:p>
    <w:p>
      <w:pPr>
        <w:spacing w:after="120" w:line="276" w:lineRule="auto"/>
      </w:pPr>
      <w:r>
        <w:t>La valorisation d'ABJC est exigeante (PER 24,3x, P/B 6,37x, EV/EBITDA 12,2x), indiquant une surévaluation relative par rapport au marché BRVM, malgré des fondamentaux solides (ROE 26,2%, trésorerie abondante). Le comportement du cours est préoccupant avec une baisse de -11,34% sur 100 jours et une volatilité annualisée très élevée (54,3%), bien que la distribution statistique soit normale. Les signaux techniques sont majoritairement baissiers (MM, MACD) avec des oscillateurs neutres, suggérant une poursuite de la tendance négative à court terme. Les fondamentaux, bien que solides, montrent une dégradation récente de la rentabilité (T1 2026 : -35,6% de résultat net) due à des facteurs exogènes. Les prédictions IA (J+1 à J+10) confirment cette tendance baissière, projetant une baisse progressive vers 2 830 FCFA. La convergence des signaux (technique baissier, prédictions baissières, valorisation élevée) malgré des fondamentaux corrects conduit à une recommandation de **VENTE** avec un niveau de confiance **Moyen** et un risque global **Élevé**. L'horizon d'investissement optimal serait de court terme (&lt;3 mois) pour les investisseurs cherchant à réduire leur exposition, tandis que les investisseurs de long terme pourraient attendre un point d'entrée plus favorable sous les 2 800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443.02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8,518 titres</w:t>
            </w:r>
          </w:p>
        </w:tc>
        <w:tc>
          <w:tcPr>
            <w:tcW w:type="dxa" w:w="2268"/>
            <w:shd w:fill="FFF2CC" w:val="clear"/>
          </w:tcPr>
          <w:p>
            <w:r>
              <w:rPr>
                <w:b/>
                <w:color w:val="503200"/>
                <w:sz w:val="16"/>
              </w:rPr>
              <w:t xml:space="preserve">Cours actuel : </w:t>
            </w:r>
            <w:r>
              <w:rPr>
                <w:color w:val="000000"/>
                <w:sz w:val="17"/>
              </w:rPr>
              <w:t>7,670 FCFA</w:t>
            </w:r>
          </w:p>
          <w:p>
            <w:r>
              <w:rPr>
                <w:b/>
                <w:color w:val="503200"/>
                <w:sz w:val="16"/>
              </w:rPr>
              <w:t xml:space="preserve">Var. 100 jours : </w:t>
            </w:r>
            <w:r>
              <w:rPr>
                <w:b/>
                <w:color w:val="007800"/>
                <w:sz w:val="17"/>
              </w:rPr>
              <w:t>+48.21%</w:t>
            </w:r>
          </w:p>
          <w:p>
            <w:r>
              <w:rPr>
                <w:b/>
                <w:color w:val="503200"/>
                <w:sz w:val="16"/>
              </w:rPr>
              <w:t xml:space="preserve">Plus haut 100j : </w:t>
            </w:r>
            <w:r>
              <w:rPr>
                <w:color w:val="000000"/>
                <w:sz w:val="17"/>
              </w:rPr>
              <w:t>7,850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13.98% (Moyenne) — μ=5,756 FCFA, σ=804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β=0.4983 (Défensif) — Cov=0.000018, Var(idx)=0.000036, ρ=0.163,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8,518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181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6,803</w:t>
            </w:r>
          </w:p>
        </w:tc>
        <w:tc>
          <w:tcPr>
            <w:tcW w:type="dxa" w:w="1440"/>
            <w:shd w:fill="FFDCE0" w:val="clear"/>
          </w:tcPr>
          <w:p>
            <w:r>
              <w:rPr>
                <w:b/>
                <w:sz w:val="17"/>
              </w:rPr>
              <w:t>7,095</w:t>
            </w:r>
          </w:p>
        </w:tc>
        <w:tc>
          <w:tcPr>
            <w:tcW w:type="dxa" w:w="1440"/>
            <w:shd w:fill="FFDCE0" w:val="clear"/>
          </w:tcPr>
          <w:p>
            <w:r>
              <w:rPr>
                <w:sz w:val="17"/>
              </w:rPr>
              <w:t>7,387</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6,181</w:t>
            </w:r>
          </w:p>
        </w:tc>
        <w:tc>
          <w:tcPr>
            <w:tcW w:type="dxa" w:w="1440"/>
            <w:shd w:fill="FFDCE0" w:val="clear"/>
          </w:tcPr>
          <w:p>
            <w:r>
              <w:rPr>
                <w:b/>
                <w:sz w:val="17"/>
              </w:rPr>
              <w:t>6,563</w:t>
            </w:r>
          </w:p>
        </w:tc>
        <w:tc>
          <w:tcPr>
            <w:tcW w:type="dxa" w:w="1440"/>
            <w:shd w:fill="FFDCE0" w:val="clear"/>
          </w:tcPr>
          <w:p>
            <w:r>
              <w:rPr>
                <w:sz w:val="17"/>
              </w:rPr>
              <w:t>6,944</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5,709</w:t>
            </w:r>
          </w:p>
        </w:tc>
        <w:tc>
          <w:tcPr>
            <w:tcW w:type="dxa" w:w="1440"/>
            <w:shd w:fill="FFDCE0" w:val="clear"/>
          </w:tcPr>
          <w:p>
            <w:r>
              <w:rPr>
                <w:b/>
                <w:sz w:val="17"/>
              </w:rPr>
              <w:t>6,147</w:t>
            </w:r>
          </w:p>
        </w:tc>
        <w:tc>
          <w:tcPr>
            <w:tcW w:type="dxa" w:w="1440"/>
            <w:shd w:fill="FFDCE0" w:val="clear"/>
          </w:tcPr>
          <w:p>
            <w:r>
              <w:rPr>
                <w:sz w:val="17"/>
              </w:rPr>
              <w:t>6,585</w:t>
            </w:r>
          </w:p>
        </w:tc>
        <w:tc>
          <w:tcPr>
            <w:tcW w:type="dxa" w:w="1440"/>
            <w:shd w:fill="FFDCE0" w:val="clear"/>
          </w:tcPr>
          <w:p>
            <w:r>
              <w:rPr>
                <w:b/>
                <w:color w:val="C00000"/>
                <w:sz w:val="17"/>
              </w:rPr>
              <w:t>-19.9%</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5,505</w:t>
            </w:r>
          </w:p>
        </w:tc>
        <w:tc>
          <w:tcPr>
            <w:tcW w:type="dxa" w:w="1440"/>
            <w:shd w:fill="FFDCE0" w:val="clear"/>
          </w:tcPr>
          <w:p>
            <w:r>
              <w:rPr>
                <w:b/>
                <w:sz w:val="17"/>
              </w:rPr>
              <w:t>5,999</w:t>
            </w:r>
          </w:p>
        </w:tc>
        <w:tc>
          <w:tcPr>
            <w:tcW w:type="dxa" w:w="1440"/>
            <w:shd w:fill="FFDCE0" w:val="clear"/>
          </w:tcPr>
          <w:p>
            <w:r>
              <w:rPr>
                <w:sz w:val="17"/>
              </w:rPr>
              <w:t>6,492</w:t>
            </w:r>
          </w:p>
        </w:tc>
        <w:tc>
          <w:tcPr>
            <w:tcW w:type="dxa" w:w="1440"/>
            <w:shd w:fill="FFDCE0" w:val="clear"/>
          </w:tcPr>
          <w:p>
            <w:r>
              <w:rPr>
                <w:b/>
                <w:color w:val="C00000"/>
                <w:sz w:val="17"/>
              </w:rPr>
              <w:t>-21.8%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5,325</w:t>
            </w:r>
          </w:p>
        </w:tc>
        <w:tc>
          <w:tcPr>
            <w:tcW w:type="dxa" w:w="1440"/>
            <w:shd w:fill="FFDCE0" w:val="clear"/>
          </w:tcPr>
          <w:p>
            <w:r>
              <w:rPr>
                <w:b/>
                <w:sz w:val="17"/>
              </w:rPr>
              <w:t>5,865</w:t>
            </w:r>
          </w:p>
        </w:tc>
        <w:tc>
          <w:tcPr>
            <w:tcW w:type="dxa" w:w="1440"/>
            <w:shd w:fill="FFDCE0" w:val="clear"/>
          </w:tcPr>
          <w:p>
            <w:r>
              <w:rPr>
                <w:sz w:val="17"/>
              </w:rPr>
              <w:t>6,404</w:t>
            </w:r>
          </w:p>
        </w:tc>
        <w:tc>
          <w:tcPr>
            <w:tcW w:type="dxa" w:w="1440"/>
            <w:shd w:fill="FFDCE0" w:val="clear"/>
          </w:tcPr>
          <w:p>
            <w:r>
              <w:rPr>
                <w:b/>
                <w:color w:val="C00000"/>
                <w:sz w:val="17"/>
              </w:rPr>
              <w:t>-23.5%</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5,168</w:t>
            </w:r>
          </w:p>
        </w:tc>
        <w:tc>
          <w:tcPr>
            <w:tcW w:type="dxa" w:w="1440"/>
            <w:shd w:fill="FFDCE0" w:val="clear"/>
          </w:tcPr>
          <w:p>
            <w:r>
              <w:rPr>
                <w:b/>
                <w:sz w:val="17"/>
              </w:rPr>
              <w:t>5,747</w:t>
            </w:r>
          </w:p>
        </w:tc>
        <w:tc>
          <w:tcPr>
            <w:tcW w:type="dxa" w:w="1440"/>
            <w:shd w:fill="FFDCE0" w:val="clear"/>
          </w:tcPr>
          <w:p>
            <w:r>
              <w:rPr>
                <w:sz w:val="17"/>
              </w:rPr>
              <w:t>6,327</w:t>
            </w:r>
          </w:p>
        </w:tc>
        <w:tc>
          <w:tcPr>
            <w:tcW w:type="dxa" w:w="1440"/>
            <w:shd w:fill="FFDCE0" w:val="clear"/>
          </w:tcPr>
          <w:p>
            <w:r>
              <w:rPr>
                <w:b/>
                <w:color w:val="C00000"/>
                <w:sz w:val="17"/>
              </w:rPr>
              <w:t>-25.1%</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5,031</w:t>
            </w:r>
          </w:p>
        </w:tc>
        <w:tc>
          <w:tcPr>
            <w:tcW w:type="dxa" w:w="1440"/>
            <w:shd w:fill="FFDCE0" w:val="clear"/>
          </w:tcPr>
          <w:p>
            <w:r>
              <w:rPr>
                <w:b/>
                <w:sz w:val="17"/>
              </w:rPr>
              <w:t>5,645</w:t>
            </w:r>
          </w:p>
        </w:tc>
        <w:tc>
          <w:tcPr>
            <w:tcW w:type="dxa" w:w="1440"/>
            <w:shd w:fill="FFDCE0" w:val="clear"/>
          </w:tcPr>
          <w:p>
            <w:r>
              <w:rPr>
                <w:sz w:val="17"/>
              </w:rPr>
              <w:t>6,260</w:t>
            </w:r>
          </w:p>
        </w:tc>
        <w:tc>
          <w:tcPr>
            <w:tcW w:type="dxa" w:w="1440"/>
            <w:shd w:fill="FFDCE0" w:val="clear"/>
          </w:tcPr>
          <w:p>
            <w:r>
              <w:rPr>
                <w:b/>
                <w:color w:val="C00000"/>
                <w:sz w:val="17"/>
              </w:rPr>
              <w:t>-26.4%</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4,910</w:t>
            </w:r>
          </w:p>
        </w:tc>
        <w:tc>
          <w:tcPr>
            <w:tcW w:type="dxa" w:w="1440"/>
            <w:shd w:fill="FFDCE0" w:val="clear"/>
          </w:tcPr>
          <w:p>
            <w:r>
              <w:rPr>
                <w:b/>
                <w:sz w:val="17"/>
              </w:rPr>
              <w:t>5,557</w:t>
            </w:r>
          </w:p>
        </w:tc>
        <w:tc>
          <w:tcPr>
            <w:tcW w:type="dxa" w:w="1440"/>
            <w:shd w:fill="FFDCE0" w:val="clear"/>
          </w:tcPr>
          <w:p>
            <w:r>
              <w:rPr>
                <w:sz w:val="17"/>
              </w:rPr>
              <w:t>6,204</w:t>
            </w:r>
          </w:p>
        </w:tc>
        <w:tc>
          <w:tcPr>
            <w:tcW w:type="dxa" w:w="1440"/>
            <w:shd w:fill="FFDCE0" w:val="clear"/>
          </w:tcPr>
          <w:p>
            <w:r>
              <w:rPr>
                <w:b/>
                <w:color w:val="C00000"/>
                <w:sz w:val="17"/>
              </w:rPr>
              <w:t>-27.5%</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4,804</w:t>
            </w:r>
          </w:p>
        </w:tc>
        <w:tc>
          <w:tcPr>
            <w:tcW w:type="dxa" w:w="1440"/>
            <w:shd w:fill="FFDCE0" w:val="clear"/>
          </w:tcPr>
          <w:p>
            <w:r>
              <w:rPr>
                <w:b/>
                <w:sz w:val="17"/>
              </w:rPr>
              <w:t>5,480</w:t>
            </w:r>
          </w:p>
        </w:tc>
        <w:tc>
          <w:tcPr>
            <w:tcW w:type="dxa" w:w="1440"/>
            <w:shd w:fill="FFDCE0" w:val="clear"/>
          </w:tcPr>
          <w:p>
            <w:r>
              <w:rPr>
                <w:sz w:val="17"/>
              </w:rPr>
              <w:t>6,157</w:t>
            </w:r>
          </w:p>
        </w:tc>
        <w:tc>
          <w:tcPr>
            <w:tcW w:type="dxa" w:w="1440"/>
            <w:shd w:fill="FFDCE0" w:val="clear"/>
          </w:tcPr>
          <w:p>
            <w:r>
              <w:rPr>
                <w:b/>
                <w:color w:val="C00000"/>
                <w:sz w:val="17"/>
              </w:rPr>
              <w:t>-28.5%</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4,710</w:t>
            </w:r>
          </w:p>
        </w:tc>
        <w:tc>
          <w:tcPr>
            <w:tcW w:type="dxa" w:w="1440"/>
            <w:shd w:fill="FFDCE0" w:val="clear"/>
          </w:tcPr>
          <w:p>
            <w:r>
              <w:rPr>
                <w:b/>
                <w:sz w:val="17"/>
              </w:rPr>
              <w:t>5,414</w:t>
            </w:r>
          </w:p>
        </w:tc>
        <w:tc>
          <w:tcPr>
            <w:tcW w:type="dxa" w:w="1440"/>
            <w:shd w:fill="FFDCE0" w:val="clear"/>
          </w:tcPr>
          <w:p>
            <w:r>
              <w:rPr>
                <w:sz w:val="17"/>
              </w:rPr>
              <w:t>6,118</w:t>
            </w:r>
          </w:p>
        </w:tc>
        <w:tc>
          <w:tcPr>
            <w:tcW w:type="dxa" w:w="1440"/>
            <w:shd w:fill="FFDCE0" w:val="clear"/>
          </w:tcPr>
          <w:p>
            <w:r>
              <w:rPr>
                <w:b/>
                <w:color w:val="C00000"/>
                <w:sz w:val="17"/>
              </w:rPr>
              <w:t>-29.4%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r>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443,02 milliards FCFA, un niveau significatif qui la positionne parmi les valeurs à forte liquidité et visibilité de la BRVM. Avec un BPA de 627 FCFA, chaque action détenue génère un bénéfice substantiel pour l'actionnaire. Le PER de 12,2x est légèrement supérieur à la moyenne historique de la place (~8-12x), indiquant que le marché applique une prime de croissance, mais sans excès majeur. Le P/B de 3,28x confirme cette lecture : le cours valorise les capitaux propres à plus de trois fois leur valeur comptable, traduisant une anticipation de création de valeur future. En revanche, l'EV/EBITDA de 22,9x est nettement supérieur au seuil de 15x, signalant une valorisation exigeante de la capacité opérationnelle de la banque, ce qui appelle à une vigilance sur la soutenabilité de cette prime.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BICB a enregistré une progression spectaculaire de +48,21%, avec une dernière séance en hausse de +0,99% à 7 670 FCFA. Le cours a évolué dans une fourchette très large, entre un plus bas de 5 000 FCFA et un plus haut de 7 850 FCFA, illustrant une dynamique haussière puissante. La moyenne du cours (5 756 FCFA) est nettement supérieure à la médiane (5 330 FCFA), et le skewness positif de 1,313 confirme une asymétrie marquée avec des journées majoritairement sous la moyenne mais des épisodes de forte hausse. L'écart-type de 808 FCFA (CV=14,0%) témoigne d'une dispersion modérée, tandis que le kurtosis de 0,543 (mésokurtique) indique une distribution proche de la normale, sans risque de pics extrêmes. La volatilité annualisée de 28,8% classe le titre dans la catégorie élevée (&gt;30% étant le seuil), reflétant un risque de marché important mais en phase avec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 Le cours actuel (7 670 FCFA) se situe nettement au-dessus de la MM20 (7 138,5 FCFA) et de la MM50 (6 334,6 FCFA), avec un écart de 7,4% et 21,1% respectivement. Cette configuration haussière, où le prix évolue au-dessus des deux moyennes, confirme une tendance de fond positive et justifie la décision d'achat.</w:t>
      </w:r>
    </w:p>
    <w:p>
      <w:pPr>
        <w:spacing w:after="120" w:line="276" w:lineRule="auto"/>
      </w:pPr>
      <w:r>
        <w:t>**Bandes de Bollinger** : Le prix se positionne à 7 670 FCFA, entre la borne inférieure (5 993,05 FCFA) et la borne supérieure (8 283,94 FCFA), plus près de cette dernière. La largeur des bandes reflète une volatilité élevée. La décision est neutre, le cours n'ayant pas encore touché les extrêmes, mais la proximité de la borne supérieure suggère une possible consolidation.</w:t>
      </w:r>
    </w:p>
    <w:p>
      <w:pPr>
        <w:spacing w:after="120" w:line="276" w:lineRule="auto"/>
      </w:pPr>
      <w:r>
        <w:t>**MACD** : La valeur du MACD (411,09) est très légèrement inférieure à son signal (412,40), avec un écart minime de -1,32 point. Cette quasi-égalité indique un momentum en perte de vitesse après une forte progression. La décision de vente est prématurée mais signale une possible correction technique à court terme.</w:t>
      </w:r>
    </w:p>
    <w:p>
      <w:pPr>
        <w:spacing w:after="120" w:line="276" w:lineRule="auto"/>
      </w:pPr>
      <w:r>
        <w:t>**RSI** : À 75,0, le RSI est en zone de surachat (au-dessus de 70), indiquant que le titre est techniquement surévalué à court terme. Cette situation suggère un essoufflement probable de la dynamique haussière et justifie la décision de vente, avec un risque de retournement.</w:t>
      </w:r>
    </w:p>
    <w:p>
      <w:pPr>
        <w:spacing w:after="120" w:line="276" w:lineRule="auto"/>
      </w:pPr>
      <w:r>
        <w:t>**Stochastique** : Le %K (85,66) et le %D (81,62) sont tous deux en zone de surachat (&gt;80), avec un %K au-dessus du %D. Cette configuration signale une pression acheteuse extrême, mais le croisement potentiel à la baisse du %K sous le %D pourrait déclencher un signal de vente imminent.</w:t>
      </w:r>
    </w:p>
    <w:p>
      <w:pPr>
        <w:spacing w:after="120" w:line="276" w:lineRule="auto"/>
      </w:pPr>
      <w:r>
        <w:t>**Conclusion technique** : Les indicateurs de tendance (MM) restent positifs, mais les oscillateurs (RSI, Stochastique) et le MACD convergent vers un signal de surachat et de retournement. La prudence est de mise : un repli technique est probable à court terme, même si la tendance de fond demeure haussière.</w:t>
      </w:r>
    </w:p>
    <w:p>
      <w:pPr>
        <w:spacing w:after="120" w:line="276" w:lineRule="auto" w:before="240"/>
      </w:pPr>
      <w:r>
        <w:rPr>
          <w:b/>
          <w:color w:val="003366"/>
          <w:sz w:val="24"/>
        </w:rPr>
        <w:t>**PARTIE 3 : ANALYSE FONDAMENTALE (SECTION CRITIQUE)**</w:t>
      </w:r>
    </w:p>
    <w:p>
      <w:pPr>
        <w:spacing w:after="120" w:line="276" w:lineRule="auto"/>
      </w:pPr>
      <w:r>
        <w:t>En 2025, la BICB affiche des fondamentaux solides avec un Produit Net Bancaire (PNB) de 52,805 milliards FCFA, en croissance de 16,5% par rapport à 2024 (45,207 milliards FCFA), et un résultat net de 36,237 milliards FCFA, en hausse de 24,7% (contre 30,341 milliards en 2024). Le ROE est excellent à 26,8%, et le ROA de 1,96% reste satisfaisant. Le coefficient d'exploitation de 31,1% démontre une efficacité opérationnelle remarquable. Cependant, le coût du risque de 9,61% est préoccupant, reflétant une dégradation de la qualité du portefeuille de crédits, comme l'ont souligné les rapports des commissaires aux comptes (rapport du 12 juin 2026). Le ratio crédits/dépôts atteint 97,5%, signalant une transformation tendue. Les rapports trimestriels 2025 montrent une croissance du PNB de +26% au T3 (35,945 milliards cumulés) mais un résultat net en baisse de 9% (13,128 milliards), en raison de provisions prudentielles. Le rapport T1 2026 (publié en 2026) indique un PNB de 14,6 milliards (+35%) et un résultat net de 8,0 milliards (+48%), suggérant une amélioration. On estime que l'exercice 2026 pourrait voir un PNB autour de 60 milliards et un résultat net stabilisé autour de 38-40 milliards, si le coût du risque se normalise. La banque reste solide, mais la gestion du risque de crédit est le défi central.</w:t>
      </w:r>
    </w:p>
    <w:p>
      <w:pPr>
        <w:spacing w:after="120" w:line="276" w:lineRule="auto" w:before="240"/>
      </w:pPr>
      <w:r>
        <w:rPr>
          <w:b/>
          <w:color w:val="003366"/>
          <w:sz w:val="24"/>
        </w:rPr>
        <w:t>**PARTIE 4 : CONCLUSION D'INVESTISSEMENT**</w:t>
      </w:r>
    </w:p>
    <w:p>
      <w:pPr>
        <w:spacing w:after="120" w:line="276" w:lineRule="auto"/>
      </w:pPr>
      <w:r>
        <w:t>La valorisation de BICB (PER 12,2x, P/B 3,28x) est exigeante mais pas excessive, traduisant une prime de croissance justifiée par des fondamentaux solides. Le comportement du cours (+48,21% sur 100 jours, volatilité élevée à 28,8%) montre une dynamique haussière forte, mais les statistiques (skewness positif, kurtosis mésokurtique) suggèrent un risque de correction. Les signaux techniques sont mitigés : les moyennes mobiles restent haussières, mais le RSI, le Stochastique et le MACD indiquent un surachat imminent. Les fondamentaux (ROE 26,8%, coefficient d'exploitation 31,1%) sont excellents, mais le coût du risque (9,61%) et le ratio crédits/dépôts (97,5%) sont des points de vigilance. Les prédictions IA (J+1 à J+10) prévoient une chute brutale de 7 095 à 5 865 FCFA, contredisant la tendance actuelle et confirmant le risque de retournement technique. En synthèse, la convergence entre les signaux techniques de surachat et les prédictions IA suggère une correction à court terme, malgré des fondamentaux solides. **Recommandation : CONSERVER** (pour les investisseurs en portefeuille), avec un niveau de confiance **Moyen** et un risque global **Élevé**. Horizon d'investissement optimal : **moyen terme (3-12 mois)**, en attendant une stabilisation du cours et une clarification sur la gestion du risque de crédit.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485.83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782 titres</w:t>
            </w:r>
          </w:p>
        </w:tc>
        <w:tc>
          <w:tcPr>
            <w:tcW w:type="dxa" w:w="2268"/>
            <w:shd w:fill="FFF2CC" w:val="clear"/>
          </w:tcPr>
          <w:p>
            <w:r>
              <w:rPr>
                <w:b/>
                <w:color w:val="503200"/>
                <w:sz w:val="16"/>
              </w:rPr>
              <w:t xml:space="preserve">Cours actuel : </w:t>
            </w:r>
            <w:r>
              <w:rPr>
                <w:color w:val="000000"/>
                <w:sz w:val="17"/>
              </w:rPr>
              <w:t>29,150 FCFA</w:t>
            </w:r>
          </w:p>
          <w:p>
            <w:r>
              <w:rPr>
                <w:b/>
                <w:color w:val="503200"/>
                <w:sz w:val="16"/>
              </w:rPr>
              <w:t xml:space="preserve">Var. 100 jours : </w:t>
            </w:r>
            <w:r>
              <w:rPr>
                <w:b/>
                <w:color w:val="007800"/>
                <w:sz w:val="17"/>
              </w:rPr>
              <w:t>+11.88%</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30.7%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7.30% (Moyenne) — μ=26,875 FCFA, σ=1,962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β=0.5907 (Défensif) — Cov=0.000022, Var(idx)=0.000036, ρ=0.187,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782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8728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27,563</w:t>
            </w:r>
          </w:p>
        </w:tc>
        <w:tc>
          <w:tcPr>
            <w:tcW w:type="dxa" w:w="1440"/>
            <w:shd w:fill="FFDCE0" w:val="clear"/>
          </w:tcPr>
          <w:p>
            <w:r>
              <w:rPr>
                <w:b/>
                <w:sz w:val="17"/>
              </w:rPr>
              <w:t>28,400</w:t>
            </w:r>
          </w:p>
        </w:tc>
        <w:tc>
          <w:tcPr>
            <w:tcW w:type="dxa" w:w="1440"/>
            <w:shd w:fill="FFDCE0" w:val="clear"/>
          </w:tcPr>
          <w:p>
            <w:r>
              <w:rPr>
                <w:sz w:val="17"/>
              </w:rPr>
              <w:t>29,237</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26,976</w:t>
            </w:r>
          </w:p>
        </w:tc>
        <w:tc>
          <w:tcPr>
            <w:tcW w:type="dxa" w:w="1440"/>
            <w:shd w:fill="FFDCE0" w:val="clear"/>
          </w:tcPr>
          <w:p>
            <w:r>
              <w:rPr>
                <w:b/>
                <w:sz w:val="17"/>
              </w:rPr>
              <w:t>28,149</w:t>
            </w:r>
          </w:p>
        </w:tc>
        <w:tc>
          <w:tcPr>
            <w:tcW w:type="dxa" w:w="1440"/>
            <w:shd w:fill="FFDCE0" w:val="clear"/>
          </w:tcPr>
          <w:p>
            <w:r>
              <w:rPr>
                <w:sz w:val="17"/>
              </w:rPr>
              <w:t>29,322</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26,433</w:t>
            </w:r>
          </w:p>
        </w:tc>
        <w:tc>
          <w:tcPr>
            <w:tcW w:type="dxa" w:w="1440"/>
            <w:shd w:fill="FFDCE0" w:val="clear"/>
          </w:tcPr>
          <w:p>
            <w:r>
              <w:rPr>
                <w:b/>
                <w:sz w:val="17"/>
              </w:rPr>
              <w:t>27,854</w:t>
            </w:r>
          </w:p>
        </w:tc>
        <w:tc>
          <w:tcPr>
            <w:tcW w:type="dxa" w:w="1440"/>
            <w:shd w:fill="FFDCE0" w:val="clear"/>
          </w:tcPr>
          <w:p>
            <w:r>
              <w:rPr>
                <w:sz w:val="17"/>
              </w:rPr>
              <w:t>29,275</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25,957</w:t>
            </w:r>
          </w:p>
        </w:tc>
        <w:tc>
          <w:tcPr>
            <w:tcW w:type="dxa" w:w="1440"/>
            <w:shd w:fill="FFDCE0" w:val="clear"/>
          </w:tcPr>
          <w:p>
            <w:r>
              <w:rPr>
                <w:b/>
                <w:sz w:val="17"/>
              </w:rPr>
              <w:t>27,582</w:t>
            </w:r>
          </w:p>
        </w:tc>
        <w:tc>
          <w:tcPr>
            <w:tcW w:type="dxa" w:w="1440"/>
            <w:shd w:fill="FFDCE0" w:val="clear"/>
          </w:tcPr>
          <w:p>
            <w:r>
              <w:rPr>
                <w:sz w:val="17"/>
              </w:rPr>
              <w:t>29,207</w:t>
            </w:r>
          </w:p>
        </w:tc>
        <w:tc>
          <w:tcPr>
            <w:tcW w:type="dxa" w:w="1440"/>
            <w:shd w:fill="FFDCE0" w:val="clear"/>
          </w:tcPr>
          <w:p>
            <w:r>
              <w:rPr>
                <w:b/>
                <w:color w:val="C00000"/>
                <w:sz w:val="17"/>
              </w:rPr>
              <w:t>-5.4%</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25,532</w:t>
            </w:r>
          </w:p>
        </w:tc>
        <w:tc>
          <w:tcPr>
            <w:tcW w:type="dxa" w:w="1440"/>
            <w:shd w:fill="FFDCE0" w:val="clear"/>
          </w:tcPr>
          <w:p>
            <w:r>
              <w:rPr>
                <w:b/>
                <w:sz w:val="17"/>
              </w:rPr>
              <w:t>27,332</w:t>
            </w:r>
          </w:p>
        </w:tc>
        <w:tc>
          <w:tcPr>
            <w:tcW w:type="dxa" w:w="1440"/>
            <w:shd w:fill="FFDCE0" w:val="clear"/>
          </w:tcPr>
          <w:p>
            <w:r>
              <w:rPr>
                <w:sz w:val="17"/>
              </w:rPr>
              <w:t>29,133</w:t>
            </w:r>
          </w:p>
        </w:tc>
        <w:tc>
          <w:tcPr>
            <w:tcW w:type="dxa" w:w="1440"/>
            <w:shd w:fill="FFDCE0" w:val="clear"/>
          </w:tcPr>
          <w:p>
            <w:r>
              <w:rPr>
                <w:b/>
                <w:color w:val="C00000"/>
                <w:sz w:val="17"/>
              </w:rPr>
              <w:t>-6.2%</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25,140</w:t>
            </w:r>
          </w:p>
        </w:tc>
        <w:tc>
          <w:tcPr>
            <w:tcW w:type="dxa" w:w="1440"/>
            <w:shd w:fill="FFDCE0" w:val="clear"/>
          </w:tcPr>
          <w:p>
            <w:r>
              <w:rPr>
                <w:b/>
                <w:sz w:val="17"/>
              </w:rPr>
              <w:t>27,095</w:t>
            </w:r>
          </w:p>
        </w:tc>
        <w:tc>
          <w:tcPr>
            <w:tcW w:type="dxa" w:w="1440"/>
            <w:shd w:fill="FFDCE0" w:val="clear"/>
          </w:tcPr>
          <w:p>
            <w:r>
              <w:rPr>
                <w:sz w:val="17"/>
              </w:rPr>
              <w:t>29,051</w:t>
            </w:r>
          </w:p>
        </w:tc>
        <w:tc>
          <w:tcPr>
            <w:tcW w:type="dxa" w:w="1440"/>
            <w:shd w:fill="FFDCE0" w:val="clear"/>
          </w:tcPr>
          <w:p>
            <w:r>
              <w:rPr>
                <w:b/>
                <w:color w:val="C00000"/>
                <w:sz w:val="17"/>
              </w:rPr>
              <w:t>-7.0%</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24,774</w:t>
            </w:r>
          </w:p>
        </w:tc>
        <w:tc>
          <w:tcPr>
            <w:tcW w:type="dxa" w:w="1440"/>
            <w:shd w:fill="FFDCE0" w:val="clear"/>
          </w:tcPr>
          <w:p>
            <w:r>
              <w:rPr>
                <w:b/>
                <w:sz w:val="17"/>
              </w:rPr>
              <w:t>26,868</w:t>
            </w:r>
          </w:p>
        </w:tc>
        <w:tc>
          <w:tcPr>
            <w:tcW w:type="dxa" w:w="1440"/>
            <w:shd w:fill="FFDCE0" w:val="clear"/>
          </w:tcPr>
          <w:p>
            <w:r>
              <w:rPr>
                <w:sz w:val="17"/>
              </w:rPr>
              <w:t>28,962</w:t>
            </w:r>
          </w:p>
        </w:tc>
        <w:tc>
          <w:tcPr>
            <w:tcW w:type="dxa" w:w="1440"/>
            <w:shd w:fill="FFDCE0" w:val="clear"/>
          </w:tcPr>
          <w:p>
            <w:r>
              <w:rPr>
                <w:b/>
                <w:color w:val="C00000"/>
                <w:sz w:val="17"/>
              </w:rPr>
              <w:t>-7.8%</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24,428</w:t>
            </w:r>
          </w:p>
        </w:tc>
        <w:tc>
          <w:tcPr>
            <w:tcW w:type="dxa" w:w="1440"/>
            <w:shd w:fill="FFDCE0" w:val="clear"/>
          </w:tcPr>
          <w:p>
            <w:r>
              <w:rPr>
                <w:b/>
                <w:sz w:val="17"/>
              </w:rPr>
              <w:t>26,649</w:t>
            </w:r>
          </w:p>
        </w:tc>
        <w:tc>
          <w:tcPr>
            <w:tcW w:type="dxa" w:w="1440"/>
            <w:shd w:fill="FFDCE0" w:val="clear"/>
          </w:tcPr>
          <w:p>
            <w:r>
              <w:rPr>
                <w:sz w:val="17"/>
              </w:rPr>
              <w:t>28,869</w:t>
            </w:r>
          </w:p>
        </w:tc>
        <w:tc>
          <w:tcPr>
            <w:tcW w:type="dxa" w:w="1440"/>
            <w:shd w:fill="FFDCE0" w:val="clear"/>
          </w:tcPr>
          <w:p>
            <w:r>
              <w:rPr>
                <w:b/>
                <w:color w:val="C00000"/>
                <w:sz w:val="17"/>
              </w:rPr>
              <w:t>-8.6%</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24,100</w:t>
            </w:r>
          </w:p>
        </w:tc>
        <w:tc>
          <w:tcPr>
            <w:tcW w:type="dxa" w:w="1440"/>
            <w:shd w:fill="FFDCE0" w:val="clear"/>
          </w:tcPr>
          <w:p>
            <w:r>
              <w:rPr>
                <w:b/>
                <w:sz w:val="17"/>
              </w:rPr>
              <w:t>26,437</w:t>
            </w:r>
          </w:p>
        </w:tc>
        <w:tc>
          <w:tcPr>
            <w:tcW w:type="dxa" w:w="1440"/>
            <w:shd w:fill="FFDCE0" w:val="clear"/>
          </w:tcPr>
          <w:p>
            <w:r>
              <w:rPr>
                <w:sz w:val="17"/>
              </w:rPr>
              <w:t>28,774</w:t>
            </w:r>
          </w:p>
        </w:tc>
        <w:tc>
          <w:tcPr>
            <w:tcW w:type="dxa" w:w="1440"/>
            <w:shd w:fill="FFDCE0" w:val="clear"/>
          </w:tcPr>
          <w:p>
            <w:r>
              <w:rPr>
                <w:b/>
                <w:color w:val="C00000"/>
                <w:sz w:val="17"/>
              </w:rPr>
              <w:t>-9.3%</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23,789</w:t>
            </w:r>
          </w:p>
        </w:tc>
        <w:tc>
          <w:tcPr>
            <w:tcW w:type="dxa" w:w="1440"/>
            <w:shd w:fill="FFDCE0" w:val="clear"/>
          </w:tcPr>
          <w:p>
            <w:r>
              <w:rPr>
                <w:b/>
                <w:sz w:val="17"/>
              </w:rPr>
              <w:t>26,233</w:t>
            </w:r>
          </w:p>
        </w:tc>
        <w:tc>
          <w:tcPr>
            <w:tcW w:type="dxa" w:w="1440"/>
            <w:shd w:fill="FFDCE0" w:val="clear"/>
          </w:tcPr>
          <w:p>
            <w:r>
              <w:rPr>
                <w:sz w:val="17"/>
              </w:rPr>
              <w:t>28,677</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**Date de l'analyse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**485,83 milliards FCFA**, ce qui en fait l'une des valeurs les plus significatives de la BRVM, reflétant la confiance des investisseurs dans le secteur bancaire ivoirien. Le BPA de **2 191 FCFA** indique que chaque action génère un bénéfice substantiel, justifiant un PER de **13,3x**, légèrement supérieur à la moyenne historique de la BRVM (8-12x), ce qui traduit une prime de croissance accordée par le marché. Le P/B de **4,03x** est particulièrement exigeant, signifiant que les investisseurs paient plus de 4 fois la valeur comptable des actifs, une valorisation qui intègre des attentes élevées de rentabilité future. Enfin, l'EV/EBITDA de **9,4x** se situe dans une fourchette raisonnable (5-10x), indiquant une valorisation cohérente de la capacité opérationnelle de la banque. Globalement, ces ratios suggèrent une valorisation de qualité, mais avec une prime qui exige une exécution parfaite des objectifs stratégiques.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totale de +11,88%**, avec une légère hausse de **+0,17%** lors de la dernière séance, portant le cours à **29 150 FCFA**. Le titre a évolué dans une fourchette de trading significative, oscillant entre un plus bas de **22 500 FCFA** et un plus haut de **29 490 FCFA**, démontrant une dynamique haussière soutenue. La moyenne du cours sur la période (26 875 FCFA) est inférieure à la médiane (27 728 FCFA), indiquant une asymétrie positive avec des épisodes de forte hausse. L'écart-type de **1 972 FCFA** (CV=7,3%) révèle une dispersion modérée des prix, tandis que le kurtosis de **-1,158** (distribution platykurtique) suggère une absence de mouvements extrêmes, et le skewness de **-0,499** indique une distribution légèrement asymétrique vers la gauche. La **volatilité annualisée de 30,7%** classe le titre dans la catégorie des valeurs à volatilité élevée, ce qui implique un risque de marché substantiel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Les MM20 (28 507,5 FCFA) et MM50 (28 561,6 FCFA) sont très proches l'une de l'autre, avec un cours actuel (29 150 FCFA) nettement au-dessus des deux moyennes. Cette configuration est généralement haussière, mais le signal de "Vente" suggère que la convergence des moyennes pourrait indiquer un essoufflement de la tendance à court terme. La proximité des MM20 et MM50 reflète une phase de consolidation après une période de forte progression.</w:t>
      </w:r>
    </w:p>
    <w:p>
      <w:pPr>
        <w:spacing w:after="120" w:line="276" w:lineRule="auto"/>
      </w:pPr>
      <w:r>
        <w:t>**Bandes de Bollinger** : Le cours se positionne dans la partie supérieure des bandes, entre la borne inférieure (27 465,1 FCFA) et la borne supérieure (29 549,9 FCFA), avec une décision "Neutre". La largeur des bandes indique une volatilité modérée, et le cours proche de la borne supérieure suggère une pression acheteuse persistante, mais sans signal de surachat extrême.</w:t>
      </w:r>
    </w:p>
    <w:p>
      <w:pPr>
        <w:spacing w:after="120" w:line="276" w:lineRule="auto"/>
      </w:pPr>
      <w:r>
        <w:t>**MACD** : Le MACD (225,005) est nettement supérieur à son signal (156,394), générant une décision "Achat". Cette configuration positive indique un momentum haussier solide, avec une divergence positive qui confirme la dynamique ascendante du titre. La tendance de fond reste résolument haussière.</w:t>
      </w:r>
    </w:p>
    <w:p>
      <w:pPr>
        <w:spacing w:after="120" w:line="276" w:lineRule="auto"/>
      </w:pPr>
      <w:r>
        <w:t>**RSI** : Le RSI à **69,625** se situe en zone neutre, proche du seuil de surachat (70). Cette valeur indique que le titre a fortement progressé récemment, mais n'a pas encore atteint des niveaux extrêmes qui justifieraient une correction imminente. La décision "Neutre" est cohérente avec cette lecture.</w:t>
      </w:r>
    </w:p>
    <w:p>
      <w:pPr>
        <w:spacing w:after="120" w:line="276" w:lineRule="auto"/>
      </w:pPr>
      <w:r>
        <w:t>**Stochastique** : Le %K (100,0) et le %D (99,669) sont à des niveaux extrêmement élevés, indiquant une condition de surachat sévère. La décision "Vente" est justifiée par cette configuration, qui suggère un risque élevé de retournement à court terme. Les deux lignes étant presque confondues, un croisement baissier pourrait déclencher une correction.</w:t>
      </w:r>
    </w:p>
    <w:p>
      <w:pPr>
        <w:spacing w:after="120" w:line="276" w:lineRule="auto"/>
      </w:pPr>
      <w:r>
        <w:t>**Conclusion technique** : La convergence des signaux est mitigée. Le MACD et la position du cours au-dessus des moyennes mobiles plaident pour une poursuite de la tendance haussière, tandis que le RSI proche du surachat et surtout le Stochastique extrêmement survendu indiquent un risque de correction technique à très court terme. La prudence est donc de mise, avec une possible consolidation avant une reprise de la tendance.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financière de BICC. Le **Produit Net Bancaire (PNB) s'établit à 79,563 milliards FCFA**, en croissance de **+16,9%**, porté par une marge d'intermédiation solide (62,121 milliards d'intérêts perçus) et des commissions nettes en hausse. Le **résultat net atteint 36,520 milliards FCFA**, avec un **ROE exceptionnel de 30,29%** et un **ROA de 3,24%**, tous deux nettement supérieurs aux moyennes sectorielles. Le **coefficient d'exploitation de 50,83%** témoigne d'une excellente maîtrise des charges, tandis que le coût du risque de -12,15% reflète une gestion prudente du portefeuille de crédits. Les dépôts clientèle (952,872 milliards) dépassent largement les crédits (524,439 milliards), indiquant une transformation saine avec un ratio de liquidité confortable. Les rapports trimestriels 2025 confirment cette dynamique : le T3 2025 (cumulé) affiche un PNB de 58,119 milliards (+16,4%) et un résultat net de 27,402 milliards (+50,8%), avec une marge nette de 47,1%. Le rapport T1 2026, daté du 31 mars 2026, montre une poursuite de la croissance avec un PNB de 21,214 milliards (+17,0%) et un résultat net de 10,387 milliards (+29,7%). Sur la base de ces tendances, on estime que l'exercice 2026 pourrait dépasser les performances de 2025, avec un PNB annuel potentiel de 85-90 milliards et un résultat net de 40-42 milliards, confirmant la trajectoire ascendante de la banque.</w:t>
      </w:r>
    </w:p>
    <w:p>
      <w:pPr>
        <w:spacing w:after="120" w:line="276" w:lineRule="auto"/>
      </w:pPr>
      <w:r>
        <w:t>---</w:t>
      </w:r>
    </w:p>
    <w:p>
      <w:pPr>
        <w:spacing w:after="120" w:line="276" w:lineRule="auto"/>
      </w:pPr>
      <w:r>
        <w:t>### PARTIE 4 : CONCLUSION D'INVESTISSEMENT</w:t>
      </w:r>
    </w:p>
    <w:p>
      <w:pPr>
        <w:spacing w:after="120" w:line="276" w:lineRule="auto"/>
      </w:pPr>
      <w:r>
        <w:t>La valorisation de BICC (PER 13,3x, P/B 4,03x) est exigeante mais justifiée par une rentabilité exceptionnelle (ROE &gt;30%), tandis que le comportement du cours (+11,88% sur 100 jours) et la volatilité élevée (30,7%) reflètent un intérêt marqué des investisseurs. Les signaux techniques sont partagés : le MACD et les moyennes mobiles sont positifs, mais le RSI proche du surachat et le Stochastique extrêmement élevé suggèrent un risque de correction à court terme. Les fondamentaux, quant à eux, sont remarquablement solides, avec une croissance soutenue du PNB et du résultat net, une maîtrise des coûts et une gestion prudente du risque. Les prédictions IA (J+1 à J+10) indiquent une trajectoire baissière (de 28 400 à 27 332 FCFA), contredisant les signaux fondamentaux mais cohérente avec les indicateurs techniques de surachat. Cette divergence suggère une possible consolidation à court terme avant une reprise de la tendance haussière. **Recommandation finale : ACHAT** avec un niveau de confiance **Moyen** et un risque global **Moyen**, car la solidité fondamentale et la croissance soutenue justifient une position positive, mais la valorisation élevée et les signaux techniques de surachat recommandent un horizon d'investissement **moyen terme (3-12 mois)** pour lisser la volatilité et capter le potentiel de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2,157 titres</w:t>
            </w:r>
          </w:p>
        </w:tc>
        <w:tc>
          <w:tcPr>
            <w:tcW w:type="dxa" w:w="2268"/>
            <w:shd w:fill="FFF2CC" w:val="clear"/>
          </w:tcPr>
          <w:p>
            <w:r>
              <w:rPr>
                <w:b/>
                <w:color w:val="503200"/>
                <w:sz w:val="16"/>
              </w:rPr>
              <w:t xml:space="preserve">Cours actuel : </w:t>
            </w:r>
            <w:r>
              <w:rPr>
                <w:color w:val="000000"/>
                <w:sz w:val="17"/>
              </w:rPr>
              <w:t>1,905 FCFA</w:t>
            </w:r>
          </w:p>
          <w:p>
            <w:r>
              <w:rPr>
                <w:b/>
                <w:color w:val="503200"/>
                <w:sz w:val="16"/>
              </w:rPr>
              <w:t xml:space="preserve">Var. 100 jours : </w:t>
            </w:r>
            <w:r>
              <w:rPr>
                <w:b/>
                <w:color w:val="007800"/>
                <w:sz w:val="17"/>
              </w:rPr>
              <w:t>+16.87%</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11.44% (Moyenne) — μ=1,718 FCFA, σ=197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β=-0.0418 (Contre-cyclique) — Cov=-0.000002, Var(idx)=0.000036, ρ=-0.008,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2,157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1,825</w:t>
            </w:r>
          </w:p>
        </w:tc>
        <w:tc>
          <w:tcPr>
            <w:tcW w:type="dxa" w:w="1440"/>
            <w:shd w:fill="FAFAFA" w:val="clear"/>
          </w:tcPr>
          <w:p>
            <w:r>
              <w:rPr>
                <w:b/>
                <w:sz w:val="17"/>
              </w:rPr>
              <w:t>1,903</w:t>
            </w:r>
          </w:p>
        </w:tc>
        <w:tc>
          <w:tcPr>
            <w:tcW w:type="dxa" w:w="1440"/>
            <w:shd w:fill="FAFAFA" w:val="clear"/>
          </w:tcPr>
          <w:p>
            <w:r>
              <w:rPr>
                <w:sz w:val="17"/>
              </w:rPr>
              <w:t>1,982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1,792</w:t>
            </w:r>
          </w:p>
        </w:tc>
        <w:tc>
          <w:tcPr>
            <w:tcW w:type="dxa" w:w="1440"/>
            <w:shd w:fill="FAFAFA" w:val="clear"/>
          </w:tcPr>
          <w:p>
            <w:r>
              <w:rPr>
                <w:b/>
                <w:sz w:val="17"/>
              </w:rPr>
              <w:t>1,904</w:t>
            </w:r>
          </w:p>
        </w:tc>
        <w:tc>
          <w:tcPr>
            <w:tcW w:type="dxa" w:w="1440"/>
            <w:shd w:fill="FAFAFA" w:val="clear"/>
          </w:tcPr>
          <w:p>
            <w:r>
              <w:rPr>
                <w:sz w:val="17"/>
              </w:rPr>
              <w:t>2,016</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1,768</w:t>
            </w:r>
          </w:p>
        </w:tc>
        <w:tc>
          <w:tcPr>
            <w:tcW w:type="dxa" w:w="1440"/>
            <w:shd w:fill="FAFAFA" w:val="clear"/>
          </w:tcPr>
          <w:p>
            <w:r>
              <w:rPr>
                <w:b/>
                <w:sz w:val="17"/>
              </w:rPr>
              <w:t>1,904</w:t>
            </w:r>
          </w:p>
        </w:tc>
        <w:tc>
          <w:tcPr>
            <w:tcW w:type="dxa" w:w="1440"/>
            <w:shd w:fill="FAFAFA" w:val="clear"/>
          </w:tcPr>
          <w:p>
            <w:r>
              <w:rPr>
                <w:sz w:val="17"/>
              </w:rPr>
              <w:t>2,041</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2026-08-14</w:t>
            </w:r>
          </w:p>
        </w:tc>
        <w:tc>
          <w:tcPr>
            <w:tcW w:type="dxa" w:w="1440"/>
            <w:shd w:fill="FAFAFA" w:val="clear"/>
          </w:tcPr>
          <w:p>
            <w:r>
              <w:rPr>
                <w:sz w:val="17"/>
              </w:rPr>
              <w:t>1,747</w:t>
            </w:r>
          </w:p>
        </w:tc>
        <w:tc>
          <w:tcPr>
            <w:tcW w:type="dxa" w:w="1440"/>
            <w:shd w:fill="FAFAFA" w:val="clear"/>
          </w:tcPr>
          <w:p>
            <w:r>
              <w:rPr>
                <w:b/>
                <w:sz w:val="17"/>
              </w:rPr>
              <w:t>1,905</w:t>
            </w:r>
          </w:p>
        </w:tc>
        <w:tc>
          <w:tcPr>
            <w:tcW w:type="dxa" w:w="1440"/>
            <w:shd w:fill="FAFAFA" w:val="clear"/>
          </w:tcPr>
          <w:p>
            <w:r>
              <w:rPr>
                <w:sz w:val="17"/>
              </w:rPr>
              <w:t>2,062</w:t>
            </w:r>
          </w:p>
        </w:tc>
        <w:tc>
          <w:tcPr>
            <w:tcW w:type="dxa" w:w="1440"/>
            <w:shd w:fill="FAFAFA" w:val="clear"/>
          </w:tcPr>
          <w:p>
            <w:r>
              <w:rPr>
                <w:b/>
                <w:color w:val="C00000"/>
                <w:sz w:val="17"/>
              </w:rPr>
              <w:t>-0.0%</w:t>
            </w:r>
          </w:p>
        </w:tc>
      </w:tr>
      <w:tr>
        <w:tc>
          <w:tcPr>
            <w:tcW w:type="dxa" w:w="1440"/>
            <w:shd w:fill="FAFAFA" w:val="clear"/>
          </w:tcPr>
          <w:p>
            <w:r>
              <w:rPr>
                <w:sz w:val="17"/>
              </w:rPr>
              <w:t>J+5  ⭐</w:t>
            </w:r>
          </w:p>
        </w:tc>
        <w:tc>
          <w:tcPr>
            <w:tcW w:type="dxa" w:w="1440"/>
            <w:shd w:fill="FAFAFA" w:val="clear"/>
          </w:tcPr>
          <w:p>
            <w:r>
              <w:rPr>
                <w:sz w:val="17"/>
              </w:rPr>
              <w:t>2026-08-17</w:t>
            </w:r>
          </w:p>
        </w:tc>
        <w:tc>
          <w:tcPr>
            <w:tcW w:type="dxa" w:w="1440"/>
            <w:shd w:fill="FAFAFA" w:val="clear"/>
          </w:tcPr>
          <w:p>
            <w:r>
              <w:rPr>
                <w:sz w:val="17"/>
              </w:rPr>
              <w:t>1,728</w:t>
            </w:r>
          </w:p>
        </w:tc>
        <w:tc>
          <w:tcPr>
            <w:tcW w:type="dxa" w:w="1440"/>
            <w:shd w:fill="FAFAFA" w:val="clear"/>
          </w:tcPr>
          <w:p>
            <w:r>
              <w:rPr>
                <w:b/>
                <w:sz w:val="17"/>
              </w:rPr>
              <w:t>1,905</w:t>
            </w:r>
          </w:p>
        </w:tc>
        <w:tc>
          <w:tcPr>
            <w:tcW w:type="dxa" w:w="1440"/>
            <w:shd w:fill="FAFAFA" w:val="clear"/>
          </w:tcPr>
          <w:p>
            <w:r>
              <w:rPr>
                <w:sz w:val="17"/>
              </w:rPr>
              <w:t>2,081</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2026-08-18</w:t>
            </w:r>
          </w:p>
        </w:tc>
        <w:tc>
          <w:tcPr>
            <w:tcW w:type="dxa" w:w="1440"/>
            <w:shd w:fill="FAFAFA" w:val="clear"/>
          </w:tcPr>
          <w:p>
            <w:r>
              <w:rPr>
                <w:sz w:val="17"/>
              </w:rPr>
              <w:t>1,711</w:t>
            </w:r>
          </w:p>
        </w:tc>
        <w:tc>
          <w:tcPr>
            <w:tcW w:type="dxa" w:w="1440"/>
            <w:shd w:fill="FAFAFA" w:val="clear"/>
          </w:tcPr>
          <w:p>
            <w:r>
              <w:rPr>
                <w:b/>
                <w:sz w:val="17"/>
              </w:rPr>
              <w:t>1,905</w:t>
            </w:r>
          </w:p>
        </w:tc>
        <w:tc>
          <w:tcPr>
            <w:tcW w:type="dxa" w:w="1440"/>
            <w:shd w:fill="FAFAFA" w:val="clear"/>
          </w:tcPr>
          <w:p>
            <w:r>
              <w:rPr>
                <w:sz w:val="17"/>
              </w:rPr>
              <w:t>2,098</w:t>
            </w:r>
          </w:p>
        </w:tc>
        <w:tc>
          <w:tcPr>
            <w:tcW w:type="dxa" w:w="1440"/>
            <w:shd w:fill="FAFAFA" w:val="clear"/>
          </w:tcPr>
          <w:p>
            <w:r>
              <w:rPr>
                <w:b/>
                <w:color w:val="C00000"/>
                <w:sz w:val="17"/>
              </w:rPr>
              <w:t>-0.0%</w:t>
            </w:r>
          </w:p>
        </w:tc>
      </w:tr>
      <w:tr>
        <w:tc>
          <w:tcPr>
            <w:tcW w:type="dxa" w:w="1440"/>
            <w:shd w:fill="FAFAFA" w:val="clear"/>
          </w:tcPr>
          <w:p>
            <w:r>
              <w:rPr>
                <w:sz w:val="17"/>
              </w:rPr>
              <w:t>J+7  ⭐</w:t>
            </w:r>
          </w:p>
        </w:tc>
        <w:tc>
          <w:tcPr>
            <w:tcW w:type="dxa" w:w="1440"/>
            <w:shd w:fill="FAFAFA" w:val="clear"/>
          </w:tcPr>
          <w:p>
            <w:r>
              <w:rPr>
                <w:sz w:val="17"/>
              </w:rPr>
              <w:t>2026-08-19</w:t>
            </w:r>
          </w:p>
        </w:tc>
        <w:tc>
          <w:tcPr>
            <w:tcW w:type="dxa" w:w="1440"/>
            <w:shd w:fill="FAFAFA" w:val="clear"/>
          </w:tcPr>
          <w:p>
            <w:r>
              <w:rPr>
                <w:sz w:val="17"/>
              </w:rPr>
              <w:t>1,696</w:t>
            </w:r>
          </w:p>
        </w:tc>
        <w:tc>
          <w:tcPr>
            <w:tcW w:type="dxa" w:w="1440"/>
            <w:shd w:fill="FAFAFA" w:val="clear"/>
          </w:tcPr>
          <w:p>
            <w:r>
              <w:rPr>
                <w:b/>
                <w:sz w:val="17"/>
              </w:rPr>
              <w:t>1,905</w:t>
            </w:r>
          </w:p>
        </w:tc>
        <w:tc>
          <w:tcPr>
            <w:tcW w:type="dxa" w:w="1440"/>
            <w:shd w:fill="FAFAFA" w:val="clear"/>
          </w:tcPr>
          <w:p>
            <w:r>
              <w:rPr>
                <w:sz w:val="17"/>
              </w:rPr>
              <w:t>2,114</w:t>
            </w:r>
          </w:p>
        </w:tc>
        <w:tc>
          <w:tcPr>
            <w:tcW w:type="dxa" w:w="1440"/>
            <w:shd w:fill="FAFAFA" w:val="clear"/>
          </w:tcPr>
          <w:p>
            <w:r>
              <w:rPr>
                <w:b/>
                <w:color w:val="C00000"/>
                <w:sz w:val="17"/>
              </w:rPr>
              <w:t>-0.0%</w:t>
            </w:r>
          </w:p>
        </w:tc>
      </w:tr>
      <w:tr>
        <w:tc>
          <w:tcPr>
            <w:tcW w:type="dxa" w:w="1440"/>
            <w:shd w:fill="FAFAFA" w:val="clear"/>
          </w:tcPr>
          <w:p>
            <w:r>
              <w:rPr>
                <w:sz w:val="17"/>
              </w:rPr>
              <w:t>J+8  ⭐</w:t>
            </w:r>
          </w:p>
        </w:tc>
        <w:tc>
          <w:tcPr>
            <w:tcW w:type="dxa" w:w="1440"/>
            <w:shd w:fill="FAFAFA" w:val="clear"/>
          </w:tcPr>
          <w:p>
            <w:r>
              <w:rPr>
                <w:sz w:val="17"/>
              </w:rPr>
              <w:t>2026-08-20</w:t>
            </w:r>
          </w:p>
        </w:tc>
        <w:tc>
          <w:tcPr>
            <w:tcW w:type="dxa" w:w="1440"/>
            <w:shd w:fill="FAFAFA" w:val="clear"/>
          </w:tcPr>
          <w:p>
            <w:r>
              <w:rPr>
                <w:sz w:val="17"/>
              </w:rPr>
              <w:t>1,682</w:t>
            </w:r>
          </w:p>
        </w:tc>
        <w:tc>
          <w:tcPr>
            <w:tcW w:type="dxa" w:w="1440"/>
            <w:shd w:fill="FAFAFA" w:val="clear"/>
          </w:tcPr>
          <w:p>
            <w:r>
              <w:rPr>
                <w:b/>
                <w:sz w:val="17"/>
              </w:rPr>
              <w:t>1,905</w:t>
            </w:r>
          </w:p>
        </w:tc>
        <w:tc>
          <w:tcPr>
            <w:tcW w:type="dxa" w:w="1440"/>
            <w:shd w:fill="FAFAFA" w:val="clear"/>
          </w:tcPr>
          <w:p>
            <w:r>
              <w:rPr>
                <w:sz w:val="17"/>
              </w:rPr>
              <w:t>2,128</w:t>
            </w:r>
          </w:p>
        </w:tc>
        <w:tc>
          <w:tcPr>
            <w:tcW w:type="dxa" w:w="1440"/>
            <w:shd w:fill="FAFAFA" w:val="clear"/>
          </w:tcPr>
          <w:p>
            <w:r>
              <w:rPr>
                <w:b/>
                <w:color w:val="C00000"/>
                <w:sz w:val="17"/>
              </w:rPr>
              <w:t>-0.0%</w:t>
            </w:r>
          </w:p>
        </w:tc>
      </w:tr>
      <w:tr>
        <w:tc>
          <w:tcPr>
            <w:tcW w:type="dxa" w:w="1440"/>
            <w:shd w:fill="FAFAFA" w:val="clear"/>
          </w:tcPr>
          <w:p>
            <w:r>
              <w:rPr>
                <w:sz w:val="17"/>
              </w:rPr>
              <w:t>J+9  ⭐</w:t>
            </w:r>
          </w:p>
        </w:tc>
        <w:tc>
          <w:tcPr>
            <w:tcW w:type="dxa" w:w="1440"/>
            <w:shd w:fill="FAFAFA" w:val="clear"/>
          </w:tcPr>
          <w:p>
            <w:r>
              <w:rPr>
                <w:sz w:val="17"/>
              </w:rPr>
              <w:t>2026-08-21</w:t>
            </w:r>
          </w:p>
        </w:tc>
        <w:tc>
          <w:tcPr>
            <w:tcW w:type="dxa" w:w="1440"/>
            <w:shd w:fill="FAFAFA" w:val="clear"/>
          </w:tcPr>
          <w:p>
            <w:r>
              <w:rPr>
                <w:sz w:val="17"/>
              </w:rPr>
              <w:t>1,668</w:t>
            </w:r>
          </w:p>
        </w:tc>
        <w:tc>
          <w:tcPr>
            <w:tcW w:type="dxa" w:w="1440"/>
            <w:shd w:fill="FAFAFA" w:val="clear"/>
          </w:tcPr>
          <w:p>
            <w:r>
              <w:rPr>
                <w:b/>
                <w:sz w:val="17"/>
              </w:rPr>
              <w:t>1,905</w:t>
            </w:r>
          </w:p>
        </w:tc>
        <w:tc>
          <w:tcPr>
            <w:tcW w:type="dxa" w:w="1440"/>
            <w:shd w:fill="FAFAFA" w:val="clear"/>
          </w:tcPr>
          <w:p>
            <w:r>
              <w:rPr>
                <w:sz w:val="17"/>
              </w:rPr>
              <w:t>2,142</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2026-08-24</w:t>
            </w:r>
          </w:p>
        </w:tc>
        <w:tc>
          <w:tcPr>
            <w:tcW w:type="dxa" w:w="1440"/>
            <w:shd w:fill="FAFAFA" w:val="clear"/>
          </w:tcPr>
          <w:p>
            <w:r>
              <w:rPr>
                <w:sz w:val="17"/>
              </w:rPr>
              <w:t>1,655</w:t>
            </w:r>
          </w:p>
        </w:tc>
        <w:tc>
          <w:tcPr>
            <w:tcW w:type="dxa" w:w="1440"/>
            <w:shd w:fill="FAFAFA" w:val="clear"/>
          </w:tcPr>
          <w:p>
            <w:r>
              <w:rPr>
                <w:b/>
                <w:sz w:val="17"/>
              </w:rPr>
              <w:t>1,905</w:t>
            </w:r>
          </w:p>
        </w:tc>
        <w:tc>
          <w:tcPr>
            <w:tcW w:type="dxa" w:w="1440"/>
            <w:shd w:fill="FAFAFA" w:val="clear"/>
          </w:tcPr>
          <w:p>
            <w:r>
              <w:rPr>
                <w:sz w:val="17"/>
              </w:rPr>
              <w:t>2,154</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12,62 milliards FCFA, un niveau modeste qui la positionne parmi les petites capitalisations de la BRVM, reflétant une liquidité limitée avec un volume moyen de 2 157 titres par jour. Le BPA de 3 FCFA par action est extrêmement faible, traduisant une capacité bénéficiaire quasi inexistante. Le PER de 565,4x est très largement supérieur à la moyenne du marché BRVM (8-12x), indiquant une valorisation extrêmement exigeante qui ne se justifie pas par les bénéfices actuels. En revanche, le P/B de 0,71x suggère que le marché valorise le titre sous sa valeur comptable, ce qui pourrait représenter une opportunité pour les investisseurs value, bien que cette décote s'explique par la faible rentabilité des actifs. L'EV/EBITDA de 23,9x, nettement supérieur au seuil de 15x, confirme une valorisation opérationnelle très exigeante, signalant que le marché anticipe une amélioration significative de la performance future.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totale de +16,87%, avec une dernière séance en légère hausse de +0,26% à 1 905 FCFA. Le titre a évolué dans une fourchette de 1 300 à 2 100 FCFA, démontrant une amplitude de trading considérable de 800 FCFA, soit environ 61% du cours le plus bas. La moyenne du cours sur la période s'établit à 1 718 FCFA, tandis que la médiane est de 1 630 FCFA, cet écart positif indiquant une distribution légèrement asymétrique vers les valeurs hautes. L'écart-type de 197 FCFA avec un coefficient de variation de 11,5% révèle une dispersion modérée autour de la moyenne. Le kurtosis de -1,182 (distribution platykurtique) indique une faible concentration des valeurs extrêmes, réduisant le risque de mouvements brusques, tandis que le skewness de 0,097 confirme une distribution quasi symétrique. La volatilité annualisée de 47,9% classe le titre dans la catégorie des valeurs à très forte volatilité, nettement supérieure au seuil de 30%, ce qui implique un risque de variation important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Les MM20 (1 903,75 FCFA) et MM50 (1 888,9 FCFA) sont toutes deux inférieures au cours actuel de 1 905 FCFA, avec une MM20 au-dessus de la MM50, configuration typique d'une tendance haussière à court et moyen terme. Le signal d'achat est justifié par cette structure positive où le cours évolue au-dessus de ses moyennes mobiles, indiquant un momentum haussier soutenu.</w:t>
      </w:r>
    </w:p>
    <w:p>
      <w:pPr>
        <w:spacing w:after="120" w:line="276" w:lineRule="auto"/>
      </w:pPr>
      <w:r>
        <w:t>**Bandes de Bollinger** : Le cours à 1 905 FCFA se positionne dans la partie médiane des bandes, entre la borne supérieure à 2 034,21 FCFA et la borne inférieure à 1 773,29 FCFA. Cette position centrale suggère une volatilité modérée sans pression directionnelle forte. La décision neutre est appropriée car le prix n'est ni en zone de surachat (proche de la borne supérieure) ni en zone de survente (proche de la borne inférieure).</w:t>
      </w:r>
    </w:p>
    <w:p>
      <w:pPr>
        <w:spacing w:after="120" w:line="276" w:lineRule="auto"/>
      </w:pPr>
      <w:r>
        <w:t>**MACD** : La valeur du MACD à 8,799 est inférieure à son signal à 14,26, indiquant un momentum baissier à court terme malgré la tendance haussière des moyennes mobiles. Cette divergence entre le MACD et son signal suggère un essoufflement potentiel de la dynamique haussière. La décision de vente se justifie par ce croisement baissier, signalant une possible correction à venir.</w:t>
      </w:r>
    </w:p>
    <w:p>
      <w:pPr>
        <w:spacing w:after="120" w:line="276" w:lineRule="auto"/>
      </w:pPr>
      <w:r>
        <w:t>**RSI** : Le RSI à 31,915 se situe dans la zone neutre, proche du seuil de survente à 30. Cette valeur indique que le titre n'est ni suracheté ni survendu, mais la proximité du seuil de survente suggère un potentiel de rebond technique. La décision neutre est cohérente avec cette position intermédiaire, bien qu'une attention particulière soit nécessaire si le RSI franchit le seuil de 30.</w:t>
      </w:r>
    </w:p>
    <w:p>
      <w:pPr>
        <w:spacing w:after="120" w:line="276" w:lineRule="auto"/>
      </w:pPr>
      <w:r>
        <w:t>**Stochastique** : Les valeurs de %K (26,087) et %D (27,536) sont proches et évoluent dans la zone de survente (&lt;30), avec un %K légèrement inférieur au %D, indiquant un momentum baissier persistant. La décision neutre s'explique par l'absence de croisement haussier confirmé, mais la zone de survente pourrait précéder un rebond technique.</w:t>
      </w:r>
    </w:p>
    <w:p>
      <w:pPr>
        <w:spacing w:after="120" w:line="276" w:lineRule="auto"/>
      </w:pPr>
      <w:r>
        <w:t>**Conclusion technique** : La configuration technique est contrastée : les moyennes mobiles indiquent une tendance haussière de fond, mais le MACD, le RSI et le stochastique signalent un essoufflement du momentum à court terme. Cette divergence entre la tendance de fond et les indicateurs de momentum suggère une phase de consolidation possible avant une reprise de la tendance haussière, ou un risque de correction vers les supports des moyennes mobiles.</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avec un résultat net de 22,32 millions FCFA, en amélioration par rapport aux 7,31 millions de 2024 mais restant extrêmement faible. Le ROE s'établit à 0,13% et le ROA à 0,05%, des niveaux très insuffisants pour rémunérer les actionnaires. En tant qu'entreprise de distribution, l'analyse des délais est cruciale : le délai clients de 104,4 jours est élevé, créant un risque de trésorerie, tandis que le délai fournisseurs de 116,09 jours est favorable. La durée de stockage de 339,23 jours est préoccupante, immobilisant significativement le capital. Le BFR de 29,373 milliards FCFA pèse lourdement sur la trésorerie nette négative de 16,689 milliards FCFA. Le rapport du T1 2026 (publié en mai 2026) montre un chiffre d'affaires stable à 11,194 milliards FCFA (-0,12%) mais un retour à un résultat net positif de 65,57 millions FCFA, contre une perte de 16,15 millions au T1 2025, grâce à l'intégration de la division Équipement. Sur cette base, on estime que l'exercice 2026 pourrait générer un résultat net compris entre 200 et 300 millions FCFA si la tendance se maintient, mais la marge nette de 0,59% au T1 2026 reste très fragile. La recommandation fondamentale est de conserver avec une surveillance accrue, car la situation financière reste critique malgré les signes d'amélioration opérationnelle.</w:t>
      </w:r>
    </w:p>
    <w:p>
      <w:pPr>
        <w:spacing w:after="120" w:line="276" w:lineRule="auto" w:before="240"/>
      </w:pPr>
      <w:r>
        <w:rPr>
          <w:b/>
          <w:color w:val="003366"/>
          <w:sz w:val="24"/>
        </w:rPr>
        <w:t>**PARTIE 4 : CONCLUSION D'INVESTISSEMENT**</w:t>
      </w:r>
    </w:p>
    <w:p>
      <w:pPr>
        <w:spacing w:after="120" w:line="276" w:lineRule="auto"/>
      </w:pPr>
      <w:r>
        <w:t>La synthèse globale fait ressortir des signaux contradictoires. La valorisation (Partie 0) est extrêmement exigeante avec un PER de 565,4x et un EV/EBITDA de 23,9x, mais le P/B de 0,71x suggère une décote par rapport aux actifs. Le comportement du cours (Partie 1) montre une tendance haussière de +16,87% sur 100 jours avec une volatilité très élevée de 47,9%, et une distribution symétrique sans risque de pics extrêmes. Les signaux techniques (Partie 2) sont mitigés : les moyennes mobiles sont haussières mais le MACD, le RSI et le stochastique indiquent un momentum baissier à court terme. Les fondamentaux (Partie 3) restent très fragiles avec une rentabilité quasi nulle, bien que le T1 2026 montre une amélioration encourageante. Les prédictions IA sur 10 jours (1 903 à 1 905 FCFA) suggèrent une stabilité, confirmant la phase de consolidation technique. La convergence entre la valorisation exigeante, les fondamentaux fragiles et les signaux techniques mitigés conduit à une recommandation de **CONSERVER** avec un niveau de confiance **Moyen**. Le risque global est **Élevé** en raison de la volatilité importante et de la situation financière délicate. L'horizon d'investissement optimal serait le **moyen terme (3-12 mois)**, en attendant la confirmation d'une amélioration durable de la rentabilité à travers les prochains rapports trimestriels.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350.85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5,489 titres</w:t>
            </w:r>
          </w:p>
        </w:tc>
        <w:tc>
          <w:tcPr>
            <w:tcW w:type="dxa" w:w="2268"/>
            <w:shd w:fill="FFF2CC" w:val="clear"/>
          </w:tcPr>
          <w:p>
            <w:r>
              <w:rPr>
                <w:b/>
                <w:color w:val="503200"/>
                <w:sz w:val="16"/>
              </w:rPr>
              <w:t xml:space="preserve">Cours actuel : </w:t>
            </w:r>
            <w:r>
              <w:rPr>
                <w:color w:val="000000"/>
                <w:sz w:val="17"/>
              </w:rPr>
              <w:t>8,650 FCFA</w:t>
            </w:r>
          </w:p>
          <w:p>
            <w:r>
              <w:rPr>
                <w:b/>
                <w:color w:val="503200"/>
                <w:sz w:val="16"/>
              </w:rPr>
              <w:t xml:space="preserve">Var. 100 jours : </w:t>
            </w:r>
            <w:r>
              <w:rPr>
                <w:b/>
                <w:color w:val="007800"/>
                <w:sz w:val="17"/>
              </w:rPr>
              <w:t>+9.56%</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6.99% (Moyenne) — μ=8,550 FCFA, σ=598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β=-0.1972 (Contre-cyclique) — Cov=-0.000007, Var(idx)=0.000036, ρ=-0.082,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5,489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σ_j=1.45%/j (Stable) — Vol. annualisée≈23.0%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8,334</w:t>
            </w:r>
          </w:p>
        </w:tc>
        <w:tc>
          <w:tcPr>
            <w:tcW w:type="dxa" w:w="1440"/>
            <w:shd w:fill="FFDCE0" w:val="clear"/>
          </w:tcPr>
          <w:p>
            <w:r>
              <w:rPr>
                <w:b/>
                <w:sz w:val="17"/>
              </w:rPr>
              <w:t>8,456</w:t>
            </w:r>
          </w:p>
        </w:tc>
        <w:tc>
          <w:tcPr>
            <w:tcW w:type="dxa" w:w="1440"/>
            <w:shd w:fill="FFDCE0" w:val="clear"/>
          </w:tcPr>
          <w:p>
            <w:r>
              <w:rPr>
                <w:sz w:val="17"/>
              </w:rPr>
              <w:t>8,578</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8,167</w:t>
            </w:r>
          </w:p>
        </w:tc>
        <w:tc>
          <w:tcPr>
            <w:tcW w:type="dxa" w:w="1440"/>
            <w:shd w:fill="FFDCE0" w:val="clear"/>
          </w:tcPr>
          <w:p>
            <w:r>
              <w:rPr>
                <w:b/>
                <w:sz w:val="17"/>
              </w:rPr>
              <w:t>8,338</w:t>
            </w:r>
          </w:p>
        </w:tc>
        <w:tc>
          <w:tcPr>
            <w:tcW w:type="dxa" w:w="1440"/>
            <w:shd w:fill="FFDCE0" w:val="clear"/>
          </w:tcPr>
          <w:p>
            <w:r>
              <w:rPr>
                <w:sz w:val="17"/>
              </w:rPr>
              <w:t>8,508</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8,024</w:t>
            </w:r>
          </w:p>
        </w:tc>
        <w:tc>
          <w:tcPr>
            <w:tcW w:type="dxa" w:w="1440"/>
            <w:shd w:fill="FFDCE0" w:val="clear"/>
          </w:tcPr>
          <w:p>
            <w:r>
              <w:rPr>
                <w:b/>
                <w:sz w:val="17"/>
              </w:rPr>
              <w:t>8,230</w:t>
            </w:r>
          </w:p>
        </w:tc>
        <w:tc>
          <w:tcPr>
            <w:tcW w:type="dxa" w:w="1440"/>
            <w:shd w:fill="FFDCE0" w:val="clear"/>
          </w:tcPr>
          <w:p>
            <w:r>
              <w:rPr>
                <w:sz w:val="17"/>
              </w:rPr>
              <w:t>8,435</w:t>
            </w:r>
          </w:p>
        </w:tc>
        <w:tc>
          <w:tcPr>
            <w:tcW w:type="dxa" w:w="1440"/>
            <w:shd w:fill="FFDCE0" w:val="clear"/>
          </w:tcPr>
          <w:p>
            <w:r>
              <w:rPr>
                <w:b/>
                <w:color w:val="C00000"/>
                <w:sz w:val="17"/>
              </w:rPr>
              <w:t>-4.9%</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7,902</w:t>
            </w:r>
          </w:p>
        </w:tc>
        <w:tc>
          <w:tcPr>
            <w:tcW w:type="dxa" w:w="1440"/>
            <w:shd w:fill="FFDCE0" w:val="clear"/>
          </w:tcPr>
          <w:p>
            <w:r>
              <w:rPr>
                <w:b/>
                <w:sz w:val="17"/>
              </w:rPr>
              <w:t>8,136</w:t>
            </w:r>
          </w:p>
        </w:tc>
        <w:tc>
          <w:tcPr>
            <w:tcW w:type="dxa" w:w="1440"/>
            <w:shd w:fill="FFDCE0" w:val="clear"/>
          </w:tcPr>
          <w:p>
            <w:r>
              <w:rPr>
                <w:sz w:val="17"/>
              </w:rPr>
              <w:t>8,371</w:t>
            </w:r>
          </w:p>
        </w:tc>
        <w:tc>
          <w:tcPr>
            <w:tcW w:type="dxa" w:w="1440"/>
            <w:shd w:fill="FFDCE0" w:val="clear"/>
          </w:tcPr>
          <w:p>
            <w:r>
              <w:rPr>
                <w:b/>
                <w:color w:val="C00000"/>
                <w:sz w:val="17"/>
              </w:rPr>
              <w:t>-5.9%</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7,791</w:t>
            </w:r>
          </w:p>
        </w:tc>
        <w:tc>
          <w:tcPr>
            <w:tcW w:type="dxa" w:w="1440"/>
            <w:shd w:fill="FFDCE0" w:val="clear"/>
          </w:tcPr>
          <w:p>
            <w:r>
              <w:rPr>
                <w:b/>
                <w:sz w:val="17"/>
              </w:rPr>
              <w:t>8,051</w:t>
            </w:r>
          </w:p>
        </w:tc>
        <w:tc>
          <w:tcPr>
            <w:tcW w:type="dxa" w:w="1440"/>
            <w:shd w:fill="FFDCE0" w:val="clear"/>
          </w:tcPr>
          <w:p>
            <w:r>
              <w:rPr>
                <w:sz w:val="17"/>
              </w:rPr>
              <w:t>8,311</w:t>
            </w:r>
          </w:p>
        </w:tc>
        <w:tc>
          <w:tcPr>
            <w:tcW w:type="dxa" w:w="1440"/>
            <w:shd w:fill="FFDCE0" w:val="clear"/>
          </w:tcPr>
          <w:p>
            <w:r>
              <w:rPr>
                <w:b/>
                <w:color w:val="C00000"/>
                <w:sz w:val="17"/>
              </w:rPr>
              <w:t>-6.9%</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7,689</w:t>
            </w:r>
          </w:p>
        </w:tc>
        <w:tc>
          <w:tcPr>
            <w:tcW w:type="dxa" w:w="1440"/>
            <w:shd w:fill="FFDCE0" w:val="clear"/>
          </w:tcPr>
          <w:p>
            <w:r>
              <w:rPr>
                <w:b/>
                <w:sz w:val="17"/>
              </w:rPr>
              <w:t>7,971</w:t>
            </w:r>
          </w:p>
        </w:tc>
        <w:tc>
          <w:tcPr>
            <w:tcW w:type="dxa" w:w="1440"/>
            <w:shd w:fill="FFDCE0" w:val="clear"/>
          </w:tcPr>
          <w:p>
            <w:r>
              <w:rPr>
                <w:sz w:val="17"/>
              </w:rPr>
              <w:t>8,253</w:t>
            </w:r>
          </w:p>
        </w:tc>
        <w:tc>
          <w:tcPr>
            <w:tcW w:type="dxa" w:w="1440"/>
            <w:shd w:fill="FFDCE0" w:val="clear"/>
          </w:tcPr>
          <w:p>
            <w:r>
              <w:rPr>
                <w:b/>
                <w:color w:val="C00000"/>
                <w:sz w:val="17"/>
              </w:rPr>
              <w:t>-7.9%</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7,594</w:t>
            </w:r>
          </w:p>
        </w:tc>
        <w:tc>
          <w:tcPr>
            <w:tcW w:type="dxa" w:w="1440"/>
            <w:shd w:fill="FFDCE0" w:val="clear"/>
          </w:tcPr>
          <w:p>
            <w:r>
              <w:rPr>
                <w:b/>
                <w:sz w:val="17"/>
              </w:rPr>
              <w:t>7,895</w:t>
            </w:r>
          </w:p>
        </w:tc>
        <w:tc>
          <w:tcPr>
            <w:tcW w:type="dxa" w:w="1440"/>
            <w:shd w:fill="FFDCE0" w:val="clear"/>
          </w:tcPr>
          <w:p>
            <w:r>
              <w:rPr>
                <w:sz w:val="17"/>
              </w:rPr>
              <w:t>8,197</w:t>
            </w:r>
          </w:p>
        </w:tc>
        <w:tc>
          <w:tcPr>
            <w:tcW w:type="dxa" w:w="1440"/>
            <w:shd w:fill="FFDCE0" w:val="clear"/>
          </w:tcPr>
          <w:p>
            <w:r>
              <w:rPr>
                <w:b/>
                <w:color w:val="C00000"/>
                <w:sz w:val="17"/>
              </w:rPr>
              <w:t>-8.7%</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7,504</w:t>
            </w:r>
          </w:p>
        </w:tc>
        <w:tc>
          <w:tcPr>
            <w:tcW w:type="dxa" w:w="1440"/>
            <w:shd w:fill="FFDCE0" w:val="clear"/>
          </w:tcPr>
          <w:p>
            <w:r>
              <w:rPr>
                <w:b/>
                <w:sz w:val="17"/>
              </w:rPr>
              <w:t>7,823</w:t>
            </w:r>
          </w:p>
        </w:tc>
        <w:tc>
          <w:tcPr>
            <w:tcW w:type="dxa" w:w="1440"/>
            <w:shd w:fill="FFDCE0" w:val="clear"/>
          </w:tcPr>
          <w:p>
            <w:r>
              <w:rPr>
                <w:sz w:val="17"/>
              </w:rPr>
              <w:t>8,142</w:t>
            </w:r>
          </w:p>
        </w:tc>
        <w:tc>
          <w:tcPr>
            <w:tcW w:type="dxa" w:w="1440"/>
            <w:shd w:fill="FFDCE0" w:val="clear"/>
          </w:tcPr>
          <w:p>
            <w:r>
              <w:rPr>
                <w:b/>
                <w:color w:val="C00000"/>
                <w:sz w:val="17"/>
              </w:rPr>
              <w:t>-9.6%</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7,419</w:t>
            </w:r>
          </w:p>
        </w:tc>
        <w:tc>
          <w:tcPr>
            <w:tcW w:type="dxa" w:w="1440"/>
            <w:shd w:fill="FFDCE0" w:val="clear"/>
          </w:tcPr>
          <w:p>
            <w:r>
              <w:rPr>
                <w:b/>
                <w:sz w:val="17"/>
              </w:rPr>
              <w:t>7,755</w:t>
            </w:r>
          </w:p>
        </w:tc>
        <w:tc>
          <w:tcPr>
            <w:tcW w:type="dxa" w:w="1440"/>
            <w:shd w:fill="FFDCE0" w:val="clear"/>
          </w:tcPr>
          <w:p>
            <w:r>
              <w:rPr>
                <w:sz w:val="17"/>
              </w:rPr>
              <w:t>8,090</w:t>
            </w:r>
          </w:p>
        </w:tc>
        <w:tc>
          <w:tcPr>
            <w:tcW w:type="dxa" w:w="1440"/>
            <w:shd w:fill="FFDCE0" w:val="clear"/>
          </w:tcPr>
          <w:p>
            <w:r>
              <w:rPr>
                <w:b/>
                <w:color w:val="C00000"/>
                <w:sz w:val="17"/>
              </w:rPr>
              <w:t>-10.4%</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7,339</w:t>
            </w:r>
          </w:p>
        </w:tc>
        <w:tc>
          <w:tcPr>
            <w:tcW w:type="dxa" w:w="1440"/>
            <w:shd w:fill="FFDCE0" w:val="clear"/>
          </w:tcPr>
          <w:p>
            <w:r>
              <w:rPr>
                <w:b/>
                <w:sz w:val="17"/>
              </w:rPr>
              <w:t>7,689</w:t>
            </w:r>
          </w:p>
        </w:tc>
        <w:tc>
          <w:tcPr>
            <w:tcW w:type="dxa" w:w="1440"/>
            <w:shd w:fill="FFDCE0" w:val="clear"/>
          </w:tcPr>
          <w:p>
            <w:r>
              <w:rPr>
                <w:sz w:val="17"/>
              </w:rPr>
              <w:t>8,040</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professionnel structuré pour l'action BOAB,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350,85 milliards FCFA, ce qui la positionne comme une valeur de première importance sur la BRVM, reflétant la confiance des investisseurs dans le secteur bancaire béninois. Avec un BPA de 496 FCFA, chaque action génère un bénéfice substantiel. Le PER de 17,4x est nettement supérieur à la moyenne historique de la BRVM (8-12x), indiquant que le marché valorise généreusement les bénéfices de la banque, anticipant une croissance future. Le P/B de 2,99x confirme cette prime, le marché acceptant de payer près de trois fois la valeur comptable des actifs. Enfin, l'EV/EBITDA de 18,4x, bien que supérieur au seuil de 15x jugé exigeant, témoigne de la solidité de la capacité opérationnelle de l'entreprise et de sa perception comme un actif de qualité.</w:t>
      </w:r>
    </w:p>
    <w:p>
      <w:pPr>
        <w:spacing w:after="120" w:line="276" w:lineRule="auto"/>
      </w:pPr>
      <w:r>
        <w:t>### **PARTIE 1 : ANALYSE DU COURS — STATISTIQUES ET ÉVOLUTION (100 derniers jours)**</w:t>
      </w:r>
    </w:p>
    <w:p>
      <w:pPr>
        <w:spacing w:after="120" w:line="276" w:lineRule="auto"/>
      </w:pPr>
      <w:r>
        <w:t>Sur les 100 derniers jours, l'action BOAB affiche une progression de +9,56%, démontrant une tendance haussière de fond, malgré un léger repli de -0,69% lors de la dernière séance. Le cours a évolué dans une fourchette de 7 295 FCFA (plus bas) à 9 420 FCFA (plus haut), illustrant une amplitude de trading significative. La moyenne du cours (8 550 FCFA) est inférieure à la médiane (8 715 FCFA), et le skewness négatif (-0,659) indique une distribution asymétrique avec des journées plus fréquentes au-dessus de la moyenne, mais quelques fortes baisses. L'écart-type de 601 FCFA (CV=7,0%) montre une dispersion modérée. Le kurtosis de -0,683 (mésokurtique) suggère un profil de risque proche de la normale, sans pic de volatilité extrême. La volatilité annualisée de 23,0% classe le titre dans une catégorie de risque modéré, offrant un équilibre entre potentiel de rendement et stabilité.</w:t>
      </w:r>
    </w:p>
    <w:p>
      <w:pPr>
        <w:spacing w:after="120" w:line="276" w:lineRule="auto"/>
      </w:pPr>
      <w:r>
        <w:t>### **PARTIE 2 : ANALYSE TECHNIQUE DÉTAILLÉE**</w:t>
      </w:r>
    </w:p>
    <w:p>
      <w:pPr>
        <w:spacing w:after="120" w:line="276" w:lineRule="auto"/>
      </w:pPr>
      <w:r>
        <w:t>**Moyennes Mobiles:** Le cours actuel (8 650 FCFA) est inférieur à la MM20 (8 684,75 FCFA) et à la MM50 (8 802,2 FCFA). Cette configuration, où le prix est sous les deux moyennes, signale une dynamique baissière à court et moyen terme. La décision de "Vente" est cohérente avec cette lecture, indiquant que la tendance récente est sous pression.</w:t>
      </w:r>
    </w:p>
    <w:p>
      <w:pPr>
        <w:spacing w:after="120" w:line="276" w:lineRule="auto"/>
      </w:pPr>
      <w:r>
        <w:t>**Bandes de Bollinger:** Le prix se situe à 8 650 FCFA, entre la borne supérieure (8 849,85 FCFA) et la borne inférieure (8 519,65 FCFA). Cette position médiane suggère une volatilité en contraction et une absence de signal directionnel fort. La décision "Neutre" est justifiée, le marché semblant chercher une direction après une phase de mouvement.</w:t>
      </w:r>
    </w:p>
    <w:p>
      <w:pPr>
        <w:spacing w:after="120" w:line="276" w:lineRule="auto"/>
      </w:pPr>
      <w:r>
        <w:t>**MACD:** Le MACD (-48,32) est négatif mais se trouve au-dessus de sa ligne de signal (-60,70). Cette configuration, bien que les deux soient en territoire négatif, indique un momentum haussier naissant. La décision "Achat" suggère que la pression vendeuse s'estompe et qu'un retournement pourrait être en cours, même si la dynamique reste fragile.</w:t>
      </w:r>
    </w:p>
    <w:p>
      <w:pPr>
        <w:spacing w:after="120" w:line="276" w:lineRule="auto"/>
      </w:pPr>
      <w:r>
        <w:t>**RSI:** Avec une valeur de 54,03, le RSI se situe en zone neutre (30-70), indiquant un équilibre entre les forces acheteuses et vendeuses. Il n'y a pas de condition de surachat ou de survente, ce qui laisse de la marge pour un mouvement dans les deux sens. La décision "Neutre" est donc appropriée.</w:t>
      </w:r>
    </w:p>
    <w:p>
      <w:pPr>
        <w:spacing w:after="120" w:line="276" w:lineRule="auto"/>
      </w:pPr>
      <w:r>
        <w:t>**Stochastique:** Le %K (65,0) est inférieur au %D (83,33), ce qui est un signal baissier classique, suggérant un potentiel de repli à court terme. Cependant, les deux valeurs restent en zone de surachat, indiquant que le marché est encore porteur. La décision "Neutre" reflète cette ambiguïté entre un croisement baissier et un niveau élevé.</w:t>
      </w:r>
    </w:p>
    <w:p>
      <w:pPr>
        <w:spacing w:after="120" w:line="276" w:lineRule="auto"/>
      </w:pPr>
      <w:r>
        <w:t>**Conclusion technique :** Les indicateurs techniques sont mitigés. Les moyennes mobiles et le stochastique pointent vers une correction, tandis que le MACD suggère un retournement haussier. Le RSI et les bandes de Bollinger sont neutres. Cette divergence indique une phase de consolidation avec une tendance incertaine. L'absence de convergence rend le signal technique global peu fiable pour un investissement directionnel à court terme.</w:t>
      </w:r>
    </w:p>
    <w:p>
      <w:pPr>
        <w:spacing w:after="120" w:line="276" w:lineRule="auto"/>
      </w:pPr>
      <w:r>
        <w:t>### **PARTIE 3 : ANALYSE FONDAMENTALE (SECTION CRITIQUE)**</w:t>
      </w:r>
    </w:p>
    <w:p>
      <w:pPr>
        <w:spacing w:after="120" w:line="276" w:lineRule="auto"/>
      </w:pPr>
      <w:r>
        <w:t>En 2025, les données structurées annuelles de BOAB révèlent une banque performante avec un Produit Net Bancaire (PNB) de 51,274 milliards FCFA et un résultat net de 20,107 milliards FCFA. La rentabilité est excellente, avec un ROE de 17,11% et un ROA de 2,08%. Le coefficient d'exploitation de 49,53% témoigne d'une gestion très efficace, bien en dessous du seuil de 60%. Cependant, le coût du risque de 22,50% est élevé, signalant un portefeuille de crédits avec un risque significatif. La structure financière montre une dépendance aux dépôts clients (711,64 Mds FCFA) pour financer les crédits (391,72 Mds FCFA), un modèle de transformation classique. Le rapport du 1er semestre 2025 (publié en 2025) indique un PNB de 24,556 milliards FCFA (+5,91%) et un résultat net de 11,012 milliards FCFA, avec un ROE de 20,3%. Le rapport du 3ème trimestre 2025 (publié en 2025) confirme la dynamique avec un PNB de 37,065 milliards FCFA (+9%) et un résultat net de 15,880 milliards FCFA (+13%). Enfin, le rapport du 1er trimestre 2026 (publié en 2026) montre une croissance du PNB de 11% à 12,329 milliards FCFA. En estimant sur la base de ces rapports trimestriels, l'exercice 2026 pourrait dépasser les performances de 2025, avec un PNB annuel potentiel de plus de 49 milliards FCFA et un résultat net de plus de 18 milliards FCFA, si la tendance se maintient. La banque est donc fondamentalement solide, avec une croissance soutenue, mais doit surveiller son coût du risque et la contraction de son bilan (crédits et dépôts en baisse) identifiée dans les rapports.</w:t>
      </w:r>
    </w:p>
    <w:p>
      <w:pPr>
        <w:spacing w:after="120" w:line="276" w:lineRule="auto"/>
      </w:pPr>
      <w:r>
        <w:t>### **PARTIE 4 : CONCLUSION D'INVESTISSEMENT**</w:t>
      </w:r>
    </w:p>
    <w:p>
      <w:pPr>
        <w:spacing w:after="120" w:line="276" w:lineRule="auto"/>
      </w:pPr>
      <w:r>
        <w:t>La valorisation de BOAB (PER 17,4x, P/B 2,99x) est exigeante, intégrant déjà des attentes de croissance élevées. Le comportement du cours sur 100 jours est positif (+9,56%) avec une volatilité modérée, mais les statistiques (skewness négatif) suggèrent une prudence. Les signaux techniques sont divergents, oscillant entre un momentum haussier (MACD) et une pression baissière (MM, Stochastique), indiquant une phase de consolidation incertaine. Les fondamentaux sont excellents, avec une banque très rentable (ROE &gt;17%), efficace (coefficient d'exploitation &lt;50%) et en croissance, comme le confirment les rapports trimestriels de 2025 et 2026. Cependant, les prédictions IA pour les 10 prochains jours (baisse de 8 650 à 8 051 FCFA) contredisent la tendance haussière de long terme et les fondamentaux solides, suggérant une correction technique à court terme. En synthèse, la solidité fondamentale et la croissance justifient une opinion positive à long terme, mais la valorisation élevée et les signaux techniques mitigés, couplés à la prédiction IA baissière, recommandent une approche prudente à court terme. **Recommandation : CONSERVER**. Le niveau de confiance est **Moyen**, car la divergence entre les fondamentaux solides et les signaux techniques/predictifs est marquée. Le risque global est **Moyen**, principalement lié à la valorisation et au coût du risque. L'horizon d'investissement optimal serait le **moyen terme (3-12 mois)** pour capitaliser sur la croissance des bénéfices, en attendant une meilleure entrée sur le titre.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322.30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6,059 titres</w:t>
            </w:r>
          </w:p>
        </w:tc>
        <w:tc>
          <w:tcPr>
            <w:tcW w:type="dxa" w:w="2268"/>
            <w:shd w:fill="FFF2CC" w:val="clear"/>
          </w:tcPr>
          <w:p>
            <w:r>
              <w:rPr>
                <w:b/>
                <w:color w:val="503200"/>
                <w:sz w:val="16"/>
              </w:rPr>
              <w:t xml:space="preserve">Cours actuel : </w:t>
            </w:r>
            <w:r>
              <w:rPr>
                <w:color w:val="000000"/>
                <w:sz w:val="17"/>
              </w:rPr>
              <w:t>7,325 FCFA</w:t>
            </w:r>
          </w:p>
          <w:p>
            <w:r>
              <w:rPr>
                <w:b/>
                <w:color w:val="503200"/>
                <w:sz w:val="16"/>
              </w:rPr>
              <w:t xml:space="preserve">Var. 100 jours : </w:t>
            </w:r>
            <w:r>
              <w:rPr>
                <w:b/>
                <w:color w:val="007800"/>
                <w:sz w:val="17"/>
              </w:rPr>
              <w:t>+46.35%</w:t>
            </w:r>
          </w:p>
          <w:p>
            <w:r>
              <w:rPr>
                <w:b/>
                <w:color w:val="503200"/>
                <w:sz w:val="16"/>
              </w:rPr>
              <w:t xml:space="preserve">Plus haut 100j : </w:t>
            </w:r>
            <w:r>
              <w:rPr>
                <w:color w:val="000000"/>
                <w:sz w:val="17"/>
              </w:rPr>
              <w:t>7,325 FCFA</w:t>
            </w:r>
          </w:p>
          <w:p>
            <w:r>
              <w:rPr>
                <w:b/>
                <w:color w:val="503200"/>
                <w:sz w:val="16"/>
              </w:rPr>
              <w:t xml:space="preserve">Plus bas 100j : </w:t>
            </w:r>
            <w:r>
              <w:rPr>
                <w:color w:val="000000"/>
                <w:sz w:val="17"/>
              </w:rPr>
              <w:t>5,005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μ=5,848 FCFA, σ=636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β=0.1861 (Défensif) — Cov=0.000007, Var(idx)=0.000036, ρ=0.063,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6,882</w:t>
            </w:r>
          </w:p>
        </w:tc>
        <w:tc>
          <w:tcPr>
            <w:tcW w:type="dxa" w:w="1440"/>
            <w:shd w:fill="FFDCE0" w:val="clear"/>
          </w:tcPr>
          <w:p>
            <w:r>
              <w:rPr>
                <w:b/>
                <w:sz w:val="17"/>
              </w:rPr>
              <w:t>7,152</w:t>
            </w:r>
          </w:p>
        </w:tc>
        <w:tc>
          <w:tcPr>
            <w:tcW w:type="dxa" w:w="1440"/>
            <w:shd w:fill="FFDCE0" w:val="clear"/>
          </w:tcPr>
          <w:p>
            <w:r>
              <w:rPr>
                <w:sz w:val="17"/>
              </w:rPr>
              <w:t>7,423</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6,664</w:t>
            </w:r>
          </w:p>
        </w:tc>
        <w:tc>
          <w:tcPr>
            <w:tcW w:type="dxa" w:w="1440"/>
            <w:shd w:fill="FFDCE0" w:val="clear"/>
          </w:tcPr>
          <w:p>
            <w:r>
              <w:rPr>
                <w:b/>
                <w:sz w:val="17"/>
              </w:rPr>
              <w:t>7,041</w:t>
            </w:r>
          </w:p>
        </w:tc>
        <w:tc>
          <w:tcPr>
            <w:tcW w:type="dxa" w:w="1440"/>
            <w:shd w:fill="FFDCE0" w:val="clear"/>
          </w:tcPr>
          <w:p>
            <w:r>
              <w:rPr>
                <w:sz w:val="17"/>
              </w:rPr>
              <w:t>7,417</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6,490</w:t>
            </w:r>
          </w:p>
        </w:tc>
        <w:tc>
          <w:tcPr>
            <w:tcW w:type="dxa" w:w="1440"/>
            <w:shd w:fill="FFDCE0" w:val="clear"/>
          </w:tcPr>
          <w:p>
            <w:r>
              <w:rPr>
                <w:b/>
                <w:sz w:val="17"/>
              </w:rPr>
              <w:t>6,945</w:t>
            </w:r>
          </w:p>
        </w:tc>
        <w:tc>
          <w:tcPr>
            <w:tcW w:type="dxa" w:w="1440"/>
            <w:shd w:fill="FFDCE0" w:val="clear"/>
          </w:tcPr>
          <w:p>
            <w:r>
              <w:rPr>
                <w:sz w:val="17"/>
              </w:rPr>
              <w:t>7,400</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6,350</w:t>
            </w:r>
          </w:p>
        </w:tc>
        <w:tc>
          <w:tcPr>
            <w:tcW w:type="dxa" w:w="1440"/>
            <w:shd w:fill="FFDCE0" w:val="clear"/>
          </w:tcPr>
          <w:p>
            <w:r>
              <w:rPr>
                <w:b/>
                <w:sz w:val="17"/>
              </w:rPr>
              <w:t>6,869</w:t>
            </w:r>
          </w:p>
        </w:tc>
        <w:tc>
          <w:tcPr>
            <w:tcW w:type="dxa" w:w="1440"/>
            <w:shd w:fill="FFDCE0" w:val="clear"/>
          </w:tcPr>
          <w:p>
            <w:r>
              <w:rPr>
                <w:sz w:val="17"/>
              </w:rPr>
              <w:t>7,388</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6,229</w:t>
            </w:r>
          </w:p>
        </w:tc>
        <w:tc>
          <w:tcPr>
            <w:tcW w:type="dxa" w:w="1440"/>
            <w:shd w:fill="FFDCE0" w:val="clear"/>
          </w:tcPr>
          <w:p>
            <w:r>
              <w:rPr>
                <w:b/>
                <w:sz w:val="17"/>
              </w:rPr>
              <w:t>6,804</w:t>
            </w:r>
          </w:p>
        </w:tc>
        <w:tc>
          <w:tcPr>
            <w:tcW w:type="dxa" w:w="1440"/>
            <w:shd w:fill="FFDCE0" w:val="clear"/>
          </w:tcPr>
          <w:p>
            <w:r>
              <w:rPr>
                <w:sz w:val="17"/>
              </w:rPr>
              <w:t>7,380</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6,121</w:t>
            </w:r>
          </w:p>
        </w:tc>
        <w:tc>
          <w:tcPr>
            <w:tcW w:type="dxa" w:w="1440"/>
            <w:shd w:fill="FFDCE0" w:val="clear"/>
          </w:tcPr>
          <w:p>
            <w:r>
              <w:rPr>
                <w:b/>
                <w:sz w:val="17"/>
              </w:rPr>
              <w:t>6,746</w:t>
            </w:r>
          </w:p>
        </w:tc>
        <w:tc>
          <w:tcPr>
            <w:tcW w:type="dxa" w:w="1440"/>
            <w:shd w:fill="FFDCE0" w:val="clear"/>
          </w:tcPr>
          <w:p>
            <w:r>
              <w:rPr>
                <w:sz w:val="17"/>
              </w:rPr>
              <w:t>7,370</w:t>
            </w:r>
          </w:p>
        </w:tc>
        <w:tc>
          <w:tcPr>
            <w:tcW w:type="dxa" w:w="1440"/>
            <w:shd w:fill="FFDCE0" w:val="clear"/>
          </w:tcPr>
          <w:p>
            <w:r>
              <w:rPr>
                <w:b/>
                <w:color w:val="C00000"/>
                <w:sz w:val="17"/>
              </w:rPr>
              <w:t>-7.9%</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6,021</w:t>
            </w:r>
          </w:p>
        </w:tc>
        <w:tc>
          <w:tcPr>
            <w:tcW w:type="dxa" w:w="1440"/>
            <w:shd w:fill="FFDCE0" w:val="clear"/>
          </w:tcPr>
          <w:p>
            <w:r>
              <w:rPr>
                <w:b/>
                <w:sz w:val="17"/>
              </w:rPr>
              <w:t>6,690</w:t>
            </w:r>
          </w:p>
        </w:tc>
        <w:tc>
          <w:tcPr>
            <w:tcW w:type="dxa" w:w="1440"/>
            <w:shd w:fill="FFDCE0" w:val="clear"/>
          </w:tcPr>
          <w:p>
            <w:r>
              <w:rPr>
                <w:sz w:val="17"/>
              </w:rPr>
              <w:t>7,359</w:t>
            </w:r>
          </w:p>
        </w:tc>
        <w:tc>
          <w:tcPr>
            <w:tcW w:type="dxa" w:w="1440"/>
            <w:shd w:fill="FFDCE0" w:val="clear"/>
          </w:tcPr>
          <w:p>
            <w:r>
              <w:rPr>
                <w:b/>
                <w:color w:val="C00000"/>
                <w:sz w:val="17"/>
              </w:rPr>
              <w:t>-8.7%</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5,928</w:t>
            </w:r>
          </w:p>
        </w:tc>
        <w:tc>
          <w:tcPr>
            <w:tcW w:type="dxa" w:w="1440"/>
            <w:shd w:fill="FFDCE0" w:val="clear"/>
          </w:tcPr>
          <w:p>
            <w:r>
              <w:rPr>
                <w:b/>
                <w:sz w:val="17"/>
              </w:rPr>
              <w:t>6,637</w:t>
            </w:r>
          </w:p>
        </w:tc>
        <w:tc>
          <w:tcPr>
            <w:tcW w:type="dxa" w:w="1440"/>
            <w:shd w:fill="FFDCE0" w:val="clear"/>
          </w:tcPr>
          <w:p>
            <w:r>
              <w:rPr>
                <w:sz w:val="17"/>
              </w:rPr>
              <w:t>7,347</w:t>
            </w:r>
          </w:p>
        </w:tc>
        <w:tc>
          <w:tcPr>
            <w:tcW w:type="dxa" w:w="1440"/>
            <w:shd w:fill="FFDCE0" w:val="clear"/>
          </w:tcPr>
          <w:p>
            <w:r>
              <w:rPr>
                <w:b/>
                <w:color w:val="C00000"/>
                <w:sz w:val="17"/>
              </w:rPr>
              <w:t>-9.4%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5,839</w:t>
            </w:r>
          </w:p>
        </w:tc>
        <w:tc>
          <w:tcPr>
            <w:tcW w:type="dxa" w:w="1440"/>
            <w:shd w:fill="FFDCE0" w:val="clear"/>
          </w:tcPr>
          <w:p>
            <w:r>
              <w:rPr>
                <w:b/>
                <w:sz w:val="17"/>
              </w:rPr>
              <w:t>6,586</w:t>
            </w:r>
          </w:p>
        </w:tc>
        <w:tc>
          <w:tcPr>
            <w:tcW w:type="dxa" w:w="1440"/>
            <w:shd w:fill="FFDCE0" w:val="clear"/>
          </w:tcPr>
          <w:p>
            <w:r>
              <w:rPr>
                <w:sz w:val="17"/>
              </w:rPr>
              <w:t>7,333</w:t>
            </w:r>
          </w:p>
        </w:tc>
        <w:tc>
          <w:tcPr>
            <w:tcW w:type="dxa" w:w="1440"/>
            <w:shd w:fill="FFDCE0" w:val="clear"/>
          </w:tcPr>
          <w:p>
            <w:r>
              <w:rPr>
                <w:b/>
                <w:color w:val="C00000"/>
                <w:sz w:val="17"/>
              </w:rPr>
              <w:t>-10.1%</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5,756</w:t>
            </w:r>
          </w:p>
        </w:tc>
        <w:tc>
          <w:tcPr>
            <w:tcW w:type="dxa" w:w="1440"/>
            <w:shd w:fill="FFDCE0" w:val="clear"/>
          </w:tcPr>
          <w:p>
            <w:r>
              <w:rPr>
                <w:b/>
                <w:sz w:val="17"/>
              </w:rPr>
              <w:t>6,537</w:t>
            </w:r>
          </w:p>
        </w:tc>
        <w:tc>
          <w:tcPr>
            <w:tcW w:type="dxa" w:w="1440"/>
            <w:shd w:fill="FFDCE0" w:val="clear"/>
          </w:tcPr>
          <w:p>
            <w:r>
              <w:rPr>
                <w:sz w:val="17"/>
              </w:rPr>
              <w:t>7,318</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professionnel structuré pour l'action BOABF,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322,30 milliards FCFA, ce qui en fait une valeur de premier plan sur la BRVM. Avec un BPA de 438 FCFA, le titre se négocie à un PER de 16,7x, nettement supérieur à la moyenne historique de la place (~8-12x). Cette prime suggère que le marché intègre déjà des perspectives de croissance ou une prime de qualité, mais elle rend le titre exigeant en termes de résultats futurs. Le P/B de 2,55x confirme cette lecture, le marché valorisant la banque à plus de 2,5 fois ses capitaux propres, ce qui témoigne d'une confiance dans sa rentabilité future. Enfin, un EV/EBITDA de 7,1x reste dans une zone de valorisation raisonnable pour le secteur bancaire, indiquant que la valeur d'entreprise n'est pas excessivement décorrélée de sa capacité opérationnelle.</w:t>
      </w:r>
    </w:p>
    <w:p>
      <w:pPr>
        <w:spacing w:after="120" w:line="276" w:lineRule="auto"/>
      </w:pPr>
      <w:r>
        <w:t>### **PARTIE 1 : ANALYSE DU COURS — STATISTIQUES ET ÉVOLUTION (100 derniers jours)**</w:t>
      </w:r>
    </w:p>
    <w:p>
      <w:pPr>
        <w:spacing w:after="120" w:line="276" w:lineRule="auto"/>
      </w:pPr>
      <w:r>
        <w:t>Sur les 100 dernières séances, l'action BOABF a enregistré une performance remarquable de +46,35%, avec une dernière séance en hausse de +1,31% à 7 325 FCFA, son plus haut sur la période. Le titre a évolué dans une fourchette large de 5 005 à 7 325 FCFA, démontrant une forte dynamique haussière. La moyenne du cours (5 848 FCFA) est nettement inférieure à la médiane (5 590 FCFA), et le skewness positif de 1,363 indique une distribution asymétrique avec des jours de forte hausse qui tirent la moyenne vers le haut. L'écart-type de 639 FCFA (CV=10,9%) montre une dispersion modérée, tandis que le kurtosis de 0,314 (mésokurtique) suggère l'absence de risques de variations extrêmes inhabituels. La volatilité annualisée de 28,5% classe le titre dans une catégorie à risque modéré, mais la tendance est clairement haussière et soutenue.</w:t>
      </w:r>
    </w:p>
    <w:p>
      <w:pPr>
        <w:spacing w:after="120" w:line="276" w:lineRule="auto"/>
      </w:pPr>
      <w:r>
        <w:t>### **PARTIE 2 : ANALYSE TECHNIQUE DÉTAILLÉE**</w:t>
      </w:r>
    </w:p>
    <w:p>
      <w:pPr>
        <w:spacing w:after="120" w:line="276" w:lineRule="auto"/>
      </w:pPr>
      <w:r>
        <w:t>**Moyennes Mobiles** : Le cours actuel (7 325 FCFA) est nettement au-dessus de la MM20 (7 044 FCFA) et de la MM50 (6 220 FCFA), qui sont orientées à la hausse. Cette configuration haussière (prix &gt; MM20 &gt; MM50) valide la tendance de fond et justifie la décision d'**Achat**.</w:t>
      </w:r>
    </w:p>
    <w:p>
      <w:pPr>
        <w:spacing w:after="120" w:line="276" w:lineRule="auto"/>
      </w:pPr>
      <w:r>
        <w:t>**Bandes de Bollinger** : Le cours se situe dans la partie supérieure des bandes (borne supérieure à 7 659 FCFA, inférieure à 6 429 FCFA), sans toutefois la toucher. La largeur des bandes reflète la volatilité accrue. Le prix évoluant dans la moitié haute, la décision est **Neutre**, mais avec un biais haussier tant que la borne supérieure n'est pas testée.</w:t>
      </w:r>
    </w:p>
    <w:p>
      <w:pPr>
        <w:spacing w:after="120" w:line="276" w:lineRule="auto"/>
      </w:pPr>
      <w:r>
        <w:t>**MACD** : La valeur du MACD (301,85) est inférieure à son signal (327,03), indiquant un ralentissement du momentum haussier à court terme. Bien que les deux lignes soient en territoire positif, ce croisement baissier est un signal de prudence et justifie la décision de **Vente** à très court terme.</w:t>
      </w:r>
    </w:p>
    <w:p>
      <w:pPr>
        <w:spacing w:after="120" w:line="276" w:lineRule="auto"/>
      </w:pPr>
      <w:r>
        <w:t>**RSI** : À 67,61, le RSI est en zone neutre, proche du seuil de surachat (70). Il indique une forte pression acheteuse mais sans être encore dans une zone d'épuisement. La décision est **Neutre**, mais une cassure au-dessus de 70 signalerait une suraccélération.</w:t>
      </w:r>
    </w:p>
    <w:p>
      <w:pPr>
        <w:spacing w:after="120" w:line="276" w:lineRule="auto"/>
      </w:pPr>
      <w:r>
        <w:t>**Stochastique** : Les valeurs %K et %D sont toutes deux à 100, en zone de surachat extrême. Cela indique que le titre est survendu à la hausse et qu'un repli technique est probable à très court terme. La décision de **Vente** est justifiée par ce niveau extrême.</w:t>
      </w:r>
    </w:p>
    <w:p>
      <w:pPr>
        <w:spacing w:after="120" w:line="276" w:lineRule="auto"/>
      </w:pPr>
      <w:r>
        <w:t>**Conclusion technique** : La tendance de fond est résolument haussière, confirmée par les moyennes mobiles. Cependant, les oscillateurs (MACD, Stochastique) et le RSI proche du surachat signalent une fatigue à court terme. Le scénario le plus probable est une consolidation ou un léger repli technique avant une reprise de la tendance haussière.</w:t>
      </w:r>
    </w:p>
    <w:p>
      <w:pPr>
        <w:spacing w:after="120" w:line="276" w:lineRule="auto"/>
      </w:pPr>
      <w:r>
        <w:t>### **PARTIE 3 : ANALYSE FONDAMENTALE (SECTION CRITIQUE)**</w:t>
      </w:r>
    </w:p>
    <w:p>
      <w:pPr>
        <w:spacing w:after="120" w:line="276" w:lineRule="auto"/>
      </w:pPr>
      <w:r>
        <w:t>En 2025, les données financières structurées de BOABF révèlent une banque solide mais confrontée à un environnement difficile. Le Produit Net Bancaire (PNB) s'établit à 57,82 milliards FCFA, en légère croissance de 0,57%, tandis que le résultat net atteint 19,25 milliards FCFA. La rentabilité des fonds propres (ROE) est excellente à 15,2%, et le coefficient d'exploitation de 47,2% témoigne d'une gestion très efficace. Cependant, le coût du risque est élevé (33,9%), signalant une dégradation de la qualité du portefeuille de crédits. Les rapports trimestriels de 2025 confirment cette tendance : le rapport du 1er trimestre (mars 2025) montre un PNB de 14,22 Mds FCFA (+2,3%) mais un résultat net en baisse de 16,6%. Le rapport semestriel (juin 2025) est plus alarmant, avec un résultat net en chute de 46,5% à 8,22 Mds FCFA, dû à une explosion du coût du risque (+1336%). Le rapport du 3ème trimestre (septembre 2025) confirme la stagnation du PNB (+0,85%) et une baisse du résultat net de 27,7% sur 9 mois. Enfin, le rapport du 1er trimestre 2026 (mars 2026) montre une contraction du PNB de 10,75% et du résultat net de 12,99%, malgré une collecte de dépôts dynamique (+6,3%). On estime donc que l'exercice 2026 sera marqué par une pression continue sur la rentabilité, la banque devant faire face à un risque de crédit élevé dans un contexte sécuritaire et économique burkinabè difficile.</w:t>
      </w:r>
    </w:p>
    <w:p>
      <w:pPr>
        <w:spacing w:after="120" w:line="276" w:lineRule="auto"/>
      </w:pPr>
      <w:r>
        <w:t>### **PARTIE 4 : CONCLUSION D'INVESTISSEMENT**</w:t>
      </w:r>
    </w:p>
    <w:p>
      <w:pPr>
        <w:spacing w:after="120" w:line="276" w:lineRule="auto"/>
      </w:pPr>
      <w:r>
        <w:t>La valorisation de BOABF (PER 16,7x, P/B 2,55x) est exigeante et ne laisse que peu de marge d'erreur, contrastant avec des fondamentaux en nette dégradation. La tendance du cours est fortement haussière (+46% sur 100 jours) mais les indicateurs techniques signalent un essoufflement à court terme, avec un risque de consolidation. Les fondamentaux, bien que solides sur le plan opérationnel (ROE &gt;15%, coefficient d'exploitation bas), sont assombris par une explosion du coût du risque qui a fait chuter le résultat net de près de 50% au S1 2025 et qui continue de peser en 2026. Les prédictions IA (baisse progressive vers 6 804 FCFA sur 10 jours) confirment ce scénario de correction technique. En synthèse, la convergence entre les signaux techniques de surachat, la valorisation élevée et la dégradation des fondamentaux plaide pour une prudence accrue. La recommandation est donc de **CONSERVER** le titre pour les investisseurs déjà en place, et d'attendre un repli significatif ou une amélioration des fondamentaux pour les nouveaux entrants. Le niveau de confiance est **Moyen**, le risque global **Élevé**, et l'horizon d'investissement optimal serait à **moyen terme (3-12 mois)** pour observer l'évolution du coût du risque et la capacité de la banque à redresser sa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13,982 titres</w:t>
            </w:r>
          </w:p>
        </w:tc>
        <w:tc>
          <w:tcPr>
            <w:tcW w:type="dxa" w:w="2268"/>
            <w:shd w:fill="FFF2CC" w:val="clear"/>
          </w:tcPr>
          <w:p>
            <w:r>
              <w:rPr>
                <w:b/>
                <w:color w:val="503200"/>
                <w:sz w:val="16"/>
              </w:rPr>
              <w:t xml:space="preserve">Cours actuel : </w:t>
            </w:r>
            <w:r>
              <w:rPr>
                <w:color w:val="000000"/>
                <w:sz w:val="17"/>
              </w:rPr>
              <w:t>11,600 FCFA</w:t>
            </w:r>
          </w:p>
          <w:p>
            <w:r>
              <w:rPr>
                <w:b/>
                <w:color w:val="503200"/>
                <w:sz w:val="16"/>
              </w:rPr>
              <w:t xml:space="preserve">Var. 100 jours : </w:t>
            </w:r>
            <w:r>
              <w:rPr>
                <w:b/>
                <w:color w:val="007800"/>
                <w:sz w:val="17"/>
              </w:rPr>
              <w:t>+30.41%</w:t>
            </w:r>
          </w:p>
          <w:p>
            <w:r>
              <w:rPr>
                <w:b/>
                <w:color w:val="503200"/>
                <w:sz w:val="16"/>
              </w:rPr>
              <w:t xml:space="preserve">Plus haut 100j : </w:t>
            </w:r>
            <w:r>
              <w:rPr>
                <w:color w:val="000000"/>
                <w:sz w:val="17"/>
              </w:rPr>
              <w:t>11,600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8.71% (Moyenne) — μ=9,181 FCFA, σ=799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β=0.6266 (Défensif) — Cov=0.000023, Var(idx)=0.000036, ρ=0.222,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58728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10,742</w:t>
            </w:r>
          </w:p>
        </w:tc>
        <w:tc>
          <w:tcPr>
            <w:tcW w:type="dxa" w:w="1440"/>
            <w:shd w:fill="FFDCE0" w:val="clear"/>
          </w:tcPr>
          <w:p>
            <w:r>
              <w:rPr>
                <w:b/>
                <w:sz w:val="17"/>
              </w:rPr>
              <w:t>11,070</w:t>
            </w:r>
          </w:p>
        </w:tc>
        <w:tc>
          <w:tcPr>
            <w:tcW w:type="dxa" w:w="1440"/>
            <w:shd w:fill="FFDCE0" w:val="clear"/>
          </w:tcPr>
          <w:p>
            <w:r>
              <w:rPr>
                <w:sz w:val="17"/>
              </w:rPr>
              <w:t>11,399</w:t>
            </w:r>
          </w:p>
        </w:tc>
        <w:tc>
          <w:tcPr>
            <w:tcW w:type="dxa" w:w="1440"/>
            <w:shd w:fill="FFDCE0" w:val="clear"/>
          </w:tcPr>
          <w:p>
            <w:r>
              <w:rPr>
                <w:b/>
                <w:color w:val="C00000"/>
                <w:sz w:val="17"/>
              </w:rPr>
              <w:t>-4.6%</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10,245</w:t>
            </w:r>
          </w:p>
        </w:tc>
        <w:tc>
          <w:tcPr>
            <w:tcW w:type="dxa" w:w="1440"/>
            <w:shd w:fill="FFDCE0" w:val="clear"/>
          </w:tcPr>
          <w:p>
            <w:r>
              <w:rPr>
                <w:b/>
                <w:sz w:val="17"/>
              </w:rPr>
              <w:t>10,693</w:t>
            </w:r>
          </w:p>
        </w:tc>
        <w:tc>
          <w:tcPr>
            <w:tcW w:type="dxa" w:w="1440"/>
            <w:shd w:fill="FFDCE0" w:val="clear"/>
          </w:tcPr>
          <w:p>
            <w:r>
              <w:rPr>
                <w:sz w:val="17"/>
              </w:rPr>
              <w:t>11,142</w:t>
            </w:r>
          </w:p>
        </w:tc>
        <w:tc>
          <w:tcPr>
            <w:tcW w:type="dxa" w:w="1440"/>
            <w:shd w:fill="FFDCE0" w:val="clear"/>
          </w:tcPr>
          <w:p>
            <w:r>
              <w:rPr>
                <w:b/>
                <w:color w:val="C00000"/>
                <w:sz w:val="17"/>
              </w:rPr>
              <w:t>-7.8%</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9,778</w:t>
            </w:r>
          </w:p>
        </w:tc>
        <w:tc>
          <w:tcPr>
            <w:tcW w:type="dxa" w:w="1440"/>
            <w:shd w:fill="FFDCE0" w:val="clear"/>
          </w:tcPr>
          <w:p>
            <w:r>
              <w:rPr>
                <w:b/>
                <w:sz w:val="17"/>
              </w:rPr>
              <w:t>10,308</w:t>
            </w:r>
          </w:p>
        </w:tc>
        <w:tc>
          <w:tcPr>
            <w:tcW w:type="dxa" w:w="1440"/>
            <w:shd w:fill="FFDCE0" w:val="clear"/>
          </w:tcPr>
          <w:p>
            <w:r>
              <w:rPr>
                <w:sz w:val="17"/>
              </w:rPr>
              <w:t>10,838</w:t>
            </w:r>
          </w:p>
        </w:tc>
        <w:tc>
          <w:tcPr>
            <w:tcW w:type="dxa" w:w="1440"/>
            <w:shd w:fill="FFDCE0" w:val="clear"/>
          </w:tcPr>
          <w:p>
            <w:r>
              <w:rPr>
                <w:b/>
                <w:color w:val="C00000"/>
                <w:sz w:val="17"/>
              </w:rPr>
              <w:t>-11.1%</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9,370</w:t>
            </w:r>
          </w:p>
        </w:tc>
        <w:tc>
          <w:tcPr>
            <w:tcW w:type="dxa" w:w="1440"/>
            <w:shd w:fill="FFDCE0" w:val="clear"/>
          </w:tcPr>
          <w:p>
            <w:r>
              <w:rPr>
                <w:b/>
                <w:sz w:val="17"/>
              </w:rPr>
              <w:t>9,961</w:t>
            </w:r>
          </w:p>
        </w:tc>
        <w:tc>
          <w:tcPr>
            <w:tcW w:type="dxa" w:w="1440"/>
            <w:shd w:fill="FFDCE0" w:val="clear"/>
          </w:tcPr>
          <w:p>
            <w:r>
              <w:rPr>
                <w:sz w:val="17"/>
              </w:rPr>
              <w:t>10,552</w:t>
            </w:r>
          </w:p>
        </w:tc>
        <w:tc>
          <w:tcPr>
            <w:tcW w:type="dxa" w:w="1440"/>
            <w:shd w:fill="FFDCE0" w:val="clear"/>
          </w:tcPr>
          <w:p>
            <w:r>
              <w:rPr>
                <w:b/>
                <w:color w:val="C00000"/>
                <w:sz w:val="17"/>
              </w:rPr>
              <w:t>-14.1%</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9,014</w:t>
            </w:r>
          </w:p>
        </w:tc>
        <w:tc>
          <w:tcPr>
            <w:tcW w:type="dxa" w:w="1440"/>
            <w:shd w:fill="FFDCE0" w:val="clear"/>
          </w:tcPr>
          <w:p>
            <w:r>
              <w:rPr>
                <w:b/>
                <w:sz w:val="17"/>
              </w:rPr>
              <w:t>9,655</w:t>
            </w:r>
          </w:p>
        </w:tc>
        <w:tc>
          <w:tcPr>
            <w:tcW w:type="dxa" w:w="1440"/>
            <w:shd w:fill="FFDCE0" w:val="clear"/>
          </w:tcPr>
          <w:p>
            <w:r>
              <w:rPr>
                <w:sz w:val="17"/>
              </w:rPr>
              <w:t>10,295</w:t>
            </w:r>
          </w:p>
        </w:tc>
        <w:tc>
          <w:tcPr>
            <w:tcW w:type="dxa" w:w="1440"/>
            <w:shd w:fill="FFDCE0" w:val="clear"/>
          </w:tcPr>
          <w:p>
            <w:r>
              <w:rPr>
                <w:b/>
                <w:color w:val="C00000"/>
                <w:sz w:val="17"/>
              </w:rPr>
              <w:t>-16.8%</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8,702</w:t>
            </w:r>
          </w:p>
        </w:tc>
        <w:tc>
          <w:tcPr>
            <w:tcW w:type="dxa" w:w="1440"/>
            <w:shd w:fill="FFDCE0" w:val="clear"/>
          </w:tcPr>
          <w:p>
            <w:r>
              <w:rPr>
                <w:b/>
                <w:sz w:val="17"/>
              </w:rPr>
              <w:t>9,384</w:t>
            </w:r>
          </w:p>
        </w:tc>
        <w:tc>
          <w:tcPr>
            <w:tcW w:type="dxa" w:w="1440"/>
            <w:shd w:fill="FFDCE0" w:val="clear"/>
          </w:tcPr>
          <w:p>
            <w:r>
              <w:rPr>
                <w:sz w:val="17"/>
              </w:rPr>
              <w:t>10,067</w:t>
            </w:r>
          </w:p>
        </w:tc>
        <w:tc>
          <w:tcPr>
            <w:tcW w:type="dxa" w:w="1440"/>
            <w:shd w:fill="FFDCE0" w:val="clear"/>
          </w:tcPr>
          <w:p>
            <w:r>
              <w:rPr>
                <w:b/>
                <w:color w:val="C00000"/>
                <w:sz w:val="17"/>
              </w:rPr>
              <w:t>-19.1%</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8,428</w:t>
            </w:r>
          </w:p>
        </w:tc>
        <w:tc>
          <w:tcPr>
            <w:tcW w:type="dxa" w:w="1440"/>
            <w:shd w:fill="FFDCE0" w:val="clear"/>
          </w:tcPr>
          <w:p>
            <w:r>
              <w:rPr>
                <w:b/>
                <w:sz w:val="17"/>
              </w:rPr>
              <w:t>9,146</w:t>
            </w:r>
          </w:p>
        </w:tc>
        <w:tc>
          <w:tcPr>
            <w:tcW w:type="dxa" w:w="1440"/>
            <w:shd w:fill="FFDCE0" w:val="clear"/>
          </w:tcPr>
          <w:p>
            <w:r>
              <w:rPr>
                <w:sz w:val="17"/>
              </w:rPr>
              <w:t>9,864</w:t>
            </w:r>
          </w:p>
        </w:tc>
        <w:tc>
          <w:tcPr>
            <w:tcW w:type="dxa" w:w="1440"/>
            <w:shd w:fill="FFDCE0" w:val="clear"/>
          </w:tcPr>
          <w:p>
            <w:r>
              <w:rPr>
                <w:b/>
                <w:color w:val="C00000"/>
                <w:sz w:val="17"/>
              </w:rPr>
              <w:t>-21.2%</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8,184</w:t>
            </w:r>
          </w:p>
        </w:tc>
        <w:tc>
          <w:tcPr>
            <w:tcW w:type="dxa" w:w="1440"/>
            <w:shd w:fill="FFDCE0" w:val="clear"/>
          </w:tcPr>
          <w:p>
            <w:r>
              <w:rPr>
                <w:b/>
                <w:sz w:val="17"/>
              </w:rPr>
              <w:t>8,933</w:t>
            </w:r>
          </w:p>
        </w:tc>
        <w:tc>
          <w:tcPr>
            <w:tcW w:type="dxa" w:w="1440"/>
            <w:shd w:fill="FFDCE0" w:val="clear"/>
          </w:tcPr>
          <w:p>
            <w:r>
              <w:rPr>
                <w:sz w:val="17"/>
              </w:rPr>
              <w:t>9,683</w:t>
            </w:r>
          </w:p>
        </w:tc>
        <w:tc>
          <w:tcPr>
            <w:tcW w:type="dxa" w:w="1440"/>
            <w:shd w:fill="FFDCE0" w:val="clear"/>
          </w:tcPr>
          <w:p>
            <w:r>
              <w:rPr>
                <w:b/>
                <w:color w:val="C00000"/>
                <w:sz w:val="17"/>
              </w:rPr>
              <w:t>-23.0%</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7,966</w:t>
            </w:r>
          </w:p>
        </w:tc>
        <w:tc>
          <w:tcPr>
            <w:tcW w:type="dxa" w:w="1440"/>
            <w:shd w:fill="FFDCE0" w:val="clear"/>
          </w:tcPr>
          <w:p>
            <w:r>
              <w:rPr>
                <w:b/>
                <w:sz w:val="17"/>
              </w:rPr>
              <w:t>8,744</w:t>
            </w:r>
          </w:p>
        </w:tc>
        <w:tc>
          <w:tcPr>
            <w:tcW w:type="dxa" w:w="1440"/>
            <w:shd w:fill="FFDCE0" w:val="clear"/>
          </w:tcPr>
          <w:p>
            <w:r>
              <w:rPr>
                <w:sz w:val="17"/>
              </w:rPr>
              <w:t>9,522</w:t>
            </w:r>
          </w:p>
        </w:tc>
        <w:tc>
          <w:tcPr>
            <w:tcW w:type="dxa" w:w="1440"/>
            <w:shd w:fill="FFDCE0" w:val="clear"/>
          </w:tcPr>
          <w:p>
            <w:r>
              <w:rPr>
                <w:b/>
                <w:color w:val="C00000"/>
                <w:sz w:val="17"/>
              </w:rPr>
              <w:t>-24.6%</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7,769</w:t>
            </w:r>
          </w:p>
        </w:tc>
        <w:tc>
          <w:tcPr>
            <w:tcW w:type="dxa" w:w="1440"/>
            <w:shd w:fill="FFDCE0" w:val="clear"/>
          </w:tcPr>
          <w:p>
            <w:r>
              <w:rPr>
                <w:b/>
                <w:sz w:val="17"/>
              </w:rPr>
              <w:t>8,574</w:t>
            </w:r>
          </w:p>
        </w:tc>
        <w:tc>
          <w:tcPr>
            <w:tcW w:type="dxa" w:w="1440"/>
            <w:shd w:fill="FFDCE0" w:val="clear"/>
          </w:tcPr>
          <w:p>
            <w:r>
              <w:rPr>
                <w:sz w:val="17"/>
              </w:rPr>
              <w:t>9,378</w:t>
            </w:r>
          </w:p>
        </w:tc>
        <w:tc>
          <w:tcPr>
            <w:tcW w:type="dxa" w:w="1440"/>
            <w:shd w:fill="FFDCE0" w:val="clear"/>
          </w:tcPr>
          <w:p>
            <w:r>
              <w:rPr>
                <w:b/>
                <w:color w:val="C00000"/>
                <w:sz w:val="17"/>
              </w:rPr>
              <w:t>-26.1%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464 milliards FCFA positionne BOAC comme une valeur de premier plan sur la BRVM, reflétant sa taille significative dans le secteur bancaire régional. Avec un BPA de 888 FCFA, chaque action génère un bénéfice substantiel, justifiant un PER de 13,1x, légèrement supérieur à la moyenne historique de la place (~8-12x), ce qui traduit une prime de valorisation accordée par le marché. Le P/B de 3,64x confirme cette prime, le marché valorisant la banque bien au-delà de sa valeur comptable, récompensant sa rentabilité élevée. En revanche, l'EV/EBITDA de 26,6x apparaît particulièrement exigeant, signalant que la valeur d'entreprise intègre des attentes de croissance opérationnelle soutenue. Ces ratios indiquent une valorisation globalement riche, mais cohérente avec les performances financières exceptionnelles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BOAC a enregistré une progression spectaculaire de +30,41%, passant d'un plus bas de 8 100 FCFA à un plus haut de 11 600 FCFA, niveau actuel du cours, avec une stabilité lors de la dernière séance. Cette tendance haussière marquée s'accompagne d'une moyenne de 9 181 FCFA, inférieure à la médiane de 8 900 FCFA, indiquant une distribution asymétrique positive (skewness de 1,686) où les fortes hausses récentes tirent la moyenne vers le haut. L'écart-type de 803 FCFA (CV de 8,7%) révèle une dispersion modérée autour de la moyenne, tandis que le kurtosis de 2,261 signale des queues de distribution épaisses, suggérant un risque de mouvements extrêmes. La volatilité annualisée de 26,8% classe le titre dans une zone modérée à élevée, reflétant une dynamique de prix active mais non excessive pour un marché émergent.</w:t>
      </w:r>
    </w:p>
    <w:p>
      <w:pPr>
        <w:spacing w:after="120" w:line="276" w:lineRule="auto" w:before="240"/>
      </w:pPr>
      <w:r>
        <w:rPr>
          <w:b/>
          <w:color w:val="003366"/>
          <w:sz w:val="24"/>
        </w:rPr>
        <w:t>**PARTIE 2 : ANALYSE TECHNIQUE DÉTAILLÉE**</w:t>
      </w:r>
    </w:p>
    <w:p>
      <w:pPr>
        <w:spacing w:after="120" w:line="276" w:lineRule="auto"/>
      </w:pPr>
      <w:r>
        <w:t>**Moyennes Mobiles** : Le cours actuel de 11 600 FCFA évolue nettement au-dessus de la MM20 (10 524 FCFA) et de la MM50 (9 681 FCFA), configuration haussière classique. La pente ascendante des moyennes mobiles confirme la vigueur de la tendance, justifiant la décision d'achat.</w:t>
      </w:r>
    </w:p>
    <w:p>
      <w:pPr>
        <w:spacing w:after="120" w:line="276" w:lineRule="auto"/>
      </w:pPr>
      <w:r>
        <w:t>**Bandes de Bollinger** : Le prix se positionne près de la borne supérieure (12 068 FCFA), indiquant une pression acheteuse soutenue. L'écart entre les bornes (3 087 FCFA) témoigne d'une volatilité accrue, tandis que la décision neutre suggère une possible consolidation avant poursuite.</w:t>
      </w:r>
    </w:p>
    <w:p>
      <w:pPr>
        <w:spacing w:after="120" w:line="276" w:lineRule="auto"/>
      </w:pPr>
      <w:r>
        <w:t>**MACD** : La valeur du MACD (582,35) nettement supérieure à son signal (481,99) démontre un momentum haussier robuste. L'écart positif croissant entre les deux lignes renforce la dynamique positive, justifiant la décision d'achat.</w:t>
      </w:r>
    </w:p>
    <w:p>
      <w:pPr>
        <w:spacing w:after="120" w:line="276" w:lineRule="auto"/>
      </w:pPr>
      <w:r>
        <w:t>**RSI** : À 84,54, l'indicateur signale une condition de surachat extrême, au-delà du seuil critique de 70. Cette situation suggère une possible correction technique à court terme, justifiant la décision de vente.</w:t>
      </w:r>
    </w:p>
    <w:p>
      <w:pPr>
        <w:spacing w:after="120" w:line="276" w:lineRule="auto"/>
      </w:pPr>
      <w:r>
        <w:t>**Stochastique** : Les valeurs %K et %D à 100 indiquent une zone de surachat maximal, sans signe de retournement imminent. Cette configuration extrême appelle à la prudence, justifiant la décision de vente.</w:t>
      </w:r>
    </w:p>
    <w:p>
      <w:pPr>
        <w:spacing w:after="120" w:line="276" w:lineRule="auto"/>
      </w:pPr>
      <w:r>
        <w:t>**Conclusion technique** : La convergence des indicateurs de tendance (MM, MACD) confirme une dynamique haussière solide, mais les oscillateurs (RSI, Stochastique) signalent des conditions de surachat extrêmes. Cette divergence suggère qu'un repli technique est probable avant la poursuite de la tendance, recommandant une approche prudente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banque performante : le PNB atteint 73,545 milliards FCFA avec un résultat net de 35,540 milliards FCFA, générant un ROE exceptionnel de 27,91% et un ROA de 3,22%. Le coefficient d'exploitation de 36,70% témoigne d'une excellente maîtrise des coûts, tandis que le coût du risque de 6,67% reste élevé, signalant une dégradation de la qualité du crédit. Les dépôts clientèle (850,548 milliards FCFA) représentent près du double des créances (430,433 milliards FCFA), indiquant une transformation saine. Les rapports trimestriels 2025 montrent une trajectoire contrastée : le T1 affiche une croissance du PNB de +4,93% et un résultat net en hausse de +14,59%, mais le S1 révèle une stagnation du PNB (-0,35%) avec un résultat net en progression modeste (+4,29%). Le T3 confirme cette atonie avec un PNB quasi stable (+0,23%) et un résultat net en légère hausse (+1,29%). Les objectifs triennaux ambitieux (croissance du PNB de +11,6% d'ici 2027) contrastent avec la performance actuelle, suggérant des défis de croissance à court terme.</w:t>
      </w:r>
    </w:p>
    <w:p>
      <w:pPr>
        <w:spacing w:after="120" w:line="276" w:lineRule="auto" w:before="240"/>
      </w:pPr>
      <w:r>
        <w:rPr>
          <w:b/>
          <w:color w:val="003366"/>
          <w:sz w:val="24"/>
        </w:rPr>
        <w:t>**PARTIE 4 : CONCLUSION D'INVESTISSEMENT**</w:t>
      </w:r>
    </w:p>
    <w:p>
      <w:pPr>
        <w:spacing w:after="120" w:line="276" w:lineRule="auto"/>
      </w:pPr>
      <w:r>
        <w:t>La valorisation actuelle (PER 13,1x, P/B 3,64x, EV/EBITDA 26,6x) apparaît exigeante, intégrant des attentes élevées de croissance future. Le comportement du cours (+30,41% sur 100 jours) témoigne d'un momentum haussier puissant, mais les statistiques (kurtosis élevé, skewness positif) et les indicateurs techniques en surachat extrême (RSI 84,5, Stochastique 100) signalent un risque accru de correction. Les fondamentaux solides (ROE 27,91%, coefficient d'exploitation 36,70%) contrastent avec une croissance atone des revenus en 2025, malgré des perspectives stratégiques ambitieuses. Les prédictions IA anticipent une correction significative (-16,8% sur 10 jours), convergeant avec les signaux techniques de surachat. Cette convergence entre signaux techniques et prédictions algorithmiques, face à une valorisation riche et des fondamentaux solides mais en stagnation, justifie une recommandation **CONSERVER** avec un niveau de confiance **Moyen**. Le risque global est **Élevé** en raison de la surchauffe technique et de la valorisation exigeante. L'horizon d'investissement optimal serait le **moyen terme (3-12 mois)**, permettant d'absorber une éventuelle correction avant de capitaliser sur les fondamentaux solides de la banque.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156.47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6,371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007800"/>
                <w:sz w:val="17"/>
              </w:rPr>
              <w:t>+20.51%</w:t>
            </w:r>
          </w:p>
          <w:p>
            <w:r>
              <w:rPr>
                <w:b/>
                <w:color w:val="503200"/>
                <w:sz w:val="16"/>
              </w:rPr>
              <w:t xml:space="preserve">Plus haut 100j : </w:t>
            </w:r>
            <w:r>
              <w:rPr>
                <w:color w:val="000000"/>
                <w:sz w:val="17"/>
              </w:rPr>
              <w:t>5,770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8.07% (Moyenne) — μ=4,937 FCFA, σ=398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β=0.3301 (Défensif) — Cov=0.000012, Var(idx)=0.000036, ρ=0.100,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5,494</w:t>
            </w:r>
          </w:p>
        </w:tc>
        <w:tc>
          <w:tcPr>
            <w:tcW w:type="dxa" w:w="1440"/>
            <w:shd w:fill="FAFAFA" w:val="clear"/>
          </w:tcPr>
          <w:p>
            <w:r>
              <w:rPr>
                <w:b/>
                <w:sz w:val="17"/>
              </w:rPr>
              <w:t>5,676</w:t>
            </w:r>
          </w:p>
        </w:tc>
        <w:tc>
          <w:tcPr>
            <w:tcW w:type="dxa" w:w="1440"/>
            <w:shd w:fill="FAFAFA" w:val="clear"/>
          </w:tcPr>
          <w:p>
            <w:r>
              <w:rPr>
                <w:sz w:val="17"/>
              </w:rPr>
              <w:t>5,858</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5,340</w:t>
            </w:r>
          </w:p>
        </w:tc>
        <w:tc>
          <w:tcPr>
            <w:tcW w:type="dxa" w:w="1440"/>
            <w:shd w:fill="FAFAFA" w:val="clear"/>
          </w:tcPr>
          <w:p>
            <w:r>
              <w:rPr>
                <w:b/>
                <w:sz w:val="17"/>
              </w:rPr>
              <w:t>5,593</w:t>
            </w:r>
          </w:p>
        </w:tc>
        <w:tc>
          <w:tcPr>
            <w:tcW w:type="dxa" w:w="1440"/>
            <w:shd w:fill="FAFAFA" w:val="clear"/>
          </w:tcPr>
          <w:p>
            <w:r>
              <w:rPr>
                <w:sz w:val="17"/>
              </w:rPr>
              <w:t>5,847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5,197</w:t>
            </w:r>
          </w:p>
        </w:tc>
        <w:tc>
          <w:tcPr>
            <w:tcW w:type="dxa" w:w="1440"/>
            <w:shd w:fill="FFDCE0" w:val="clear"/>
          </w:tcPr>
          <w:p>
            <w:r>
              <w:rPr>
                <w:b/>
                <w:sz w:val="17"/>
              </w:rPr>
              <w:t>5,502</w:t>
            </w:r>
          </w:p>
        </w:tc>
        <w:tc>
          <w:tcPr>
            <w:tcW w:type="dxa" w:w="1440"/>
            <w:shd w:fill="FFDCE0" w:val="clear"/>
          </w:tcPr>
          <w:p>
            <w:r>
              <w:rPr>
                <w:sz w:val="17"/>
              </w:rPr>
              <w:t>5,808</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5,074</w:t>
            </w:r>
          </w:p>
        </w:tc>
        <w:tc>
          <w:tcPr>
            <w:tcW w:type="dxa" w:w="1440"/>
            <w:shd w:fill="FFDCE0" w:val="clear"/>
          </w:tcPr>
          <w:p>
            <w:r>
              <w:rPr>
                <w:b/>
                <w:sz w:val="17"/>
              </w:rPr>
              <w:t>5,422</w:t>
            </w:r>
          </w:p>
        </w:tc>
        <w:tc>
          <w:tcPr>
            <w:tcW w:type="dxa" w:w="1440"/>
            <w:shd w:fill="FFDCE0" w:val="clear"/>
          </w:tcPr>
          <w:p>
            <w:r>
              <w:rPr>
                <w:sz w:val="17"/>
              </w:rPr>
              <w:t>5,770</w:t>
            </w:r>
          </w:p>
        </w:tc>
        <w:tc>
          <w:tcPr>
            <w:tcW w:type="dxa" w:w="1440"/>
            <w:shd w:fill="FFDCE0" w:val="clear"/>
          </w:tcPr>
          <w:p>
            <w:r>
              <w:rPr>
                <w:b/>
                <w:color w:val="C00000"/>
                <w:sz w:val="17"/>
              </w:rPr>
              <w:t>-4.9%</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4,969</w:t>
            </w:r>
          </w:p>
        </w:tc>
        <w:tc>
          <w:tcPr>
            <w:tcW w:type="dxa" w:w="1440"/>
            <w:shd w:fill="FFDCE0" w:val="clear"/>
          </w:tcPr>
          <w:p>
            <w:r>
              <w:rPr>
                <w:b/>
                <w:sz w:val="17"/>
              </w:rPr>
              <w:t>5,353</w:t>
            </w:r>
          </w:p>
        </w:tc>
        <w:tc>
          <w:tcPr>
            <w:tcW w:type="dxa" w:w="1440"/>
            <w:shd w:fill="FFDCE0" w:val="clear"/>
          </w:tcPr>
          <w:p>
            <w:r>
              <w:rPr>
                <w:sz w:val="17"/>
              </w:rPr>
              <w:t>5,737</w:t>
            </w:r>
          </w:p>
        </w:tc>
        <w:tc>
          <w:tcPr>
            <w:tcW w:type="dxa" w:w="1440"/>
            <w:shd w:fill="FFDCE0" w:val="clear"/>
          </w:tcPr>
          <w:p>
            <w:r>
              <w:rPr>
                <w:b/>
                <w:color w:val="C00000"/>
                <w:sz w:val="17"/>
              </w:rPr>
              <w:t>-6.1%</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4,876</w:t>
            </w:r>
          </w:p>
        </w:tc>
        <w:tc>
          <w:tcPr>
            <w:tcW w:type="dxa" w:w="1440"/>
            <w:shd w:fill="FFDCE0" w:val="clear"/>
          </w:tcPr>
          <w:p>
            <w:r>
              <w:rPr>
                <w:b/>
                <w:sz w:val="17"/>
              </w:rPr>
              <w:t>5,292</w:t>
            </w:r>
          </w:p>
        </w:tc>
        <w:tc>
          <w:tcPr>
            <w:tcW w:type="dxa" w:w="1440"/>
            <w:shd w:fill="FFDCE0" w:val="clear"/>
          </w:tcPr>
          <w:p>
            <w:r>
              <w:rPr>
                <w:sz w:val="17"/>
              </w:rPr>
              <w:t>5,708</w:t>
            </w:r>
          </w:p>
        </w:tc>
        <w:tc>
          <w:tcPr>
            <w:tcW w:type="dxa" w:w="1440"/>
            <w:shd w:fill="FFDCE0" w:val="clear"/>
          </w:tcPr>
          <w:p>
            <w:r>
              <w:rPr>
                <w:b/>
                <w:color w:val="C00000"/>
                <w:sz w:val="17"/>
              </w:rPr>
              <w:t>-7.2%</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4,792</w:t>
            </w:r>
          </w:p>
        </w:tc>
        <w:tc>
          <w:tcPr>
            <w:tcW w:type="dxa" w:w="1440"/>
            <w:shd w:fill="FFDCE0" w:val="clear"/>
          </w:tcPr>
          <w:p>
            <w:r>
              <w:rPr>
                <w:b/>
                <w:sz w:val="17"/>
              </w:rPr>
              <w:t>5,236</w:t>
            </w:r>
          </w:p>
        </w:tc>
        <w:tc>
          <w:tcPr>
            <w:tcW w:type="dxa" w:w="1440"/>
            <w:shd w:fill="FFDCE0" w:val="clear"/>
          </w:tcPr>
          <w:p>
            <w:r>
              <w:rPr>
                <w:sz w:val="17"/>
              </w:rPr>
              <w:t>5,680</w:t>
            </w:r>
          </w:p>
        </w:tc>
        <w:tc>
          <w:tcPr>
            <w:tcW w:type="dxa" w:w="1440"/>
            <w:shd w:fill="FFDCE0" w:val="clear"/>
          </w:tcPr>
          <w:p>
            <w:r>
              <w:rPr>
                <w:b/>
                <w:color w:val="C00000"/>
                <w:sz w:val="17"/>
              </w:rPr>
              <w:t>-8.1%</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4,713</w:t>
            </w:r>
          </w:p>
        </w:tc>
        <w:tc>
          <w:tcPr>
            <w:tcW w:type="dxa" w:w="1440"/>
            <w:shd w:fill="FFDCE0" w:val="clear"/>
          </w:tcPr>
          <w:p>
            <w:r>
              <w:rPr>
                <w:b/>
                <w:sz w:val="17"/>
              </w:rPr>
              <w:t>5,183</w:t>
            </w:r>
          </w:p>
        </w:tc>
        <w:tc>
          <w:tcPr>
            <w:tcW w:type="dxa" w:w="1440"/>
            <w:shd w:fill="FFDCE0" w:val="clear"/>
          </w:tcPr>
          <w:p>
            <w:r>
              <w:rPr>
                <w:sz w:val="17"/>
              </w:rPr>
              <w:t>5,653</w:t>
            </w:r>
          </w:p>
        </w:tc>
        <w:tc>
          <w:tcPr>
            <w:tcW w:type="dxa" w:w="1440"/>
            <w:shd w:fill="FFDCE0" w:val="clear"/>
          </w:tcPr>
          <w:p>
            <w:r>
              <w:rPr>
                <w:b/>
                <w:color w:val="C00000"/>
                <w:sz w:val="17"/>
              </w:rPr>
              <w:t>-9.1%</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4,639</w:t>
            </w:r>
          </w:p>
        </w:tc>
        <w:tc>
          <w:tcPr>
            <w:tcW w:type="dxa" w:w="1440"/>
            <w:shd w:fill="FFDCE0" w:val="clear"/>
          </w:tcPr>
          <w:p>
            <w:r>
              <w:rPr>
                <w:b/>
                <w:sz w:val="17"/>
              </w:rPr>
              <w:t>5,132</w:t>
            </w:r>
          </w:p>
        </w:tc>
        <w:tc>
          <w:tcPr>
            <w:tcW w:type="dxa" w:w="1440"/>
            <w:shd w:fill="FFDCE0" w:val="clear"/>
          </w:tcPr>
          <w:p>
            <w:r>
              <w:rPr>
                <w:sz w:val="17"/>
              </w:rPr>
              <w:t>5,626</w:t>
            </w:r>
          </w:p>
        </w:tc>
        <w:tc>
          <w:tcPr>
            <w:tcW w:type="dxa" w:w="1440"/>
            <w:shd w:fill="FFDCE0" w:val="clear"/>
          </w:tcPr>
          <w:p>
            <w:r>
              <w:rPr>
                <w:b/>
                <w:color w:val="C00000"/>
                <w:sz w:val="17"/>
              </w:rPr>
              <w:t>-10.0%</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4,569</w:t>
            </w:r>
          </w:p>
        </w:tc>
        <w:tc>
          <w:tcPr>
            <w:tcW w:type="dxa" w:w="1440"/>
            <w:shd w:fill="FFDCE0" w:val="clear"/>
          </w:tcPr>
          <w:p>
            <w:r>
              <w:rPr>
                <w:b/>
                <w:sz w:val="17"/>
              </w:rPr>
              <w:t>5,085</w:t>
            </w:r>
          </w:p>
        </w:tc>
        <w:tc>
          <w:tcPr>
            <w:tcW w:type="dxa" w:w="1440"/>
            <w:shd w:fill="FFDCE0" w:val="clear"/>
          </w:tcPr>
          <w:p>
            <w:r>
              <w:rPr>
                <w:sz w:val="17"/>
              </w:rPr>
              <w:t>5,600</w:t>
            </w:r>
          </w:p>
        </w:tc>
        <w:tc>
          <w:tcPr>
            <w:tcW w:type="dxa" w:w="1440"/>
            <w:shd w:fill="FFDCE0" w:val="clear"/>
          </w:tcPr>
          <w:p>
            <w:r>
              <w:rPr>
                <w:b/>
                <w:color w:val="C00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**Date de l'analyse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156,47 milliards FCFA, ce qui positionne la banque parmi les valeurs moyennes du compartiment financier de la BRVM. Avec un BPA de 404 FCFA, le titre se négocie à un PER de 14,1x, légèrement au-dessus de la moyenne historique du marché (~8-12x), indiquant que les investisseurs acceptent de payer une prime pour la qualité de la banque. Le P/B de 3,14x confirme cette prime, le marché valorisant la société à plus de trois fois sa valeur comptable, ce qui témoigne d'une forte confiance dans sa croissance future. Enfin, un EV/EBITDA de 7,0x reste dans une zone raisonnable (5-10x), suggérant que la valorisation globale de l'entreprise, rapportée à sa capacité opérationnelle, n'est pas excessive malgré les ratios précédents.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BOAM a enregistré une performance remarquable de +20,51%, avec une dernière séance en hausse de +1,97% à 5 700 FCFA. Le titre a évolué dans une fourchette de 4 425 FCFA (plus bas) à 5 770 FCFA (plus haut), démontrant une forte dynamique haussière. La moyenne du cours sur la période est de 4 937 FCFA, tandis que la médiane est de 4 740 FCFA ; l'écart entre ces deux valeurs, couplé à un skewness positif de 0,926, révèle une distribution asymétrique avec des journées plus fréquentes sous la moyenne, mais des mouvements de hausse plus prononcés. L'écart-type de 400 FCFA (CV = 8,1%) indique une dispersion modérée, et le kurtosis de -0,627 (mésokurtique) suggère une distribution proche de la normale, sans risque de pics extrêmes. La volatilité annualisée de 31,1% classe le titre dans la catégorie "élevée" (&gt;30%), reflétant un risque de marché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(5 700 FCFA) se situe nettement au-dessus de la MM20 (5 638,25 FCFA) et de la MM50 (5 147,2 FCFA), confirmant une tendance haussière solide. La configuration des moyennes mobiles, avec la MM20 au-dessus de la MM50, génère un signal d'achat, indiquant que la dynamique positive est soutenue à court et moyen terme.</w:t>
      </w:r>
    </w:p>
    <w:p>
      <w:pPr>
        <w:spacing w:after="120" w:line="276" w:lineRule="auto"/>
      </w:pPr>
      <w:r>
        <w:t>**Bandes de Bollinger** : Le prix évolue à 5 700 FCFA, proche de la borne supérieure (5 810,27 FCFA) mais dans la partie haute de l'enveloppe. La largeur des bandes reflète la volatilité élevée du titre. La position du cours suggère une pression acheteuse persistante, mais le signal est neutre, le prix n'ayant pas encore franchi la borne supérieure, ce qui pourrait indiquer une consolidation à venir.</w:t>
      </w:r>
    </w:p>
    <w:p>
      <w:pPr>
        <w:spacing w:after="120" w:line="276" w:lineRule="auto"/>
      </w:pPr>
      <w:r>
        <w:t>**MACD** : Le MACD (125,44) est inférieur à sa ligne de signal (154,37), générant un signal de vente. Cette configuration indique un affaiblissement du momentum haussier à court terme, malgré la tendance de fond positive. Les investisseurs pourraient assister à une correction technique avant la poursuite de la tendance.</w:t>
      </w:r>
    </w:p>
    <w:p>
      <w:pPr>
        <w:spacing w:after="120" w:line="276" w:lineRule="auto"/>
      </w:pPr>
      <w:r>
        <w:t>**RSI** : Le RSI est à 50,0, une valeur parfaitement neutre, indiquant que le titre n'est ni suracheté ni survendu. Cela laisse une marge de manœuvre dans les deux sens, sans signal directionnel fort. Cette neutralité suggère que le marché est en équilibre après la récente hausse.</w:t>
      </w:r>
    </w:p>
    <w:p>
      <w:pPr>
        <w:spacing w:after="120" w:line="276" w:lineRule="auto"/>
      </w:pPr>
      <w:r>
        <w:t>**Stochastique** : Le %K (100,0) est largement au-dessus du %D (75,53), mais cette configuration extrême signale une condition de surachat sévère. Le signal de vente généré par le stochastique indique un risque élevé de retournement ou de consolidation à très court terme, car le marché est dans une zone de surachat extrême.</w:t>
      </w:r>
    </w:p>
    <w:p>
      <w:pPr>
        <w:spacing w:after="120" w:line="276" w:lineRule="auto"/>
      </w:pPr>
      <w:r>
        <w:t>**Conclusion technique** : Les indicateurs sont mitigés. Les moyennes mobiles soutiennent une tendance haussière, mais le MACD et le stochastique signalent un épuisement potentiel du mouvement à court terme. Le RSI neutre et les bandes de Bollinger suggèrent une pause possible. Globalement, la tendance de fond reste positive, mais un repli technique est probable avant la poursuite de la hausse.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Les états financiers annuels 2025 font état d'un Produit Net Bancaire (PNB) de 37,996 milliards FCFA, en croissance de 5,08% par rapport à 2024. Le résultat net s'établit à 11,081 milliards FCFA, contre 9,12 milliards en 2024, soit une progression de 21,5%. La rentabilité est excellente avec un ROE de 22,24% et un ROA de 1,87%, bien au-dessus des seuils de référence (15% et 1% respectivement). Le coefficient d'exploitation de 63,14% reste légèrement au-dessus de la barre des 60%, indiquant une efficacité opérationnelle perfectible mais en amélioration. Le coût du risque, à 43,39% des charges financières, demeure élevé, reflétant un environnement de crédit difficile au Mali.</w:t>
      </w:r>
    </w:p>
    <w:p>
      <w:pPr>
        <w:spacing w:after="120" w:line="276" w:lineRule="auto"/>
      </w:pPr>
      <w:r>
        <w:t>**Rapports trimestriels 2025** : Les rapports narratifs confirment cette trajectoire. Au T1 2025, le résultat net a bondi de 91,18% à 3,021 milliards FCFA malgré un PNB en baisse de 3,11%. Au S1 2025, le PNB a progressé de 2,7% à 18,71 milliards FCFA, avec un résultat net en hausse de 28,8% à 6,21 milliards. Sur les 9 mois (T3 2025), le PNB cumulé atteint 28,52 milliards FCFA (+5,8%), et le résultat net 9,16 milliards FCFA (+26,2%). Ces performances sont portées par une baisse spectaculaire du coût du risque (-32,7% au S1) et une maîtrise des charges. On estime que l'exercice 2025 complet devrait confirmer un résultat net autour de 11 milliards FCFA, en ligne avec les données structurées.</w:t>
      </w:r>
    </w:p>
    <w:p>
      <w:pPr>
        <w:spacing w:after="120" w:line="276" w:lineRule="auto"/>
      </w:pPr>
      <w:r>
        <w:t>**Évolution et perspectives** : La banque démontre une résilience remarquable dans un contexte sécuritaire et économique difficile. La collecte de dépôts reste dynamique (+9,2% depuis fin 2024), mais le portefeuille de crédits se contracte (-8,6%), ce qui limite le potentiel de croissance future. La structure financière est solide avec une solvabilité générale de 109,16% et une capacité de remboursement de 1,79 an. La recommandation fondamentale est positive, avec une solidité financière avérée et des perspectives de croissance modérées mais soutenables.</w:t>
      </w:r>
    </w:p>
    <w:p>
      <w:pPr>
        <w:spacing w:after="120" w:line="276" w:lineRule="auto"/>
      </w:pPr>
      <w:r>
        <w:t>---</w:t>
      </w:r>
    </w:p>
    <w:p>
      <w:pPr>
        <w:spacing w:after="120" w:line="276" w:lineRule="auto"/>
      </w:pPr>
      <w:r>
        <w:t>### PARTIE 4 : CONCLUSION D'INVESTISSEMENT</w:t>
      </w:r>
    </w:p>
    <w:p>
      <w:pPr>
        <w:spacing w:after="120" w:line="276" w:lineRule="auto"/>
      </w:pPr>
      <w:r>
        <w:t>La valorisation de BOAM (PER 14,1x, P/B 3,14x) est légèrement supérieure à la moyenne du marché, mais justifiée par une rentabilité exceptionnelle (ROE &gt;22%) et une croissance soutenue du résultat net (+26% sur 9 mois). Le comportement du cours (+20,5% sur 100 jours) reflète cette confiance, mais la volatilité élevée (31,1%) et les statistiques (skewness positif) suggèrent un risque de correction. Les signaux techniques sont partagés : la tendance de fond reste haussière (MM), mais le MACD et le stochastique en surachat signalent un repli probable à court terme. Les fondamentaux sont solides, avec une banque résiliente et profitable, mais confrontée à un risque de crédit élevé et une contraction des crédits. Les prédictions IA (baisse progressive de 5 676 à 5 353 FCFA sur 10 jours) confirment le scénario de correction technique. **Recommandation : CONSERVER**. Les investisseurs devraient maintenir leurs positions, en attendant un point d'entrée plus favorable après la correction attendue. **Niveau de confiance : Moyen**. **Risque global : Élevé** (volatilité, contexte sécuritaire). **Horizon optimal : Moyen terme (3-12 mois)**, en capitalisant sur la solidité fondamentale après la phase de consolidation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10,617 titres</w:t>
            </w:r>
          </w:p>
        </w:tc>
        <w:tc>
          <w:tcPr>
            <w:tcW w:type="dxa" w:w="2268"/>
            <w:shd w:fill="FFF2CC" w:val="clear"/>
          </w:tcPr>
          <w:p>
            <w:r>
              <w:rPr>
                <w:b/>
                <w:color w:val="503200"/>
                <w:sz w:val="16"/>
              </w:rPr>
              <w:t xml:space="preserve">Cours actuel : </w:t>
            </w:r>
            <w:r>
              <w:rPr>
                <w:color w:val="000000"/>
                <w:sz w:val="17"/>
              </w:rPr>
              <w:t>5,200 FCFA</w:t>
            </w:r>
          </w:p>
          <w:p>
            <w:r>
              <w:rPr>
                <w:b/>
                <w:color w:val="503200"/>
                <w:sz w:val="16"/>
              </w:rPr>
              <w:t xml:space="preserve">Var. 100 jours : </w:t>
            </w:r>
            <w:r>
              <w:rPr>
                <w:b/>
                <w:color w:val="007800"/>
                <w:sz w:val="17"/>
              </w:rPr>
              <w:t>+74.20%</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22.14% (Élevée) — μ=3,818 FCFA, σ=845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β=0.5639 (Défensif) — Cov=0.000021, Var(idx)=0.000036, ρ=0.126,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10,617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5477"/>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4,932</w:t>
            </w:r>
          </w:p>
        </w:tc>
        <w:tc>
          <w:tcPr>
            <w:tcW w:type="dxa" w:w="1440"/>
            <w:shd w:fill="FAFAFA" w:val="clear"/>
          </w:tcPr>
          <w:p>
            <w:r>
              <w:rPr>
                <w:b/>
                <w:sz w:val="17"/>
              </w:rPr>
              <w:t>5,160</w:t>
            </w:r>
          </w:p>
        </w:tc>
        <w:tc>
          <w:tcPr>
            <w:tcW w:type="dxa" w:w="1440"/>
            <w:shd w:fill="FAFAFA" w:val="clear"/>
          </w:tcPr>
          <w:p>
            <w:r>
              <w:rPr>
                <w:sz w:val="17"/>
              </w:rPr>
              <w:t>5,389</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4,836</w:t>
            </w:r>
          </w:p>
        </w:tc>
        <w:tc>
          <w:tcPr>
            <w:tcW w:type="dxa" w:w="1440"/>
            <w:shd w:fill="FAFAFA" w:val="clear"/>
          </w:tcPr>
          <w:p>
            <w:r>
              <w:rPr>
                <w:b/>
                <w:sz w:val="17"/>
              </w:rPr>
              <w:t>5,158</w:t>
            </w:r>
          </w:p>
        </w:tc>
        <w:tc>
          <w:tcPr>
            <w:tcW w:type="dxa" w:w="1440"/>
            <w:shd w:fill="FAFAFA" w:val="clear"/>
          </w:tcPr>
          <w:p>
            <w:r>
              <w:rPr>
                <w:sz w:val="17"/>
              </w:rPr>
              <w:t>5,481</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4,755</w:t>
            </w:r>
          </w:p>
        </w:tc>
        <w:tc>
          <w:tcPr>
            <w:tcW w:type="dxa" w:w="1440"/>
            <w:shd w:fill="FAFAFA" w:val="clear"/>
          </w:tcPr>
          <w:p>
            <w:r>
              <w:rPr>
                <w:b/>
                <w:sz w:val="17"/>
              </w:rPr>
              <w:t>5,149</w:t>
            </w:r>
          </w:p>
        </w:tc>
        <w:tc>
          <w:tcPr>
            <w:tcW w:type="dxa" w:w="1440"/>
            <w:shd w:fill="FAFAFA" w:val="clear"/>
          </w:tcPr>
          <w:p>
            <w:r>
              <w:rPr>
                <w:sz w:val="17"/>
              </w:rPr>
              <w:t>5,544</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2026-08-14</w:t>
            </w:r>
          </w:p>
        </w:tc>
        <w:tc>
          <w:tcPr>
            <w:tcW w:type="dxa" w:w="1440"/>
            <w:shd w:fill="FAFAFA" w:val="clear"/>
          </w:tcPr>
          <w:p>
            <w:r>
              <w:rPr>
                <w:sz w:val="17"/>
              </w:rPr>
              <w:t>4,684</w:t>
            </w:r>
          </w:p>
        </w:tc>
        <w:tc>
          <w:tcPr>
            <w:tcW w:type="dxa" w:w="1440"/>
            <w:shd w:fill="FAFAFA" w:val="clear"/>
          </w:tcPr>
          <w:p>
            <w:r>
              <w:rPr>
                <w:b/>
                <w:sz w:val="17"/>
              </w:rPr>
              <w:t>5,139</w:t>
            </w:r>
          </w:p>
        </w:tc>
        <w:tc>
          <w:tcPr>
            <w:tcW w:type="dxa" w:w="1440"/>
            <w:shd w:fill="FAFAFA" w:val="clear"/>
          </w:tcPr>
          <w:p>
            <w:r>
              <w:rPr>
                <w:sz w:val="17"/>
              </w:rPr>
              <w:t>5,594</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2026-08-17</w:t>
            </w:r>
          </w:p>
        </w:tc>
        <w:tc>
          <w:tcPr>
            <w:tcW w:type="dxa" w:w="1440"/>
            <w:shd w:fill="FAFAFA" w:val="clear"/>
          </w:tcPr>
          <w:p>
            <w:r>
              <w:rPr>
                <w:sz w:val="17"/>
              </w:rPr>
              <w:t>4,622</w:t>
            </w:r>
          </w:p>
        </w:tc>
        <w:tc>
          <w:tcPr>
            <w:tcW w:type="dxa" w:w="1440"/>
            <w:shd w:fill="FAFAFA" w:val="clear"/>
          </w:tcPr>
          <w:p>
            <w:r>
              <w:rPr>
                <w:b/>
                <w:sz w:val="17"/>
              </w:rPr>
              <w:t>5,129</w:t>
            </w:r>
          </w:p>
        </w:tc>
        <w:tc>
          <w:tcPr>
            <w:tcW w:type="dxa" w:w="1440"/>
            <w:shd w:fill="FAFAFA" w:val="clear"/>
          </w:tcPr>
          <w:p>
            <w:r>
              <w:rPr>
                <w:sz w:val="17"/>
              </w:rPr>
              <w:t>5,636</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2026-08-18</w:t>
            </w:r>
          </w:p>
        </w:tc>
        <w:tc>
          <w:tcPr>
            <w:tcW w:type="dxa" w:w="1440"/>
            <w:shd w:fill="FAFAFA" w:val="clear"/>
          </w:tcPr>
          <w:p>
            <w:r>
              <w:rPr>
                <w:sz w:val="17"/>
              </w:rPr>
              <w:t>4,565</w:t>
            </w:r>
          </w:p>
        </w:tc>
        <w:tc>
          <w:tcPr>
            <w:tcW w:type="dxa" w:w="1440"/>
            <w:shd w:fill="FAFAFA" w:val="clear"/>
          </w:tcPr>
          <w:p>
            <w:r>
              <w:rPr>
                <w:b/>
                <w:sz w:val="17"/>
              </w:rPr>
              <w:t>5,119</w:t>
            </w:r>
          </w:p>
        </w:tc>
        <w:tc>
          <w:tcPr>
            <w:tcW w:type="dxa" w:w="1440"/>
            <w:shd w:fill="FAFAFA" w:val="clear"/>
          </w:tcPr>
          <w:p>
            <w:r>
              <w:rPr>
                <w:sz w:val="17"/>
              </w:rPr>
              <w:t>5,674</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2026-08-19</w:t>
            </w:r>
          </w:p>
        </w:tc>
        <w:tc>
          <w:tcPr>
            <w:tcW w:type="dxa" w:w="1440"/>
            <w:shd w:fill="FAFAFA" w:val="clear"/>
          </w:tcPr>
          <w:p>
            <w:r>
              <w:rPr>
                <w:sz w:val="17"/>
              </w:rPr>
              <w:t>4,512</w:t>
            </w:r>
          </w:p>
        </w:tc>
        <w:tc>
          <w:tcPr>
            <w:tcW w:type="dxa" w:w="1440"/>
            <w:shd w:fill="FAFAFA" w:val="clear"/>
          </w:tcPr>
          <w:p>
            <w:r>
              <w:rPr>
                <w:b/>
                <w:sz w:val="17"/>
              </w:rPr>
              <w:t>5,110</w:t>
            </w:r>
          </w:p>
        </w:tc>
        <w:tc>
          <w:tcPr>
            <w:tcW w:type="dxa" w:w="1440"/>
            <w:shd w:fill="FAFAFA" w:val="clear"/>
          </w:tcPr>
          <w:p>
            <w:r>
              <w:rPr>
                <w:sz w:val="17"/>
              </w:rPr>
              <w:t>5,707</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2026-08-20</w:t>
            </w:r>
          </w:p>
        </w:tc>
        <w:tc>
          <w:tcPr>
            <w:tcW w:type="dxa" w:w="1440"/>
            <w:shd w:fill="FAFAFA" w:val="clear"/>
          </w:tcPr>
          <w:p>
            <w:r>
              <w:rPr>
                <w:sz w:val="17"/>
              </w:rPr>
              <w:t>4,462</w:t>
            </w:r>
          </w:p>
        </w:tc>
        <w:tc>
          <w:tcPr>
            <w:tcW w:type="dxa" w:w="1440"/>
            <w:shd w:fill="FAFAFA" w:val="clear"/>
          </w:tcPr>
          <w:p>
            <w:r>
              <w:rPr>
                <w:b/>
                <w:sz w:val="17"/>
              </w:rPr>
              <w:t>5,100</w:t>
            </w:r>
          </w:p>
        </w:tc>
        <w:tc>
          <w:tcPr>
            <w:tcW w:type="dxa" w:w="1440"/>
            <w:shd w:fill="FAFAFA" w:val="clear"/>
          </w:tcPr>
          <w:p>
            <w:r>
              <w:rPr>
                <w:sz w:val="17"/>
              </w:rPr>
              <w:t>5,738</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4,415</w:t>
            </w:r>
          </w:p>
        </w:tc>
        <w:tc>
          <w:tcPr>
            <w:tcW w:type="dxa" w:w="1440"/>
            <w:shd w:fill="FFDCE0" w:val="clear"/>
          </w:tcPr>
          <w:p>
            <w:r>
              <w:rPr>
                <w:b/>
                <w:sz w:val="17"/>
              </w:rPr>
              <w:t>5,091</w:t>
            </w:r>
          </w:p>
        </w:tc>
        <w:tc>
          <w:tcPr>
            <w:tcW w:type="dxa" w:w="1440"/>
            <w:shd w:fill="FFDCE0" w:val="clear"/>
          </w:tcPr>
          <w:p>
            <w:r>
              <w:rPr>
                <w:sz w:val="17"/>
              </w:rPr>
              <w:t>5,766</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4,370</w:t>
            </w:r>
          </w:p>
        </w:tc>
        <w:tc>
          <w:tcPr>
            <w:tcW w:type="dxa" w:w="1440"/>
            <w:shd w:fill="FFDCE0" w:val="clear"/>
          </w:tcPr>
          <w:p>
            <w:r>
              <w:rPr>
                <w:b/>
                <w:sz w:val="17"/>
              </w:rPr>
              <w:t>5,081</w:t>
            </w:r>
          </w:p>
        </w:tc>
        <w:tc>
          <w:tcPr>
            <w:tcW w:type="dxa" w:w="1440"/>
            <w:shd w:fill="FFDCE0" w:val="clear"/>
          </w:tcPr>
          <w:p>
            <w:r>
              <w:rPr>
                <w:sz w:val="17"/>
              </w:rPr>
              <w:t>5,792</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108,16 milliards FCFA, un niveau significatif qui la positionne parmi les valeurs moyennes de la BRVM, reflétant une taille respectable dans le paysage bancaire régional. Le BPA de 20 FCFA par action est particulièrement faible, ce qui explique un PER de 264,4x, extrêmement élevé comparé à la moyenne du marché BRVM (8-12x), indiquant que les investisseurs paient un prix très supérieur aux bénéfices actuels générés par la banque. Le P/B de 3,00x montre que le marché valorise la société à trois fois sa valeur comptable, une prime de croissance significative qui témoigne d'attentes élevées malgré les difficultés récentes. L'EV/EBITDA de 39,9x confirme cette surévaluation relative, la valeur totale de l'entreprise étant près de 40 fois sa capacité opérationnelle, un niveau très exigeant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BOAN affiche une progression spectaculaire de +74,20%, passant d'un plus bas de 2 460 FCFA à un plus haut de 5 400 FCFA, avec un cours actuel de 5 200 FCFA, tandis que la dernière séance est restée stable. La moyenne de 3 818 FCFA est supérieure à la médiane de 3 702 FCFA, indiquant une asymétrie positive de la distribution des prix, confirmée par un skewness de 0,447, suggérant que les fortes hausses ont été plus fréquentes que les fortes baisses. L'écart-type de 850 FCFA avec un coefficient de variation de 22,3% révèle une dispersion modérée des cours autour de la moyenne, tandis que le kurtosis de -0,750 indique une distribution mésokurtique, proche de la normale, avec un risque de pics extrêmes limité. La volatilité annualisée de 44,2% classe le titre dans la catégorie des valeurs à forte volatilité (&gt;30%), reflétant un risque élevé mais aussi un potentiel de rendement important pour les investisseurs tolérants au risque.</w:t>
      </w:r>
    </w:p>
    <w:p>
      <w:pPr>
        <w:spacing w:after="120" w:line="276" w:lineRule="auto" w:before="240"/>
      </w:pPr>
      <w:r>
        <w:rPr>
          <w:b/>
          <w:color w:val="003366"/>
          <w:sz w:val="24"/>
        </w:rPr>
        <w:t>**PARTIE 2 : ANALYSE TECHNIQUE DÉTAILLÉE**</w:t>
      </w:r>
    </w:p>
    <w:p>
      <w:pPr>
        <w:spacing w:after="120" w:line="276" w:lineRule="auto"/>
      </w:pPr>
      <w:r>
        <w:t>Les Moyennes Mobiles montrent un signal d'achat avec la MM20 à 5 202 FCFA et la MM50 à 4 460,3 FCFA, le cours actuel de 5 200 FCFA se situant au-dessus de la MM50 mais légèrement sous la MM20, indiquant une tendance haussière de moyen terme avec une consolidation à court terme. Les Bandes de Bollinger présentent une décision neutre, le prix à 5 200 FCFA se positionnant entre la borne supérieure à 5 576 FCFA et la borne inférieure à 4 828 FCFA, suggérant une volatilité modérée sans excès haussier ou baissier. Le MACD affiche un signal de vente avec une valeur de 203,874 inférieure à son signal de 264,96, indiquant un momentum baissier à court terme malgré la tendance haussière de fond. Le RSI à 41,063 se situe en zone neutre, ni suracheté ni survendu, laissant une marge de manœuvre dans les deux sens. Le Stochastique avec %K à 38,462 et %D à 25,641 montre une dynamique neutre, sans croisement décisif, suggérant une absence de direction claire à très court terme. La conclusion technique est mitigée : la tendance de fond reste haussière (MM50), mais les indicateurs de momentum (MACD, RSI, Stochastique) signalent une consolidation ou un essoufflement temporaire, appelant à la prudence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de BOAN révèlent une situation financière contrastée : le Produit Net Bancaire s'établit à 21,125 milliards FCFA, en légère baisse de 1,2% par rapport à 2024, tandis que le résultat net s'effondre à 409 millions FCFA, soit une chute vertigineuse de 91,8% par rapport aux 5 002 millions FCFA de 2024. La rentabilité est sévèrement dégradée avec un ROE de 1,13% et un ROA de 0,14%, très en dessous des seuils d'excellence (&gt;15% pour le ROE), tandis que le coefficient d'exploitation de 74,37% dépasse largement le seuil d'efficacité de 60%, indiquant une mauvaise maîtrise des charges. Le coût du risque de 67,30% est préoccupant, reflétant un portefeuille de crédits de mauvaise qualité avec un taux de créances en souffrance de 24% (vs 12% moyenne UEMOA), et la banque a dû provisionner massivement (4,292 milliards FCFA). Les dépôts clientèle de 183,280 milliards FCFA couvrent confortablement les créances de 128,447 milliards FCFA, mais la capacité de remboursement de 19,09 ans est très longue. Sur la base des rapports trimestriels, le T1 2026 (rapport du 20 mars 2026) montre une nette amélioration avec un résultat net en hausse de 28,9% à 1 467,3 millions FCFA et un PNB en progression de 7,9%, permettant d'estimer un exercice 2026 en redressement avec un objectif de résultat avant impôts de 7,280 milliards FCFA. Les rapports de 2024 (rapport annuel) et du semestre 2025 confirment la tendance baissière de l'activité, mais le budget 2026 prévoit une croissance du PNB de 6,4% et une réduction du coût du risque de 65,7%, soutenue par le groupe BOA et la reprise économique attendue au Niger.</w:t>
      </w:r>
    </w:p>
    <w:p>
      <w:pPr>
        <w:spacing w:after="120" w:line="276" w:lineRule="auto" w:before="240"/>
      </w:pPr>
      <w:r>
        <w:rPr>
          <w:b/>
          <w:color w:val="003366"/>
          <w:sz w:val="24"/>
        </w:rPr>
        <w:t>**PARTIE 4 : CONCLUSION D'INVESTISSEMENT**</w:t>
      </w:r>
    </w:p>
    <w:p>
      <w:pPr>
        <w:spacing w:after="120" w:line="276" w:lineRule="auto"/>
      </w:pPr>
      <w:r>
        <w:t>La valorisation de BOAN est clairement surévaluée avec un PER de 264,4x et un EV/EBITDA de 39,9x, très supérieurs aux moyennes du marché, tandis que le comportement du cours montre une hausse spectaculaire de 74,2% sur 100 jours avec une volatilité élevée de 44,2%, suggérant un enthousiasme spéculatif qui contraste avec la faiblesse des fondamentaux. Les signaux techniques sont divergents : la tendance de fond reste positive (MM50), mais les indicateurs de momentum (MACD vente, RSI neutre, Stochastique neutre) indiquent une consolidation à court terme. Les fondamentaux, bien que dégradés en 2025, montrent des signes encourageants de redressement au T1 2026 (+28,9% du résultat net), soutenus par le plan stratégique du groupe et la reprise économique nigérienne. Les prédictions IA pour les 10 prochains jours (5 160 à 5 129 FCFA) suggèrent une légère correction, confirmant les signaux techniques de consolidation. La convergence entre la surévaluation boursière, les signaux techniques mitigés et les fondamentaux en amélioration mais encore fragiles conduit à une recommandation de **CONSERVER** avec un niveau de confiance **Moyen**, un risque global **Élevé**, et un horizon d'investissement optimal à **moyen terme (3-12 mois)** pour observer la concrétisation du plan de redressement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279.00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8,992 titres</w:t>
            </w:r>
          </w:p>
        </w:tc>
        <w:tc>
          <w:tcPr>
            <w:tcW w:type="dxa" w:w="2268"/>
            <w:shd w:fill="FFF2CC" w:val="clear"/>
          </w:tcPr>
          <w:p>
            <w:r>
              <w:rPr>
                <w:b/>
                <w:color w:val="503200"/>
                <w:sz w:val="16"/>
              </w:rPr>
              <w:t xml:space="preserve">Cours actuel : </w:t>
            </w:r>
            <w:r>
              <w:rPr>
                <w:color w:val="000000"/>
                <w:sz w:val="17"/>
              </w:rPr>
              <w:t>7,750 FCFA</w:t>
            </w:r>
          </w:p>
          <w:p>
            <w:r>
              <w:rPr>
                <w:b/>
                <w:color w:val="503200"/>
                <w:sz w:val="16"/>
              </w:rPr>
              <w:t xml:space="preserve">Var. 100 jours : </w:t>
            </w:r>
            <w:r>
              <w:rPr>
                <w:b/>
                <w:color w:val="007800"/>
                <w:sz w:val="17"/>
              </w:rPr>
              <w:t>+10.79%</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μ=7,260 FCFA, σ=389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β=0.5349 (Défensif) — Cov=0.000020, Var(idx)=0.000036, ρ=0.207,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7,387</w:t>
            </w:r>
          </w:p>
        </w:tc>
        <w:tc>
          <w:tcPr>
            <w:tcW w:type="dxa" w:w="1440"/>
            <w:shd w:fill="FFDCE0" w:val="clear"/>
          </w:tcPr>
          <w:p>
            <w:r>
              <w:rPr>
                <w:b/>
                <w:sz w:val="17"/>
              </w:rPr>
              <w:t>7,564</w:t>
            </w:r>
          </w:p>
        </w:tc>
        <w:tc>
          <w:tcPr>
            <w:tcW w:type="dxa" w:w="1440"/>
            <w:shd w:fill="FFDCE0" w:val="clear"/>
          </w:tcPr>
          <w:p>
            <w:r>
              <w:rPr>
                <w:sz w:val="17"/>
              </w:rPr>
              <w:t>7,741</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7,205</w:t>
            </w:r>
          </w:p>
        </w:tc>
        <w:tc>
          <w:tcPr>
            <w:tcW w:type="dxa" w:w="1440"/>
            <w:shd w:fill="FFDCE0" w:val="clear"/>
          </w:tcPr>
          <w:p>
            <w:r>
              <w:rPr>
                <w:b/>
                <w:sz w:val="17"/>
              </w:rPr>
              <w:t>7,452</w:t>
            </w:r>
          </w:p>
        </w:tc>
        <w:tc>
          <w:tcPr>
            <w:tcW w:type="dxa" w:w="1440"/>
            <w:shd w:fill="FFDCE0" w:val="clear"/>
          </w:tcPr>
          <w:p>
            <w:r>
              <w:rPr>
                <w:sz w:val="17"/>
              </w:rPr>
              <w:t>7,698</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7,043</w:t>
            </w:r>
          </w:p>
        </w:tc>
        <w:tc>
          <w:tcPr>
            <w:tcW w:type="dxa" w:w="1440"/>
            <w:shd w:fill="FFDCE0" w:val="clear"/>
          </w:tcPr>
          <w:p>
            <w:r>
              <w:rPr>
                <w:b/>
                <w:sz w:val="17"/>
              </w:rPr>
              <w:t>7,340</w:t>
            </w:r>
          </w:p>
        </w:tc>
        <w:tc>
          <w:tcPr>
            <w:tcW w:type="dxa" w:w="1440"/>
            <w:shd w:fill="FFDCE0" w:val="clear"/>
          </w:tcPr>
          <w:p>
            <w:r>
              <w:rPr>
                <w:sz w:val="17"/>
              </w:rPr>
              <w:t>7,638</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6,900</w:t>
            </w:r>
          </w:p>
        </w:tc>
        <w:tc>
          <w:tcPr>
            <w:tcW w:type="dxa" w:w="1440"/>
            <w:shd w:fill="FFDCE0" w:val="clear"/>
          </w:tcPr>
          <w:p>
            <w:r>
              <w:rPr>
                <w:b/>
                <w:sz w:val="17"/>
              </w:rPr>
              <w:t>7,238</w:t>
            </w:r>
          </w:p>
        </w:tc>
        <w:tc>
          <w:tcPr>
            <w:tcW w:type="dxa" w:w="1440"/>
            <w:shd w:fill="FFDCE0" w:val="clear"/>
          </w:tcPr>
          <w:p>
            <w:r>
              <w:rPr>
                <w:sz w:val="17"/>
              </w:rPr>
              <w:t>7,577</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6,770</w:t>
            </w:r>
          </w:p>
        </w:tc>
        <w:tc>
          <w:tcPr>
            <w:tcW w:type="dxa" w:w="1440"/>
            <w:shd w:fill="FFDCE0" w:val="clear"/>
          </w:tcPr>
          <w:p>
            <w:r>
              <w:rPr>
                <w:b/>
                <w:sz w:val="17"/>
              </w:rPr>
              <w:t>7,143</w:t>
            </w:r>
          </w:p>
        </w:tc>
        <w:tc>
          <w:tcPr>
            <w:tcW w:type="dxa" w:w="1440"/>
            <w:shd w:fill="FFDCE0" w:val="clear"/>
          </w:tcPr>
          <w:p>
            <w:r>
              <w:rPr>
                <w:sz w:val="17"/>
              </w:rPr>
              <w:t>7,517</w:t>
            </w:r>
          </w:p>
        </w:tc>
        <w:tc>
          <w:tcPr>
            <w:tcW w:type="dxa" w:w="1440"/>
            <w:shd w:fill="FFDCE0" w:val="clear"/>
          </w:tcPr>
          <w:p>
            <w:r>
              <w:rPr>
                <w:b/>
                <w:color w:val="C00000"/>
                <w:sz w:val="17"/>
              </w:rPr>
              <w:t>-7.8%</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6,649</w:t>
            </w:r>
          </w:p>
        </w:tc>
        <w:tc>
          <w:tcPr>
            <w:tcW w:type="dxa" w:w="1440"/>
            <w:shd w:fill="FFDCE0" w:val="clear"/>
          </w:tcPr>
          <w:p>
            <w:r>
              <w:rPr>
                <w:b/>
                <w:sz w:val="17"/>
              </w:rPr>
              <w:t>7,053</w:t>
            </w:r>
          </w:p>
        </w:tc>
        <w:tc>
          <w:tcPr>
            <w:tcW w:type="dxa" w:w="1440"/>
            <w:shd w:fill="FFDCE0" w:val="clear"/>
          </w:tcPr>
          <w:p>
            <w:r>
              <w:rPr>
                <w:sz w:val="17"/>
              </w:rPr>
              <w:t>7,457</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6,537</w:t>
            </w:r>
          </w:p>
        </w:tc>
        <w:tc>
          <w:tcPr>
            <w:tcW w:type="dxa" w:w="1440"/>
            <w:shd w:fill="FFDCE0" w:val="clear"/>
          </w:tcPr>
          <w:p>
            <w:r>
              <w:rPr>
                <w:b/>
                <w:sz w:val="17"/>
              </w:rPr>
              <w:t>6,968</w:t>
            </w:r>
          </w:p>
        </w:tc>
        <w:tc>
          <w:tcPr>
            <w:tcW w:type="dxa" w:w="1440"/>
            <w:shd w:fill="FFDCE0" w:val="clear"/>
          </w:tcPr>
          <w:p>
            <w:r>
              <w:rPr>
                <w:sz w:val="17"/>
              </w:rPr>
              <w:t>7,399</w:t>
            </w:r>
          </w:p>
        </w:tc>
        <w:tc>
          <w:tcPr>
            <w:tcW w:type="dxa" w:w="1440"/>
            <w:shd w:fill="FFDCE0" w:val="clear"/>
          </w:tcPr>
          <w:p>
            <w:r>
              <w:rPr>
                <w:b/>
                <w:color w:val="C00000"/>
                <w:sz w:val="17"/>
              </w:rPr>
              <w:t>-10.1%</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6,431</w:t>
            </w:r>
          </w:p>
        </w:tc>
        <w:tc>
          <w:tcPr>
            <w:tcW w:type="dxa" w:w="1440"/>
            <w:shd w:fill="FFDCE0" w:val="clear"/>
          </w:tcPr>
          <w:p>
            <w:r>
              <w:rPr>
                <w:b/>
                <w:sz w:val="17"/>
              </w:rPr>
              <w:t>6,887</w:t>
            </w:r>
          </w:p>
        </w:tc>
        <w:tc>
          <w:tcPr>
            <w:tcW w:type="dxa" w:w="1440"/>
            <w:shd w:fill="FFDCE0" w:val="clear"/>
          </w:tcPr>
          <w:p>
            <w:r>
              <w:rPr>
                <w:sz w:val="17"/>
              </w:rPr>
              <w:t>7,342</w:t>
            </w:r>
          </w:p>
        </w:tc>
        <w:tc>
          <w:tcPr>
            <w:tcW w:type="dxa" w:w="1440"/>
            <w:shd w:fill="FFDCE0" w:val="clear"/>
          </w:tcPr>
          <w:p>
            <w:r>
              <w:rPr>
                <w:b/>
                <w:color w:val="C00000"/>
                <w:sz w:val="17"/>
              </w:rPr>
              <w:t>-11.1%</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6,332</w:t>
            </w:r>
          </w:p>
        </w:tc>
        <w:tc>
          <w:tcPr>
            <w:tcW w:type="dxa" w:w="1440"/>
            <w:shd w:fill="FFDCE0" w:val="clear"/>
          </w:tcPr>
          <w:p>
            <w:r>
              <w:rPr>
                <w:b/>
                <w:sz w:val="17"/>
              </w:rPr>
              <w:t>6,810</w:t>
            </w:r>
          </w:p>
        </w:tc>
        <w:tc>
          <w:tcPr>
            <w:tcW w:type="dxa" w:w="1440"/>
            <w:shd w:fill="FFDCE0" w:val="clear"/>
          </w:tcPr>
          <w:p>
            <w:r>
              <w:rPr>
                <w:sz w:val="17"/>
              </w:rPr>
              <w:t>7,287</w:t>
            </w:r>
          </w:p>
        </w:tc>
        <w:tc>
          <w:tcPr>
            <w:tcW w:type="dxa" w:w="1440"/>
            <w:shd w:fill="FFDCE0" w:val="clear"/>
          </w:tcPr>
          <w:p>
            <w:r>
              <w:rPr>
                <w:b/>
                <w:color w:val="C00000"/>
                <w:sz w:val="17"/>
              </w:rPr>
              <w:t>-12.1%</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6,238</w:t>
            </w:r>
          </w:p>
        </w:tc>
        <w:tc>
          <w:tcPr>
            <w:tcW w:type="dxa" w:w="1440"/>
            <w:shd w:fill="FFDCE0" w:val="clear"/>
          </w:tcPr>
          <w:p>
            <w:r>
              <w:rPr>
                <w:b/>
                <w:sz w:val="17"/>
              </w:rPr>
              <w:t>6,736</w:t>
            </w:r>
          </w:p>
        </w:tc>
        <w:tc>
          <w:tcPr>
            <w:tcW w:type="dxa" w:w="1440"/>
            <w:shd w:fill="FFDCE0" w:val="clear"/>
          </w:tcPr>
          <w:p>
            <w:r>
              <w:rPr>
                <w:sz w:val="17"/>
              </w:rPr>
              <w:t>7,234</w:t>
            </w:r>
          </w:p>
        </w:tc>
        <w:tc>
          <w:tcPr>
            <w:tcW w:type="dxa" w:w="1440"/>
            <w:shd w:fill="FFDCE0" w:val="clear"/>
          </w:tcPr>
          <w:p>
            <w:r>
              <w:rPr>
                <w:b/>
                <w:color w:val="C00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279 milliards FCFA, ce qui en fait une valeur de première ligne sur la BRVM, représentative du secteur bancaire sénégalais. Avec un BPA de 608 FCFA, chaque action génère un bénéfice substantiel pour l'actionnaire. Le PER de 12,7x se situe légèrement au-dessus de la moyenne historique de la BRVM (8-12x), indiquant que le marché valorise la croissance future de la banque, bien que le prix reste raisonnable. Le P/B de 2,89x confirme cette prime de croissance, le marché valorisant la société près de trois fois sa valeur comptable, ce qui témoigne d'une confiance dans la création de valeur future. Enfin, l'EV/EBITDA de 8,2x est dans la fourchette raisonnable (5-10x), suggérant que la valorisation globale de l'entreprise, rapportée à sa capacité opérationnelle, n'est pas excessive et laisse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affiche une progression solide de +10,79%, avec une dernière séance positive à +0,52%, clôturant à 7 750 FCFA. Le titre a évolué dans un range de trading de 6 400 FCFA (plus bas) à 8 050 FCFA (plus haut), démontrant une dynamique haussière soutenue. La moyenne du cours sur la période (7 260 FCFA) est inférieure à la médiane (7 305 FCFA), suggérant une distribution légèrement asymétrique avec des épisodes de baisse plus marqués que les hausses, bien que le skewness (-0,101) indique une symétrie quasi parfaite. L'écart-type de 391 FCFA (CV=5,4%) révèle une dispersion modérée autour de la moyenne. Le kurtosis de -0,791 (mésokurtique) indique une distribution proche de la normale, sans risque de pics extrêmes. La volatilité annualisée de 24,6% classe le titre dans une zone de volatilité modérée (15-30%), ce qui est acceptable pour une valeur bancaire.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(7 750 FCFA) se positionne au-dessus de la MM20 (7 636,75 FCFA) et de la MM50 (7 471,3 FCFA), confirmant une tendance haussière de court et moyen terme. La configuration des MM (MM20 &gt; MM50) valide le signal d'achat, indiquant une dynamique positive soutenue par les acheteurs.</w:t>
      </w:r>
    </w:p>
    <w:p>
      <w:pPr>
        <w:spacing w:after="120" w:line="276" w:lineRule="auto"/>
      </w:pPr>
      <w:r>
        <w:t>**Bandes de Bollinger** : Le prix se situe à 7 750 FCFA, entre la borne inférieure (7 226,37 FCFA) et la borne supérieure (8 047,13 FCFA), proche du milieu de la bande. Cette position neutre suggère une volatilité modérée sans pression excessive d'achat ou de vente, laissant place à une poursuite de la tendance sans surachat.</w:t>
      </w:r>
    </w:p>
    <w:p>
      <w:pPr>
        <w:spacing w:after="120" w:line="276" w:lineRule="auto"/>
      </w:pPr>
      <w:r>
        <w:t>**MACD** : Le MACD (84,598) est inférieur à sa ligne de signal (92,416), indiquant un momentum baissier à court terme. Cette divergence négative suggère un ralentissement de la dynamique haussière, bien que les valeurs restent positives, ce qui nuance le signal de vente.</w:t>
      </w:r>
    </w:p>
    <w:p>
      <w:pPr>
        <w:spacing w:after="120" w:line="276" w:lineRule="auto"/>
      </w:pPr>
      <w:r>
        <w:t>**RSI** : À 57,874, le RSI se situe dans la zone neutre (30-70), indiquant un équilibre entre pression acheteuse et vendeuse. Le titre n'est ni suracheté ni survendu, laissant une marge de progression sans risque de correction immédiate.</w:t>
      </w:r>
    </w:p>
    <w:p>
      <w:pPr>
        <w:spacing w:after="120" w:line="276" w:lineRule="auto"/>
      </w:pPr>
      <w:r>
        <w:t>**Stochastique** : Le %K (55,208) est supérieur au %D (42,014), indiquant un croisement haussier en cours de formation. Ce signal neutre-positif suggère un potentiel de reprise après une phase de consolidation, sans confirmation forte.</w:t>
      </w:r>
    </w:p>
    <w:p>
      <w:pPr>
        <w:spacing w:after="120" w:line="276" w:lineRule="auto"/>
      </w:pPr>
      <w:r>
        <w:t>**Conclusion technique** : La convergence des signaux est mitigée. Les moyennes mobiles soutiennent une tendance haussière, tandis que le MACD et le RSI indiquent une phase de consolidation. Le stochastique suggère un potentiel de reprise. Globalement, la tendance de fond reste positive, mais un manque de momentum à court terme pourrait conduire à une stabilisation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BOA Sénégal affiche des fondamentaux solides. Le Produit Net Bancaire (PNB) s'établit à 51,926 Mds FCFA, avec un résultat net de 21,905 Mds FCFA, démontrant une rentabilité robuste. Le ROE de 22,69% et le ROA de 2,62% sont excellents, largement au-dessus des seuils de référence (&gt;15% et &gt;1% respectivement). Le coefficient d'exploitation de 44,02% témoigne d'une excellente maîtrise des coûts (&lt;50%). Le coût du risque de 23,31% reste élevé, mais les rapports trimestriels montrent une amélioration continue. Les dépôts clientèle (686,927 Mds FCFA) dépassent largement les créances sur la clientèle (386,424 Mds FCFA), indiquant une transformation saine. Les rapports trimestriels 2025 confirment cette dynamique : au T1 2025, le PNB progressait de 2,36% et le résultat net de 9,25% ; au S1 2025, la croissance s'accélérait à +6,77% pour le PNB et +12,70% pour le résultat net ; au T3 2025, le PNB cumulé atteignait 37,44 Mds FCFA (+6,71%) et le résultat net 16,37 Mds FCFA (+10,01%). Sur la base de ces tendances, on estime que l'exercice 2025 devrait confirmer une croissance soutenue, avec un résultat net annuel potentiellement supérieur à 21 Mds FCFA. Le rapport T1 2026 (PNB +6,82%, résultat net +9,78%) confirme la poursuite de cette trajectoire positive, avec un coefficient d'exploitation amélioré à 42,1%. La banque démontre une gestion prudente des risques et une efficacité opérationnelle remarquable, malgré un environnement économique sénégalais difficile.</w:t>
      </w:r>
    </w:p>
    <w:p>
      <w:pPr>
        <w:spacing w:after="120" w:line="276" w:lineRule="auto"/>
      </w:pPr>
      <w:r>
        <w:t>---</w:t>
      </w:r>
    </w:p>
    <w:p>
      <w:pPr>
        <w:spacing w:after="120" w:line="276" w:lineRule="auto"/>
      </w:pPr>
      <w:r>
        <w:t>### PARTIE 4 : CONCLUSION D'INVESTISSEMENT</w:t>
      </w:r>
    </w:p>
    <w:p>
      <w:pPr>
        <w:spacing w:after="120" w:line="276" w:lineRule="auto"/>
      </w:pPr>
      <w:r>
        <w:t>La valorisation de BOAS (PER 12,7x, P/B 2,89x, EV/EBITDA 8,2x) est raisonnable, reflétant une prime de croissance justifiée par la solidité des fondamentaux. Le comportement du cours sur 100 jours (+10,79%) est positif, avec une volatilité modérée et une distribution normale, indiquant un titre stable. Les signaux techniques sont mitigés à court terme (MACD vendeur, MM acheteuses), suggérant une consolidation avant une possible reprise. Les fondamentaux sont excellents : ROE de 22,7%, coefficient d'exploitation de 44%, et une croissance soutenue du PNB et du résultat net confirmée par les rapports trimestriels 2025 et T1 2026. Les prédictions IA (7 564 FCFA à J+1, 7 143 FCFA à J+10) indiquent une correction à court terme, contredisant la tendance haussière de fond. Cette divergence suggère une opportunité d'achat sur repli. **Recommandation : ACHAT** avec un niveau de confiance **Élevé**, un risque global **Moyen**, et un horizon d'investissement optimal à **moyen terme (3-12 mois)**, en capitalisant sur la solidité des fondamentaux et la croissance soutenue de la banque.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2,474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-1.82%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8.62% (Moyenne) — μ=3,740 FCFA, σ=322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β=-0.0221 (Contre-cyclique) — Cov=-0.000001, Var(idx)=0.000036, ρ=-0.004,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2,474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2026-08-11</w:t>
            </w:r>
          </w:p>
        </w:tc>
        <w:tc>
          <w:tcPr>
            <w:tcW w:type="dxa" w:w="1440"/>
            <w:shd w:fill="C6EFCE" w:val="clear"/>
          </w:tcPr>
          <w:p>
            <w:r>
              <w:rPr>
                <w:sz w:val="17"/>
              </w:rPr>
              <w:t>3,434</w:t>
            </w:r>
          </w:p>
        </w:tc>
        <w:tc>
          <w:tcPr>
            <w:tcW w:type="dxa" w:w="1440"/>
            <w:shd w:fill="C6EFCE" w:val="clear"/>
          </w:tcPr>
          <w:p>
            <w:r>
              <w:rPr>
                <w:b/>
                <w:sz w:val="17"/>
              </w:rPr>
              <w:t>3,669</w:t>
            </w:r>
          </w:p>
        </w:tc>
        <w:tc>
          <w:tcPr>
            <w:tcW w:type="dxa" w:w="1440"/>
            <w:shd w:fill="C6EFCE" w:val="clear"/>
          </w:tcPr>
          <w:p>
            <w:r>
              <w:rPr>
                <w:sz w:val="17"/>
              </w:rPr>
              <w:t>3,903</w:t>
            </w:r>
          </w:p>
        </w:tc>
        <w:tc>
          <w:tcPr>
            <w:tcW w:type="dxa" w:w="1440"/>
            <w:shd w:fill="C6EFCE" w:val="clear"/>
          </w:tcPr>
          <w:p>
            <w:r>
              <w:rPr>
                <w:b/>
                <w:color w:val="008000"/>
                <w:sz w:val="17"/>
              </w:rPr>
              <w:t>+4.8%</w:t>
            </w:r>
          </w:p>
        </w:tc>
      </w:tr>
      <w:tr>
        <w:tc>
          <w:tcPr>
            <w:tcW w:type="dxa" w:w="1440"/>
            <w:shd w:fill="C6EFCE" w:val="clear"/>
          </w:tcPr>
          <w:p>
            <w:r>
              <w:rPr>
                <w:sz w:val="17"/>
              </w:rPr>
              <w:t>J+2  Moyenne</w:t>
            </w:r>
          </w:p>
        </w:tc>
        <w:tc>
          <w:tcPr>
            <w:tcW w:type="dxa" w:w="1440"/>
            <w:shd w:fill="C6EFCE" w:val="clear"/>
          </w:tcPr>
          <w:p>
            <w:r>
              <w:rPr>
                <w:sz w:val="17"/>
              </w:rPr>
              <w:t>2026-08-12</w:t>
            </w:r>
          </w:p>
        </w:tc>
        <w:tc>
          <w:tcPr>
            <w:tcW w:type="dxa" w:w="1440"/>
            <w:shd w:fill="C6EFCE" w:val="clear"/>
          </w:tcPr>
          <w:p>
            <w:r>
              <w:rPr>
                <w:sz w:val="17"/>
              </w:rPr>
              <w:t>3,474</w:t>
            </w:r>
          </w:p>
        </w:tc>
        <w:tc>
          <w:tcPr>
            <w:tcW w:type="dxa" w:w="1440"/>
            <w:shd w:fill="C6EFCE" w:val="clear"/>
          </w:tcPr>
          <w:p>
            <w:r>
              <w:rPr>
                <w:b/>
                <w:sz w:val="17"/>
              </w:rPr>
              <w:t>3,820</w:t>
            </w:r>
          </w:p>
        </w:tc>
        <w:tc>
          <w:tcPr>
            <w:tcW w:type="dxa" w:w="1440"/>
            <w:shd w:fill="C6EFCE" w:val="clear"/>
          </w:tcPr>
          <w:p>
            <w:r>
              <w:rPr>
                <w:sz w:val="17"/>
              </w:rPr>
              <w:t>4,165</w:t>
            </w:r>
          </w:p>
        </w:tc>
        <w:tc>
          <w:tcPr>
            <w:tcW w:type="dxa" w:w="1440"/>
            <w:shd w:fill="C6EFCE" w:val="clear"/>
          </w:tcPr>
          <w:p>
            <w:r>
              <w:rPr>
                <w:b/>
                <w:color w:val="008000"/>
                <w:sz w:val="17"/>
              </w:rPr>
              <w:t>+9.1%</w:t>
            </w:r>
          </w:p>
        </w:tc>
      </w:tr>
      <w:tr>
        <w:tc>
          <w:tcPr>
            <w:tcW w:type="dxa" w:w="1440"/>
            <w:shd w:fill="C6EFCE" w:val="clear"/>
          </w:tcPr>
          <w:p>
            <w:r>
              <w:rPr>
                <w:sz w:val="17"/>
              </w:rPr>
              <w:t>J+3  Moyenne</w:t>
            </w:r>
          </w:p>
        </w:tc>
        <w:tc>
          <w:tcPr>
            <w:tcW w:type="dxa" w:w="1440"/>
            <w:shd w:fill="C6EFCE" w:val="clear"/>
          </w:tcPr>
          <w:p>
            <w:r>
              <w:rPr>
                <w:sz w:val="17"/>
              </w:rPr>
              <w:t>2026-08-13</w:t>
            </w:r>
          </w:p>
        </w:tc>
        <w:tc>
          <w:tcPr>
            <w:tcW w:type="dxa" w:w="1440"/>
            <w:shd w:fill="C6EFCE" w:val="clear"/>
          </w:tcPr>
          <w:p>
            <w:r>
              <w:rPr>
                <w:sz w:val="17"/>
              </w:rPr>
              <w:t>3,560</w:t>
            </w:r>
          </w:p>
        </w:tc>
        <w:tc>
          <w:tcPr>
            <w:tcW w:type="dxa" w:w="1440"/>
            <w:shd w:fill="C6EFCE" w:val="clear"/>
          </w:tcPr>
          <w:p>
            <w:r>
              <w:rPr>
                <w:b/>
                <w:sz w:val="17"/>
              </w:rPr>
              <w:t>4,003</w:t>
            </w:r>
          </w:p>
        </w:tc>
        <w:tc>
          <w:tcPr>
            <w:tcW w:type="dxa" w:w="1440"/>
            <w:shd w:fill="C6EFCE" w:val="clear"/>
          </w:tcPr>
          <w:p>
            <w:r>
              <w:rPr>
                <w:sz w:val="17"/>
              </w:rPr>
              <w:t>4,446</w:t>
            </w:r>
          </w:p>
        </w:tc>
        <w:tc>
          <w:tcPr>
            <w:tcW w:type="dxa" w:w="1440"/>
            <w:shd w:fill="C6EFCE" w:val="clear"/>
          </w:tcPr>
          <w:p>
            <w:r>
              <w:rPr>
                <w:b/>
                <w:color w:val="008000"/>
                <w:sz w:val="17"/>
              </w:rPr>
              <w:t>+14.4%</w:t>
            </w:r>
          </w:p>
        </w:tc>
      </w:tr>
      <w:tr>
        <w:tc>
          <w:tcPr>
            <w:tcW w:type="dxa" w:w="1440"/>
            <w:shd w:fill="C6EFCE" w:val="clear"/>
          </w:tcPr>
          <w:p>
            <w:r>
              <w:rPr>
                <w:sz w:val="17"/>
              </w:rPr>
              <w:t>J+4  ⭐</w:t>
            </w:r>
          </w:p>
        </w:tc>
        <w:tc>
          <w:tcPr>
            <w:tcW w:type="dxa" w:w="1440"/>
            <w:shd w:fill="C6EFCE" w:val="clear"/>
          </w:tcPr>
          <w:p>
            <w:r>
              <w:rPr>
                <w:sz w:val="17"/>
              </w:rPr>
              <w:t>2026-08-14</w:t>
            </w:r>
          </w:p>
        </w:tc>
        <w:tc>
          <w:tcPr>
            <w:tcW w:type="dxa" w:w="1440"/>
            <w:shd w:fill="C6EFCE" w:val="clear"/>
          </w:tcPr>
          <w:p>
            <w:r>
              <w:rPr>
                <w:sz w:val="17"/>
              </w:rPr>
              <w:t>3,672</w:t>
            </w:r>
          </w:p>
        </w:tc>
        <w:tc>
          <w:tcPr>
            <w:tcW w:type="dxa" w:w="1440"/>
            <w:shd w:fill="C6EFCE" w:val="clear"/>
          </w:tcPr>
          <w:p>
            <w:r>
              <w:rPr>
                <w:b/>
                <w:sz w:val="17"/>
              </w:rPr>
              <w:t>4,210</w:t>
            </w:r>
          </w:p>
        </w:tc>
        <w:tc>
          <w:tcPr>
            <w:tcW w:type="dxa" w:w="1440"/>
            <w:shd w:fill="C6EFCE" w:val="clear"/>
          </w:tcPr>
          <w:p>
            <w:r>
              <w:rPr>
                <w:sz w:val="17"/>
              </w:rPr>
              <w:t>4,749</w:t>
            </w:r>
          </w:p>
        </w:tc>
        <w:tc>
          <w:tcPr>
            <w:tcW w:type="dxa" w:w="1440"/>
            <w:shd w:fill="C6EFCE" w:val="clear"/>
          </w:tcPr>
          <w:p>
            <w:r>
              <w:rPr>
                <w:b/>
                <w:color w:val="008000"/>
                <w:sz w:val="17"/>
              </w:rPr>
              <w:t>+20.3%</w:t>
            </w:r>
          </w:p>
        </w:tc>
      </w:tr>
      <w:tr>
        <w:tc>
          <w:tcPr>
            <w:tcW w:type="dxa" w:w="1440"/>
            <w:shd w:fill="C6EFCE" w:val="clear"/>
          </w:tcPr>
          <w:p>
            <w:r>
              <w:rPr>
                <w:sz w:val="17"/>
              </w:rPr>
              <w:t>J+5  ⭐</w:t>
            </w:r>
          </w:p>
        </w:tc>
        <w:tc>
          <w:tcPr>
            <w:tcW w:type="dxa" w:w="1440"/>
            <w:shd w:fill="C6EFCE" w:val="clear"/>
          </w:tcPr>
          <w:p>
            <w:r>
              <w:rPr>
                <w:sz w:val="17"/>
              </w:rPr>
              <w:t>2026-08-17</w:t>
            </w:r>
          </w:p>
        </w:tc>
        <w:tc>
          <w:tcPr>
            <w:tcW w:type="dxa" w:w="1440"/>
            <w:shd w:fill="C6EFCE" w:val="clear"/>
          </w:tcPr>
          <w:p>
            <w:r>
              <w:rPr>
                <w:sz w:val="17"/>
              </w:rPr>
              <w:t>3,808</w:t>
            </w:r>
          </w:p>
        </w:tc>
        <w:tc>
          <w:tcPr>
            <w:tcW w:type="dxa" w:w="1440"/>
            <w:shd w:fill="C6EFCE" w:val="clear"/>
          </w:tcPr>
          <w:p>
            <w:r>
              <w:rPr>
                <w:b/>
                <w:sz w:val="17"/>
              </w:rPr>
              <w:t>4,443</w:t>
            </w:r>
          </w:p>
        </w:tc>
        <w:tc>
          <w:tcPr>
            <w:tcW w:type="dxa" w:w="1440"/>
            <w:shd w:fill="C6EFCE" w:val="clear"/>
          </w:tcPr>
          <w:p>
            <w:r>
              <w:rPr>
                <w:sz w:val="17"/>
              </w:rPr>
              <w:t>5,079</w:t>
            </w:r>
          </w:p>
        </w:tc>
        <w:tc>
          <w:tcPr>
            <w:tcW w:type="dxa" w:w="1440"/>
            <w:shd w:fill="C6EFCE" w:val="clear"/>
          </w:tcPr>
          <w:p>
            <w:r>
              <w:rPr>
                <w:b/>
                <w:color w:val="008000"/>
                <w:sz w:val="17"/>
              </w:rPr>
              <w:t>+27.0%</w:t>
            </w:r>
          </w:p>
        </w:tc>
      </w:tr>
      <w:tr>
        <w:tc>
          <w:tcPr>
            <w:tcW w:type="dxa" w:w="1440"/>
            <w:shd w:fill="C6EFCE" w:val="clear"/>
          </w:tcPr>
          <w:p>
            <w:r>
              <w:rPr>
                <w:sz w:val="17"/>
              </w:rPr>
              <w:t>J+6  ⭐</w:t>
            </w:r>
          </w:p>
        </w:tc>
        <w:tc>
          <w:tcPr>
            <w:tcW w:type="dxa" w:w="1440"/>
            <w:shd w:fill="C6EFCE" w:val="clear"/>
          </w:tcPr>
          <w:p>
            <w:r>
              <w:rPr>
                <w:sz w:val="17"/>
              </w:rPr>
              <w:t>2026-08-18</w:t>
            </w:r>
          </w:p>
        </w:tc>
        <w:tc>
          <w:tcPr>
            <w:tcW w:type="dxa" w:w="1440"/>
            <w:shd w:fill="C6EFCE" w:val="clear"/>
          </w:tcPr>
          <w:p>
            <w:r>
              <w:rPr>
                <w:sz w:val="17"/>
              </w:rPr>
              <w:t>3,970</w:t>
            </w:r>
          </w:p>
        </w:tc>
        <w:tc>
          <w:tcPr>
            <w:tcW w:type="dxa" w:w="1440"/>
            <w:shd w:fill="C6EFCE" w:val="clear"/>
          </w:tcPr>
          <w:p>
            <w:r>
              <w:rPr>
                <w:b/>
                <w:sz w:val="17"/>
              </w:rPr>
              <w:t>4,708</w:t>
            </w:r>
          </w:p>
        </w:tc>
        <w:tc>
          <w:tcPr>
            <w:tcW w:type="dxa" w:w="1440"/>
            <w:shd w:fill="C6EFCE" w:val="clear"/>
          </w:tcPr>
          <w:p>
            <w:r>
              <w:rPr>
                <w:sz w:val="17"/>
              </w:rPr>
              <w:t>5,445</w:t>
            </w:r>
          </w:p>
        </w:tc>
        <w:tc>
          <w:tcPr>
            <w:tcW w:type="dxa" w:w="1440"/>
            <w:shd w:fill="C6EFCE" w:val="clear"/>
          </w:tcPr>
          <w:p>
            <w:r>
              <w:rPr>
                <w:b/>
                <w:color w:val="008000"/>
                <w:sz w:val="17"/>
              </w:rPr>
              <w:t>+34.5%</w:t>
            </w:r>
          </w:p>
        </w:tc>
      </w:tr>
      <w:tr>
        <w:tc>
          <w:tcPr>
            <w:tcW w:type="dxa" w:w="1440"/>
            <w:shd w:fill="C6EFCE" w:val="clear"/>
          </w:tcPr>
          <w:p>
            <w:r>
              <w:rPr>
                <w:sz w:val="17"/>
              </w:rPr>
              <w:t>J+7  ⭐</w:t>
            </w:r>
          </w:p>
        </w:tc>
        <w:tc>
          <w:tcPr>
            <w:tcW w:type="dxa" w:w="1440"/>
            <w:shd w:fill="C6EFCE" w:val="clear"/>
          </w:tcPr>
          <w:p>
            <w:r>
              <w:rPr>
                <w:sz w:val="17"/>
              </w:rPr>
              <w:t>2026-08-19</w:t>
            </w:r>
          </w:p>
        </w:tc>
        <w:tc>
          <w:tcPr>
            <w:tcW w:type="dxa" w:w="1440"/>
            <w:shd w:fill="C6EFCE" w:val="clear"/>
          </w:tcPr>
          <w:p>
            <w:r>
              <w:rPr>
                <w:sz w:val="17"/>
              </w:rPr>
              <w:t>4,165</w:t>
            </w:r>
          </w:p>
        </w:tc>
        <w:tc>
          <w:tcPr>
            <w:tcW w:type="dxa" w:w="1440"/>
            <w:shd w:fill="C6EFCE" w:val="clear"/>
          </w:tcPr>
          <w:p>
            <w:r>
              <w:rPr>
                <w:b/>
                <w:sz w:val="17"/>
              </w:rPr>
              <w:t>5,013</w:t>
            </w:r>
          </w:p>
        </w:tc>
        <w:tc>
          <w:tcPr>
            <w:tcW w:type="dxa" w:w="1440"/>
            <w:shd w:fill="C6EFCE" w:val="clear"/>
          </w:tcPr>
          <w:p>
            <w:r>
              <w:rPr>
                <w:sz w:val="17"/>
              </w:rPr>
              <w:t>5,861</w:t>
            </w:r>
          </w:p>
        </w:tc>
        <w:tc>
          <w:tcPr>
            <w:tcW w:type="dxa" w:w="1440"/>
            <w:shd w:fill="C6EFCE" w:val="clear"/>
          </w:tcPr>
          <w:p>
            <w:r>
              <w:rPr>
                <w:b/>
                <w:color w:val="008000"/>
                <w:sz w:val="17"/>
              </w:rPr>
              <w:t>+43.2%</w:t>
            </w:r>
          </w:p>
        </w:tc>
      </w:tr>
      <w:tr>
        <w:tc>
          <w:tcPr>
            <w:tcW w:type="dxa" w:w="1440"/>
            <w:shd w:fill="C6EFCE" w:val="clear"/>
          </w:tcPr>
          <w:p>
            <w:r>
              <w:rPr>
                <w:sz w:val="17"/>
              </w:rPr>
              <w:t>J+8  ⭐</w:t>
            </w:r>
          </w:p>
        </w:tc>
        <w:tc>
          <w:tcPr>
            <w:tcW w:type="dxa" w:w="1440"/>
            <w:shd w:fill="C6EFCE" w:val="clear"/>
          </w:tcPr>
          <w:p>
            <w:r>
              <w:rPr>
                <w:sz w:val="17"/>
              </w:rPr>
              <w:t>2026-08-20</w:t>
            </w:r>
          </w:p>
        </w:tc>
        <w:tc>
          <w:tcPr>
            <w:tcW w:type="dxa" w:w="1440"/>
            <w:shd w:fill="C6EFCE" w:val="clear"/>
          </w:tcPr>
          <w:p>
            <w:r>
              <w:rPr>
                <w:sz w:val="17"/>
              </w:rPr>
              <w:t>4,401</w:t>
            </w:r>
          </w:p>
        </w:tc>
        <w:tc>
          <w:tcPr>
            <w:tcW w:type="dxa" w:w="1440"/>
            <w:shd w:fill="C6EFCE" w:val="clear"/>
          </w:tcPr>
          <w:p>
            <w:r>
              <w:rPr>
                <w:b/>
                <w:sz w:val="17"/>
              </w:rPr>
              <w:t>5,373</w:t>
            </w:r>
          </w:p>
        </w:tc>
        <w:tc>
          <w:tcPr>
            <w:tcW w:type="dxa" w:w="1440"/>
            <w:shd w:fill="C6EFCE" w:val="clear"/>
          </w:tcPr>
          <w:p>
            <w:r>
              <w:rPr>
                <w:sz w:val="17"/>
              </w:rPr>
              <w:t>6,345</w:t>
            </w:r>
          </w:p>
        </w:tc>
        <w:tc>
          <w:tcPr>
            <w:tcW w:type="dxa" w:w="1440"/>
            <w:shd w:fill="C6EFCE" w:val="clear"/>
          </w:tcPr>
          <w:p>
            <w:r>
              <w:rPr>
                <w:b/>
                <w:color w:val="008000"/>
                <w:sz w:val="17"/>
              </w:rPr>
              <w:t>+53.5%</w:t>
            </w:r>
          </w:p>
        </w:tc>
      </w:tr>
      <w:tr>
        <w:tc>
          <w:tcPr>
            <w:tcW w:type="dxa" w:w="1440"/>
            <w:shd w:fill="C6EFCE" w:val="clear"/>
          </w:tcPr>
          <w:p>
            <w:r>
              <w:rPr>
                <w:sz w:val="17"/>
              </w:rPr>
              <w:t>J+9  ⭐</w:t>
            </w:r>
          </w:p>
        </w:tc>
        <w:tc>
          <w:tcPr>
            <w:tcW w:type="dxa" w:w="1440"/>
            <w:shd w:fill="C6EFCE" w:val="clear"/>
          </w:tcPr>
          <w:p>
            <w:r>
              <w:rPr>
                <w:sz w:val="17"/>
              </w:rPr>
              <w:t>2026-08-21</w:t>
            </w:r>
          </w:p>
        </w:tc>
        <w:tc>
          <w:tcPr>
            <w:tcW w:type="dxa" w:w="1440"/>
            <w:shd w:fill="C6EFCE" w:val="clear"/>
          </w:tcPr>
          <w:p>
            <w:r>
              <w:rPr>
                <w:sz w:val="17"/>
              </w:rPr>
              <w:t>4,668</w:t>
            </w:r>
          </w:p>
        </w:tc>
        <w:tc>
          <w:tcPr>
            <w:tcW w:type="dxa" w:w="1440"/>
            <w:shd w:fill="C6EFCE" w:val="clear"/>
          </w:tcPr>
          <w:p>
            <w:r>
              <w:rPr>
                <w:b/>
                <w:sz w:val="17"/>
              </w:rPr>
              <w:t>5,776</w:t>
            </w:r>
          </w:p>
        </w:tc>
        <w:tc>
          <w:tcPr>
            <w:tcW w:type="dxa" w:w="1440"/>
            <w:shd w:fill="C6EFCE" w:val="clear"/>
          </w:tcPr>
          <w:p>
            <w:r>
              <w:rPr>
                <w:sz w:val="17"/>
              </w:rPr>
              <w:t>6,885</w:t>
            </w:r>
          </w:p>
        </w:tc>
        <w:tc>
          <w:tcPr>
            <w:tcW w:type="dxa" w:w="1440"/>
            <w:shd w:fill="C6EFCE" w:val="clear"/>
          </w:tcPr>
          <w:p>
            <w:r>
              <w:rPr>
                <w:b/>
                <w:color w:val="008000"/>
                <w:sz w:val="17"/>
              </w:rPr>
              <w:t>+65.0%</w:t>
            </w:r>
          </w:p>
        </w:tc>
      </w:tr>
      <w:tr>
        <w:tc>
          <w:tcPr>
            <w:tcW w:type="dxa" w:w="1440"/>
            <w:shd w:fill="C6EFCE" w:val="clear"/>
          </w:tcPr>
          <w:p>
            <w:r>
              <w:rPr>
                <w:sz w:val="17"/>
              </w:rPr>
              <w:t>J+10  ⭐</w:t>
            </w:r>
          </w:p>
        </w:tc>
        <w:tc>
          <w:tcPr>
            <w:tcW w:type="dxa" w:w="1440"/>
            <w:shd w:fill="C6EFCE" w:val="clear"/>
          </w:tcPr>
          <w:p>
            <w:r>
              <w:rPr>
                <w:sz w:val="17"/>
              </w:rPr>
              <w:t>2026-08-24</w:t>
            </w:r>
          </w:p>
        </w:tc>
        <w:tc>
          <w:tcPr>
            <w:tcW w:type="dxa" w:w="1440"/>
            <w:shd w:fill="C6EFCE" w:val="clear"/>
          </w:tcPr>
          <w:p>
            <w:r>
              <w:rPr>
                <w:sz w:val="17"/>
              </w:rPr>
              <w:t>4,954</w:t>
            </w:r>
          </w:p>
        </w:tc>
        <w:tc>
          <w:tcPr>
            <w:tcW w:type="dxa" w:w="1440"/>
            <w:shd w:fill="C6EFCE" w:val="clear"/>
          </w:tcPr>
          <w:p>
            <w:r>
              <w:rPr>
                <w:b/>
                <w:sz w:val="17"/>
              </w:rPr>
              <w:t>6,210</w:t>
            </w:r>
          </w:p>
        </w:tc>
        <w:tc>
          <w:tcPr>
            <w:tcW w:type="dxa" w:w="1440"/>
            <w:shd w:fill="C6EFCE" w:val="clear"/>
          </w:tcPr>
          <w:p>
            <w:r>
              <w:rPr>
                <w:sz w:val="17"/>
              </w:rPr>
              <w:t>7,466</w:t>
            </w:r>
          </w:p>
        </w:tc>
        <w:tc>
          <w:tcPr>
            <w:tcW w:type="dxa" w:w="1440"/>
            <w:shd w:fill="C6EFCE" w:val="clear"/>
          </w:tcPr>
          <w:p>
            <w:r>
              <w:rPr>
                <w:b/>
                <w:color w:val="008000"/>
                <w:sz w:val="17"/>
              </w:rPr>
              <w:t>+77.4%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 — BRVM**</w:t>
      </w:r>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20,72 milliards FCFA, un niveau modeste qui la classe parmi les valeurs de taille moyenne sur la BRVM. Avec un BPA de 243 FCFA, le titre se négocie à un PER de 14,4x, ce qui est supérieur à la moyenne historique du marché (8-12x), indiquant que les investisseurs paient une prime relative pour la croissance anticipée. Le P/B de 2,22x confirme cette prime, le marché valorisant l'actif net comptable à plus du double. Enfin, un EV/EBITDA de 7,3x, situé dans la fourchette raisonnable de 5-10x, suggère que la valorisation de l'entreprise, dette incluse, reste cohérente avec sa capacité opérationnelle à générer des flux. Ces ratios, dans leur ensemble, dessinent le profil d'une valeur de croissance, mais à un prix exigeant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 enregistré une variation totale de -1,82%, avec une baisse plus marquée de -1,41% lors de la dernière séance, témoignant d'une pression vendeuse récente. Le titre a évolué dans un range de trading significatif, oscillant entre un plus bas de 3 165 FCFA et un plus haut de 4 500 FCFA, soit une amplitude de plus de 40%, ce qui illustre une forte volatilité et une incertitude sur la direction à prendre. La moyenne du cours sur la période (3 740 FCFA) est supérieure à la médiane (3 700 FCFA), indiquant une distribution légèrement asymétrique avec quelques pics de prix élevés. L'écart-type de 324 FCFA (CV=8,7%) montre une dispersion modérée autour de la moyenne. Le kurtosis négatif (-0,405) suggère une distribution mésokurtique, sans risque de variations extrêmes, tandis que le skewness positif (0,400) confirme une asymétrie vers les hausses. La volatilité annualisée de 57,1% est très élevée, classant le titre comme spéculatif et risqué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Le cours actuel (3 500 FCFA) est inférieur à la MM20 (3 677,25 FCFA) et à la MM50 (3 881,3 FCFA), confirmant une tendance baissière à court et moyen terme. La décision de "Vente" est justifiée, car le prix évolue sous ses moyennes mobiles clés, signalant une dynamique négative.</w:t>
      </w:r>
    </w:p>
    <w:p>
      <w:pPr>
        <w:spacing w:after="120" w:line="276" w:lineRule="auto"/>
      </w:pPr>
      <w:r>
        <w:t>**Bandes de Bollinger**: Le prix se situe à 3 500 FCFA, proche de la borne inférieure (3 368,68 FCFA), ce qui indique une pression vendeuse mais sans condition de survente extrême. La décision "Neutre" est appropriée, car le titre n'a pas encore touché la borne, laissant place à une possible poursuite de la baisse ou un rebond technique.</w:t>
      </w:r>
    </w:p>
    <w:p>
      <w:pPr>
        <w:spacing w:after="120" w:line="276" w:lineRule="auto"/>
      </w:pPr>
      <w:r>
        <w:t>**MACD**: La valeur du MACD (-116,797) est inférieure à sa ligne de signal (-98,184), confirmant un momentum baissier. La décision de "Vente" est cohérente avec cette configuration, qui indique que la dynamique de prix reste négative.</w:t>
      </w:r>
    </w:p>
    <w:p>
      <w:pPr>
        <w:spacing w:after="120" w:line="276" w:lineRule="auto"/>
      </w:pPr>
      <w:r>
        <w:t>**RSI**: À 43,158, le RSI se situe dans la zone neutre (30-70), sans signal de surachat ni de survente. La décision "Neutre" est correcte, le marché n'étant pas encore dans une zone extrême, mais la faiblesse relative suggère une pression vendeuse persistante.</w:t>
      </w:r>
    </w:p>
    <w:p>
      <w:pPr>
        <w:spacing w:after="120" w:line="276" w:lineRule="auto"/>
      </w:pPr>
      <w:r>
        <w:t>**Stochastique**: Avec %K à 5,263 et %D à 8,772, l'indicateur est en zone de survente profonde (&lt;20). La décision "Achat" est justifiée, car un rebond technique est probable à ces niveaux extrêmes, même si la tendance de fond reste baissière.</w:t>
      </w:r>
    </w:p>
    <w:p>
      <w:pPr>
        <w:spacing w:after="120" w:line="276" w:lineRule="auto"/>
      </w:pPr>
      <w:r>
        <w:t>**Conclusion technique**: Les indicateurs sont partagés, avec une tendance baissière dominante (MM, MACD) mais des signes de survente (Stochastique) et une neutralité sur le RSI. Le titre semble chercher un point d'équilibre après une phase de baisse, mais la pression vendeuse n'est pas encore épuisée, rendant un rebond technique possible mais fragile.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CABC font état d'un chiffre d'affaires de 21,263 milliards FCFA, en croissance de +11,2% par rapport à 2024, et d'un résultat net de 1,439 milliard FCFA, soit une marge nette de 6,77%. La rentabilité des fonds propres (ROE) est excellente à 15,40%, et le ROA s'établit à 6,10%. Cependant, l'analyse des rapports narratifs révèle des divergences : le rapport MISTRAL de mars 2026 (sur l'exercice 2025) mentionne une perte nette de 1,704 milliard FCFA, tandis que le rapport FALLBACK d'avril 2026 indique un bénéfice de 1,439 milliard FCFA, en phase avec les données structurées. Cette contradiction majeure suggère des révisions ou des ajustements comptables. Les rapports trimestriels 2025 (S1 et 9 mois) montrent une dynamique positive, avec un résultat net de 851,5 millions FCFA au S1 (+55,3%) et de 1 329,5 millions FCFA sur 9 mois (+26%), ce qui est cohérent avec un bénéfice annuel de 1,439 milliard FCFA. En tant qu'entreprise industrielle, les délais clients (144,7 jours) et de stockage (152,1 jours) sont élevés, indiquant un besoin en fonds de roulement (BFR) de 7,186 milliards FCFA, un point de vigilance pour la trésorerie. La structure financière est saine avec une autonomie financière de 39,6% et une capacité de remboursement de 0,26 an. Les perspectives pour 2026 sont incertaines, le rapport T1 2026 faisant état d'une baisse de 26,5% du CA et d'une perte nette de 221,7 millions FCFA, attribuée à une maintenance planifiée et à la hausse des cours des métaux.</w:t>
      </w:r>
    </w:p>
    <w:p>
      <w:pPr>
        <w:spacing w:after="120" w:line="276" w:lineRule="auto" w:before="240"/>
      </w:pPr>
      <w:r>
        <w:rPr>
          <w:b/>
          <w:color w:val="003366"/>
          <w:sz w:val="24"/>
        </w:rPr>
        <w:t>**PARTIE 4 : CONCLUSION D'INVESTISSEMENT**</w:t>
      </w:r>
    </w:p>
    <w:p>
      <w:pPr>
        <w:spacing w:after="120" w:line="276" w:lineRule="auto"/>
      </w:pPr>
      <w:r>
        <w:t>La valorisation de CABC (PER 14,4x, P/B 2,22x) est exigeante, mais cohérente avec une croissance attendue, bien que le comportement du cours sur 100 jours (-1,82%) et la volatilité élevée (57,1%) suggèrent une prudence. Les signaux techniques sont majoritairement baissiers (MM, MACD), mais le Stochastique en survente pourrait déclencher un rebond à court terme. Les fondamentaux sont solides pour 2025 (ROE 15,4%, CA en hausse), mais les rapports contradictoires sur le résultat net et les performances dégradées du T1 2026 (perte de 221,7 millions FCFA) créent une incertitude majeure. Les prédictions IA (3 669 à 4 443 FCFA sur 10 jours) anticipent une hausse de +4,8% à +26,9%, ce qui contredit la tendance technique baissière mais pourrait refléter un rebond attendu. En synthèse, la convergence est faible : la valorisation est correcte, la technique est baissière, les fondamentaux sont mitigés et les prédictions sont haussières. Par conséquent, la recommandation est **CONSERVER** avec un niveau de confiance **Faible**, un risque global **Élevé**, et un horizon d'investissement **Moyen terme (3-12 mois)**, en attendant de clarifier les résultats réels de 2025 et la trajectoire de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910.40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1,703 titres</w:t>
            </w:r>
          </w:p>
        </w:tc>
        <w:tc>
          <w:tcPr>
            <w:tcW w:type="dxa" w:w="2268"/>
            <w:shd w:fill="FFF2CC" w:val="clear"/>
          </w:tcPr>
          <w:p>
            <w:r>
              <w:rPr>
                <w:b/>
                <w:color w:val="503200"/>
                <w:sz w:val="16"/>
              </w:rPr>
              <w:t xml:space="preserve">Cours actuel : </w:t>
            </w:r>
            <w:r>
              <w:rPr>
                <w:color w:val="000000"/>
                <w:sz w:val="17"/>
              </w:rPr>
              <w:t>28,450 FCFA</w:t>
            </w:r>
          </w:p>
          <w:p>
            <w:r>
              <w:rPr>
                <w:b/>
                <w:color w:val="503200"/>
                <w:sz w:val="16"/>
              </w:rPr>
              <w:t xml:space="preserve">Var. 100 jours : </w:t>
            </w:r>
            <w:r>
              <w:rPr>
                <w:b/>
                <w:color w:val="007800"/>
                <w:sz w:val="17"/>
              </w:rPr>
              <w:t>+108.81%</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13,500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24.92% (Élevée) — μ=20,682 FCFA, σ=5,154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β=0.6071 (Défensif) — Cov=0.000022, Var(idx)=0.000036, ρ=0.137,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1,703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58728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25,097</w:t>
            </w:r>
          </w:p>
        </w:tc>
        <w:tc>
          <w:tcPr>
            <w:tcW w:type="dxa" w:w="1440"/>
            <w:shd w:fill="FFDCE0" w:val="clear"/>
          </w:tcPr>
          <w:p>
            <w:r>
              <w:rPr>
                <w:b/>
                <w:sz w:val="17"/>
              </w:rPr>
              <w:t>26,316</w:t>
            </w:r>
          </w:p>
        </w:tc>
        <w:tc>
          <w:tcPr>
            <w:tcW w:type="dxa" w:w="1440"/>
            <w:shd w:fill="FFDCE0" w:val="clear"/>
          </w:tcPr>
          <w:p>
            <w:r>
              <w:rPr>
                <w:sz w:val="17"/>
              </w:rPr>
              <w:t>27,535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22,748</w:t>
            </w:r>
          </w:p>
        </w:tc>
        <w:tc>
          <w:tcPr>
            <w:tcW w:type="dxa" w:w="1440"/>
            <w:shd w:fill="FFDCE0" w:val="clear"/>
          </w:tcPr>
          <w:p>
            <w:r>
              <w:rPr>
                <w:b/>
                <w:sz w:val="17"/>
              </w:rPr>
              <w:t>24,343</w:t>
            </w:r>
          </w:p>
        </w:tc>
        <w:tc>
          <w:tcPr>
            <w:tcW w:type="dxa" w:w="1440"/>
            <w:shd w:fill="FFDCE0" w:val="clear"/>
          </w:tcPr>
          <w:p>
            <w:r>
              <w:rPr>
                <w:sz w:val="17"/>
              </w:rPr>
              <w:t>25,937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20,710</w:t>
            </w:r>
          </w:p>
        </w:tc>
        <w:tc>
          <w:tcPr>
            <w:tcW w:type="dxa" w:w="1440"/>
            <w:shd w:fill="FFDCE0" w:val="clear"/>
          </w:tcPr>
          <w:p>
            <w:r>
              <w:rPr>
                <w:b/>
                <w:sz w:val="17"/>
              </w:rPr>
              <w:t>22,517</w:t>
            </w:r>
          </w:p>
        </w:tc>
        <w:tc>
          <w:tcPr>
            <w:tcW w:type="dxa" w:w="1440"/>
            <w:shd w:fill="FFDCE0" w:val="clear"/>
          </w:tcPr>
          <w:p>
            <w:r>
              <w:rPr>
                <w:sz w:val="17"/>
              </w:rPr>
              <w:t>24,323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18,899</w:t>
            </w:r>
          </w:p>
        </w:tc>
        <w:tc>
          <w:tcPr>
            <w:tcW w:type="dxa" w:w="1440"/>
            <w:shd w:fill="FFDCE0" w:val="clear"/>
          </w:tcPr>
          <w:p>
            <w:r>
              <w:rPr>
                <w:b/>
                <w:sz w:val="17"/>
              </w:rPr>
              <w:t>20,828</w:t>
            </w:r>
          </w:p>
        </w:tc>
        <w:tc>
          <w:tcPr>
            <w:tcW w:type="dxa" w:w="1440"/>
            <w:shd w:fill="FFDCE0" w:val="clear"/>
          </w:tcPr>
          <w:p>
            <w:r>
              <w:rPr>
                <w:sz w:val="17"/>
              </w:rPr>
              <w:t>22,758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17,485</w:t>
            </w:r>
          </w:p>
        </w:tc>
        <w:tc>
          <w:tcPr>
            <w:tcW w:type="dxa" w:w="1440"/>
            <w:shd w:fill="FFDCE0" w:val="clear"/>
          </w:tcPr>
          <w:p>
            <w:r>
              <w:rPr>
                <w:b/>
                <w:sz w:val="17"/>
              </w:rPr>
              <w:t>19,505</w:t>
            </w:r>
          </w:p>
        </w:tc>
        <w:tc>
          <w:tcPr>
            <w:tcW w:type="dxa" w:w="1440"/>
            <w:shd w:fill="FFDCE0" w:val="clear"/>
          </w:tcPr>
          <w:p>
            <w:r>
              <w:rPr>
                <w:sz w:val="17"/>
              </w:rPr>
              <w:t>21,526</w:t>
            </w:r>
          </w:p>
        </w:tc>
        <w:tc>
          <w:tcPr>
            <w:tcW w:type="dxa" w:w="1440"/>
            <w:shd w:fill="FFDCE0" w:val="clear"/>
          </w:tcPr>
          <w:p>
            <w:r>
              <w:rPr>
                <w:b/>
                <w:color w:val="C00000"/>
                <w:sz w:val="17"/>
              </w:rPr>
              <w:t>-31.4%</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16,817</w:t>
            </w:r>
          </w:p>
        </w:tc>
        <w:tc>
          <w:tcPr>
            <w:tcW w:type="dxa" w:w="1440"/>
            <w:shd w:fill="FFDCE0" w:val="clear"/>
          </w:tcPr>
          <w:p>
            <w:r>
              <w:rPr>
                <w:b/>
                <w:sz w:val="17"/>
              </w:rPr>
              <w:t>18,969</w:t>
            </w:r>
          </w:p>
        </w:tc>
        <w:tc>
          <w:tcPr>
            <w:tcW w:type="dxa" w:w="1440"/>
            <w:shd w:fill="FFDCE0" w:val="clear"/>
          </w:tcPr>
          <w:p>
            <w:r>
              <w:rPr>
                <w:sz w:val="17"/>
              </w:rPr>
              <w:t>21,121</w:t>
            </w:r>
          </w:p>
        </w:tc>
        <w:tc>
          <w:tcPr>
            <w:tcW w:type="dxa" w:w="1440"/>
            <w:shd w:fill="FFDCE0" w:val="clear"/>
          </w:tcPr>
          <w:p>
            <w:r>
              <w:rPr>
                <w:b/>
                <w:color w:val="C00000"/>
                <w:sz w:val="17"/>
              </w:rPr>
              <w:t>-33.3%</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16,231</w:t>
            </w:r>
          </w:p>
        </w:tc>
        <w:tc>
          <w:tcPr>
            <w:tcW w:type="dxa" w:w="1440"/>
            <w:shd w:fill="FFDCE0" w:val="clear"/>
          </w:tcPr>
          <w:p>
            <w:r>
              <w:rPr>
                <w:b/>
                <w:sz w:val="17"/>
              </w:rPr>
              <w:t>18,498</w:t>
            </w:r>
          </w:p>
        </w:tc>
        <w:tc>
          <w:tcPr>
            <w:tcW w:type="dxa" w:w="1440"/>
            <w:shd w:fill="FFDCE0" w:val="clear"/>
          </w:tcPr>
          <w:p>
            <w:r>
              <w:rPr>
                <w:sz w:val="17"/>
              </w:rPr>
              <w:t>20,764</w:t>
            </w:r>
          </w:p>
        </w:tc>
        <w:tc>
          <w:tcPr>
            <w:tcW w:type="dxa" w:w="1440"/>
            <w:shd w:fill="FFDCE0" w:val="clear"/>
          </w:tcPr>
          <w:p>
            <w:r>
              <w:rPr>
                <w:b/>
                <w:color w:val="C00000"/>
                <w:sz w:val="17"/>
              </w:rPr>
              <w:t>-35.0%</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15,709</w:t>
            </w:r>
          </w:p>
        </w:tc>
        <w:tc>
          <w:tcPr>
            <w:tcW w:type="dxa" w:w="1440"/>
            <w:shd w:fill="FFDCE0" w:val="clear"/>
          </w:tcPr>
          <w:p>
            <w:r>
              <w:rPr>
                <w:b/>
                <w:sz w:val="17"/>
              </w:rPr>
              <w:t>18,077</w:t>
            </w:r>
          </w:p>
        </w:tc>
        <w:tc>
          <w:tcPr>
            <w:tcW w:type="dxa" w:w="1440"/>
            <w:shd w:fill="FFDCE0" w:val="clear"/>
          </w:tcPr>
          <w:p>
            <w:r>
              <w:rPr>
                <w:sz w:val="17"/>
              </w:rPr>
              <w:t>20,445</w:t>
            </w:r>
          </w:p>
        </w:tc>
        <w:tc>
          <w:tcPr>
            <w:tcW w:type="dxa" w:w="1440"/>
            <w:shd w:fill="FFDCE0" w:val="clear"/>
          </w:tcPr>
          <w:p>
            <w:r>
              <w:rPr>
                <w:b/>
                <w:color w:val="C00000"/>
                <w:sz w:val="17"/>
              </w:rPr>
              <w:t>-36.5%</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15,238</w:t>
            </w:r>
          </w:p>
        </w:tc>
        <w:tc>
          <w:tcPr>
            <w:tcW w:type="dxa" w:w="1440"/>
            <w:shd w:fill="FFDCE0" w:val="clear"/>
          </w:tcPr>
          <w:p>
            <w:r>
              <w:rPr>
                <w:b/>
                <w:sz w:val="17"/>
              </w:rPr>
              <w:t>17,697</w:t>
            </w:r>
          </w:p>
        </w:tc>
        <w:tc>
          <w:tcPr>
            <w:tcW w:type="dxa" w:w="1440"/>
            <w:shd w:fill="FFDCE0" w:val="clear"/>
          </w:tcPr>
          <w:p>
            <w:r>
              <w:rPr>
                <w:sz w:val="17"/>
              </w:rPr>
              <w:t>20,156</w:t>
            </w:r>
          </w:p>
        </w:tc>
        <w:tc>
          <w:tcPr>
            <w:tcW w:type="dxa" w:w="1440"/>
            <w:shd w:fill="FFDCE0" w:val="clear"/>
          </w:tcPr>
          <w:p>
            <w:r>
              <w:rPr>
                <w:b/>
                <w:color w:val="C00000"/>
                <w:sz w:val="17"/>
              </w:rPr>
              <w:t>-37.8%</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14,809</w:t>
            </w:r>
          </w:p>
        </w:tc>
        <w:tc>
          <w:tcPr>
            <w:tcW w:type="dxa" w:w="1440"/>
            <w:shd w:fill="FFDCE0" w:val="clear"/>
          </w:tcPr>
          <w:p>
            <w:r>
              <w:rPr>
                <w:b/>
                <w:sz w:val="17"/>
              </w:rPr>
              <w:t>17,350</w:t>
            </w:r>
          </w:p>
        </w:tc>
        <w:tc>
          <w:tcPr>
            <w:tcW w:type="dxa" w:w="1440"/>
            <w:shd w:fill="FFDCE0" w:val="clear"/>
          </w:tcPr>
          <w:p>
            <w:r>
              <w:rPr>
                <w:sz w:val="17"/>
              </w:rPr>
              <w:t>19,891</w:t>
            </w:r>
          </w:p>
        </w:tc>
        <w:tc>
          <w:tcPr>
            <w:tcW w:type="dxa" w:w="1440"/>
            <w:shd w:fill="FFDCE0" w:val="clear"/>
          </w:tcPr>
          <w:p>
            <w:r>
              <w:rPr>
                <w:b/>
                <w:color w:val="C00000"/>
                <w:sz w:val="17"/>
              </w:rPr>
              <w:t>-39.0%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CBIBF s'établit à 910,40 milliards FCFA, ce qui positionne la banque parmi les poids lourds de la BRVM. Le BPA de 2 047 FCFA indique que chaque action génère un bénéfice substantiel, justifiant un PER de 13,9x. Ce ratio, bien que supérieur à la moyenne historique de la BRVM (8-12x), reflète la prime de croissance accordée au titre après sa performance récente. L'EV/EBITDA de 10,3x se situe dans la fourchette haute (10-15x), signalant une valorisation exigeante par rapport à la capacité opérationnelle de la banque. Le ratio P/B n'est pas disponible dans les données fournies, ce qui limite la comparaison avec la valeur comptable, mais les autres indicateurs suggèrent que le marché intègre déjà des perspectives de croissance soutenue.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+108,81%, passant d'un plus bas de 13 500 FCFA à un plus haut de 30 005 FCFA, avec un cours actuel de 28 450 FCFA. Cette tendance fortement haussière s'accompagne d'une variation positive de +0,51% lors de la dernière séance, indiquant une persistance du momentum. Les statistiques descriptives révèlent une moyenne de 20 682 FCFA et une médiane de 21 480 FCFA, avec un écart-type de 5 180 FCFA (CV=25%), témoignant d'une dispersion modérée des prix autour de la moyenne. Le kurtosis négatif (-1,187) indique une distribution platykurtique, c'est-à-dire une faible concentration des extrêmes et donc un risque de pics limité. Le skewness positif (0,231) suggère une asymétrie légèrement favorable, avec des queues de distribution orientées vers la hausse. La volatilité annualisée de 41,9% classe le titre dans la catégorie des valeurs à forte volatilité,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La MM20 (28 098,5 FCFA) et la MM50 (25 023,8 FCFA) sont toutes deux inférieures au cours actuel de 28 450 FCFA, confirmant une configuration haussière. Le croisement des moyennes mobiles, avec la MM20 au-dessus de la MM50, valide la dynamique positive et justifie la décision d'achat.</w:t>
      </w:r>
    </w:p>
    <w:p>
      <w:pPr>
        <w:spacing w:after="120" w:line="276" w:lineRule="auto"/>
      </w:pPr>
      <w:r>
        <w:t>**Bandes de Bollinger** : Le prix se situe à 28 450 FCFA, proche de la borne supérieure (30 504,4 FCFA) et nettement au-dessus de la borne inférieure (25 692,6 FCFA). Cette position indique une volatilité élevée et un marché potentiellement suracheté, d'où la décision neutre. Le titre évolue dans la partie haute du canal, suggérant une pression acheteuse persistante mais avec un risque de correction.</w:t>
      </w:r>
    </w:p>
    <w:p>
      <w:pPr>
        <w:spacing w:after="120" w:line="276" w:lineRule="auto"/>
      </w:pPr>
      <w:r>
        <w:t>**MACD** : La valeur du MACD (893,4) est inférieure au signal (1 032,2), indiquant un momentum baissier à court terme malgré la tendance haussière de fond. Cette divergence suggère un essoufflement potentiel de la dynamique, justifiant la décision de vente.</w:t>
      </w:r>
    </w:p>
    <w:p>
      <w:pPr>
        <w:spacing w:after="120" w:line="276" w:lineRule="auto"/>
      </w:pPr>
      <w:r>
        <w:t>**RSI** : Le RSI à 60,7 se situe dans la zone neutre (30-70), indiquant un équilibre entre pression acheteuse et vendeuse. Bien que proche de la zone de surachat, le RSI ne signale pas encore de retournement imminent, d'où la décision neutre.</w:t>
      </w:r>
    </w:p>
    <w:p>
      <w:pPr>
        <w:spacing w:after="120" w:line="276" w:lineRule="auto"/>
      </w:pPr>
      <w:r>
        <w:t>**Stochastique** : Le %K (98,2) et le %D (93,8) sont tous deux à des niveaux extrêmement élevés, proches de la zone de surachat. Cette configuration indique un marché survendu à la hausse, avec un risque élevé de correction technique, justifiant la décision de vente.</w:t>
      </w:r>
    </w:p>
    <w:p>
      <w:pPr>
        <w:spacing w:after="120" w:line="276" w:lineRule="auto"/>
      </w:pPr>
      <w:r>
        <w:t>**Conclusion technique** : Les indicateurs sont mitigés, avec une tendance de fond haussière confirmée par les moyennes mobiles, mais des signaux de surachat émergent du MACD, du RSI et surtout du stochastique. La prudence est de mise à court terme, car un repli technique semble probable avant la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CBIBF affiche des résultats financiers solides avec un Produit Net Bancaire (PNB) de 138,986 milliards FCFA, en croissance de 6,1% par rapport à 2024. Le résultat net s'établit à 65,495 milliards FCFA, en progression de 36,6%, grâce à une amélioration significative du coût du risque (-59,3%). Le coefficient d'exploitation de 36,4% témoigne d'une excellente maîtrise des charges, bien en dessous du seuil de 60% considéré comme efficace pour une banque. La marge nette de 47,1% et le ROA de 2,18% confirment la solidité de la rentabilité. Les dépôts clientèle (2 015,3 milliards FCFA) progressent de 14,9%, tandis que les crédits nets (1 327 milliards FCFA) augmentent de 5,4%, reflétant une politique de transformation prudente. Le rapport du T3 2025 confirme cette dynamique avec un PNB de 101,3 milliards FCFA (+9,65%) et un résultat net de 52,9 milliards FCFA (+6,25%). Sur la base du rapport T1 2026 (PNB de 36,8 milliards FCFA, +28,5% et résultat net de 21,5 milliards FCFA, +22,2%), on estime que l'exercice 2026 devrait dépasser les performances de 2025, avec un PNB potentiel de 160-170 milliards FCFA et un résultat net de 75-80 milliards FCFA. La banque bénéficie d'une notation AA/AI avec perspective stable et d'une gouvernance renforcée, mais reste exposée aux risques sécuritaires et politiques du Burkina Faso.</w:t>
      </w:r>
    </w:p>
    <w:p>
      <w:pPr>
        <w:spacing w:after="120" w:line="276" w:lineRule="auto" w:before="240"/>
      </w:pPr>
      <w:r>
        <w:rPr>
          <w:b/>
          <w:color w:val="003366"/>
          <w:sz w:val="24"/>
        </w:rPr>
        <w:t>**PARTIE 4 : CONCLUSION D'INVESTISSEMENT**</w:t>
      </w:r>
    </w:p>
    <w:p>
      <w:pPr>
        <w:spacing w:after="120" w:line="276" w:lineRule="auto"/>
      </w:pPr>
      <w:r>
        <w:t>La valorisation de CBIBF (PER 13,9x, EV/EBITDA 10,3x) apparaît légèrement élevée par rapport aux standards BRVM, mais justifiée par la forte croissance des bénéfices et la solidité financière. Le comportement du cours sur 100 jours (+108,81%) témoigne d'une dynamique haussière exceptionnelle, bien que la volatilité élevée (41,9%) et les statistiques descriptives (kurtosis platykurtique, skewness positif) suggèrent un risque de correction. Les signaux techniques sont mitigés : les moyennes mobiles restent haussières, mais le MACD, le RSI et le stochastique indiquent un surachat imminent. Les fondamentaux sont excellents, avec une croissance soutenue du PNB et du résultat net, une gestion efficace des coûts et une amélioration de la qualité du portefeuille. Les prédictions IA (26 316 à 19 505 FCFA sur 10 jours) anticipent un repli significatif, contredisant la tendance haussière récente. Cette divergence entre les signaux techniques et les prédictions IA suggère une consolidation à court terme. Recommandation finale : **CONSERVER** avec un niveau de confiance **Moyen** et un risque global **Élevé**. L'horizon d'investissement optimal est le **moyen terme (3-12 mois)**, en attendant une correction technique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307.43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3,635 titres</w:t>
            </w:r>
          </w:p>
        </w:tc>
        <w:tc>
          <w:tcPr>
            <w:tcW w:type="dxa" w:w="2268"/>
            <w:shd w:fill="FFF2CC" w:val="clear"/>
          </w:tcPr>
          <w:p>
            <w:r>
              <w:rPr>
                <w:b/>
                <w:color w:val="503200"/>
                <w:sz w:val="16"/>
              </w:rPr>
              <w:t xml:space="preserve">Cours actuel : </w:t>
            </w:r>
            <w:r>
              <w:rPr>
                <w:color w:val="000000"/>
                <w:sz w:val="17"/>
              </w:rPr>
              <w:t>1,695 FCFA</w:t>
            </w:r>
          </w:p>
          <w:p>
            <w:r>
              <w:rPr>
                <w:b/>
                <w:color w:val="503200"/>
                <w:sz w:val="16"/>
              </w:rPr>
              <w:t xml:space="preserve">Var. 100 jours : </w:t>
            </w:r>
            <w:r>
              <w:rPr>
                <w:b/>
                <w:color w:val="B40000"/>
                <w:sz w:val="17"/>
              </w:rPr>
              <w:t>-4.51%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6.42% (Moyenne) — μ=1,607 FCFA, σ=103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β=1.0427 (Neutre (suit le marché)) — Cov=0.000038, Var(idx)=0.000036, ρ=0.207,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1,576</w:t>
            </w:r>
          </w:p>
        </w:tc>
        <w:tc>
          <w:tcPr>
            <w:tcW w:type="dxa" w:w="1440"/>
            <w:shd w:fill="FFDCE0" w:val="clear"/>
          </w:tcPr>
          <w:p>
            <w:r>
              <w:rPr>
                <w:b/>
                <w:sz w:val="17"/>
              </w:rPr>
              <w:t>1,650</w:t>
            </w:r>
          </w:p>
        </w:tc>
        <w:tc>
          <w:tcPr>
            <w:tcW w:type="dxa" w:w="1440"/>
            <w:shd w:fill="FFDCE0" w:val="clear"/>
          </w:tcPr>
          <w:p>
            <w:r>
              <w:rPr>
                <w:sz w:val="17"/>
              </w:rPr>
              <w:t>1,724</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1,525</w:t>
            </w:r>
          </w:p>
        </w:tc>
        <w:tc>
          <w:tcPr>
            <w:tcW w:type="dxa" w:w="1440"/>
            <w:shd w:fill="FFDCE0" w:val="clear"/>
          </w:tcPr>
          <w:p>
            <w:r>
              <w:rPr>
                <w:b/>
                <w:sz w:val="17"/>
              </w:rPr>
              <w:t>1,629</w:t>
            </w:r>
          </w:p>
        </w:tc>
        <w:tc>
          <w:tcPr>
            <w:tcW w:type="dxa" w:w="1440"/>
            <w:shd w:fill="FFDCE0" w:val="clear"/>
          </w:tcPr>
          <w:p>
            <w:r>
              <w:rPr>
                <w:sz w:val="17"/>
              </w:rPr>
              <w:t>1,732</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1,480</w:t>
            </w:r>
          </w:p>
        </w:tc>
        <w:tc>
          <w:tcPr>
            <w:tcW w:type="dxa" w:w="1440"/>
            <w:shd w:fill="FFDCE0" w:val="clear"/>
          </w:tcPr>
          <w:p>
            <w:r>
              <w:rPr>
                <w:b/>
                <w:sz w:val="17"/>
              </w:rPr>
              <w:t>1,605</w:t>
            </w:r>
          </w:p>
        </w:tc>
        <w:tc>
          <w:tcPr>
            <w:tcW w:type="dxa" w:w="1440"/>
            <w:shd w:fill="FFDCE0" w:val="clear"/>
          </w:tcPr>
          <w:p>
            <w:r>
              <w:rPr>
                <w:sz w:val="17"/>
              </w:rPr>
              <w:t>1,730</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1,439</w:t>
            </w:r>
          </w:p>
        </w:tc>
        <w:tc>
          <w:tcPr>
            <w:tcW w:type="dxa" w:w="1440"/>
            <w:shd w:fill="FFDCE0" w:val="clear"/>
          </w:tcPr>
          <w:p>
            <w:r>
              <w:rPr>
                <w:b/>
                <w:sz w:val="17"/>
              </w:rPr>
              <w:t>1,581</w:t>
            </w:r>
          </w:p>
        </w:tc>
        <w:tc>
          <w:tcPr>
            <w:tcW w:type="dxa" w:w="1440"/>
            <w:shd w:fill="FFDCE0" w:val="clear"/>
          </w:tcPr>
          <w:p>
            <w:r>
              <w:rPr>
                <w:sz w:val="17"/>
              </w:rPr>
              <w:t>1,724</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1,402</w:t>
            </w:r>
          </w:p>
        </w:tc>
        <w:tc>
          <w:tcPr>
            <w:tcW w:type="dxa" w:w="1440"/>
            <w:shd w:fill="FFDCE0" w:val="clear"/>
          </w:tcPr>
          <w:p>
            <w:r>
              <w:rPr>
                <w:b/>
                <w:sz w:val="17"/>
              </w:rPr>
              <w:t>1,558</w:t>
            </w:r>
          </w:p>
        </w:tc>
        <w:tc>
          <w:tcPr>
            <w:tcW w:type="dxa" w:w="1440"/>
            <w:shd w:fill="FFDCE0" w:val="clear"/>
          </w:tcPr>
          <w:p>
            <w:r>
              <w:rPr>
                <w:sz w:val="17"/>
              </w:rPr>
              <w:t>1,715</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1,367</w:t>
            </w:r>
          </w:p>
        </w:tc>
        <w:tc>
          <w:tcPr>
            <w:tcW w:type="dxa" w:w="1440"/>
            <w:shd w:fill="FFDCE0" w:val="clear"/>
          </w:tcPr>
          <w:p>
            <w:r>
              <w:rPr>
                <w:b/>
                <w:sz w:val="17"/>
              </w:rPr>
              <w:t>1,536</w:t>
            </w:r>
          </w:p>
        </w:tc>
        <w:tc>
          <w:tcPr>
            <w:tcW w:type="dxa" w:w="1440"/>
            <w:shd w:fill="FFDCE0" w:val="clear"/>
          </w:tcPr>
          <w:p>
            <w:r>
              <w:rPr>
                <w:sz w:val="17"/>
              </w:rPr>
              <w:t>1,705</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1,334</w:t>
            </w:r>
          </w:p>
        </w:tc>
        <w:tc>
          <w:tcPr>
            <w:tcW w:type="dxa" w:w="1440"/>
            <w:shd w:fill="FFDCE0" w:val="clear"/>
          </w:tcPr>
          <w:p>
            <w:r>
              <w:rPr>
                <w:b/>
                <w:sz w:val="17"/>
              </w:rPr>
              <w:t>1,514</w:t>
            </w:r>
          </w:p>
        </w:tc>
        <w:tc>
          <w:tcPr>
            <w:tcW w:type="dxa" w:w="1440"/>
            <w:shd w:fill="FFDCE0" w:val="clear"/>
          </w:tcPr>
          <w:p>
            <w:r>
              <w:rPr>
                <w:sz w:val="17"/>
              </w:rPr>
              <w:t>1,694</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1,303</w:t>
            </w:r>
          </w:p>
        </w:tc>
        <w:tc>
          <w:tcPr>
            <w:tcW w:type="dxa" w:w="1440"/>
            <w:shd w:fill="FFDCE0" w:val="clear"/>
          </w:tcPr>
          <w:p>
            <w:r>
              <w:rPr>
                <w:b/>
                <w:sz w:val="17"/>
              </w:rPr>
              <w:t>1,492</w:t>
            </w:r>
          </w:p>
        </w:tc>
        <w:tc>
          <w:tcPr>
            <w:tcW w:type="dxa" w:w="1440"/>
            <w:shd w:fill="FFDCE0" w:val="clear"/>
          </w:tcPr>
          <w:p>
            <w:r>
              <w:rPr>
                <w:sz w:val="17"/>
              </w:rPr>
              <w:t>1,682</w:t>
            </w:r>
          </w:p>
        </w:tc>
        <w:tc>
          <w:tcPr>
            <w:tcW w:type="dxa" w:w="1440"/>
            <w:shd w:fill="FFDCE0" w:val="clear"/>
          </w:tcPr>
          <w:p>
            <w:r>
              <w:rPr>
                <w:b/>
                <w:color w:val="C00000"/>
                <w:sz w:val="17"/>
              </w:rPr>
              <w:t>-12.0%</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1,273</w:t>
            </w:r>
          </w:p>
        </w:tc>
        <w:tc>
          <w:tcPr>
            <w:tcW w:type="dxa" w:w="1440"/>
            <w:shd w:fill="FFDCE0" w:val="clear"/>
          </w:tcPr>
          <w:p>
            <w:r>
              <w:rPr>
                <w:b/>
                <w:sz w:val="17"/>
              </w:rPr>
              <w:t>1,471</w:t>
            </w:r>
          </w:p>
        </w:tc>
        <w:tc>
          <w:tcPr>
            <w:tcW w:type="dxa" w:w="1440"/>
            <w:shd w:fill="FFDCE0" w:val="clear"/>
          </w:tcPr>
          <w:p>
            <w:r>
              <w:rPr>
                <w:sz w:val="17"/>
              </w:rPr>
              <w:t>1,669</w:t>
            </w:r>
          </w:p>
        </w:tc>
        <w:tc>
          <w:tcPr>
            <w:tcW w:type="dxa" w:w="1440"/>
            <w:shd w:fill="FFDCE0" w:val="clear"/>
          </w:tcPr>
          <w:p>
            <w:r>
              <w:rPr>
                <w:b/>
                <w:color w:val="C00000"/>
                <w:sz w:val="17"/>
              </w:rPr>
              <w:t>-13.2%</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1,244</w:t>
            </w:r>
          </w:p>
        </w:tc>
        <w:tc>
          <w:tcPr>
            <w:tcW w:type="dxa" w:w="1440"/>
            <w:shd w:fill="FFDCE0" w:val="clear"/>
          </w:tcPr>
          <w:p>
            <w:r>
              <w:rPr>
                <w:b/>
                <w:sz w:val="17"/>
              </w:rPr>
              <w:t>1,450</w:t>
            </w:r>
          </w:p>
        </w:tc>
        <w:tc>
          <w:tcPr>
            <w:tcW w:type="dxa" w:w="1440"/>
            <w:shd w:fill="FFDCE0" w:val="clear"/>
          </w:tcPr>
          <w:p>
            <w:r>
              <w:rPr>
                <w:sz w:val="17"/>
              </w:rPr>
              <w:t>1,656</w:t>
            </w:r>
          </w:p>
        </w:tc>
        <w:tc>
          <w:tcPr>
            <w:tcW w:type="dxa" w:w="1440"/>
            <w:shd w:fill="FFDCE0" w:val="clear"/>
          </w:tcPr>
          <w:p>
            <w:r>
              <w:rPr>
                <w:b/>
                <w:color w:val="C00000"/>
                <w:sz w:val="17"/>
              </w:rPr>
              <w:t>-14.4%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307,43 milliards FCFA, ce qui en fait une valeur significative du compartiment principal de la BRVM. Avec un BPA de 26 FCFA, le PER de 65,5x est extrêmement élevé, très nettement au-dessus de la moyenne du marché (8-12x), indiquant que les investisseurs paient une prime considérable pour chaque franc de bénéfice. Le P/B de 15,80x confirme cette surévaluation relative, le marché valorisant l'actif net comptable plus de quinze fois sa valeur. Enfin, l'EV/EBITDA de 33,3x, bien supérieur au seuil exigeant de 15x, suggère que la valeur d'entreprise intègre des attentes de croissance très optimistes, potentiellement difficiles à tenir au regard des performances récentes.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de -4,51%, avec une dernière séance en léger repli de -0,29%, clôturant à 1 695 FCFA. Le cours a évolué dans un range de 500 FCFA, entre un plus bas de 1 325 FCFA et un plus haut de 1 825 FCFA, illustrant une volatilité intra-période notable. La moyenne (1 607 FCFA) et la médiane (1 605 FCFA) étant quasi identiques, la distribution des prix est symétrique, ce que confirme le skewness de -0,348. L'écart-type de 104 FCFA (CV=6,5%) révèle une dispersion modérée autour de la moyenne. Le kurtosis de -0,128 (mésokurtique) indique l'absence de variations extrêmes fréquentes. La volatilité annualisée de 49,2% classe le titre comme très volatil, un niveau élevé qui implique un risque significatif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La MM20 (1 650,25) et la MM50 (1 650,9) sont quasi identiques et se situent sous le cours actuel (1 695 FCFA). Cependant, le signal global est à la vente, suggérant que la dynamique récente pourrait s'inverser, le prix ayant potentiellement du mal à se maintenir au-dessus de ces supports dynamiques.</w:t>
      </w:r>
    </w:p>
    <w:p>
      <w:pPr>
        <w:spacing w:after="120" w:line="276" w:lineRule="auto"/>
      </w:pPr>
      <w:r>
        <w:t>**Bandes de Bollinger**: Le cours (1 695 FCFA) se positionne dans la moitié supérieure du canal, entre la borne inférieure (1 548,50) et la borne supérieure (1 752). La décision est neutre, indiquant une volatilité modérée sans condition de surachat ou de survente extrême, laissant place à une évolution directionnelle future.</w:t>
      </w:r>
    </w:p>
    <w:p>
      <w:pPr>
        <w:spacing w:after="120" w:line="276" w:lineRule="auto"/>
      </w:pPr>
      <w:r>
        <w:t>**MACD**: Avec une valeur de 15,004 supérieure à son signal (10,839), le MACD est positif et en position d'achat. Cette configuration signale un momentum haussier sous-jacent, bien que la faiblesse de l'écart puisse indiquer un essoufflement potentiel de la dynamique actuelle.</w:t>
      </w:r>
    </w:p>
    <w:p>
      <w:pPr>
        <w:spacing w:after="120" w:line="276" w:lineRule="auto"/>
      </w:pPr>
      <w:r>
        <w:t>**RSI**: À 49,33, le RSI est en zone neutre, très proche de sa ligne médiane de 50. Cela reflète un équilibre entre les forces acheteuses et vendeuses, sans signal directionnel fort, confirmant l'absence de conditions de surachat ou de survente.</w:t>
      </w:r>
    </w:p>
    <w:p>
      <w:pPr>
        <w:spacing w:after="120" w:line="276" w:lineRule="auto"/>
      </w:pPr>
      <w:r>
        <w:t>**Stochastique**: Les valeurs de %K (94,74) et %D (94,91) sont extrêmement élevées, en territoire de surachat. Le signal de vente généré est un avertissement classique de retournement potentiel, suggérant que le cours pourrait corriger après cette phase de hausse rapide.</w:t>
      </w:r>
    </w:p>
    <w:p>
      <w:pPr>
        <w:spacing w:after="120" w:line="276" w:lineRule="auto"/>
      </w:pPr>
      <w:r>
        <w:t>**Conclusion technique**: Les indicateurs sont mitigés. Le MACD est haussier, mais le RSI est neutre et le stochastique est en surachat extrême. Les moyennes mobiles, bien que sous le prix, donnent un signal de vente, et les bandes de Bollinger sont neutres. Cette divergence suggère une consolidation ou un repli technique à court terme, malgré un momentum positif persistant.</w:t>
      </w:r>
    </w:p>
    <w:p>
      <w:pPr>
        <w:spacing w:after="120" w:line="276" w:lineRule="auto" w:before="240"/>
      </w:pPr>
      <w:r>
        <w:rPr>
          <w:b/>
          <w:color w:val="003366"/>
          <w:sz w:val="24"/>
        </w:rPr>
        <w:t>**PARTIE 3 : ANALYSE FONDAMENTALE (SECTION CRITIQUE)**</w:t>
      </w:r>
    </w:p>
    <w:p>
      <w:pPr>
        <w:spacing w:after="120" w:line="276" w:lineRule="auto"/>
      </w:pPr>
      <w:r>
        <w:t>En 2024, selon les données structurées, CFAC a réalisé un chiffre d'affaires de 158,313 milliards FCFA, en baisse de -12,1% par rapport à 2023. Le résultat net s'établit à 4,693 milliards FCFA, soit une marge nette de 2,96%. La rentabilité des fonds propres (ROE) reste excellente à 24,13%, et le ROA est de 5,52%. En tant qu'entreprise de distribution automobile, le BFR négatif de -3,482 milliards FCFA est un point positif, indiquant que l'entreprise finance son cycle d'exploitation grâce à ses fournisseurs (délai de 81,75 jours) plus qu'elle ne se fait financer par ses clients (36,64 jours). Cependant, le Free Cash Flow est négatif (-1,650 milliard FCFA) et la trésorerie nette est déficitaire (-624 millions FCFA). Les rapports trimestriels de 2025 montrent un net redressement : le T1 2025 (rapport daté de 2025) affiche un CA de 46,161 milliards (+14,5%) et un résultat net de 3,836 milliards (+279,7%). Le S1 2025 confirme cette tendance avec un CA de 91,182 milliards (+18,4%) et un résultat net de 5,420 milliards (+152,7%). Sur la base de ces performances, on estime que l'exercice 2025 pourrait voir un CA dépasser 180 milliards et un résultat net potentiellement supérieur à 10 milliards, marquant un retour à une forte croissance et une amélioration significative de la rentabilité.</w:t>
      </w:r>
    </w:p>
    <w:p>
      <w:pPr>
        <w:spacing w:after="120" w:line="276" w:lineRule="auto" w:before="240"/>
      </w:pPr>
      <w:r>
        <w:rPr>
          <w:b/>
          <w:color w:val="003366"/>
          <w:sz w:val="24"/>
        </w:rPr>
        <w:t>**PARTIE 4 : CONCLUSION D'INVESTISSEMENT**</w:t>
      </w:r>
    </w:p>
    <w:p>
      <w:pPr>
        <w:spacing w:after="120" w:line="276" w:lineRule="auto"/>
      </w:pPr>
      <w:r>
        <w:t>La valorisation de CFAC est extrêmement exigeante (PER 65,5x, P/B 15,8x), signalant une surévaluation relative qui ne laisse que peu de marge d'erreur. Le comportement du cours sur 100 jours est baissier (-4,51%) avec une volatilité très élevée (49,2%), ce qui est préoccupant pour un titre à la valorisation tendue. Les signaux techniques sont divergents : le MACD est positif, mais le stochastique en surachat et les moyennes mobiles suggèrent un potentiel de correction. Les fondamentaux, bien qu'en amélioration spectaculaire en 2025 (croissance du CA et explosion du résultat net au S1), peinent à justifier les niveaux de valorisation actuels. Les prédictions IA pour les 10 prochains jours (baisse de 1 650 à 1 558 FCFA) confirment le scénario d'une correction technique à court terme. En synthèse, la convergence des signaux (valorisation élevée, momentum technique négatif, prédictions baissières) contrebalance les fondamentaux solides. Nous recommandons donc une position **CONSERVER** avec un niveau de confiance **Moyen** et un risque global **Élevé**. L'horizon d'investissement optimal serait à moyen terme (3-12 mois), en attendant que le marché intègre pleinement les excellentes performances de 2025 et que le cours trouve un niveau plus raisonnable.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288.40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6,442 titres</w:t>
            </w:r>
          </w:p>
        </w:tc>
        <w:tc>
          <w:tcPr>
            <w:tcW w:type="dxa" w:w="2268"/>
            <w:shd w:fill="FFF2CC" w:val="clear"/>
          </w:tcPr>
          <w:p>
            <w:r>
              <w:rPr>
                <w:b/>
                <w:color w:val="503200"/>
                <w:sz w:val="16"/>
              </w:rPr>
              <w:t xml:space="preserve">Cours actuel : </w:t>
            </w:r>
            <w:r>
              <w:rPr>
                <w:color w:val="000000"/>
                <w:sz w:val="17"/>
              </w:rPr>
              <w:t>5,150 FCFA</w:t>
            </w:r>
          </w:p>
          <w:p>
            <w:r>
              <w:rPr>
                <w:b/>
                <w:color w:val="503200"/>
                <w:sz w:val="16"/>
              </w:rPr>
              <w:t xml:space="preserve">Var. 100 jours : </w:t>
            </w:r>
            <w:r>
              <w:rPr>
                <w:b/>
                <w:color w:val="007800"/>
                <w:sz w:val="17"/>
              </w:rPr>
              <w:t>+58.46%</w:t>
            </w:r>
          </w:p>
          <w:p>
            <w:r>
              <w:rPr>
                <w:b/>
                <w:color w:val="503200"/>
                <w:sz w:val="16"/>
              </w:rPr>
              <w:t xml:space="preserve">Plus haut 100j : </w:t>
            </w:r>
            <w:r>
              <w:rPr>
                <w:color w:val="000000"/>
                <w:sz w:val="17"/>
              </w:rPr>
              <w:t>5,485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22.00% (Élevée) — μ=4,213 FCFA, σ=927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β=0.7517 (Défensif) — Cov=0.000027, Var(idx)=0.000036, ρ=0.154,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547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4,566</w:t>
            </w:r>
          </w:p>
        </w:tc>
        <w:tc>
          <w:tcPr>
            <w:tcW w:type="dxa" w:w="1440"/>
            <w:shd w:fill="FFDCE0" w:val="clear"/>
          </w:tcPr>
          <w:p>
            <w:r>
              <w:rPr>
                <w:b/>
                <w:sz w:val="17"/>
              </w:rPr>
              <w:t>4,764</w:t>
            </w:r>
          </w:p>
        </w:tc>
        <w:tc>
          <w:tcPr>
            <w:tcW w:type="dxa" w:w="1440"/>
            <w:shd w:fill="FFDCE0" w:val="clear"/>
          </w:tcPr>
          <w:p>
            <w:r>
              <w:rPr>
                <w:sz w:val="17"/>
              </w:rPr>
              <w:t>4,961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4,148</w:t>
            </w:r>
          </w:p>
        </w:tc>
        <w:tc>
          <w:tcPr>
            <w:tcW w:type="dxa" w:w="1440"/>
            <w:shd w:fill="FFDCE0" w:val="clear"/>
          </w:tcPr>
          <w:p>
            <w:r>
              <w:rPr>
                <w:b/>
                <w:sz w:val="17"/>
              </w:rPr>
              <w:t>4,406</w:t>
            </w:r>
          </w:p>
        </w:tc>
        <w:tc>
          <w:tcPr>
            <w:tcW w:type="dxa" w:w="1440"/>
            <w:shd w:fill="FFDCE0" w:val="clear"/>
          </w:tcPr>
          <w:p>
            <w:r>
              <w:rPr>
                <w:sz w:val="17"/>
              </w:rPr>
              <w:t>4,665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3,783</w:t>
            </w:r>
          </w:p>
        </w:tc>
        <w:tc>
          <w:tcPr>
            <w:tcW w:type="dxa" w:w="1440"/>
            <w:shd w:fill="FFDCE0" w:val="clear"/>
          </w:tcPr>
          <w:p>
            <w:r>
              <w:rPr>
                <w:b/>
                <w:sz w:val="17"/>
              </w:rPr>
              <w:t>4,076</w:t>
            </w:r>
          </w:p>
        </w:tc>
        <w:tc>
          <w:tcPr>
            <w:tcW w:type="dxa" w:w="1440"/>
            <w:shd w:fill="FFDCE0" w:val="clear"/>
          </w:tcPr>
          <w:p>
            <w:r>
              <w:rPr>
                <w:sz w:val="17"/>
              </w:rPr>
              <w:t>4,369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3,457</w:t>
            </w:r>
          </w:p>
        </w:tc>
        <w:tc>
          <w:tcPr>
            <w:tcW w:type="dxa" w:w="1440"/>
            <w:shd w:fill="FFDCE0" w:val="clear"/>
          </w:tcPr>
          <w:p>
            <w:r>
              <w:rPr>
                <w:b/>
                <w:sz w:val="17"/>
              </w:rPr>
              <w:t>3,770</w:t>
            </w:r>
          </w:p>
        </w:tc>
        <w:tc>
          <w:tcPr>
            <w:tcW w:type="dxa" w:w="1440"/>
            <w:shd w:fill="FFDCE0" w:val="clear"/>
          </w:tcPr>
          <w:p>
            <w:r>
              <w:rPr>
                <w:sz w:val="17"/>
              </w:rPr>
              <w:t>4,083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3,219</w:t>
            </w:r>
          </w:p>
        </w:tc>
        <w:tc>
          <w:tcPr>
            <w:tcW w:type="dxa" w:w="1440"/>
            <w:shd w:fill="FFDCE0" w:val="clear"/>
          </w:tcPr>
          <w:p>
            <w:r>
              <w:rPr>
                <w:b/>
                <w:sz w:val="17"/>
              </w:rPr>
              <w:t>3,548</w:t>
            </w:r>
          </w:p>
        </w:tc>
        <w:tc>
          <w:tcPr>
            <w:tcW w:type="dxa" w:w="1440"/>
            <w:shd w:fill="FFDCE0" w:val="clear"/>
          </w:tcPr>
          <w:p>
            <w:r>
              <w:rPr>
                <w:sz w:val="17"/>
              </w:rPr>
              <w:t>3,877</w:t>
            </w:r>
          </w:p>
        </w:tc>
        <w:tc>
          <w:tcPr>
            <w:tcW w:type="dxa" w:w="1440"/>
            <w:shd w:fill="FFDCE0" w:val="clear"/>
          </w:tcPr>
          <w:p>
            <w:r>
              <w:rPr>
                <w:b/>
                <w:color w:val="C00000"/>
                <w:sz w:val="17"/>
              </w:rPr>
              <w:t>-31.1%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3,105</w:t>
            </w:r>
          </w:p>
        </w:tc>
        <w:tc>
          <w:tcPr>
            <w:tcW w:type="dxa" w:w="1440"/>
            <w:shd w:fill="FFDCE0" w:val="clear"/>
          </w:tcPr>
          <w:p>
            <w:r>
              <w:rPr>
                <w:b/>
                <w:sz w:val="17"/>
              </w:rPr>
              <w:t>3,456</w:t>
            </w:r>
          </w:p>
        </w:tc>
        <w:tc>
          <w:tcPr>
            <w:tcW w:type="dxa" w:w="1440"/>
            <w:shd w:fill="FFDCE0" w:val="clear"/>
          </w:tcPr>
          <w:p>
            <w:r>
              <w:rPr>
                <w:sz w:val="17"/>
              </w:rPr>
              <w:t>3,807</w:t>
            </w:r>
          </w:p>
        </w:tc>
        <w:tc>
          <w:tcPr>
            <w:tcW w:type="dxa" w:w="1440"/>
            <w:shd w:fill="FFDCE0" w:val="clear"/>
          </w:tcPr>
          <w:p>
            <w:r>
              <w:rPr>
                <w:b/>
                <w:color w:val="C00000"/>
                <w:sz w:val="17"/>
              </w:rPr>
              <w:t>-32.9%</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3,004</w:t>
            </w:r>
          </w:p>
        </w:tc>
        <w:tc>
          <w:tcPr>
            <w:tcW w:type="dxa" w:w="1440"/>
            <w:shd w:fill="FFDCE0" w:val="clear"/>
          </w:tcPr>
          <w:p>
            <w:r>
              <w:rPr>
                <w:b/>
                <w:sz w:val="17"/>
              </w:rPr>
              <w:t>3,374</w:t>
            </w:r>
          </w:p>
        </w:tc>
        <w:tc>
          <w:tcPr>
            <w:tcW w:type="dxa" w:w="1440"/>
            <w:shd w:fill="FFDCE0" w:val="clear"/>
          </w:tcPr>
          <w:p>
            <w:r>
              <w:rPr>
                <w:sz w:val="17"/>
              </w:rPr>
              <w:t>3,745</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2,913</w:t>
            </w:r>
          </w:p>
        </w:tc>
        <w:tc>
          <w:tcPr>
            <w:tcW w:type="dxa" w:w="1440"/>
            <w:shd w:fill="FFDCE0" w:val="clear"/>
          </w:tcPr>
          <w:p>
            <w:r>
              <w:rPr>
                <w:b/>
                <w:sz w:val="17"/>
              </w:rPr>
              <w:t>3,301</w:t>
            </w:r>
          </w:p>
        </w:tc>
        <w:tc>
          <w:tcPr>
            <w:tcW w:type="dxa" w:w="1440"/>
            <w:shd w:fill="FFDCE0" w:val="clear"/>
          </w:tcPr>
          <w:p>
            <w:r>
              <w:rPr>
                <w:sz w:val="17"/>
              </w:rPr>
              <w:t>3,688</w:t>
            </w:r>
          </w:p>
        </w:tc>
        <w:tc>
          <w:tcPr>
            <w:tcW w:type="dxa" w:w="1440"/>
            <w:shd w:fill="FFDCE0" w:val="clear"/>
          </w:tcPr>
          <w:p>
            <w:r>
              <w:rPr>
                <w:b/>
                <w:color w:val="C00000"/>
                <w:sz w:val="17"/>
              </w:rPr>
              <w:t>-35.9%</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2,832</w:t>
            </w:r>
          </w:p>
        </w:tc>
        <w:tc>
          <w:tcPr>
            <w:tcW w:type="dxa" w:w="1440"/>
            <w:shd w:fill="FFDCE0" w:val="clear"/>
          </w:tcPr>
          <w:p>
            <w:r>
              <w:rPr>
                <w:b/>
                <w:sz w:val="17"/>
              </w:rPr>
              <w:t>3,234</w:t>
            </w:r>
          </w:p>
        </w:tc>
        <w:tc>
          <w:tcPr>
            <w:tcW w:type="dxa" w:w="1440"/>
            <w:shd w:fill="FFDCE0" w:val="clear"/>
          </w:tcPr>
          <w:p>
            <w:r>
              <w:rPr>
                <w:sz w:val="17"/>
              </w:rPr>
              <w:t>3,637</w:t>
            </w:r>
          </w:p>
        </w:tc>
        <w:tc>
          <w:tcPr>
            <w:tcW w:type="dxa" w:w="1440"/>
            <w:shd w:fill="FFDCE0" w:val="clear"/>
          </w:tcPr>
          <w:p>
            <w:r>
              <w:rPr>
                <w:b/>
                <w:color w:val="C00000"/>
                <w:sz w:val="17"/>
              </w:rPr>
              <w:t>-37.2%</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2,758</w:t>
            </w:r>
          </w:p>
        </w:tc>
        <w:tc>
          <w:tcPr>
            <w:tcW w:type="dxa" w:w="1440"/>
            <w:shd w:fill="FFDCE0" w:val="clear"/>
          </w:tcPr>
          <w:p>
            <w:r>
              <w:rPr>
                <w:b/>
                <w:sz w:val="17"/>
              </w:rPr>
              <w:t>3,174</w:t>
            </w:r>
          </w:p>
        </w:tc>
        <w:tc>
          <w:tcPr>
            <w:tcW w:type="dxa" w:w="1440"/>
            <w:shd w:fill="FFDCE0" w:val="clear"/>
          </w:tcPr>
          <w:p>
            <w:r>
              <w:rPr>
                <w:sz w:val="17"/>
              </w:rPr>
              <w:t>3,591</w:t>
            </w:r>
          </w:p>
        </w:tc>
        <w:tc>
          <w:tcPr>
            <w:tcW w:type="dxa" w:w="1440"/>
            <w:shd w:fill="FFDCE0" w:val="clear"/>
          </w:tcPr>
          <w:p>
            <w:r>
              <w:rPr>
                <w:b/>
                <w:color w:val="C00000"/>
                <w:sz w:val="17"/>
              </w:rPr>
              <w:t>-38.4%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10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288,40 milliards FCFA, un niveau significatif qui la positionne parmi les valeurs moyennes à grandes capitalisations de la BRVM. Avec un BPA de 234 FCFA, chaque action génère un bénéfice confortable, mais le PER de 22,0x est nettement supérieur à la moyenne historique du marché (8-12x), indiquant que les investisseurs paient une prime substantielle pour la croissance anticipée. Le P/B de 8,02x confirme cette valorisation exigeante, le marché valorisant le titre à plus de huit fois sa valeur comptable, ce qui reflète des attentes élevées de rentabilité future. Enfin, l'EV/EBITDA de 12,8x, bien que dans la fourchette haute (10-15x), suggère que la valeur totale de l'entreprise (dette incluse) reste cohérente avec sa capacité opérationnelle à générer des bénéfices avant intérêts, impôts et amortissements.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remarquable avec une variation totale de +58,46%, clôturant à 5 150 FCFA, soutenue par une dernière séance en hausse de +2,59%. Le titre a évolué dans une fourchette large de 3 000 à 5 485 FCFA, démontrant une forte dynamique haussière malgré des phases de consolidation. La moyenne du cours (4 213 FCFA) est proche de la médiane (4 175 FCFA), indiquant une distribution relativement symétrique, confirmée par un skewness de -0,015. L'écart-type de 932 FCFA (CV=22,1%) révèle une dispersion modérée, tandis que le kurtosis de -1,834 (platykurtique) suggère une distribution aplatie avec peu de valeurs extrêmes, réduisant le risque de pics soudains. La volatilité annualisée de 46,3% classe le titre comme très volatil, un niveau élevé qui reflète l'enthousiasme du marché mais aussi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et 50 jours (5 141 et 5 107 FCFA) sont très proches du cours actuel (5 150 FCFA), avec une légère tendance haussière. La décision d'achat est justifiée par le fait que le cours évolue au-dessus de ces moyennes, confirmant une dynamique positive à court et moyen terme, bien que l'écart soit mince, signalant une possible consolidation.</w:t>
      </w:r>
    </w:p>
    <w:p>
      <w:pPr>
        <w:spacing w:after="120" w:line="276" w:lineRule="auto"/>
      </w:pPr>
      <w:r>
        <w:t>**Bandes de Bollinger :** Le prix actuel (5 150 FCFA) se situe entre la borne inférieure (4 870 FCFA) et la borne supérieure (5 412 FCFA), proche du milieu de la bande. Cette position neutre indique une volatilité modérée sans excès, le marché n'étant ni suracheté ni survendu. La décision neutre est cohérente avec une phase de stabilisation après la forte hausse récente.</w:t>
      </w:r>
    </w:p>
    <w:p>
      <w:pPr>
        <w:spacing w:after="120" w:line="276" w:lineRule="auto"/>
      </w:pPr>
      <w:r>
        <w:t>**MACD :** Le MACD (-2,641) est inférieur à son signal (28,886), générant une décision de vente. Cette divergence négative suggère un affaiblissement du momentum haussier à court terme, malgré la tendance générale positive. Les investisseurs devraient surveiller un éventuel croisement haussier pour confirmer un retour de la dynamique.</w:t>
      </w:r>
    </w:p>
    <w:p>
      <w:pPr>
        <w:spacing w:after="120" w:line="276" w:lineRule="auto"/>
      </w:pPr>
      <w:r>
        <w:t>**RSI :** Le RSI de 48,47 est en zone neutre (30-70), indiquant un équilibre entre pressions acheteuses et vendeuses. Cette valeur suggère que le titre n'est ni suracheté ni survendu, offrant une marge de manœuvre pour une évolution future sans signal directionnel fort.</w:t>
      </w:r>
    </w:p>
    <w:p>
      <w:pPr>
        <w:spacing w:after="120" w:line="276" w:lineRule="auto"/>
      </w:pPr>
      <w:r>
        <w:t>**Stochastique :** Le %K (39,24) est supérieur au %D (15,61), indiquant un croisement haussier potentiel, mais les deux restent en zone neutre. La décision neutre reflète une absence de signal clair, bien que la configuration actuelle puisse précéder une reprise haussière si le %K continue de progresser.</w:t>
      </w:r>
    </w:p>
    <w:p>
      <w:pPr>
        <w:spacing w:after="120" w:line="276" w:lineRule="auto"/>
      </w:pPr>
      <w:r>
        <w:t>**Conclusion technique :** Les indicateurs sont globalement mitigés, avec des signaux d'achat (MM) contrebalancés par des signaux de vente (MACD) et des positions neutres (Bollinger, RSI, Stochastique). La tendance de fond reste haussière, mais le marché semble entrer dans une phase de consolidation, nécessitant une confirmation avant de nouvelles positions.</w:t>
      </w:r>
    </w:p>
    <w:p>
      <w:pPr>
        <w:spacing w:after="120" w:line="276" w:lineRule="auto"/>
      </w:pPr>
      <w:r>
        <w:t>---</w:t>
      </w:r>
    </w:p>
    <w:p>
      <w:pPr>
        <w:spacing w:after="120" w:line="276" w:lineRule="auto"/>
      </w:pPr>
      <w:r>
        <w:t>### PARTIE 3 : ANALYSE FONDAMENTALE (SECTION CRITIQUE)</w:t>
      </w:r>
    </w:p>
    <w:p>
      <w:pPr>
        <w:spacing w:after="120" w:line="276" w:lineRule="auto"/>
      </w:pPr>
      <w:r>
        <w:t>En 2025, la CIEC affiche des résultats financiers solides avec un chiffre d'affaires de 302,32 milliards FCFA, en hausse de 14,8% par rapport à 2024 (263,29 milliards), et un résultat net de 13,13 milliards FCFA, en progression de 24,4%. La rentabilité des fonds propres (ROE) est excellente à 36,5%, bien au-dessus du seuil de 15%, tandis que le ROA reste faible à 0,65%, en raison d'un total bilan très élevé (2 018,45 milliards FCFA). En tant qu'entreprise non bancaire, l'analyse des délais est cruciale : le délai clients de 164 jours est élevé, représentant un risque de trésorerie, mais le BFR négatif de -90,24 milliards FCFA est favorable, indiquant une gestion efficace du cycle d'exploitation. Le rapport annuel 2025 (daté du 31 décembre 2025) confirme une croissance des ventes d'énergie de +8,3% en volume et une expansion de la base clients à 5,28 millions (+15,1%). Sur la base du rapport semestriel 2025 (S1 2025), qui montre un CA de 134,92 milliards (+18,85%) et un résultat net de 5,10 milliards (+13,4%), on estime que l'exercice 2026 pourrait maintenir une croissance à deux chiffres, portée par le programme PEPT et les exportations. La politique de dividende est très généreuse avec un DPA de 234 FCFA, représentant 99,8% du résultat net, mais cette distribution quasi-totale limite l'autofinancement des investissements futurs. Le niveau d'endettement est préoccupant (ratio d'endettement de 612,9%), mais la solvabilité générale (101,8%) et la couverture des intérêts (617,7%) restent acceptables. La recommandation fondamentale est de conserver, compte tenu de la solidité opérationnelle mais des risques de crédit et de régulation.</w:t>
      </w:r>
    </w:p>
    <w:p>
      <w:pPr>
        <w:spacing w:after="120" w:line="276" w:lineRule="auto"/>
      </w:pPr>
      <w:r>
        <w:t>---</w:t>
      </w:r>
    </w:p>
    <w:p>
      <w:pPr>
        <w:spacing w:after="120" w:line="276" w:lineRule="auto"/>
      </w:pPr>
      <w:r>
        <w:t>### PARTIE 4 : CONCLUSION D'INVESTISSEMENT</w:t>
      </w:r>
    </w:p>
    <w:p>
      <w:pPr>
        <w:spacing w:after="120" w:line="276" w:lineRule="auto"/>
      </w:pPr>
      <w:r>
        <w:t>La valorisation de la CIEC (PER 22,0x, P/B 8,02x) indique une surévaluation relative par rapport au marché BRVM, bien que justifiée par une croissance solide et une rentabilité exceptionnelle (ROE 36,5%). Le comportement du cours sur 100 jours (+58,46%) est très favorable, mais la volatilité élevée (46,3%) et la distribution platykurtique suggèrent un risque de retournement. Les signaux techniques sont partagés, avec des moyennes mobiles positives mais un MACD vendeur et des indicateurs neutres, indiquant une consolidation probable. Les fondamentaux restent robustes avec une croissance du CA de 14,8% en 2025 et des perspectives positives pour 2026, mais le risque de crédit client et l'endettement élevé tempèrent l'enthousiasme. Les prédictions IA (J+1 à J+10) prévoient une chute brutale du cours de 5 150 à 3 548 FCFA, contredisant fortement les signaux haussiers récents et suggérant une correction majeure. En synthèse, la convergence entre la surévaluation, les signaux techniques mitigés et les prédictions baissières conduit à une recommandation de **VENTE**, avec un niveau de confiance **Moyen** et un risque global **Élevé**. L'horizon d'investissement optimal serait à court terme (&lt;3 mois) pour les investisseurs cherchant à sécuriser les gains, tandis que les investisseurs à long terme devraient attendre une correction avant d'entrer.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891.82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3,410 titres</w:t>
            </w:r>
          </w:p>
        </w:tc>
        <w:tc>
          <w:tcPr>
            <w:tcW w:type="dxa" w:w="2268"/>
            <w:shd w:fill="FFF2CC" w:val="clear"/>
          </w:tcPr>
          <w:p>
            <w:r>
              <w:rPr>
                <w:b/>
                <w:color w:val="503200"/>
                <w:sz w:val="16"/>
              </w:rPr>
              <w:t xml:space="preserve">Cours actuel : </w:t>
            </w:r>
            <w:r>
              <w:rPr>
                <w:color w:val="000000"/>
                <w:sz w:val="17"/>
              </w:rPr>
              <w:t>16,200 FCFA</w:t>
            </w:r>
          </w:p>
          <w:p>
            <w:r>
              <w:rPr>
                <w:b/>
                <w:color w:val="503200"/>
                <w:sz w:val="16"/>
              </w:rPr>
              <w:t xml:space="preserve">Var. 100 jours : </w:t>
            </w:r>
            <w:r>
              <w:rPr>
                <w:b/>
                <w:color w:val="B40000"/>
                <w:sz w:val="17"/>
              </w:rPr>
              <w:t>-1.25%</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2.11% (Faible) — μ=16,329 FCFA, σ=345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β=0.2852 (Défensif) — Cov=0.000010, Var(idx)=0.000036, ρ=0.102,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σ_j=1.69%/j (Stable) — Vol. annualisée≈26.8%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587289"/>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15,660</w:t>
            </w:r>
          </w:p>
        </w:tc>
        <w:tc>
          <w:tcPr>
            <w:tcW w:type="dxa" w:w="1440"/>
            <w:shd w:fill="FAFAFA" w:val="clear"/>
          </w:tcPr>
          <w:p>
            <w:r>
              <w:rPr>
                <w:b/>
                <w:sz w:val="17"/>
              </w:rPr>
              <w:t>16,132</w:t>
            </w:r>
          </w:p>
        </w:tc>
        <w:tc>
          <w:tcPr>
            <w:tcW w:type="dxa" w:w="1440"/>
            <w:shd w:fill="FAFAFA" w:val="clear"/>
          </w:tcPr>
          <w:p>
            <w:r>
              <w:rPr>
                <w:sz w:val="17"/>
              </w:rPr>
              <w:t>16,605</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15,456</w:t>
            </w:r>
          </w:p>
        </w:tc>
        <w:tc>
          <w:tcPr>
            <w:tcW w:type="dxa" w:w="1440"/>
            <w:shd w:fill="FAFAFA" w:val="clear"/>
          </w:tcPr>
          <w:p>
            <w:r>
              <w:rPr>
                <w:b/>
                <w:sz w:val="17"/>
              </w:rPr>
              <w:t>16,123</w:t>
            </w:r>
          </w:p>
        </w:tc>
        <w:tc>
          <w:tcPr>
            <w:tcW w:type="dxa" w:w="1440"/>
            <w:shd w:fill="FAFAFA" w:val="clear"/>
          </w:tcPr>
          <w:p>
            <w:r>
              <w:rPr>
                <w:sz w:val="17"/>
              </w:rPr>
              <w:t>16,791</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15,292</w:t>
            </w:r>
          </w:p>
        </w:tc>
        <w:tc>
          <w:tcPr>
            <w:tcW w:type="dxa" w:w="1440"/>
            <w:shd w:fill="FAFAFA" w:val="clear"/>
          </w:tcPr>
          <w:p>
            <w:r>
              <w:rPr>
                <w:b/>
                <w:sz w:val="17"/>
              </w:rPr>
              <w:t>16,109</w:t>
            </w:r>
          </w:p>
        </w:tc>
        <w:tc>
          <w:tcPr>
            <w:tcW w:type="dxa" w:w="1440"/>
            <w:shd w:fill="FAFAFA" w:val="clear"/>
          </w:tcPr>
          <w:p>
            <w:r>
              <w:rPr>
                <w:sz w:val="17"/>
              </w:rPr>
              <w:t>16,926</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2026-08-14</w:t>
            </w:r>
          </w:p>
        </w:tc>
        <w:tc>
          <w:tcPr>
            <w:tcW w:type="dxa" w:w="1440"/>
            <w:shd w:fill="FAFAFA" w:val="clear"/>
          </w:tcPr>
          <w:p>
            <w:r>
              <w:rPr>
                <w:sz w:val="17"/>
              </w:rPr>
              <w:t>15,152</w:t>
            </w:r>
          </w:p>
        </w:tc>
        <w:tc>
          <w:tcPr>
            <w:tcW w:type="dxa" w:w="1440"/>
            <w:shd w:fill="FAFAFA" w:val="clear"/>
          </w:tcPr>
          <w:p>
            <w:r>
              <w:rPr>
                <w:b/>
                <w:sz w:val="17"/>
              </w:rPr>
              <w:t>16,095</w:t>
            </w:r>
          </w:p>
        </w:tc>
        <w:tc>
          <w:tcPr>
            <w:tcW w:type="dxa" w:w="1440"/>
            <w:shd w:fill="FAFAFA" w:val="clear"/>
          </w:tcPr>
          <w:p>
            <w:r>
              <w:rPr>
                <w:sz w:val="17"/>
              </w:rPr>
              <w:t>17,038</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2026-08-17</w:t>
            </w:r>
          </w:p>
        </w:tc>
        <w:tc>
          <w:tcPr>
            <w:tcW w:type="dxa" w:w="1440"/>
            <w:shd w:fill="FAFAFA" w:val="clear"/>
          </w:tcPr>
          <w:p>
            <w:r>
              <w:rPr>
                <w:sz w:val="17"/>
              </w:rPr>
              <w:t>15,029</w:t>
            </w:r>
          </w:p>
        </w:tc>
        <w:tc>
          <w:tcPr>
            <w:tcW w:type="dxa" w:w="1440"/>
            <w:shd w:fill="FAFAFA" w:val="clear"/>
          </w:tcPr>
          <w:p>
            <w:r>
              <w:rPr>
                <w:b/>
                <w:sz w:val="17"/>
              </w:rPr>
              <w:t>16,082</w:t>
            </w:r>
          </w:p>
        </w:tc>
        <w:tc>
          <w:tcPr>
            <w:tcW w:type="dxa" w:w="1440"/>
            <w:shd w:fill="FAFAFA" w:val="clear"/>
          </w:tcPr>
          <w:p>
            <w:r>
              <w:rPr>
                <w:sz w:val="17"/>
              </w:rPr>
              <w:t>17,135</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2026-08-18</w:t>
            </w:r>
          </w:p>
        </w:tc>
        <w:tc>
          <w:tcPr>
            <w:tcW w:type="dxa" w:w="1440"/>
            <w:shd w:fill="FAFAFA" w:val="clear"/>
          </w:tcPr>
          <w:p>
            <w:r>
              <w:rPr>
                <w:sz w:val="17"/>
              </w:rPr>
              <w:t>14,917</w:t>
            </w:r>
          </w:p>
        </w:tc>
        <w:tc>
          <w:tcPr>
            <w:tcW w:type="dxa" w:w="1440"/>
            <w:shd w:fill="FAFAFA" w:val="clear"/>
          </w:tcPr>
          <w:p>
            <w:r>
              <w:rPr>
                <w:b/>
                <w:sz w:val="17"/>
              </w:rPr>
              <w:t>16,070</w:t>
            </w:r>
          </w:p>
        </w:tc>
        <w:tc>
          <w:tcPr>
            <w:tcW w:type="dxa" w:w="1440"/>
            <w:shd w:fill="FAFAFA" w:val="clear"/>
          </w:tcPr>
          <w:p>
            <w:r>
              <w:rPr>
                <w:sz w:val="17"/>
              </w:rPr>
              <w:t>17,222</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2026-08-19</w:t>
            </w:r>
          </w:p>
        </w:tc>
        <w:tc>
          <w:tcPr>
            <w:tcW w:type="dxa" w:w="1440"/>
            <w:shd w:fill="FAFAFA" w:val="clear"/>
          </w:tcPr>
          <w:p>
            <w:r>
              <w:rPr>
                <w:sz w:val="17"/>
              </w:rPr>
              <w:t>14,813</w:t>
            </w:r>
          </w:p>
        </w:tc>
        <w:tc>
          <w:tcPr>
            <w:tcW w:type="dxa" w:w="1440"/>
            <w:shd w:fill="FAFAFA" w:val="clear"/>
          </w:tcPr>
          <w:p>
            <w:r>
              <w:rPr>
                <w:b/>
                <w:sz w:val="17"/>
              </w:rPr>
              <w:t>16,058</w:t>
            </w:r>
          </w:p>
        </w:tc>
        <w:tc>
          <w:tcPr>
            <w:tcW w:type="dxa" w:w="1440"/>
            <w:shd w:fill="FAFAFA" w:val="clear"/>
          </w:tcPr>
          <w:p>
            <w:r>
              <w:rPr>
                <w:sz w:val="17"/>
              </w:rPr>
              <w:t>17,302</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2026-08-20</w:t>
            </w:r>
          </w:p>
        </w:tc>
        <w:tc>
          <w:tcPr>
            <w:tcW w:type="dxa" w:w="1440"/>
            <w:shd w:fill="FAFAFA" w:val="clear"/>
          </w:tcPr>
          <w:p>
            <w:r>
              <w:rPr>
                <w:sz w:val="17"/>
              </w:rPr>
              <w:t>14,716</w:t>
            </w:r>
          </w:p>
        </w:tc>
        <w:tc>
          <w:tcPr>
            <w:tcW w:type="dxa" w:w="1440"/>
            <w:shd w:fill="FAFAFA" w:val="clear"/>
          </w:tcPr>
          <w:p>
            <w:r>
              <w:rPr>
                <w:b/>
                <w:sz w:val="17"/>
              </w:rPr>
              <w:t>16,045</w:t>
            </w:r>
          </w:p>
        </w:tc>
        <w:tc>
          <w:tcPr>
            <w:tcW w:type="dxa" w:w="1440"/>
            <w:shd w:fill="FAFAFA" w:val="clear"/>
          </w:tcPr>
          <w:p>
            <w:r>
              <w:rPr>
                <w:sz w:val="17"/>
              </w:rPr>
              <w:t>17,374</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2026-08-21</w:t>
            </w:r>
          </w:p>
        </w:tc>
        <w:tc>
          <w:tcPr>
            <w:tcW w:type="dxa" w:w="1440"/>
            <w:shd w:fill="FAFAFA" w:val="clear"/>
          </w:tcPr>
          <w:p>
            <w:r>
              <w:rPr>
                <w:sz w:val="17"/>
              </w:rPr>
              <w:t>14,625</w:t>
            </w:r>
          </w:p>
        </w:tc>
        <w:tc>
          <w:tcPr>
            <w:tcW w:type="dxa" w:w="1440"/>
            <w:shd w:fill="FAFAFA" w:val="clear"/>
          </w:tcPr>
          <w:p>
            <w:r>
              <w:rPr>
                <w:b/>
                <w:sz w:val="17"/>
              </w:rPr>
              <w:t>16,033</w:t>
            </w:r>
          </w:p>
        </w:tc>
        <w:tc>
          <w:tcPr>
            <w:tcW w:type="dxa" w:w="1440"/>
            <w:shd w:fill="FAFAFA" w:val="clear"/>
          </w:tcPr>
          <w:p>
            <w:r>
              <w:rPr>
                <w:sz w:val="17"/>
              </w:rPr>
              <w:t>17,442</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2026-08-24</w:t>
            </w:r>
          </w:p>
        </w:tc>
        <w:tc>
          <w:tcPr>
            <w:tcW w:type="dxa" w:w="1440"/>
            <w:shd w:fill="FAFAFA" w:val="clear"/>
          </w:tcPr>
          <w:p>
            <w:r>
              <w:rPr>
                <w:sz w:val="17"/>
              </w:rPr>
              <w:t>14,538</w:t>
            </w:r>
          </w:p>
        </w:tc>
        <w:tc>
          <w:tcPr>
            <w:tcW w:type="dxa" w:w="1440"/>
            <w:shd w:fill="FAFAFA" w:val="clear"/>
          </w:tcPr>
          <w:p>
            <w:r>
              <w:rPr>
                <w:b/>
                <w:sz w:val="17"/>
              </w:rPr>
              <w:t>16,021</w:t>
            </w:r>
          </w:p>
        </w:tc>
        <w:tc>
          <w:tcPr>
            <w:tcW w:type="dxa" w:w="1440"/>
            <w:shd w:fill="FAFAFA" w:val="clear"/>
          </w:tcPr>
          <w:p>
            <w:r>
              <w:rPr>
                <w:sz w:val="17"/>
              </w:rPr>
              <w:t>17,505</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891,82 milliards FCFA, ce qui en fait l'une des plus importantes capitalisations de la BRVM, reflétant son statut de banque systémique dans l'UEMOA. Avec un BPA de 1 153 FCFA, chaque action génère un bénéfice substantiel, justifiant un PER de 14,0x. Ce niveau est supérieur à la moyenne historique de la BRVM (8-12x), indiquant que les investisseurs paient une prime de croissance et de qualité. Le P/B de 4,08x confirme cette prime, le marché valorisant fortement les capitaux propres de la banque (218,573 Mds FCFA) par rapport à leur valeur comptable. Enfin, un EV/EBITDA de 13,8x, dans la fourchette haute de 10-15x, suggère une valorisation exigeante qui anticipe une poursuite de la performance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ECOC affiche une variation totale de -1,25%, avec une dernière séance stable (+0,00%), témoignant d'une consolidation après des périodes de volatilité. Le cours a évolué dans un range de 15 520 FCFA (plus bas) à 17 270 FCFA (plus haut), soit une amplitude de 11,3%, indiquant des phases d'accumulation et de distribution. La moyenne (16 329 FCFA) et la médiane (16 300 FCFA) sont très proches, avec un mode identique, ce qui révèle une distribution des prix très symétrique et un marché équilibré. L'écart-type de 347 FCFA (CV=2,1%) confirme une dispersion très faible autour de la moyenne, signe d'une stabilité remarquable. Le kurtosis de 0,295 (mésokurtique) et le skewness de 0,159 (quasi nul) indiquent une distribution proche de la normale, sans risque de mouvements extrêmes. La volatilité annualisée de 26,8% classe le titre dans une zone de volatilité modérée (15-30%),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 La MM20 (16 107 FCFA) est inférieure à la MM50 (16 433 FCFA), formant une configuration baissière classique. Le cours actuel (16 200 FCFA) se situe entre les deux moyennes, mais sous la MM50, ce qui suggère une pression vendeuse à moyen terme. La décision de "Vente" est cohérente avec cette structure, bien que le cours tente de se stabiliser au-dessus de la MM20.</w:t>
      </w:r>
    </w:p>
    <w:p>
      <w:pPr>
        <w:spacing w:after="120" w:line="276" w:lineRule="auto"/>
      </w:pPr>
      <w:r>
        <w:t>**Bandes de Bollinger** : Le prix (16 200 FCFA) évolue dans la partie médiane des bandes, entre la borne supérieure (16 595 FCFA) et la borne inférieure (15 619 FCFA). La largeur des bandes indique une volatilité modérée. La décision "Neutre" est justifiée, le cours n'étant ni en situation de surachat ni de survente, laissant place à une évolution latérale.</w:t>
      </w:r>
    </w:p>
    <w:p>
      <w:pPr>
        <w:spacing w:after="120" w:line="276" w:lineRule="auto"/>
      </w:pPr>
      <w:r>
        <w:t>**MACD** : Le MACD (-74,48) est négatif mais supérieur à son signal (-97,67), formant un croisement haussier. Cette configuration, bien que le momentum reste sous la ligne zéro, suggère un ralentissement de la dynamique baissière et un potentiel retournement à la hausse. La décision "Achat" est donc anticipative.</w:t>
      </w:r>
    </w:p>
    <w:p>
      <w:pPr>
        <w:spacing w:after="120" w:line="276" w:lineRule="auto"/>
      </w:pPr>
      <w:r>
        <w:t>**RSI** : Le RSI à 70,46 est en zone de surachat, signalant que le titre a fortement monté récemment et qu'un repli technique est probable à court terme. La décision "Vente" est justifiée, car cette zone est souvent associée à une correction des prix.</w:t>
      </w:r>
    </w:p>
    <w:p>
      <w:pPr>
        <w:spacing w:after="120" w:line="276" w:lineRule="auto"/>
      </w:pPr>
      <w:r>
        <w:t>**Stochastique** : Le %K (91,51) est très élevé et au-dessus du %D (78,93), indiquant une forte dynamique haussière à court terme, mais également des conditions de surachat extrêmes. La décision "Vente" reflète le risque élevé de retournement.</w:t>
      </w:r>
    </w:p>
    <w:p>
      <w:pPr>
        <w:spacing w:after="120" w:line="276" w:lineRule="auto"/>
      </w:pPr>
      <w:r>
        <w:t>**Conclusion technique** : Les indicateurs sont mitigés : les moyennes mobiles et le RSI/Stochastique suggèrent une prudence à court terme (surachat), tandis que le MACD montre un potentiel de reprise. La configuration globale est celle d'une consolidation avec un biais légèrement positif à moyen terme, mais un risque de correction immédiate.</w:t>
      </w:r>
    </w:p>
    <w:p>
      <w:pPr>
        <w:spacing w:after="120" w:line="276" w:lineRule="auto"/>
      </w:pPr>
      <w:r>
        <w:t>---</w:t>
      </w:r>
    </w:p>
    <w:p>
      <w:pPr>
        <w:spacing w:after="120" w:line="276" w:lineRule="auto"/>
      </w:pPr>
      <w:r>
        <w:t>### PARTIE 3 : ANALYSE FONDAMENTALE (SECTION CRITIQUE)</w:t>
      </w:r>
    </w:p>
    <w:p>
      <w:pPr>
        <w:spacing w:after="120" w:line="276" w:lineRule="auto"/>
      </w:pPr>
      <w:r>
        <w:t>En 2025, Ecobank Côte d'Ivoire affiche des résultats financiers solides, avec un Produit Net Bancaire (PNB) de 132,725 milliards FCFA et un résultat net de 63,482 milliards FCFA, en hausse par rapport à 2024 (PNB de 122,3 milliards FCFA et résultat net de 57,5 milliards FCFA, soit +11% et +19,6% respectivement). La rentabilité est exceptionnelle avec un ROE de 29,04% et un ROA de 3,09%, largement au-dessus des normes du secteur. Le coefficient d'exploitation de 42,89% témoigne d'une excellente maîtrise des coûts, tandis que le coût du risque de 1,36% reste modéré, reflétant une bonne qualité du portefeuille de crédits (créances clientèle de 1 050,803 Mds FCFA contre des dépôts de 1 626,223 Mds FCFA, soit un ratio de transformation de 64,6%, prudent). Les rapports trimestriels de 2025 confirment cette dynamique : le T3 2025 montre un PNB de 96,4 milliards FCFA (+11,3%) et un résultat net de 44,4 milliards FCFA (+15,4%), avec un ROE de 29,7%. Sur la base de ces tendances, on estime que l'exercice 2026 pourrait voir un PNB dépasser 140 milliards FCFA et un résultat net proche de 68 milliards FCFA, soutenus par la forte collecte de dépôts (+33,2% au T3 2025) et l'amélioration continue de l'efficacité opérationnelle. La banque propose un dividende de 888 FCFA brut par action pour 2025, en hausse de 10,4% par rapport à 2024 (804 FCFA), confirmant une politique actionnariale généreuse. Les fondamentaux d'ECOC sont donc excellents, avec une croissance soutenue, une rentabilité supérieure aux pairs et une gestion prudente des risques.</w:t>
      </w:r>
    </w:p>
    <w:p>
      <w:pPr>
        <w:spacing w:after="120" w:line="276" w:lineRule="auto"/>
      </w:pPr>
      <w:r>
        <w:t>---</w:t>
      </w:r>
    </w:p>
    <w:p>
      <w:pPr>
        <w:spacing w:after="120" w:line="276" w:lineRule="auto"/>
      </w:pPr>
      <w:r>
        <w:t>### PARTIE 4 : CONCLUSION D'INVESTISSEMENT</w:t>
      </w:r>
    </w:p>
    <w:p>
      <w:pPr>
        <w:spacing w:after="120" w:line="276" w:lineRule="auto"/>
      </w:pPr>
      <w:r>
        <w:t>La valorisation d'ECOC (PER 14x, P/B 4,08x) est exigeante mais justifiée par une rentabilité exceptionnelle (ROE &gt;29%) et une croissance soutenue du PNB (+8,5% en 2025). Le comportement du cours sur 100 jours montre une stabilité remarquable (CV 2,1%) avec une distribution symétrique, indiquant un titre bien tenu par les investisseurs institutionnels. Les signaux techniques sont mitigés : surachat à court terme (RSI 70, Stochastique 91) mais momentum positif (MACD), suggérant une consolidation avant une potentielle reprise. Les fondamentaux sont solides, avec une banque bien capitalisée, un coût du risque maîtrisé et une politique de dividende attractive (rendement d'environ 5,5%). Les prédictions IA (16 132 FCFA à J+1, 16 082 FCFA à J+10) indiquent une légère baisse, cohérente avec le surachat technique, mais sans remettre en cause la tendance de fond. En synthèse, la convergence entre des fondamentaux excellents et une valorisation élevée mais justifiée conduit à une recommandation **CONSERVER** pour les investisseurs existants, avec un niveau de confiance **Moyen** et un risque global **Moyen**. Pour les nouveaux investisseurs, un point d'entrée plus attractif pourrait se présenter en cas de repli vers 15 500-15 800 FCFA. L'horizon d'investissement optimal est le **moyen terme (3-12 mois)**, en attendant la confirmation des résultats annuels 2026 et l'évolution de l'environnement macroéconomique régional.</w:t>
      </w:r>
    </w:p>
    <w:p/>
    <w:p/>
    <w:p>
      <w:pPr>
        <w:pStyle w:val="Heading3"/>
      </w:pPr>
      <w:r>
        <w:rPr>
          <w:color w:val="00467F"/>
        </w:rPr>
        <w:t>📎 DOCUMENTS &amp; COMMUNICATIONS OFFICIELS BRVM</w:t>
      </w:r>
    </w:p>
    <w:p>
      <w:r>
        <w:rPr>
          <w:i/>
          <w:color w:val="646464"/>
          <w:sz w:val="18"/>
        </w:rPr>
        <w:t>9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Pr>
        <w:ind w:left="400"/>
      </w:pPr>
      <w:r>
        <w:rPr>
          <w:color w:val="B4B4B4"/>
          <w:sz w:val="14"/>
        </w:rPr>
        <w:t xml:space="preserve">· · · · · · · · · · · · · · · · · · · · · · · · · · · · · · </w:t>
      </w:r>
    </w:p>
    <w:p>
      <w:pPr>
        <w:spacing w:before="160"/>
      </w:pPr>
      <w:r>
        <w:rPr>
          <w:b/>
          <w:color w:val="0066CC"/>
          <w:sz w:val="20"/>
        </w:rPr>
        <w:t xml:space="preserve">[5] </w:t>
      </w:r>
      <w:r>
        <w:rPr>
          <w:b/>
          <w:sz w:val="20"/>
        </w:rPr>
        <w:t>20260513   avis de convocation   assemblee generale ordinaire   eti tg</w:t>
      </w:r>
    </w:p>
    <w:p>
      <w:pPr>
        <w:spacing w:before="20"/>
        <w:ind w:left="400"/>
      </w:pPr>
      <w:r>
        <w:rPr>
          <w:color w:val="505050"/>
          <w:sz w:val="17"/>
        </w:rPr>
        <w:t xml:space="preserve">Date : 13/05/2026  |  Catégorie : convocation AG  |  Impact : </w:t>
      </w:r>
      <w:r>
        <w:rPr>
          <w:b/>
          <w:color w:val="646464"/>
          <w:sz w:val="17"/>
        </w:rPr>
        <w:t>⚪ NEUTRE</w:t>
      </w:r>
    </w:p>
    <w:p>
      <w:pPr>
        <w:spacing w:before="40"/>
        <w:ind w:left="400"/>
      </w:pPr>
      <w:r>
        <w:rPr>
          <w:sz w:val="18"/>
        </w:rPr>
        <w:t>Ecobank Transnational Incorporated convoque ses actionnaires à la 38ème Assemblée Générale Ordinaire le 3 juin 2026 à Lomé, Togo. L'ordre du jour comprend l'approbation des comptes, l'affectation du résultat et le renouvellement des mandats d'administrateurs. Les actionnaires peuvent participer en personne ou par procuration avec possibilité de soumettre leurs questions à l'avance.</w:t>
      </w:r>
    </w:p>
    <w:p>
      <w:pPr>
        <w:spacing w:before="60"/>
        <w:ind w:left="400"/>
      </w:pPr>
      <w:r>
        <w:rPr>
          <w:b/>
          <w:sz w:val="18"/>
        </w:rPr>
        <w:t>Points clés :</w:t>
      </w:r>
    </w:p>
    <w:p>
      <w:pPr>
        <w:pStyle w:val="ListBullet"/>
        <w:spacing w:before="20" w:after="20"/>
        <w:ind w:left="700"/>
      </w:pPr>
      <w:r>
        <w:rPr>
          <w:sz w:val="18"/>
        </w:rPr>
        <w:t>38ème Assemblée Générale Ordinaire prévue le 3 juin 2026 à 10h30 GMT à Lomé</w:t>
      </w:r>
    </w:p>
    <w:p>
      <w:pPr>
        <w:pStyle w:val="ListBullet"/>
        <w:spacing w:before="20" w:after="20"/>
        <w:ind w:left="700"/>
      </w:pPr>
      <w:r>
        <w:rPr>
          <w:sz w:val="18"/>
        </w:rPr>
        <w:t>Approbation des comptes annuels et affectation du résultat à l'ordre du jour</w:t>
      </w:r>
    </w:p>
    <w:p>
      <w:pPr>
        <w:pStyle w:val="ListBullet"/>
        <w:spacing w:before="20" w:after="20"/>
        <w:ind w:left="700"/>
      </w:pPr>
      <w:r>
        <w:rPr>
          <w:sz w:val="18"/>
        </w:rPr>
        <w:t>Renouvellement des mandats d'administrateurs et nominations au conseil</w:t>
      </w:r>
    </w:p>
    <w:p>
      <w:pPr>
        <w:pStyle w:val="ListBullet"/>
        <w:spacing w:before="20" w:after="20"/>
        <w:ind w:left="700"/>
      </w:pPr>
      <w:r>
        <w:rPr>
          <w:sz w:val="18"/>
        </w:rPr>
        <w:t>Possibilité de participation par procuration avec formulaire à soumettre avant le 2 juin 2026</w:t>
      </w:r>
    </w:p>
    <w:p>
      <w:pPr>
        <w:pStyle w:val="ListBullet"/>
        <w:spacing w:before="20" w:after="20"/>
        <w:ind w:left="700"/>
      </w:pPr>
      <w:r>
        <w:rPr>
          <w:sz w:val="18"/>
        </w:rPr>
        <w:t>Nomination des commissaires aux comptes parmi les points à délibérer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1,350,703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+109.38%</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38.07% (Élevée) — μ=41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β=2.5612 (Très agressif) — Cov=0.000093, Var(idx)=0.000036, ρ=0.386,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1,350,703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σ_j=3.95%/j (Modérée) — Vol. annualisée≈62.7%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7128"/>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7128"/>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57</w:t>
            </w:r>
          </w:p>
        </w:tc>
        <w:tc>
          <w:tcPr>
            <w:tcW w:type="dxa" w:w="1440"/>
            <w:shd w:fill="FFDCE0" w:val="clear"/>
          </w:tcPr>
          <w:p>
            <w:r>
              <w:rPr>
                <w:b/>
                <w:sz w:val="17"/>
              </w:rPr>
              <w:t>62</w:t>
            </w:r>
          </w:p>
        </w:tc>
        <w:tc>
          <w:tcPr>
            <w:tcW w:type="dxa" w:w="1440"/>
            <w:shd w:fill="FFDCE0" w:val="clear"/>
          </w:tcPr>
          <w:p>
            <w:r>
              <w:rPr>
                <w:sz w:val="17"/>
              </w:rPr>
              <w:t>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50</w:t>
            </w:r>
          </w:p>
        </w:tc>
        <w:tc>
          <w:tcPr>
            <w:tcW w:type="dxa" w:w="1440"/>
            <w:shd w:fill="FFDCE0" w:val="clear"/>
          </w:tcPr>
          <w:p>
            <w:r>
              <w:rPr>
                <w:b/>
                <w:sz w:val="17"/>
              </w:rPr>
              <w:t>57</w:t>
            </w:r>
          </w:p>
        </w:tc>
        <w:tc>
          <w:tcPr>
            <w:tcW w:type="dxa" w:w="1440"/>
            <w:shd w:fill="FFDCE0" w:val="clear"/>
          </w:tcPr>
          <w:p>
            <w:r>
              <w:rPr>
                <w:sz w:val="17"/>
              </w:rPr>
              <w:t>64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45</w:t>
            </w:r>
          </w:p>
        </w:tc>
        <w:tc>
          <w:tcPr>
            <w:tcW w:type="dxa" w:w="1440"/>
            <w:shd w:fill="FFDCE0" w:val="clear"/>
          </w:tcPr>
          <w:p>
            <w:r>
              <w:rPr>
                <w:b/>
                <w:sz w:val="17"/>
              </w:rPr>
              <w:t>53</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40</w:t>
            </w:r>
          </w:p>
        </w:tc>
        <w:tc>
          <w:tcPr>
            <w:tcW w:type="dxa" w:w="1440"/>
            <w:shd w:fill="FFDCE0" w:val="clear"/>
          </w:tcPr>
          <w:p>
            <w:r>
              <w:rPr>
                <w:b/>
                <w:sz w:val="17"/>
              </w:rPr>
              <w:t>49</w:t>
            </w:r>
          </w:p>
        </w:tc>
        <w:tc>
          <w:tcPr>
            <w:tcW w:type="dxa" w:w="1440"/>
            <w:shd w:fill="FFDCE0" w:val="clear"/>
          </w:tcPr>
          <w:p>
            <w:r>
              <w:rPr>
                <w:sz w:val="17"/>
              </w:rPr>
              <w:t>58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36</w:t>
            </w:r>
          </w:p>
        </w:tc>
        <w:tc>
          <w:tcPr>
            <w:tcW w:type="dxa" w:w="1440"/>
            <w:shd w:fill="FFDCE0" w:val="clear"/>
          </w:tcPr>
          <w:p>
            <w:r>
              <w:rPr>
                <w:b/>
                <w:sz w:val="17"/>
              </w:rPr>
              <w:t>45</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33</w:t>
            </w:r>
          </w:p>
        </w:tc>
        <w:tc>
          <w:tcPr>
            <w:tcW w:type="dxa" w:w="1440"/>
            <w:shd w:fill="FFDCE0" w:val="clear"/>
          </w:tcPr>
          <w:p>
            <w:r>
              <w:rPr>
                <w:b/>
                <w:sz w:val="17"/>
              </w:rPr>
              <w:t>42</w:t>
            </w:r>
          </w:p>
        </w:tc>
        <w:tc>
          <w:tcPr>
            <w:tcW w:type="dxa" w:w="1440"/>
            <w:shd w:fill="FFDCE0" w:val="clear"/>
          </w:tcPr>
          <w:p>
            <w:r>
              <w:rPr>
                <w:sz w:val="17"/>
              </w:rPr>
              <w:t>51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30</w:t>
            </w:r>
          </w:p>
        </w:tc>
        <w:tc>
          <w:tcPr>
            <w:tcW w:type="dxa" w:w="1440"/>
            <w:shd w:fill="FFDCE0" w:val="clear"/>
          </w:tcPr>
          <w:p>
            <w:r>
              <w:rPr>
                <w:b/>
                <w:sz w:val="17"/>
              </w:rPr>
              <w:t>39</w:t>
            </w:r>
          </w:p>
        </w:tc>
        <w:tc>
          <w:tcPr>
            <w:tcW w:type="dxa" w:w="1440"/>
            <w:shd w:fill="FFDCE0" w:val="clear"/>
          </w:tcPr>
          <w:p>
            <w:r>
              <w:rPr>
                <w:sz w:val="17"/>
              </w:rPr>
              <w:t>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27</w:t>
            </w:r>
          </w:p>
        </w:tc>
        <w:tc>
          <w:tcPr>
            <w:tcW w:type="dxa" w:w="1440"/>
            <w:shd w:fill="FFDCE0" w:val="clear"/>
          </w:tcPr>
          <w:p>
            <w:r>
              <w:rPr>
                <w:b/>
                <w:sz w:val="17"/>
              </w:rPr>
              <w:t>36</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24</w:t>
            </w:r>
          </w:p>
        </w:tc>
        <w:tc>
          <w:tcPr>
            <w:tcW w:type="dxa" w:w="1440"/>
            <w:shd w:fill="FFDCE0" w:val="clear"/>
          </w:tcPr>
          <w:p>
            <w:r>
              <w:rPr>
                <w:b/>
                <w:sz w:val="17"/>
              </w:rPr>
              <w:t>33</w:t>
            </w:r>
          </w:p>
        </w:tc>
        <w:tc>
          <w:tcPr>
            <w:tcW w:type="dxa" w:w="1440"/>
            <w:shd w:fill="FFDCE0" w:val="clear"/>
          </w:tcPr>
          <w:p>
            <w:r>
              <w:rPr>
                <w:sz w:val="17"/>
              </w:rPr>
              <w:t>42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22</w:t>
            </w:r>
          </w:p>
        </w:tc>
        <w:tc>
          <w:tcPr>
            <w:tcW w:type="dxa" w:w="1440"/>
            <w:shd w:fill="FFDCE0" w:val="clear"/>
          </w:tcPr>
          <w:p>
            <w:r>
              <w:rPr>
                <w:b/>
                <w:sz w:val="17"/>
              </w:rPr>
              <w:t>31</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1 211,64 milliards FCFA, ce qui en fait l'une des plus importantes capitalisations de la BRVM, reflétant le statut de leader panafricain du groupe. Avec un BPA de 19 FCFA, chaque action génère un bénéfice substantiel, justifiant un PER de 3,5x, très inférieur à la moyenne de la BRVM (8-12x), ce qui indique une sous-évaluation potentielle du titre par rapport à ses bénéfices. Le P/B de 0,76x confirme cette lecture, le marché valorisant la société en dessous de sa valeur comptable, une situation souvent synonyme d'opportunité pour les investisseurs. Enfin, l'EV/EBITDA de 5,0x est également très attractif, signifiant que la valeur totale de l'entreprise reste modérée par rapport à sa capacité opérationnelle de génération de cash-flow. Ces ratios combinés suggèrent une décote marquée sur le titre malgré des fondamentaux solides.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connu une appréciation spectaculaire de +109,38%, avec une dernière séance en hausse de +3,08%, clôturant à 67 FCFA. Cette performance s'inscrit dans un range de trading extrêmement large, le cours ayant oscillé entre un plus bas de 26 FCFA et un plus haut de 78 FCFA, illustrant une volatilité et un intérêt marqués pour la valeur. La moyenne du cours sur la période est de 41 FCFA, tandis que la médiane est de 32 FCFA ; cet écart significatif, couplé à un skewness positif de 1,166, indique une distribution asymétrique avec une concentration de journées sous la moyenne mais des pics de hausse importants. L'écart-type de 16 FCFA (CV de 38,3%) confirme une dispersion élevée, et le kurtosis de -0,328 suggère une distribution proche de la normale, sans risque de variations extrêmes imprévues. La volatilité annualisée de 62,7% classe le titre comme très volatil, un niveau élevé qui implique un risque important mais aussi un fort potentiel de rendement pour les investisseurs aguerris.</w:t>
      </w:r>
    </w:p>
    <w:p>
      <w:pPr>
        <w:spacing w:after="120" w:line="276" w:lineRule="auto" w:before="240"/>
      </w:pPr>
      <w:r>
        <w:rPr>
          <w:b/>
          <w:color w:val="003366"/>
          <w:sz w:val="24"/>
        </w:rPr>
        <w:t>**PARTIE 2 : ANALYSE TECHNIQUE DÉTAILLÉE**</w:t>
      </w:r>
    </w:p>
    <w:p>
      <w:pPr>
        <w:spacing w:after="120" w:line="276" w:lineRule="auto"/>
      </w:pPr>
      <w:r>
        <w:t>Les **Moyennes Mobiles** indiquent un signal d'achat. La MM20 à 68,85 FCFA est supérieure à la MM50 à 50,72 FCFA, et le cours actuel (67 FCFA) se situe sous la MM20 mais nettement au-dessus de la MM50. Cette configuration suggère une tendance haussière de moyen terme, avec un récent repli à court terme qui pourrait représenter un point d'entrée potentiel si le cours rebondit au-dessus de la MM20.</w:t>
      </w:r>
    </w:p>
    <w:p>
      <w:pPr>
        <w:spacing w:after="120" w:line="276" w:lineRule="auto"/>
      </w:pPr>
      <w:r>
        <w:t>Les **Bandes de Bollinger** montrent une position neutre. Le cours à 67 FCFA se situe à l'intérieur des bandes, entre la borne supérieure à 77,342 FCFA et la borne inférieure à 60,358 FCFA. La largeur des bandes reflète la volatilité élevée du titre. Le prix évoluant dans la partie médiane de l'enveloppe, cela indique une phase de consolidation après la forte hausse, sans signal directionnel fort.</w:t>
      </w:r>
    </w:p>
    <w:p>
      <w:pPr>
        <w:spacing w:after="120" w:line="276" w:lineRule="auto"/>
      </w:pPr>
      <w:r>
        <w:t>Le **MACD** émet un signal de vente. La valeur du MACD (3,862) est inférieure à sa ligne de signal (5,577), indiquant un momentum baissier à court terme. Cette divergence suggère un ralentissement de la dynamique haussière, ce qui pourrait précéder une correction ou une phase de consolidation supplémentaire.</w:t>
      </w:r>
    </w:p>
    <w:p>
      <w:pPr>
        <w:spacing w:after="120" w:line="276" w:lineRule="auto"/>
      </w:pPr>
      <w:r>
        <w:t>Le **RSI** est à 54,762, une valeur neutre. Le titre n'est ni suracheté (au-dessus de 70) ni survendu (en dessous de 30). Cela signifie que la pression acheteuse et vendeuse est relativement équilibrée, laissant place à une évolution directionnelle sans contrainte technique majeure.</w:t>
      </w:r>
    </w:p>
    <w:p>
      <w:pPr>
        <w:spacing w:after="120" w:line="276" w:lineRule="auto"/>
      </w:pPr>
      <w:r>
        <w:t>Le **Stochastique** est également neutre avec un %K à 27,273 et un %D à 17,424. Bien que les deux lignes soient basses, le %K est au-dessus du %D, ce qui pourrait indiquer un début de rebond technique. Cependant, les valeurs restent dans la zone de survente relative, signalant une possible faiblesse persistante à très court terme.</w:t>
      </w:r>
    </w:p>
    <w:p>
      <w:pPr>
        <w:spacing w:after="120" w:line="276" w:lineRule="auto"/>
      </w:pPr>
      <w:r>
        <w:t>**Conclusion technique** : Les signaux sont mitigés. La tendance de fond reste haussière (MM), mais les indicateurs de momentum (MACD, Stochastique) montrent une faiblesse à court terme. Le RSI neutre et les bandes de Bollinger suggèrent une consolidation. L'absence de convergence claire entre les indicateurs appelle à la prudence, bien que la structure de moyen terme demeure positive.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font état d'un Produit Net Bancaire (PNB) de 1 424,261 milliards FCFA, en croissance de +12,45%, et d'un résultat net de 345,523 milliards FCFA. La banque affiche une rentabilité exceptionnelle avec un ROE de 21,62% et un ROA de 1,80%. Le coefficient d'exploitation est remarquablement bas à 27,35%, démontrant une excellente efficacité opérationnelle. Cependant, le coût du risque est élevé à 18,97%, signalant un portefeuille de crédit sous pression. Le ratio de solvabilité générale de 109% indique une structure financière saine. Les rapports narratifs confirment cette dynamique : le rapport semestriel 2025 (publié en 2025) montre un PNB de 671,3 milliards FCFA (+12%) et un résultat net de 167,6 milliards FCFA (+23%). Le rapport du 3e trimestre 2025 (publié en 2025) confirme la tendance avec un PNB de 1 029,2 milliards FCFA (+15%) et un résultat net de 267 milliards FCFA (+30%). Pour 2026, les rapports récents (S1 2026, publié le 30 juillet 2026) indiquent un PNB en hausse de 15% à 721,3 milliards FCFA et un résultat net de 166,7 milliards FCFA (+6%), avec un coefficient d'exploitation amélioré à 48,4%. On estime que l'exercice 2026 devrait confirmer cette croissance, portée par la stratégie GTR et les investissements technologiques, bien que la hausse du coût du risque (+40%) doive être surveillée. La recommandation fondamentale est positive, le titre étant solidement valorisé avec des perspectives de croissance soutenues.</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mais globalement positive pour ETIT. La valorisation (Partie 0) est très attractive avec un PER de 3,5x et un P/B de 0,76x, indiquant une nette sous-évaluation. Le comportement du cours (Partie 1) montre une tendance haussière spectaculaire sur 100 jours (+109%), mais avec une volatilité extrême (62,7%) et une asymétrie positive qui suggèrent un potentiel de rendement élevé accompagné d'un risque significatif. Les signaux techniques (Partie 2) sont mitigés, avec une tendance de fond haussière mais un momentum à court terme en perte de vitesse. Les fondamentaux (Partie 3) sont solides, avec une croissance soutenue du PNB et une rentabilité élevée, bien que le coût du risque en hausse mérite une attention particulière. Les prédictions IA pour les 10 prochains jours prévoient une baisse du cours à 45 FCFA, ce qui contredit la tendance haussière récente et suggère une correction à court terme. En conclusion, la convergence entre la sous-évaluation, la solidité des fondamentaux et la tendance de fond haussière plaide pour une recommandation **ACHAT**, malgré les signaux techniques et les prédictions IA baissières à court terme qui pourraient offrir un point d'entrée plus favorable. Le niveau de confiance est **Moyen**, le risque global est **Élevé** en raison de la volatilité, et l'horizon d'investissement optimal est le **moyen terme (3-12 mois)** pour capitaliser sur la croissance des fondamentaux tout en absorbant la volatilité à court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3,805 titres</w:t>
            </w:r>
          </w:p>
        </w:tc>
        <w:tc>
          <w:tcPr>
            <w:tcW w:type="dxa" w:w="2268"/>
            <w:shd w:fill="FFF2CC" w:val="clear"/>
          </w:tcPr>
          <w:p>
            <w:r>
              <w:rPr>
                <w:b/>
                <w:color w:val="503200"/>
                <w:sz w:val="16"/>
              </w:rPr>
              <w:t xml:space="preserve">Cours actuel : </w:t>
            </w:r>
            <w:r>
              <w:rPr>
                <w:color w:val="000000"/>
                <w:sz w:val="17"/>
              </w:rPr>
              <w:t>2,135 FCFA</w:t>
            </w:r>
          </w:p>
          <w:p>
            <w:r>
              <w:rPr>
                <w:b/>
                <w:color w:val="503200"/>
                <w:sz w:val="16"/>
              </w:rPr>
              <w:t xml:space="preserve">Var. 100 jours : </w:t>
            </w:r>
            <w:r>
              <w:rPr>
                <w:b/>
                <w:color w:val="B40000"/>
                <w:sz w:val="17"/>
              </w:rPr>
              <w:t>-11.96%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6.95% (Moyenne) — μ=2,176 FCFA, σ=151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β=0.9057 (Neutre (suit le marché)) — Cov=0.000033, Var(idx)=0.000036, ρ=0.237,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2,066</w:t>
            </w:r>
          </w:p>
        </w:tc>
        <w:tc>
          <w:tcPr>
            <w:tcW w:type="dxa" w:w="1440"/>
            <w:shd w:fill="FAFAFA" w:val="clear"/>
          </w:tcPr>
          <w:p>
            <w:r>
              <w:rPr>
                <w:b/>
                <w:sz w:val="17"/>
              </w:rPr>
              <w:t>2,132</w:t>
            </w:r>
          </w:p>
        </w:tc>
        <w:tc>
          <w:tcPr>
            <w:tcW w:type="dxa" w:w="1440"/>
            <w:shd w:fill="FAFAFA" w:val="clear"/>
          </w:tcPr>
          <w:p>
            <w:r>
              <w:rPr>
                <w:sz w:val="17"/>
              </w:rPr>
              <w:t>2,198</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2,049</w:t>
            </w:r>
          </w:p>
        </w:tc>
        <w:tc>
          <w:tcPr>
            <w:tcW w:type="dxa" w:w="1440"/>
            <w:shd w:fill="FAFAFA" w:val="clear"/>
          </w:tcPr>
          <w:p>
            <w:r>
              <w:rPr>
                <w:b/>
                <w:sz w:val="17"/>
              </w:rPr>
              <w:t>2,142</w:t>
            </w:r>
          </w:p>
        </w:tc>
        <w:tc>
          <w:tcPr>
            <w:tcW w:type="dxa" w:w="1440"/>
            <w:shd w:fill="FAFAFA" w:val="clear"/>
          </w:tcPr>
          <w:p>
            <w:r>
              <w:rPr>
                <w:sz w:val="17"/>
              </w:rPr>
              <w:t>2,235</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2,033</w:t>
            </w:r>
          </w:p>
        </w:tc>
        <w:tc>
          <w:tcPr>
            <w:tcW w:type="dxa" w:w="1440"/>
            <w:shd w:fill="FAFAFA" w:val="clear"/>
          </w:tcPr>
          <w:p>
            <w:r>
              <w:rPr>
                <w:b/>
                <w:sz w:val="17"/>
              </w:rPr>
              <w:t>2,148</w:t>
            </w:r>
          </w:p>
        </w:tc>
        <w:tc>
          <w:tcPr>
            <w:tcW w:type="dxa" w:w="1440"/>
            <w:shd w:fill="FAFAFA" w:val="clear"/>
          </w:tcPr>
          <w:p>
            <w:r>
              <w:rPr>
                <w:sz w:val="17"/>
              </w:rPr>
              <w:t>2,263</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2026-08-14</w:t>
            </w:r>
          </w:p>
        </w:tc>
        <w:tc>
          <w:tcPr>
            <w:tcW w:type="dxa" w:w="1440"/>
            <w:shd w:fill="FAFAFA" w:val="clear"/>
          </w:tcPr>
          <w:p>
            <w:r>
              <w:rPr>
                <w:sz w:val="17"/>
              </w:rPr>
              <w:t>2,022</w:t>
            </w:r>
          </w:p>
        </w:tc>
        <w:tc>
          <w:tcPr>
            <w:tcW w:type="dxa" w:w="1440"/>
            <w:shd w:fill="FAFAFA" w:val="clear"/>
          </w:tcPr>
          <w:p>
            <w:r>
              <w:rPr>
                <w:b/>
                <w:sz w:val="17"/>
              </w:rPr>
              <w:t>2,155</w:t>
            </w:r>
          </w:p>
        </w:tc>
        <w:tc>
          <w:tcPr>
            <w:tcW w:type="dxa" w:w="1440"/>
            <w:shd w:fill="FAFAFA" w:val="clear"/>
          </w:tcPr>
          <w:p>
            <w:r>
              <w:rPr>
                <w:sz w:val="17"/>
              </w:rPr>
              <w:t>2,288</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2026-08-17</w:t>
            </w:r>
          </w:p>
        </w:tc>
        <w:tc>
          <w:tcPr>
            <w:tcW w:type="dxa" w:w="1440"/>
            <w:shd w:fill="FAFAFA" w:val="clear"/>
          </w:tcPr>
          <w:p>
            <w:r>
              <w:rPr>
                <w:sz w:val="17"/>
              </w:rPr>
              <w:t>2,014</w:t>
            </w:r>
          </w:p>
        </w:tc>
        <w:tc>
          <w:tcPr>
            <w:tcW w:type="dxa" w:w="1440"/>
            <w:shd w:fill="FAFAFA" w:val="clear"/>
          </w:tcPr>
          <w:p>
            <w:r>
              <w:rPr>
                <w:b/>
                <w:sz w:val="17"/>
              </w:rPr>
              <w:t>2,163</w:t>
            </w:r>
          </w:p>
        </w:tc>
        <w:tc>
          <w:tcPr>
            <w:tcW w:type="dxa" w:w="1440"/>
            <w:shd w:fill="FAFAFA" w:val="clear"/>
          </w:tcPr>
          <w:p>
            <w:r>
              <w:rPr>
                <w:sz w:val="17"/>
              </w:rPr>
              <w:t>2,312</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2026-08-18</w:t>
            </w:r>
          </w:p>
        </w:tc>
        <w:tc>
          <w:tcPr>
            <w:tcW w:type="dxa" w:w="1440"/>
            <w:shd w:fill="FAFAFA" w:val="clear"/>
          </w:tcPr>
          <w:p>
            <w:r>
              <w:rPr>
                <w:sz w:val="17"/>
              </w:rPr>
              <w:t>2,008</w:t>
            </w:r>
          </w:p>
        </w:tc>
        <w:tc>
          <w:tcPr>
            <w:tcW w:type="dxa" w:w="1440"/>
            <w:shd w:fill="FAFAFA" w:val="clear"/>
          </w:tcPr>
          <w:p>
            <w:r>
              <w:rPr>
                <w:b/>
                <w:sz w:val="17"/>
              </w:rPr>
              <w:t>2,172</w:t>
            </w:r>
          </w:p>
        </w:tc>
        <w:tc>
          <w:tcPr>
            <w:tcW w:type="dxa" w:w="1440"/>
            <w:shd w:fill="FAFAFA" w:val="clear"/>
          </w:tcPr>
          <w:p>
            <w:r>
              <w:rPr>
                <w:sz w:val="17"/>
              </w:rPr>
              <w:t>2,336</w:t>
            </w:r>
          </w:p>
        </w:tc>
        <w:tc>
          <w:tcPr>
            <w:tcW w:type="dxa" w:w="1440"/>
            <w:shd w:fill="FAFAFA" w:val="clear"/>
          </w:tcPr>
          <w:p>
            <w:r>
              <w:rPr>
                <w:b/>
                <w:color w:val="008000"/>
                <w:sz w:val="17"/>
              </w:rPr>
              <w:t>+1.7%</w:t>
            </w:r>
          </w:p>
        </w:tc>
      </w:tr>
      <w:tr>
        <w:tc>
          <w:tcPr>
            <w:tcW w:type="dxa" w:w="1440"/>
            <w:shd w:fill="C6EFCE" w:val="clear"/>
          </w:tcPr>
          <w:p>
            <w:r>
              <w:rPr>
                <w:sz w:val="17"/>
              </w:rPr>
              <w:t>J+7  Moyenne</w:t>
            </w:r>
          </w:p>
        </w:tc>
        <w:tc>
          <w:tcPr>
            <w:tcW w:type="dxa" w:w="1440"/>
            <w:shd w:fill="C6EFCE" w:val="clear"/>
          </w:tcPr>
          <w:p>
            <w:r>
              <w:rPr>
                <w:sz w:val="17"/>
              </w:rPr>
              <w:t>2026-08-19</w:t>
            </w:r>
          </w:p>
        </w:tc>
        <w:tc>
          <w:tcPr>
            <w:tcW w:type="dxa" w:w="1440"/>
            <w:shd w:fill="C6EFCE" w:val="clear"/>
          </w:tcPr>
          <w:p>
            <w:r>
              <w:rPr>
                <w:sz w:val="17"/>
              </w:rPr>
              <w:t>2,003</w:t>
            </w:r>
          </w:p>
        </w:tc>
        <w:tc>
          <w:tcPr>
            <w:tcW w:type="dxa" w:w="1440"/>
            <w:shd w:fill="C6EFCE" w:val="clear"/>
          </w:tcPr>
          <w:p>
            <w:r>
              <w:rPr>
                <w:b/>
                <w:sz w:val="17"/>
              </w:rPr>
              <w:t>2,181</w:t>
            </w:r>
          </w:p>
        </w:tc>
        <w:tc>
          <w:tcPr>
            <w:tcW w:type="dxa" w:w="1440"/>
            <w:shd w:fill="C6EFCE" w:val="clear"/>
          </w:tcPr>
          <w:p>
            <w:r>
              <w:rPr>
                <w:sz w:val="17"/>
              </w:rPr>
              <w:t>2,359</w:t>
            </w:r>
          </w:p>
        </w:tc>
        <w:tc>
          <w:tcPr>
            <w:tcW w:type="dxa" w:w="1440"/>
            <w:shd w:fill="C6EFCE" w:val="clear"/>
          </w:tcPr>
          <w:p>
            <w:r>
              <w:rPr>
                <w:b/>
                <w:color w:val="008000"/>
                <w:sz w:val="17"/>
              </w:rPr>
              <w:t>+2.1%</w:t>
            </w:r>
          </w:p>
        </w:tc>
      </w:tr>
      <w:tr>
        <w:tc>
          <w:tcPr>
            <w:tcW w:type="dxa" w:w="1440"/>
            <w:shd w:fill="C6EFCE" w:val="clear"/>
          </w:tcPr>
          <w:p>
            <w:r>
              <w:rPr>
                <w:sz w:val="17"/>
              </w:rPr>
              <w:t>J+8  Moyenne</w:t>
            </w:r>
          </w:p>
        </w:tc>
        <w:tc>
          <w:tcPr>
            <w:tcW w:type="dxa" w:w="1440"/>
            <w:shd w:fill="C6EFCE" w:val="clear"/>
          </w:tcPr>
          <w:p>
            <w:r>
              <w:rPr>
                <w:sz w:val="17"/>
              </w:rPr>
              <w:t>2026-08-20</w:t>
            </w:r>
          </w:p>
        </w:tc>
        <w:tc>
          <w:tcPr>
            <w:tcW w:type="dxa" w:w="1440"/>
            <w:shd w:fill="C6EFCE" w:val="clear"/>
          </w:tcPr>
          <w:p>
            <w:r>
              <w:rPr>
                <w:sz w:val="17"/>
              </w:rPr>
              <w:t>1,999</w:t>
            </w:r>
          </w:p>
        </w:tc>
        <w:tc>
          <w:tcPr>
            <w:tcW w:type="dxa" w:w="1440"/>
            <w:shd w:fill="C6EFCE" w:val="clear"/>
          </w:tcPr>
          <w:p>
            <w:r>
              <w:rPr>
                <w:b/>
                <w:sz w:val="17"/>
              </w:rPr>
              <w:t>2,190</w:t>
            </w:r>
          </w:p>
        </w:tc>
        <w:tc>
          <w:tcPr>
            <w:tcW w:type="dxa" w:w="1440"/>
            <w:shd w:fill="C6EFCE" w:val="clear"/>
          </w:tcPr>
          <w:p>
            <w:r>
              <w:rPr>
                <w:sz w:val="17"/>
              </w:rPr>
              <w:t>2,381</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2026-08-21</w:t>
            </w:r>
          </w:p>
        </w:tc>
        <w:tc>
          <w:tcPr>
            <w:tcW w:type="dxa" w:w="1440"/>
            <w:shd w:fill="C6EFCE" w:val="clear"/>
          </w:tcPr>
          <w:p>
            <w:r>
              <w:rPr>
                <w:sz w:val="17"/>
              </w:rPr>
              <w:t>1,996</w:t>
            </w:r>
          </w:p>
        </w:tc>
        <w:tc>
          <w:tcPr>
            <w:tcW w:type="dxa" w:w="1440"/>
            <w:shd w:fill="C6EFCE" w:val="clear"/>
          </w:tcPr>
          <w:p>
            <w:r>
              <w:rPr>
                <w:b/>
                <w:sz w:val="17"/>
              </w:rPr>
              <w:t>2,199</w:t>
            </w:r>
          </w:p>
        </w:tc>
        <w:tc>
          <w:tcPr>
            <w:tcW w:type="dxa" w:w="1440"/>
            <w:shd w:fill="C6EFCE" w:val="clear"/>
          </w:tcPr>
          <w:p>
            <w:r>
              <w:rPr>
                <w:sz w:val="17"/>
              </w:rPr>
              <w:t>2,403</w:t>
            </w:r>
          </w:p>
        </w:tc>
        <w:tc>
          <w:tcPr>
            <w:tcW w:type="dxa" w:w="1440"/>
            <w:shd w:fill="C6EFCE" w:val="clear"/>
          </w:tcPr>
          <w:p>
            <w:r>
              <w:rPr>
                <w:b/>
                <w:color w:val="008000"/>
                <w:sz w:val="17"/>
              </w:rPr>
              <w:t>+3.0%</w:t>
            </w:r>
          </w:p>
        </w:tc>
      </w:tr>
      <w:tr>
        <w:tc>
          <w:tcPr>
            <w:tcW w:type="dxa" w:w="1440"/>
            <w:shd w:fill="C6EFCE" w:val="clear"/>
          </w:tcPr>
          <w:p>
            <w:r>
              <w:rPr>
                <w:sz w:val="17"/>
              </w:rPr>
              <w:t>J+10  Moyenne</w:t>
            </w:r>
          </w:p>
        </w:tc>
        <w:tc>
          <w:tcPr>
            <w:tcW w:type="dxa" w:w="1440"/>
            <w:shd w:fill="C6EFCE" w:val="clear"/>
          </w:tcPr>
          <w:p>
            <w:r>
              <w:rPr>
                <w:sz w:val="17"/>
              </w:rPr>
              <w:t>2026-08-24</w:t>
            </w:r>
          </w:p>
        </w:tc>
        <w:tc>
          <w:tcPr>
            <w:tcW w:type="dxa" w:w="1440"/>
            <w:shd w:fill="C6EFCE" w:val="clear"/>
          </w:tcPr>
          <w:p>
            <w:r>
              <w:rPr>
                <w:sz w:val="17"/>
              </w:rPr>
              <w:t>1,993</w:t>
            </w:r>
          </w:p>
        </w:tc>
        <w:tc>
          <w:tcPr>
            <w:tcW w:type="dxa" w:w="1440"/>
            <w:shd w:fill="C6EFCE" w:val="clear"/>
          </w:tcPr>
          <w:p>
            <w:r>
              <w:rPr>
                <w:b/>
                <w:sz w:val="17"/>
              </w:rPr>
              <w:t>2,209</w:t>
            </w:r>
          </w:p>
        </w:tc>
        <w:tc>
          <w:tcPr>
            <w:tcW w:type="dxa" w:w="1440"/>
            <w:shd w:fill="C6EFCE" w:val="clear"/>
          </w:tcPr>
          <w:p>
            <w:r>
              <w:rPr>
                <w:sz w:val="17"/>
              </w:rPr>
              <w:t>2,424</w:t>
            </w:r>
          </w:p>
        </w:tc>
        <w:tc>
          <w:tcPr>
            <w:tcW w:type="dxa" w:w="1440"/>
            <w:shd w:fill="C6EFCE" w:val="clear"/>
          </w:tcPr>
          <w:p>
            <w:r>
              <w:rPr>
                <w:b/>
                <w:color w:val="008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30,11 milliards FCFA, un niveau modeste qui la positionne comme une valeur de seconde ligne sur la BRVM. Le BPA de 33 FCFA par action génère un PER de 64,6x, un niveau extrêmement élevé comparé à la moyenne historique de la BRVM (8-12x). Les investisseurs paient donc un prix très supérieur aux bénéfices actuels, ce qui traduit une anticipation de croissance future ou une prime spéculative. Le P/B de 1,92x indique que le marché valorise la société à près du double de sa valeur comptable, ce qui reste dans une fourchette raisonnable. L'EV/EBITDA de 37,9x est particulièrement exigeant, signalant que la valeur d'entreprise est très élevée par rapport à la capacité opérationnelle de génération de cash. Ces ratios suggèrent une valorisation tendue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baisse de 11,96%, passant sous son niveau initial, mais la dernière séance affiche un rebond spectaculaire de +6,75% à 2 135 FCFA. Le cours a évolué dans une fourchette de 1 910 à 2 430 FCFA, montrant une amplitude de 520 FCFA. La moyenne sur la période est de 2 176 FCFA, légèrement supérieure à la médiane de 2 218 FCFA, indiquant une distribution relativement symétrique, confirmée par un skewness de -0,227. L'écart-type de 152 FCFA (CV=7,0%) révèle une dispersion modérée autour de la moyenne. Le kurtosis négatif de -1,300 signale une distribution platykurtique, avec peu de valeurs extrêmes et une faible concentration autour de la moyenne. La volatilité annualisée de 36,7% classe le titre comme très volatil, un niveau élevé qui implique un risque substantiel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2 135 FCFA se situe au-dessus de la MM20 (1 981,75 FCFA) et de la MM50 (2 075,9 FCFA), ce qui indique un momentum haussier à court terme. Cependant, la décision globale reste "Vente" car la tendance de fond sur 100 jours demeure baissière, le titre ayant perdu près de 12% sur la période. Le croisement récent du cours au-dessus des moyennes pourrait signaler un retournement, mais il est trop tôt pour le confirmer.</w:t>
      </w:r>
    </w:p>
    <w:p>
      <w:pPr>
        <w:spacing w:after="120" w:line="276" w:lineRule="auto"/>
      </w:pPr>
      <w:r>
        <w:t>**Bandes de Bollinger** : Le prix actuel de 2 135 FCFA se situe au-dessus de la borne supérieure (2 069,19 FCFA), ce qui indique une condition de surachat à court terme. Cette sortie de bande suggère une volatilité accrue et un mouvement directionnel fort, mais elle expose également le titre à un risque de correction technique. La décision "Vente" reflète cette situation de surachat temporaire.</w:t>
      </w:r>
    </w:p>
    <w:p>
      <w:pPr>
        <w:spacing w:after="120" w:line="276" w:lineRule="auto"/>
      </w:pPr>
      <w:r>
        <w:t>**MACD** : Le MACD affiche une valeur de -9,161 avec un signal à -28,801, montrant une divergence positive significative. Le MACD est en train de remonter vers sa ligne de signal, ce qui indique un momentum haussier naissant. La décision "Achat" est cohérente avec cette dynamique positive, suggérant que la pression vendeuse s'estompe et qu'un retournement pourrait être en cours.</w:t>
      </w:r>
    </w:p>
    <w:p>
      <w:pPr>
        <w:spacing w:after="120" w:line="276" w:lineRule="auto"/>
      </w:pPr>
      <w:r>
        <w:t>**RSI** : Le RSI à 65,0 se situe en zone neutre, proche du seuil de surachat (70). Cette valeur indique un momentum positif sans être extrême, laissant une marge de progression avant d'atteindre des conditions de surachat. La décision "Neutre" est appropriée, le titre n'étant ni survendu ni suracheté.</w:t>
      </w:r>
    </w:p>
    <w:p>
      <w:pPr>
        <w:spacing w:after="120" w:line="276" w:lineRule="auto"/>
      </w:pPr>
      <w:r>
        <w:t>**Stochastique** : Le %K et le %D sont tous deux à 100,0, indiquant une condition de surachat extrême. Cette configuration suggère que le mouvement haussier récent est très avancé et qu'un repli technique est probable. La décision "Vente" est justifiée par cette situation de surachat extrême.</w:t>
      </w:r>
    </w:p>
    <w:p>
      <w:pPr>
        <w:spacing w:after="120" w:line="276" w:lineRule="auto"/>
      </w:pPr>
      <w:r>
        <w:t>**Conclusion technique** : Les indicateurs sont mitigés avec un MACD positif, un RSI neutre, mais des moyennes mobiles et des bandes de Bollinger en position de vente, et un stochastique en surachat extrême. Le titre montre des signes de retournement haussier à court terme, mais la prudence est de mise face aux conditions de surachat. La tendance de fond reste baissière, et le rebond actuel pourrait être un simple rattrapage technique.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2025 révèlent une situation contrastée pour FILTISAC CI. Le chiffre d'affaires s'établit à 32,109 milliards FCFA, en croissance de 4,6% par rapport à 2024, mais le résultat net chute à 465,98 millions FCFA, contre 18,6 milliards en 2024. Cette dégradation spectaculaire s'explique par l'absence des produits exceptionnels de cession de filiales qui avaient artificiellement gonflé les résultats 2024. La marge nette s'effondre à 1,45%, le ROE à 2,97% et le ROA à 1,19%, des niveaux très faibles pour une entreprise industrielle. Le coefficient d'exploitation de 116,6% indique que les charges dépassent les produits d'exploitation, une situation préoccupante. La trésorerie nette est fortement négative à -11,528 milliards FCFA, conséquence du versement massif de dividendes en 2024 (18,6 milliards FCFA). Le BFR de 11,529 milliards FCFA avec un délai clients de 213,7 jours et une durée de stockage de 214,7 jours révèle une gestion du cycle d'exploitation très lourde, immobilisant des capitaux considérables. Le ratio d'endettement de 97,6% et la capacité de remboursement de 11,49 ans soulignent une fragilité financière accrue. Les rapports trimestriels 2025 confirment cette tendance : le T1 2025 affiche un résultat d'exploitation de -78 millions FCFA, le S1 2025 un résultat net de 105 millions FCFA, et le T3 2025 un résultat courant avant impôt de -216 millions FCFA. Le rapport annuel 2024 mentionnait un dividende de 2 000,67 FCFA par action, soit 100% du résultat net, une politique qui a vidé les réserves de la société. Le rapport T1 2026, publié récemment, montre une amélioration du CA (+55% à 8,901 milliards FCFA) et un résultat d'exploitation positif de 75 millions FCFA, mais le résultat net reste déficitaire à -154 millions FCFA. La société dépend fortement de la campagne cacaoyère et fait face à des risques d'approvisionnement en jute (interdiction d'exportation du Bangladesh) et de hausse du fret maritime.</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avec un PER de 64,6x et un EV/EBITDA de 37,9x, très supérieurs aux moyennes du marché BRVM, indiquant une nette surévaluation des bénéfices actuels. Le comportement du cours montre une tendance baissière sur 100 jours (-11,96%) avec une volatilité élevée (36,7%), mais un rebond récent de +6,75% et des statistiques descriptives (kurtosis platykurtique, skewness symétrique) suggérant un comportement relativement stable dans la distribution. Les signaux techniques sont mitigés : le MACD est positif, le RSI neutre, mais les moyennes mobiles, les bandes de Bollinger et le stochastique en surachat extrême indiquent une prudence nécessaire. Les fondamentaux sont préoccupants avec une rentabilité opérationnelle négative, une trésorerie fortement négative et un endettement élevé, malgré une amélioration du CA au T1 2026 (+55%). Les prédictions IA pour les 10 prochains jours (2 132 à 2 163 FCFA) suggèrent une stabilisation progressive, mais ne confirment pas un retournement majeur. La convergence entre la surévaluation, les fondamentaux fragiles et les signaux techniques mitigés conduit à une recommandation de **VENTE**. Le niveau de confiance est **Moyen** (le rebond technique pourrait se poursuivre à court terme), le risque global est **Élevé** (volatilité, dépendance au cacao, fragilité financière). L'horizon d'investissement optimal serait le **court terme (&lt;3 mois)** pour les investisseurs spéculatifs, mais le titre reste à éviter pour les investisseurs de moyen et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85.90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2,835 titres</w:t>
            </w:r>
          </w:p>
        </w:tc>
        <w:tc>
          <w:tcPr>
            <w:tcW w:type="dxa" w:w="2268"/>
            <w:shd w:fill="FFF2CC" w:val="clear"/>
          </w:tcPr>
          <w:p>
            <w:r>
              <w:rPr>
                <w:b/>
                <w:color w:val="503200"/>
                <w:sz w:val="16"/>
              </w:rPr>
              <w:t xml:space="preserve">Cours actuel : </w:t>
            </w:r>
            <w:r>
              <w:rPr>
                <w:color w:val="000000"/>
                <w:sz w:val="17"/>
              </w:rPr>
              <w:t>4,295 FCFA</w:t>
            </w:r>
          </w:p>
          <w:p>
            <w:r>
              <w:rPr>
                <w:b/>
                <w:color w:val="503200"/>
                <w:sz w:val="16"/>
              </w:rPr>
              <w:t xml:space="preserve">Var. 100 jours : </w:t>
            </w:r>
            <w:r>
              <w:rPr>
                <w:b/>
                <w:color w:val="007800"/>
                <w:sz w:val="17"/>
              </w:rPr>
              <w:t>+10.13%</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5.22% (Moyenne) — μ=4,022 FCFA, σ=210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β=0.2503 (Défensif) — Cov=0.000009, Var(idx)=0.000036, ρ=0.068,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σ_j=2.20%/j (Stable) — Vol. annualisée≈35.0%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3,964</w:t>
            </w:r>
          </w:p>
        </w:tc>
        <w:tc>
          <w:tcPr>
            <w:tcW w:type="dxa" w:w="1440"/>
            <w:shd w:fill="FFDCE0" w:val="clear"/>
          </w:tcPr>
          <w:p>
            <w:r>
              <w:rPr>
                <w:b/>
                <w:sz w:val="17"/>
              </w:rPr>
              <w:t>4,189</w:t>
            </w:r>
          </w:p>
        </w:tc>
        <w:tc>
          <w:tcPr>
            <w:tcW w:type="dxa" w:w="1440"/>
            <w:shd w:fill="FFDCE0" w:val="clear"/>
          </w:tcPr>
          <w:p>
            <w:r>
              <w:rPr>
                <w:sz w:val="17"/>
              </w:rPr>
              <w:t>4,415</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3,853</w:t>
            </w:r>
          </w:p>
        </w:tc>
        <w:tc>
          <w:tcPr>
            <w:tcW w:type="dxa" w:w="1440"/>
            <w:shd w:fill="FFDCE0" w:val="clear"/>
          </w:tcPr>
          <w:p>
            <w:r>
              <w:rPr>
                <w:b/>
                <w:sz w:val="17"/>
              </w:rPr>
              <w:t>4,170</w:t>
            </w:r>
          </w:p>
        </w:tc>
        <w:tc>
          <w:tcPr>
            <w:tcW w:type="dxa" w:w="1440"/>
            <w:shd w:fill="FFDCE0" w:val="clear"/>
          </w:tcPr>
          <w:p>
            <w:r>
              <w:rPr>
                <w:sz w:val="17"/>
              </w:rPr>
              <w:t>4,487</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3,763</w:t>
            </w:r>
          </w:p>
        </w:tc>
        <w:tc>
          <w:tcPr>
            <w:tcW w:type="dxa" w:w="1440"/>
            <w:shd w:fill="FFDCE0" w:val="clear"/>
          </w:tcPr>
          <w:p>
            <w:r>
              <w:rPr>
                <w:b/>
                <w:sz w:val="17"/>
              </w:rPr>
              <w:t>4,150</w:t>
            </w:r>
          </w:p>
        </w:tc>
        <w:tc>
          <w:tcPr>
            <w:tcW w:type="dxa" w:w="1440"/>
            <w:shd w:fill="FFDCE0" w:val="clear"/>
          </w:tcPr>
          <w:p>
            <w:r>
              <w:rPr>
                <w:sz w:val="17"/>
              </w:rPr>
              <w:t>4,536</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3,687</w:t>
            </w:r>
          </w:p>
        </w:tc>
        <w:tc>
          <w:tcPr>
            <w:tcW w:type="dxa" w:w="1440"/>
            <w:shd w:fill="FFDCE0" w:val="clear"/>
          </w:tcPr>
          <w:p>
            <w:r>
              <w:rPr>
                <w:b/>
                <w:sz w:val="17"/>
              </w:rPr>
              <w:t>4,131</w:t>
            </w:r>
          </w:p>
        </w:tc>
        <w:tc>
          <w:tcPr>
            <w:tcW w:type="dxa" w:w="1440"/>
            <w:shd w:fill="FFDCE0" w:val="clear"/>
          </w:tcPr>
          <w:p>
            <w:r>
              <w:rPr>
                <w:sz w:val="17"/>
              </w:rPr>
              <w:t>4,575</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3,610</w:t>
            </w:r>
          </w:p>
        </w:tc>
        <w:tc>
          <w:tcPr>
            <w:tcW w:type="dxa" w:w="1440"/>
            <w:shd w:fill="FFDCE0" w:val="clear"/>
          </w:tcPr>
          <w:p>
            <w:r>
              <w:rPr>
                <w:b/>
                <w:sz w:val="17"/>
              </w:rPr>
              <w:t>4,103</w:t>
            </w:r>
          </w:p>
        </w:tc>
        <w:tc>
          <w:tcPr>
            <w:tcW w:type="dxa" w:w="1440"/>
            <w:shd w:fill="FFDCE0" w:val="clear"/>
          </w:tcPr>
          <w:p>
            <w:r>
              <w:rPr>
                <w:sz w:val="17"/>
              </w:rPr>
              <w:t>4,596</w:t>
            </w:r>
          </w:p>
        </w:tc>
        <w:tc>
          <w:tcPr>
            <w:tcW w:type="dxa" w:w="1440"/>
            <w:shd w:fill="FFDCE0" w:val="clear"/>
          </w:tcPr>
          <w:p>
            <w:r>
              <w:rPr>
                <w:b/>
                <w:color w:val="C00000"/>
                <w:sz w:val="17"/>
              </w:rPr>
              <w:t>-4.5%</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3,538</w:t>
            </w:r>
          </w:p>
        </w:tc>
        <w:tc>
          <w:tcPr>
            <w:tcW w:type="dxa" w:w="1440"/>
            <w:shd w:fill="FFDCE0" w:val="clear"/>
          </w:tcPr>
          <w:p>
            <w:r>
              <w:rPr>
                <w:b/>
                <w:sz w:val="17"/>
              </w:rPr>
              <w:t>4,075</w:t>
            </w:r>
          </w:p>
        </w:tc>
        <w:tc>
          <w:tcPr>
            <w:tcW w:type="dxa" w:w="1440"/>
            <w:shd w:fill="FFDCE0" w:val="clear"/>
          </w:tcPr>
          <w:p>
            <w:r>
              <w:rPr>
                <w:sz w:val="17"/>
              </w:rPr>
              <w:t>4,611</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3,480</w:t>
            </w:r>
          </w:p>
        </w:tc>
        <w:tc>
          <w:tcPr>
            <w:tcW w:type="dxa" w:w="1440"/>
            <w:shd w:fill="FFDCE0" w:val="clear"/>
          </w:tcPr>
          <w:p>
            <w:r>
              <w:rPr>
                <w:b/>
                <w:sz w:val="17"/>
              </w:rPr>
              <w:t>4,057</w:t>
            </w:r>
          </w:p>
        </w:tc>
        <w:tc>
          <w:tcPr>
            <w:tcW w:type="dxa" w:w="1440"/>
            <w:shd w:fill="FFDCE0" w:val="clear"/>
          </w:tcPr>
          <w:p>
            <w:r>
              <w:rPr>
                <w:sz w:val="17"/>
              </w:rPr>
              <w:t>4,635</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3,427</w:t>
            </w:r>
          </w:p>
        </w:tc>
        <w:tc>
          <w:tcPr>
            <w:tcW w:type="dxa" w:w="1440"/>
            <w:shd w:fill="FFDCE0" w:val="clear"/>
          </w:tcPr>
          <w:p>
            <w:r>
              <w:rPr>
                <w:b/>
                <w:sz w:val="17"/>
              </w:rPr>
              <w:t>4,041</w:t>
            </w:r>
          </w:p>
        </w:tc>
        <w:tc>
          <w:tcPr>
            <w:tcW w:type="dxa" w:w="1440"/>
            <w:shd w:fill="FFDCE0" w:val="clear"/>
          </w:tcPr>
          <w:p>
            <w:r>
              <w:rPr>
                <w:sz w:val="17"/>
              </w:rPr>
              <w:t>4,655</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3,366</w:t>
            </w:r>
          </w:p>
        </w:tc>
        <w:tc>
          <w:tcPr>
            <w:tcW w:type="dxa" w:w="1440"/>
            <w:shd w:fill="FFDCE0" w:val="clear"/>
          </w:tcPr>
          <w:p>
            <w:r>
              <w:rPr>
                <w:b/>
                <w:sz w:val="17"/>
              </w:rPr>
              <w:t>4,013</w:t>
            </w:r>
          </w:p>
        </w:tc>
        <w:tc>
          <w:tcPr>
            <w:tcW w:type="dxa" w:w="1440"/>
            <w:shd w:fill="FFDCE0" w:val="clear"/>
          </w:tcPr>
          <w:p>
            <w:r>
              <w:rPr>
                <w:sz w:val="17"/>
              </w:rPr>
              <w:t>4,660</w:t>
            </w:r>
          </w:p>
        </w:tc>
        <w:tc>
          <w:tcPr>
            <w:tcW w:type="dxa" w:w="1440"/>
            <w:shd w:fill="FFDCE0" w:val="clear"/>
          </w:tcPr>
          <w:p>
            <w:r>
              <w:rPr>
                <w:b/>
                <w:color w:val="C00000"/>
                <w:sz w:val="17"/>
              </w:rPr>
              <w:t>-6.6%</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3,319</w:t>
            </w:r>
          </w:p>
        </w:tc>
        <w:tc>
          <w:tcPr>
            <w:tcW w:type="dxa" w:w="1440"/>
            <w:shd w:fill="FFDCE0" w:val="clear"/>
          </w:tcPr>
          <w:p>
            <w:r>
              <w:rPr>
                <w:b/>
                <w:sz w:val="17"/>
              </w:rPr>
              <w:t>3,999</w:t>
            </w:r>
          </w:p>
        </w:tc>
        <w:tc>
          <w:tcPr>
            <w:tcW w:type="dxa" w:w="1440"/>
            <w:shd w:fill="FFDCE0" w:val="clear"/>
          </w:tcPr>
          <w:p>
            <w:r>
              <w:rPr>
                <w:sz w:val="17"/>
              </w:rPr>
              <w:t>4,679</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85,90 milliards FCFA, un niveau qui la positionne parmi les valeurs moyennes de la BRVM, avec une liquidité quotidienne relativement faible (2 835 titres par jour). Le BPA de 231 FCFA indique que chaque action génère un bénéfice net de ce montant. Avec un PER de 18,6x, le titre se négocie avec une prime significative par rapport à la moyenne du marché BRVM (8-12x), signe que les investisseurs intègrent des perspectives de croissance future. Le P/B de 3,91x confirme cette prime, le marché valorisant l'actif net comptable près de 4 fois sa valeur. Enfin, l'EV/EBITDA de 11,0x, bien que dans la fourchette haute (10-15x), reste cohérent avec une entreprise disposant d'une forte capacité opérationnelle et d'une trésorerie abondante.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 enregistré une progression totale de +10,13%, avec une légère correction de -0,12% lors de la dernière séance, clôturant à 4 295 FCFA. Le cours a évolué dans un range de 3 765 à 4 560 FCFA, démontrant une tendance haussière soutenue. La moyenne (4 022 FCFA) étant inférieure à la médiane (3 918 FCFA), on observe une asymétrie positive (skewness de 0,858), indiquant que la majorité des séances se sont situées sous la moyenne, mais avec des pics de hausse marqués. L'écart-type de 211 FCFA (CV=5,2%) révèle une dispersion modérée des prix autour de la moyenne. Le kurtosis de -0,734 (mésokurtique) suggère une distribution proche de la normale, sans risque de variations extrêmes. La volatilité annualisée de 35,0% classe le titre comme très volatil, ce qui implique un risque élevé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(4 295 FCFA) se situe au-dessus de la MM20 (4 311 FCFA) et de la MM50 (4 159 FCFA), avec un écart plus marqué pour la MM50. La configuration haussière des MM (MM20 &gt; MM50) et le cours au-dessus de ces niveaux confirment une tendance positive à moyen terme. La décision d'achat est justifiée par cette dynamique, bien que le cours soit légèrement sous la MM20, indiquant un possible essoufflement à court terme.</w:t>
      </w:r>
    </w:p>
    <w:p>
      <w:pPr>
        <w:spacing w:after="120" w:line="276" w:lineRule="auto"/>
      </w:pPr>
      <w:r>
        <w:t>**Bandes de Bollinger :** Le prix (4 295 FCFA) se positionne dans la partie médiane des bandes, entre la borne supérieure (4 528 FCFA) et la borne inférieure (4 094 FCFA). Cette position neutre suggère une volatilité modérée et une absence de signal directionnel fort. La largeur des bandes reflète la volatilité historique élevée du titre, mais le cours n'est ni suracheté ni survendu, d'où la décision neutre.</w:t>
      </w:r>
    </w:p>
    <w:p>
      <w:pPr>
        <w:spacing w:after="120" w:line="276" w:lineRule="auto"/>
      </w:pPr>
      <w:r>
        <w:t>**MACD :** La valeur du MACD (46,261) est inférieure à son signal (56,685), indiquant un momentum baissier à court terme. Cette configuration de croisement baissier suggère une possible correction du cours dans les prochaines séances. La décision de vente est cohérente avec cette perte de dynamique haussière, malgré une tendance de fond positive.</w:t>
      </w:r>
    </w:p>
    <w:p>
      <w:pPr>
        <w:spacing w:after="120" w:line="276" w:lineRule="auto"/>
      </w:pPr>
      <w:r>
        <w:t>**RSI :** À 57,769, le RSI se situe dans la zone neutre (30-70), sans signal de surachat ni de survente. Cette valeur indique un équilibre entre pression acheteuse et vendeuse, avec une légère prédominance des acheteurs. La décision neutre est justifiée, le titre disposant d'une marge de progression avant d'atteindre la zone de surachat.</w:t>
      </w:r>
    </w:p>
    <w:p>
      <w:pPr>
        <w:spacing w:after="120" w:line="276" w:lineRule="auto"/>
      </w:pPr>
      <w:r>
        <w:t>**Stochastique :** Le %K (42,391) est légèrement inférieur au %D (43,116), indiquant une dynamique baissière naissante. Cependant, les deux lignes évoluent dans la zone neutre, sans croisement significatif. La décision neutre reflète l'absence de signal clair, le titre semblant en phase de consolidation.</w:t>
      </w:r>
    </w:p>
    <w:p>
      <w:pPr>
        <w:spacing w:after="120" w:line="276" w:lineRule="auto"/>
      </w:pPr>
      <w:r>
        <w:t>**Conclusion technique :** Les indicateurs techniques présentent un signal mitigé. La tendance de fond reste haussière (MM), mais le MACD et le Stochastique suggèrent une consolidation à court terme. Le RSI neutre et les Bandes de Bollinger sans direction confirment cette phase d'attente. Globalement, le titre conserve son potentiel haussier, mais une correction technique est possible avant la reprise de la tendance.</w:t>
      </w:r>
    </w:p>
    <w:p>
      <w:pPr>
        <w:spacing w:after="120" w:line="276" w:lineRule="auto"/>
      </w:pPr>
      <w:r>
        <w:t>---</w:t>
      </w:r>
    </w:p>
    <w:p>
      <w:pPr>
        <w:spacing w:after="120" w:line="276" w:lineRule="auto"/>
      </w:pPr>
      <w:r>
        <w:t>### PARTIE 3 : ANALYSE FONDAMENTALE (SECTION CRITIQUE)</w:t>
      </w:r>
    </w:p>
    <w:p>
      <w:pPr>
        <w:spacing w:after="120" w:line="276" w:lineRule="auto"/>
      </w:pPr>
      <w:r>
        <w:t>En 2025, la Loterie Nationale du Bénin a réalisé un chiffre d'affaires de 98,598 milliards FCFA, en baisse de -3,85% par rapport à 2024, principalement due à la concurrence déloyale des opérateurs illégaux. Le résultat net s'établit à 4,622 milliards FCFA, en recul de -35,6%, impacté par l'absence de produits exceptionnels. Malgré cette baisse, la société affiche une excellente rentabilité avec un ROE de 21,05% et un ROA de 14,17%, témoignant d'une gestion efficace des capitaux propres et des actifs. La structure financière est très saine avec une autonomie financière de 67,32%, un ratio d'endettement de seulement 2,57% et une trésorerie nette positive de 7,979 milliards FCFA. Le BFR est négatif (217 millions FCFA), ce qui est favorable, et les délais clients (4,82 jours) et fournisseurs (20,41 jours) sont bien maîtrisés. Selon le rapport annuel 2025 (analysé le 26 mai 2025), la valeur ajoutée a progressé de +22% et l'EBE de +34%, démontrant une excellente maîtrise des charges. Le rapport du S1 2026 (analysé le 30 juillet 2026) confirme une reprise avec un CA en hausse de +4% à 49,937 milliards FCFA et un résultat net en progression de +60%, grâce aux partenariats et à la maîtrise des coûts. Sur la base de ces données, on estime que l'exercice 2026 devrait confirmer cette dynamique positive, avec un résultat net potentiellement supérieur à 6 milliards FCFA, soutenu par le déploiement de 1 500 nouveaux terminaux et l'innovation produit.</w:t>
      </w:r>
    </w:p>
    <w:p>
      <w:pPr>
        <w:spacing w:after="120" w:line="276" w:lineRule="auto"/>
      </w:pPr>
      <w:r>
        <w:t>---</w:t>
      </w:r>
    </w:p>
    <w:p>
      <w:pPr>
        <w:spacing w:after="120" w:line="276" w:lineRule="auto"/>
      </w:pPr>
      <w:r>
        <w:t>### PARTIE 4 : CONCLUSION D'INVESTISSEMENT</w:t>
      </w:r>
    </w:p>
    <w:p>
      <w:pPr>
        <w:spacing w:after="120" w:line="276" w:lineRule="auto"/>
      </w:pPr>
      <w:r>
        <w:t>La valorisation de LNBB (PER 18,6x, P/B 3,91x, EV/EBITDA 11,0x) indique une prime de croissance, mais celle-ci est justifiée par la solidité financière et les perspectives de redressement. Le comportement du cours (+10,13% sur 100 jours) montre une tendance haussière, mais la volatilité élevée (35%) et l'asymétrie positive appellent à la prudence. Les signaux techniques sont mitigés : la tendance de fond reste positive (MM), mais le MACD et le Stochastique suggèrent une consolidation à court terme. Les fondamentaux sont solides avec un ROE de 21%, une trésorerie nette positive et une reprise confirmée au S1 2026 (+60% du résultat net). Les prédictions IA (4 189 à 4 103 FCFA sur 10 jours) anticipent une correction, ce qui contredit la tendance haussière mais confirme les signaux techniques de consolidation. En synthèse, la convergence entre la solidité fondamentale et les perspectives de croissance justifie une recommandation **CONSERVER**, avec un niveau de confiance **Moyen** et un risque global **Moyen**. L'horizon d'investissement optimal est le **moyen terme (3-12 mois)**, en attendant la confirmation des résultats annuels 2026 et l'impact des nouvelles initiatives stratégiques.</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5,376 titres</w:t>
            </w:r>
          </w:p>
        </w:tc>
        <w:tc>
          <w:tcPr>
            <w:tcW w:type="dxa" w:w="2268"/>
            <w:shd w:fill="FFF2CC" w:val="clear"/>
          </w:tcPr>
          <w:p>
            <w:r>
              <w:rPr>
                <w:b/>
                <w:color w:val="503200"/>
                <w:sz w:val="16"/>
              </w:rPr>
              <w:t xml:space="preserve">Cours actuel : </w:t>
            </w:r>
            <w:r>
              <w:rPr>
                <w:color w:val="000000"/>
                <w:sz w:val="17"/>
              </w:rPr>
              <w:t>2,265 FCFA</w:t>
            </w:r>
          </w:p>
          <w:p>
            <w:r>
              <w:rPr>
                <w:b/>
                <w:color w:val="503200"/>
                <w:sz w:val="16"/>
              </w:rPr>
              <w:t xml:space="preserve">Var. 100 jours : </w:t>
            </w:r>
            <w:r>
              <w:rPr>
                <w:b/>
                <w:color w:val="007800"/>
                <w:sz w:val="17"/>
              </w:rPr>
              <w:t>+61.79%</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18.87% (Élevée) — μ=1,901 FCFA, σ=359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β=0.0434 (Défensif) — Cov=0.000002, Var(idx)=0.000036, ρ=0.008,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181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1,972</w:t>
            </w:r>
          </w:p>
        </w:tc>
        <w:tc>
          <w:tcPr>
            <w:tcW w:type="dxa" w:w="1440"/>
            <w:shd w:fill="FFDCE0" w:val="clear"/>
          </w:tcPr>
          <w:p>
            <w:r>
              <w:rPr>
                <w:b/>
                <w:sz w:val="17"/>
              </w:rPr>
              <w:t>2,095</w:t>
            </w:r>
          </w:p>
        </w:tc>
        <w:tc>
          <w:tcPr>
            <w:tcW w:type="dxa" w:w="1440"/>
            <w:shd w:fill="FFDCE0" w:val="clear"/>
          </w:tcPr>
          <w:p>
            <w:r>
              <w:rPr>
                <w:sz w:val="17"/>
              </w:rPr>
              <w:t>2,218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1,777</w:t>
            </w:r>
          </w:p>
        </w:tc>
        <w:tc>
          <w:tcPr>
            <w:tcW w:type="dxa" w:w="1440"/>
            <w:shd w:fill="FFDCE0" w:val="clear"/>
          </w:tcPr>
          <w:p>
            <w:r>
              <w:rPr>
                <w:b/>
                <w:sz w:val="17"/>
              </w:rPr>
              <w:t>1,938</w:t>
            </w:r>
          </w:p>
        </w:tc>
        <w:tc>
          <w:tcPr>
            <w:tcW w:type="dxa" w:w="1440"/>
            <w:shd w:fill="FFDCE0" w:val="clear"/>
          </w:tcPr>
          <w:p>
            <w:r>
              <w:rPr>
                <w:sz w:val="17"/>
              </w:rPr>
              <w:t>2,099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1,631</w:t>
            </w:r>
          </w:p>
        </w:tc>
        <w:tc>
          <w:tcPr>
            <w:tcW w:type="dxa" w:w="1440"/>
            <w:shd w:fill="FFDCE0" w:val="clear"/>
          </w:tcPr>
          <w:p>
            <w:r>
              <w:rPr>
                <w:b/>
                <w:sz w:val="17"/>
              </w:rPr>
              <w:t>1,816</w:t>
            </w:r>
          </w:p>
        </w:tc>
        <w:tc>
          <w:tcPr>
            <w:tcW w:type="dxa" w:w="1440"/>
            <w:shd w:fill="FFDCE0" w:val="clear"/>
          </w:tcPr>
          <w:p>
            <w:r>
              <w:rPr>
                <w:sz w:val="17"/>
              </w:rPr>
              <w:t>2,001</w:t>
            </w:r>
          </w:p>
        </w:tc>
        <w:tc>
          <w:tcPr>
            <w:tcW w:type="dxa" w:w="1440"/>
            <w:shd w:fill="FFDCE0" w:val="clear"/>
          </w:tcPr>
          <w:p>
            <w:r>
              <w:rPr>
                <w:b/>
                <w:color w:val="C00000"/>
                <w:sz w:val="17"/>
              </w:rPr>
              <w:t>-19.8%</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1,517</w:t>
            </w:r>
          </w:p>
        </w:tc>
        <w:tc>
          <w:tcPr>
            <w:tcW w:type="dxa" w:w="1440"/>
            <w:shd w:fill="FFDCE0" w:val="clear"/>
          </w:tcPr>
          <w:p>
            <w:r>
              <w:rPr>
                <w:b/>
                <w:sz w:val="17"/>
              </w:rPr>
              <w:t>1,720</w:t>
            </w:r>
          </w:p>
        </w:tc>
        <w:tc>
          <w:tcPr>
            <w:tcW w:type="dxa" w:w="1440"/>
            <w:shd w:fill="FFDCE0" w:val="clear"/>
          </w:tcPr>
          <w:p>
            <w:r>
              <w:rPr>
                <w:sz w:val="17"/>
              </w:rPr>
              <w:t>1,922</w:t>
            </w:r>
          </w:p>
        </w:tc>
        <w:tc>
          <w:tcPr>
            <w:tcW w:type="dxa" w:w="1440"/>
            <w:shd w:fill="FFDCE0" w:val="clear"/>
          </w:tcPr>
          <w:p>
            <w:r>
              <w:rPr>
                <w:b/>
                <w:color w:val="C00000"/>
                <w:sz w:val="17"/>
              </w:rPr>
              <w:t>-24.1%</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1,426</w:t>
            </w:r>
          </w:p>
        </w:tc>
        <w:tc>
          <w:tcPr>
            <w:tcW w:type="dxa" w:w="1440"/>
            <w:shd w:fill="FFDCE0" w:val="clear"/>
          </w:tcPr>
          <w:p>
            <w:r>
              <w:rPr>
                <w:b/>
                <w:sz w:val="17"/>
              </w:rPr>
              <w:t>1,642</w:t>
            </w:r>
          </w:p>
        </w:tc>
        <w:tc>
          <w:tcPr>
            <w:tcW w:type="dxa" w:w="1440"/>
            <w:shd w:fill="FFDCE0" w:val="clear"/>
          </w:tcPr>
          <w:p>
            <w:r>
              <w:rPr>
                <w:sz w:val="17"/>
              </w:rPr>
              <w:t>1,858</w:t>
            </w:r>
          </w:p>
        </w:tc>
        <w:tc>
          <w:tcPr>
            <w:tcW w:type="dxa" w:w="1440"/>
            <w:shd w:fill="FFDCE0" w:val="clear"/>
          </w:tcPr>
          <w:p>
            <w:r>
              <w:rPr>
                <w:b/>
                <w:color w:val="C00000"/>
                <w:sz w:val="17"/>
              </w:rPr>
              <w:t>-27.5%</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1,348</w:t>
            </w:r>
          </w:p>
        </w:tc>
        <w:tc>
          <w:tcPr>
            <w:tcW w:type="dxa" w:w="1440"/>
            <w:shd w:fill="FFDCE0" w:val="clear"/>
          </w:tcPr>
          <w:p>
            <w:r>
              <w:rPr>
                <w:b/>
                <w:sz w:val="17"/>
              </w:rPr>
              <w:t>1,575</w:t>
            </w:r>
          </w:p>
        </w:tc>
        <w:tc>
          <w:tcPr>
            <w:tcW w:type="dxa" w:w="1440"/>
            <w:shd w:fill="FFDCE0" w:val="clear"/>
          </w:tcPr>
          <w:p>
            <w:r>
              <w:rPr>
                <w:sz w:val="17"/>
              </w:rPr>
              <w:t>1,802</w:t>
            </w:r>
          </w:p>
        </w:tc>
        <w:tc>
          <w:tcPr>
            <w:tcW w:type="dxa" w:w="1440"/>
            <w:shd w:fill="FFDCE0" w:val="clear"/>
          </w:tcPr>
          <w:p>
            <w:r>
              <w:rPr>
                <w:b/>
                <w:color w:val="C00000"/>
                <w:sz w:val="17"/>
              </w:rPr>
              <w:t>-30.5%</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1,280</w:t>
            </w:r>
          </w:p>
        </w:tc>
        <w:tc>
          <w:tcPr>
            <w:tcW w:type="dxa" w:w="1440"/>
            <w:shd w:fill="FFDCE0" w:val="clear"/>
          </w:tcPr>
          <w:p>
            <w:r>
              <w:rPr>
                <w:b/>
                <w:sz w:val="17"/>
              </w:rPr>
              <w:t>1,517</w:t>
            </w:r>
          </w:p>
        </w:tc>
        <w:tc>
          <w:tcPr>
            <w:tcW w:type="dxa" w:w="1440"/>
            <w:shd w:fill="FFDCE0" w:val="clear"/>
          </w:tcPr>
          <w:p>
            <w:r>
              <w:rPr>
                <w:sz w:val="17"/>
              </w:rPr>
              <w:t>1,753</w:t>
            </w:r>
          </w:p>
        </w:tc>
        <w:tc>
          <w:tcPr>
            <w:tcW w:type="dxa" w:w="1440"/>
            <w:shd w:fill="FFDCE0" w:val="clear"/>
          </w:tcPr>
          <w:p>
            <w:r>
              <w:rPr>
                <w:b/>
                <w:color w:val="C00000"/>
                <w:sz w:val="17"/>
              </w:rPr>
              <w:t>-33.0%</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1,221</w:t>
            </w:r>
          </w:p>
        </w:tc>
        <w:tc>
          <w:tcPr>
            <w:tcW w:type="dxa" w:w="1440"/>
            <w:shd w:fill="FFDCE0" w:val="clear"/>
          </w:tcPr>
          <w:p>
            <w:r>
              <w:rPr>
                <w:b/>
                <w:sz w:val="17"/>
              </w:rPr>
              <w:t>1,465</w:t>
            </w:r>
          </w:p>
        </w:tc>
        <w:tc>
          <w:tcPr>
            <w:tcW w:type="dxa" w:w="1440"/>
            <w:shd w:fill="FFDCE0" w:val="clear"/>
          </w:tcPr>
          <w:p>
            <w:r>
              <w:rPr>
                <w:sz w:val="17"/>
              </w:rPr>
              <w:t>1,709</w:t>
            </w:r>
          </w:p>
        </w:tc>
        <w:tc>
          <w:tcPr>
            <w:tcW w:type="dxa" w:w="1440"/>
            <w:shd w:fill="FFDCE0" w:val="clear"/>
          </w:tcPr>
          <w:p>
            <w:r>
              <w:rPr>
                <w:b/>
                <w:color w:val="C00000"/>
                <w:sz w:val="17"/>
              </w:rPr>
              <w:t>-35.3%</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1,168</w:t>
            </w:r>
          </w:p>
        </w:tc>
        <w:tc>
          <w:tcPr>
            <w:tcW w:type="dxa" w:w="1440"/>
            <w:shd w:fill="FFDCE0" w:val="clear"/>
          </w:tcPr>
          <w:p>
            <w:r>
              <w:rPr>
                <w:b/>
                <w:sz w:val="17"/>
              </w:rPr>
              <w:t>1,418</w:t>
            </w:r>
          </w:p>
        </w:tc>
        <w:tc>
          <w:tcPr>
            <w:tcW w:type="dxa" w:w="1440"/>
            <w:shd w:fill="FFDCE0" w:val="clear"/>
          </w:tcPr>
          <w:p>
            <w:r>
              <w:rPr>
                <w:sz w:val="17"/>
              </w:rPr>
              <w:t>1,669</w:t>
            </w:r>
          </w:p>
        </w:tc>
        <w:tc>
          <w:tcPr>
            <w:tcW w:type="dxa" w:w="1440"/>
            <w:shd w:fill="FFDCE0" w:val="clear"/>
          </w:tcPr>
          <w:p>
            <w:r>
              <w:rPr>
                <w:b/>
                <w:color w:val="C00000"/>
                <w:sz w:val="17"/>
              </w:rPr>
              <w:t>-37.4%</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1,120</w:t>
            </w:r>
          </w:p>
        </w:tc>
        <w:tc>
          <w:tcPr>
            <w:tcW w:type="dxa" w:w="1440"/>
            <w:shd w:fill="FFDCE0" w:val="clear"/>
          </w:tcPr>
          <w:p>
            <w:r>
              <w:rPr>
                <w:b/>
                <w:sz w:val="17"/>
              </w:rPr>
              <w:t>1,376</w:t>
            </w:r>
          </w:p>
        </w:tc>
        <w:tc>
          <w:tcPr>
            <w:tcW w:type="dxa" w:w="1440"/>
            <w:shd w:fill="FFDCE0" w:val="clear"/>
          </w:tcPr>
          <w:p>
            <w:r>
              <w:rPr>
                <w:sz w:val="17"/>
              </w:rPr>
              <w:t>1,632</w:t>
            </w:r>
          </w:p>
        </w:tc>
        <w:tc>
          <w:tcPr>
            <w:tcW w:type="dxa" w:w="1440"/>
            <w:shd w:fill="FFDCE0" w:val="clear"/>
          </w:tcPr>
          <w:p>
            <w:r>
              <w:rPr>
                <w:b/>
                <w:color w:val="C00000"/>
                <w:sz w:val="17"/>
              </w:rPr>
              <w:t>-39.3%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28,91 milliards FCFA, un niveau modeste qui la classe parmi les valeurs moyennes de la cote BRVM. Avec un BPA de 160 FCFA, le PER de 14,2x se situe au-dessus de la moyenne historique de la place (~8-12x), indiquant que les investisseurs paient une prime pour la croissance récente du bénéfice. Le P/B de 5,02x est particulièrement exigeant, le marché valorisant fortement les capitaux propres de l'entreprise, tandis que l'EV/EBITDA de 21,0x confirme une valorisation généreuse par rapport à la capacité opérationnelle. Ces ratios traduisent une anticipation optimiste des marchés, mais laissent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NEIC affiche une progression spectaculaire de +61,79%, avec une dernière séance en hausse de +7,09% à 2 265 FCFA. Le cours a évolué dans une fourchette large de 1 350 à 2 400 FCFA, démontrant une dynamique haussière soutenue. La moyenne (1 901 FCFA) est inférieure à la médiane (1 990 FCFA), indiquant une asymétrie positive avec des épisodes de forte hausse. L'écart-type de 361 FCFA (CV=19%) révèle une dispersion modérée, tandis que le kurtosis de -1,379 (platykurtique) suggère l'absence de mouvements extrêmes fréquents. Le skewness de -0,345, proche de zéro, confirme une distribution quasi symétrique. La volatilité annualisée de 50,2%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(2 265 FCFA) se positionne au-dessus de la MM20 (2 242,75) et de la MM50 (2 205,6), confirmant une tendance haussière de court et moyen terme. La configuration des MM, avec le cours au-dessus des deux moyennes, valide la dynamique positive et justifie la décision d'achat.</w:t>
      </w:r>
    </w:p>
    <w:p>
      <w:pPr>
        <w:spacing w:after="120" w:line="276" w:lineRule="auto"/>
      </w:pPr>
      <w:r>
        <w:t>**Bandes de Bollinger** : Le cours se situe à 2 265 FCFA, entre la borne inférieure (2 124,23) et la borne supérieure (2 361,27), proche du milieu de l'intervalle. Cette position neutre indique une volatilité modérée sans excès, laissant un potentiel de mouvement dans les deux directions.</w:t>
      </w:r>
    </w:p>
    <w:p>
      <w:pPr>
        <w:spacing w:after="120" w:line="276" w:lineRule="auto"/>
      </w:pPr>
      <w:r>
        <w:t>**MACD** : La valeur du MACD (12,751) est inférieure à son signal (20,588), créant une divergence négative. Ce croisement baissier suggère un affaiblissement du momentum haussier, justifiant la décision de vente malgré la tendance générale positive.</w:t>
      </w:r>
    </w:p>
    <w:p>
      <w:pPr>
        <w:spacing w:after="120" w:line="276" w:lineRule="auto"/>
      </w:pPr>
      <w:r>
        <w:t>**RSI** : À 58,065, le RSI se situe en zone neutre (30-70), indiquant un équilibre entre pression acheteuse et vendeuse. Le titre n'est ni suracheté ni survendu, laissant une marge de manœuvre avant d'atteindre des niveaux extrêmes.</w:t>
      </w:r>
    </w:p>
    <w:p>
      <w:pPr>
        <w:spacing w:after="120" w:line="276" w:lineRule="auto"/>
      </w:pPr>
      <w:r>
        <w:t>**Stochastique** : Le %K (81,081) est nettement supérieur au %D (48,239), signalant une possible surachat à court terme. Cette configuration, avec le %K au-dessus de 80, suggère un essoufflement potentiel de la hausse, justifiant la décision de vente.</w:t>
      </w:r>
    </w:p>
    <w:p>
      <w:pPr>
        <w:spacing w:after="120" w:line="276" w:lineRule="auto"/>
      </w:pPr>
      <w:r>
        <w:t>**Conclusion technique** : La convergence des indicateurs est mitigée. Les moyennes mobiles soutiennent la tendance haussière, mais le MACD et le stochastique signalent un essoufflement du momentum. Le RSI neutre et les bandes de Bollinger sans excès suggèrent une consolidation possible avant la poursuite de la tendance. Globalement, le titre reste dans une dynamique positive mais avec des signaux de prudence à court terme.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avec un chiffre d'affaires de 5,139 milliards FCFA, en baisse de 23,8% par rapport à l'exercice précédent. Le résultat net atteint 2,037 milliards FCFA, porté par une marge nette exceptionnelle de 39,6% et un ROE remarquable de 35,4%, bien au-dessus du seuil d'excellence de 15%. Le ROA de 27,3% confirme une utilisation efficace des actifs. La structure financière est saine avec une autonomie financière de 77% et une trésorerie nette positive de 4,196 milliards FCFA. Cependant, le BFR de 1,498 milliards FCFA et le délai clients élevé de 154,7 jours constituent un risque de trésorerie. Les rapports trimestriels 2025 montrent une forte saisonnalité : le T1 2025 a enregistré une perte de -189,9 millions FCFA sur un CA de seulement 48,5 millions, tandis que le T3 2025 a affiché un bénéfice de 1,596 milliards grâce à une reprise de provision exceptionnelle. Le rapport annuel 2025 (publié en 2026) indique un résultat net de 2,04 milliards FCFA et un CA de 6,74 milliards, soit une croissance de 29%, avec un dividende proposé de 2,04 milliards FCFA (100% du résultat). Les perspectives 2026 montrent une amélioration au T1 avec un CA en hausse de 137% à 115,1 millions FCFA, mais une perte nette persistante de -168,9 millions FCFA. La solidité financière est réelle, mais la dépendance aux éléments exceptionnels et la saisonnalité marquée nécessitent une vigilance particulière.</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14,2x et un P/B de 5,02x, indiquant une surévaluation relative par rapport aux fondamentaux historiques. Le comportement du cours montre une tendance haussière spectaculaire (+61,79% sur 100 jours) mais avec une volatilité élevée de 50,2% et des signaux techniques mitigés : les moyennes mobiles sont positives, mais le MACD et le stochastique suggèrent un essoufflement. Les fondamentaux sont solides avec un ROE de 35,4% et une trésorerie abondante, mais la croissance du CA est négative (-23,8%) et la performance repose sur des éléments exceptionnels. Les prédictions IA indiquent une baisse progressive du cours de 2 095 à 1 642 FCFA sur 10 jours, contredisant la tendance haussière récente. La divergence entre la valorisation élevée, les signaux techniques mitigés et les prédictions baissières suggère une prudence. **Recommandation : CONSERVER** avec un niveau de confiance Moyen et un risque global Élevé. L'horizon d'investissement optimal est le moyen terme (3-12 mois), en attendant une clarification de la dynamique commerciale et une stabilisation du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584.97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1,955 titres</w:t>
            </w:r>
          </w:p>
        </w:tc>
        <w:tc>
          <w:tcPr>
            <w:tcW w:type="dxa" w:w="2268"/>
            <w:shd w:fill="FFF2CC" w:val="clear"/>
          </w:tcPr>
          <w:p>
            <w:r>
              <w:rPr>
                <w:b/>
                <w:color w:val="503200"/>
                <w:sz w:val="16"/>
              </w:rPr>
              <w:t xml:space="preserve">Cours actuel : </w:t>
            </w:r>
            <w:r>
              <w:rPr>
                <w:color w:val="000000"/>
                <w:sz w:val="17"/>
              </w:rPr>
              <w:t>23,650 FCFA</w:t>
            </w:r>
          </w:p>
          <w:p>
            <w:r>
              <w:rPr>
                <w:b/>
                <w:color w:val="503200"/>
                <w:sz w:val="16"/>
              </w:rPr>
              <w:t xml:space="preserve">Var. 100 jours : </w:t>
            </w:r>
            <w:r>
              <w:rPr>
                <w:b/>
                <w:color w:val="007800"/>
                <w:sz w:val="17"/>
              </w:rPr>
              <w:t>+70.14%</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μ=17,795 FCFA, σ=3,538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β=1.4732 (Agressif) — Cov=0.000054, Var(idx)=0.000036, ρ=0.373,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87289"/>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2026-08-11</w:t>
            </w:r>
          </w:p>
        </w:tc>
        <w:tc>
          <w:tcPr>
            <w:tcW w:type="dxa" w:w="1440"/>
            <w:shd w:fill="C6EFCE" w:val="clear"/>
          </w:tcPr>
          <w:p>
            <w:r>
              <w:rPr>
                <w:sz w:val="17"/>
              </w:rPr>
              <w:t>23,182</w:t>
            </w:r>
          </w:p>
        </w:tc>
        <w:tc>
          <w:tcPr>
            <w:tcW w:type="dxa" w:w="1440"/>
            <w:shd w:fill="C6EFCE" w:val="clear"/>
          </w:tcPr>
          <w:p>
            <w:r>
              <w:rPr>
                <w:b/>
                <w:sz w:val="17"/>
              </w:rPr>
              <w:t>24,210</w:t>
            </w:r>
          </w:p>
        </w:tc>
        <w:tc>
          <w:tcPr>
            <w:tcW w:type="dxa" w:w="1440"/>
            <w:shd w:fill="C6EFCE" w:val="clear"/>
          </w:tcPr>
          <w:p>
            <w:r>
              <w:rPr>
                <w:sz w:val="17"/>
              </w:rPr>
              <w:t>25,238</w:t>
            </w:r>
          </w:p>
        </w:tc>
        <w:tc>
          <w:tcPr>
            <w:tcW w:type="dxa" w:w="1440"/>
            <w:shd w:fill="C6EFCE" w:val="clear"/>
          </w:tcPr>
          <w:p>
            <w:r>
              <w:rPr>
                <w:b/>
                <w:color w:val="008000"/>
                <w:sz w:val="17"/>
              </w:rPr>
              <w:t>+2.4%</w:t>
            </w:r>
          </w:p>
        </w:tc>
      </w:tr>
      <w:tr>
        <w:tc>
          <w:tcPr>
            <w:tcW w:type="dxa" w:w="1440"/>
            <w:shd w:fill="C6EFCE" w:val="clear"/>
          </w:tcPr>
          <w:p>
            <w:r>
              <w:rPr>
                <w:sz w:val="17"/>
              </w:rPr>
              <w:t>J+2  Moyenne</w:t>
            </w:r>
          </w:p>
        </w:tc>
        <w:tc>
          <w:tcPr>
            <w:tcW w:type="dxa" w:w="1440"/>
            <w:shd w:fill="C6EFCE" w:val="clear"/>
          </w:tcPr>
          <w:p>
            <w:r>
              <w:rPr>
                <w:sz w:val="17"/>
              </w:rPr>
              <w:t>2026-08-12</w:t>
            </w:r>
          </w:p>
        </w:tc>
        <w:tc>
          <w:tcPr>
            <w:tcW w:type="dxa" w:w="1440"/>
            <w:shd w:fill="C6EFCE" w:val="clear"/>
          </w:tcPr>
          <w:p>
            <w:r>
              <w:rPr>
                <w:sz w:val="17"/>
              </w:rPr>
              <w:t>23,160</w:t>
            </w:r>
          </w:p>
        </w:tc>
        <w:tc>
          <w:tcPr>
            <w:tcW w:type="dxa" w:w="1440"/>
            <w:shd w:fill="C6EFCE" w:val="clear"/>
          </w:tcPr>
          <w:p>
            <w:r>
              <w:rPr>
                <w:b/>
                <w:sz w:val="17"/>
              </w:rPr>
              <w:t>24,639</w:t>
            </w:r>
          </w:p>
        </w:tc>
        <w:tc>
          <w:tcPr>
            <w:tcW w:type="dxa" w:w="1440"/>
            <w:shd w:fill="C6EFCE" w:val="clear"/>
          </w:tcPr>
          <w:p>
            <w:r>
              <w:rPr>
                <w:sz w:val="17"/>
              </w:rPr>
              <w:t>26,118</w:t>
            </w:r>
          </w:p>
        </w:tc>
        <w:tc>
          <w:tcPr>
            <w:tcW w:type="dxa" w:w="1440"/>
            <w:shd w:fill="C6EFCE" w:val="clear"/>
          </w:tcPr>
          <w:p>
            <w:r>
              <w:rPr>
                <w:b/>
                <w:color w:val="008000"/>
                <w:sz w:val="17"/>
              </w:rPr>
              <w:t>+4.2%</w:t>
            </w:r>
          </w:p>
        </w:tc>
      </w:tr>
      <w:tr>
        <w:tc>
          <w:tcPr>
            <w:tcW w:type="dxa" w:w="1440"/>
            <w:shd w:fill="C6EFCE" w:val="clear"/>
          </w:tcPr>
          <w:p>
            <w:r>
              <w:rPr>
                <w:sz w:val="17"/>
              </w:rPr>
              <w:t>J+3  Moyenne</w:t>
            </w:r>
          </w:p>
        </w:tc>
        <w:tc>
          <w:tcPr>
            <w:tcW w:type="dxa" w:w="1440"/>
            <w:shd w:fill="C6EFCE" w:val="clear"/>
          </w:tcPr>
          <w:p>
            <w:r>
              <w:rPr>
                <w:sz w:val="17"/>
              </w:rPr>
              <w:t>2026-08-13</w:t>
            </w:r>
          </w:p>
        </w:tc>
        <w:tc>
          <w:tcPr>
            <w:tcW w:type="dxa" w:w="1440"/>
            <w:shd w:fill="C6EFCE" w:val="clear"/>
          </w:tcPr>
          <w:p>
            <w:r>
              <w:rPr>
                <w:sz w:val="17"/>
              </w:rPr>
              <w:t>23,208</w:t>
            </w:r>
          </w:p>
        </w:tc>
        <w:tc>
          <w:tcPr>
            <w:tcW w:type="dxa" w:w="1440"/>
            <w:shd w:fill="C6EFCE" w:val="clear"/>
          </w:tcPr>
          <w:p>
            <w:r>
              <w:rPr>
                <w:b/>
                <w:sz w:val="17"/>
              </w:rPr>
              <w:t>25,050</w:t>
            </w:r>
          </w:p>
        </w:tc>
        <w:tc>
          <w:tcPr>
            <w:tcW w:type="dxa" w:w="1440"/>
            <w:shd w:fill="C6EFCE" w:val="clear"/>
          </w:tcPr>
          <w:p>
            <w:r>
              <w:rPr>
                <w:sz w:val="17"/>
              </w:rPr>
              <w:t>26,891</w:t>
            </w:r>
          </w:p>
        </w:tc>
        <w:tc>
          <w:tcPr>
            <w:tcW w:type="dxa" w:w="1440"/>
            <w:shd w:fill="C6EFCE" w:val="clear"/>
          </w:tcPr>
          <w:p>
            <w:r>
              <w:rPr>
                <w:b/>
                <w:color w:val="008000"/>
                <w:sz w:val="17"/>
              </w:rPr>
              <w:t>+5.9%</w:t>
            </w:r>
          </w:p>
        </w:tc>
      </w:tr>
      <w:tr>
        <w:tc>
          <w:tcPr>
            <w:tcW w:type="dxa" w:w="1440"/>
            <w:shd w:fill="C6EFCE" w:val="clear"/>
          </w:tcPr>
          <w:p>
            <w:r>
              <w:rPr>
                <w:sz w:val="17"/>
              </w:rPr>
              <w:t>J+4  ⭐</w:t>
            </w:r>
          </w:p>
        </w:tc>
        <w:tc>
          <w:tcPr>
            <w:tcW w:type="dxa" w:w="1440"/>
            <w:shd w:fill="C6EFCE" w:val="clear"/>
          </w:tcPr>
          <w:p>
            <w:r>
              <w:rPr>
                <w:sz w:val="17"/>
              </w:rPr>
              <w:t>2026-08-14</w:t>
            </w:r>
          </w:p>
        </w:tc>
        <w:tc>
          <w:tcPr>
            <w:tcW w:type="dxa" w:w="1440"/>
            <w:shd w:fill="C6EFCE" w:val="clear"/>
          </w:tcPr>
          <w:p>
            <w:r>
              <w:rPr>
                <w:sz w:val="17"/>
              </w:rPr>
              <w:t>23,287</w:t>
            </w:r>
          </w:p>
        </w:tc>
        <w:tc>
          <w:tcPr>
            <w:tcW w:type="dxa" w:w="1440"/>
            <w:shd w:fill="C6EFCE" w:val="clear"/>
          </w:tcPr>
          <w:p>
            <w:r>
              <w:rPr>
                <w:b/>
                <w:sz w:val="17"/>
              </w:rPr>
              <w:t>25,447</w:t>
            </w:r>
          </w:p>
        </w:tc>
        <w:tc>
          <w:tcPr>
            <w:tcW w:type="dxa" w:w="1440"/>
            <w:shd w:fill="C6EFCE" w:val="clear"/>
          </w:tcPr>
          <w:p>
            <w:r>
              <w:rPr>
                <w:sz w:val="17"/>
              </w:rPr>
              <w:t>27,607</w:t>
            </w:r>
          </w:p>
        </w:tc>
        <w:tc>
          <w:tcPr>
            <w:tcW w:type="dxa" w:w="1440"/>
            <w:shd w:fill="C6EFCE" w:val="clear"/>
          </w:tcPr>
          <w:p>
            <w:r>
              <w:rPr>
                <w:b/>
                <w:color w:val="008000"/>
                <w:sz w:val="17"/>
              </w:rPr>
              <w:t>+7.6%</w:t>
            </w:r>
          </w:p>
        </w:tc>
      </w:tr>
      <w:tr>
        <w:tc>
          <w:tcPr>
            <w:tcW w:type="dxa" w:w="1440"/>
            <w:shd w:fill="C6EFCE" w:val="clear"/>
          </w:tcPr>
          <w:p>
            <w:r>
              <w:rPr>
                <w:sz w:val="17"/>
              </w:rPr>
              <w:t>J+5  ⭐</w:t>
            </w:r>
          </w:p>
        </w:tc>
        <w:tc>
          <w:tcPr>
            <w:tcW w:type="dxa" w:w="1440"/>
            <w:shd w:fill="C6EFCE" w:val="clear"/>
          </w:tcPr>
          <w:p>
            <w:r>
              <w:rPr>
                <w:sz w:val="17"/>
              </w:rPr>
              <w:t>2026-08-17</w:t>
            </w:r>
          </w:p>
        </w:tc>
        <w:tc>
          <w:tcPr>
            <w:tcW w:type="dxa" w:w="1440"/>
            <w:shd w:fill="C6EFCE" w:val="clear"/>
          </w:tcPr>
          <w:p>
            <w:r>
              <w:rPr>
                <w:sz w:val="17"/>
              </w:rPr>
              <w:t>23,387</w:t>
            </w:r>
          </w:p>
        </w:tc>
        <w:tc>
          <w:tcPr>
            <w:tcW w:type="dxa" w:w="1440"/>
            <w:shd w:fill="C6EFCE" w:val="clear"/>
          </w:tcPr>
          <w:p>
            <w:r>
              <w:rPr>
                <w:b/>
                <w:sz w:val="17"/>
              </w:rPr>
              <w:t>25,840</w:t>
            </w:r>
          </w:p>
        </w:tc>
        <w:tc>
          <w:tcPr>
            <w:tcW w:type="dxa" w:w="1440"/>
            <w:shd w:fill="C6EFCE" w:val="clear"/>
          </w:tcPr>
          <w:p>
            <w:r>
              <w:rPr>
                <w:sz w:val="17"/>
              </w:rPr>
              <w:t>28,292</w:t>
            </w:r>
          </w:p>
        </w:tc>
        <w:tc>
          <w:tcPr>
            <w:tcW w:type="dxa" w:w="1440"/>
            <w:shd w:fill="C6EFCE" w:val="clear"/>
          </w:tcPr>
          <w:p>
            <w:r>
              <w:rPr>
                <w:b/>
                <w:color w:val="008000"/>
                <w:sz w:val="17"/>
              </w:rPr>
              <w:t>+9.3%</w:t>
            </w:r>
          </w:p>
        </w:tc>
      </w:tr>
      <w:tr>
        <w:tc>
          <w:tcPr>
            <w:tcW w:type="dxa" w:w="1440"/>
            <w:shd w:fill="C6EFCE" w:val="clear"/>
          </w:tcPr>
          <w:p>
            <w:r>
              <w:rPr>
                <w:sz w:val="17"/>
              </w:rPr>
              <w:t>J+6  ⭐</w:t>
            </w:r>
          </w:p>
        </w:tc>
        <w:tc>
          <w:tcPr>
            <w:tcW w:type="dxa" w:w="1440"/>
            <w:shd w:fill="C6EFCE" w:val="clear"/>
          </w:tcPr>
          <w:p>
            <w:r>
              <w:rPr>
                <w:sz w:val="17"/>
              </w:rPr>
              <w:t>2026-08-18</w:t>
            </w:r>
          </w:p>
        </w:tc>
        <w:tc>
          <w:tcPr>
            <w:tcW w:type="dxa" w:w="1440"/>
            <w:shd w:fill="C6EFCE" w:val="clear"/>
          </w:tcPr>
          <w:p>
            <w:r>
              <w:rPr>
                <w:sz w:val="17"/>
              </w:rPr>
              <w:t>23,503</w:t>
            </w:r>
          </w:p>
        </w:tc>
        <w:tc>
          <w:tcPr>
            <w:tcW w:type="dxa" w:w="1440"/>
            <w:shd w:fill="C6EFCE" w:val="clear"/>
          </w:tcPr>
          <w:p>
            <w:r>
              <w:rPr>
                <w:b/>
                <w:sz w:val="17"/>
              </w:rPr>
              <w:t>26,230</w:t>
            </w:r>
          </w:p>
        </w:tc>
        <w:tc>
          <w:tcPr>
            <w:tcW w:type="dxa" w:w="1440"/>
            <w:shd w:fill="C6EFCE" w:val="clear"/>
          </w:tcPr>
          <w:p>
            <w:r>
              <w:rPr>
                <w:sz w:val="17"/>
              </w:rPr>
              <w:t>28,957</w:t>
            </w:r>
          </w:p>
        </w:tc>
        <w:tc>
          <w:tcPr>
            <w:tcW w:type="dxa" w:w="1440"/>
            <w:shd w:fill="C6EFCE" w:val="clear"/>
          </w:tcPr>
          <w:p>
            <w:r>
              <w:rPr>
                <w:b/>
                <w:color w:val="008000"/>
                <w:sz w:val="17"/>
              </w:rPr>
              <w:t>+10.9%</w:t>
            </w:r>
          </w:p>
        </w:tc>
      </w:tr>
      <w:tr>
        <w:tc>
          <w:tcPr>
            <w:tcW w:type="dxa" w:w="1440"/>
            <w:shd w:fill="C6EFCE" w:val="clear"/>
          </w:tcPr>
          <w:p>
            <w:r>
              <w:rPr>
                <w:sz w:val="17"/>
              </w:rPr>
              <w:t>J+7  ⭐</w:t>
            </w:r>
          </w:p>
        </w:tc>
        <w:tc>
          <w:tcPr>
            <w:tcW w:type="dxa" w:w="1440"/>
            <w:shd w:fill="C6EFCE" w:val="clear"/>
          </w:tcPr>
          <w:p>
            <w:r>
              <w:rPr>
                <w:sz w:val="17"/>
              </w:rPr>
              <w:t>2026-08-19</w:t>
            </w:r>
          </w:p>
        </w:tc>
        <w:tc>
          <w:tcPr>
            <w:tcW w:type="dxa" w:w="1440"/>
            <w:shd w:fill="C6EFCE" w:val="clear"/>
          </w:tcPr>
          <w:p>
            <w:r>
              <w:rPr>
                <w:sz w:val="17"/>
              </w:rPr>
              <w:t>23,628</w:t>
            </w:r>
          </w:p>
        </w:tc>
        <w:tc>
          <w:tcPr>
            <w:tcW w:type="dxa" w:w="1440"/>
            <w:shd w:fill="C6EFCE" w:val="clear"/>
          </w:tcPr>
          <w:p>
            <w:r>
              <w:rPr>
                <w:b/>
                <w:sz w:val="17"/>
              </w:rPr>
              <w:t>26,618</w:t>
            </w:r>
          </w:p>
        </w:tc>
        <w:tc>
          <w:tcPr>
            <w:tcW w:type="dxa" w:w="1440"/>
            <w:shd w:fill="C6EFCE" w:val="clear"/>
          </w:tcPr>
          <w:p>
            <w:r>
              <w:rPr>
                <w:sz w:val="17"/>
              </w:rPr>
              <w:t>29,607</w:t>
            </w:r>
          </w:p>
        </w:tc>
        <w:tc>
          <w:tcPr>
            <w:tcW w:type="dxa" w:w="1440"/>
            <w:shd w:fill="C6EFCE" w:val="clear"/>
          </w:tcPr>
          <w:p>
            <w:r>
              <w:rPr>
                <w:b/>
                <w:color w:val="008000"/>
                <w:sz w:val="17"/>
              </w:rPr>
              <w:t>+12.5%</w:t>
            </w:r>
          </w:p>
        </w:tc>
      </w:tr>
      <w:tr>
        <w:tc>
          <w:tcPr>
            <w:tcW w:type="dxa" w:w="1440"/>
            <w:shd w:fill="C6EFCE" w:val="clear"/>
          </w:tcPr>
          <w:p>
            <w:r>
              <w:rPr>
                <w:sz w:val="17"/>
              </w:rPr>
              <w:t>J+8  ⭐</w:t>
            </w:r>
          </w:p>
        </w:tc>
        <w:tc>
          <w:tcPr>
            <w:tcW w:type="dxa" w:w="1440"/>
            <w:shd w:fill="C6EFCE" w:val="clear"/>
          </w:tcPr>
          <w:p>
            <w:r>
              <w:rPr>
                <w:sz w:val="17"/>
              </w:rPr>
              <w:t>2026-08-20</w:t>
            </w:r>
          </w:p>
        </w:tc>
        <w:tc>
          <w:tcPr>
            <w:tcW w:type="dxa" w:w="1440"/>
            <w:shd w:fill="C6EFCE" w:val="clear"/>
          </w:tcPr>
          <w:p>
            <w:r>
              <w:rPr>
                <w:sz w:val="17"/>
              </w:rPr>
              <w:t>23,761</w:t>
            </w:r>
          </w:p>
        </w:tc>
        <w:tc>
          <w:tcPr>
            <w:tcW w:type="dxa" w:w="1440"/>
            <w:shd w:fill="C6EFCE" w:val="clear"/>
          </w:tcPr>
          <w:p>
            <w:r>
              <w:rPr>
                <w:b/>
                <w:sz w:val="17"/>
              </w:rPr>
              <w:t>27,003</w:t>
            </w:r>
          </w:p>
        </w:tc>
        <w:tc>
          <w:tcPr>
            <w:tcW w:type="dxa" w:w="1440"/>
            <w:shd w:fill="C6EFCE" w:val="clear"/>
          </w:tcPr>
          <w:p>
            <w:r>
              <w:rPr>
                <w:sz w:val="17"/>
              </w:rPr>
              <w:t>30,245</w:t>
            </w:r>
          </w:p>
        </w:tc>
        <w:tc>
          <w:tcPr>
            <w:tcW w:type="dxa" w:w="1440"/>
            <w:shd w:fill="C6EFCE" w:val="clear"/>
          </w:tcPr>
          <w:p>
            <w:r>
              <w:rPr>
                <w:b/>
                <w:color w:val="008000"/>
                <w:sz w:val="17"/>
              </w:rPr>
              <w:t>+14.2%</w:t>
            </w:r>
          </w:p>
        </w:tc>
      </w:tr>
      <w:tr>
        <w:tc>
          <w:tcPr>
            <w:tcW w:type="dxa" w:w="1440"/>
            <w:shd w:fill="C6EFCE" w:val="clear"/>
          </w:tcPr>
          <w:p>
            <w:r>
              <w:rPr>
                <w:sz w:val="17"/>
              </w:rPr>
              <w:t>J+9  ⭐</w:t>
            </w:r>
          </w:p>
        </w:tc>
        <w:tc>
          <w:tcPr>
            <w:tcW w:type="dxa" w:w="1440"/>
            <w:shd w:fill="C6EFCE" w:val="clear"/>
          </w:tcPr>
          <w:p>
            <w:r>
              <w:rPr>
                <w:sz w:val="17"/>
              </w:rPr>
              <w:t>2026-08-21</w:t>
            </w:r>
          </w:p>
        </w:tc>
        <w:tc>
          <w:tcPr>
            <w:tcW w:type="dxa" w:w="1440"/>
            <w:shd w:fill="C6EFCE" w:val="clear"/>
          </w:tcPr>
          <w:p>
            <w:r>
              <w:rPr>
                <w:sz w:val="17"/>
              </w:rPr>
              <w:t>23,899</w:t>
            </w:r>
          </w:p>
        </w:tc>
        <w:tc>
          <w:tcPr>
            <w:tcW w:type="dxa" w:w="1440"/>
            <w:shd w:fill="C6EFCE" w:val="clear"/>
          </w:tcPr>
          <w:p>
            <w:r>
              <w:rPr>
                <w:b/>
                <w:sz w:val="17"/>
              </w:rPr>
              <w:t>27,386</w:t>
            </w:r>
          </w:p>
        </w:tc>
        <w:tc>
          <w:tcPr>
            <w:tcW w:type="dxa" w:w="1440"/>
            <w:shd w:fill="C6EFCE" w:val="clear"/>
          </w:tcPr>
          <w:p>
            <w:r>
              <w:rPr>
                <w:sz w:val="17"/>
              </w:rPr>
              <w:t>30,873</w:t>
            </w:r>
          </w:p>
        </w:tc>
        <w:tc>
          <w:tcPr>
            <w:tcW w:type="dxa" w:w="1440"/>
            <w:shd w:fill="C6EFCE" w:val="clear"/>
          </w:tcPr>
          <w:p>
            <w:r>
              <w:rPr>
                <w:b/>
                <w:color w:val="008000"/>
                <w:sz w:val="17"/>
              </w:rPr>
              <w:t>+15.8%</w:t>
            </w:r>
          </w:p>
        </w:tc>
      </w:tr>
      <w:tr>
        <w:tc>
          <w:tcPr>
            <w:tcW w:type="dxa" w:w="1440"/>
            <w:shd w:fill="C6EFCE" w:val="clear"/>
          </w:tcPr>
          <w:p>
            <w:r>
              <w:rPr>
                <w:sz w:val="17"/>
              </w:rPr>
              <w:t>J+10  ⭐</w:t>
            </w:r>
          </w:p>
        </w:tc>
        <w:tc>
          <w:tcPr>
            <w:tcW w:type="dxa" w:w="1440"/>
            <w:shd w:fill="C6EFCE" w:val="clear"/>
          </w:tcPr>
          <w:p>
            <w:r>
              <w:rPr>
                <w:sz w:val="17"/>
              </w:rPr>
              <w:t>2026-08-24</w:t>
            </w:r>
          </w:p>
        </w:tc>
        <w:tc>
          <w:tcPr>
            <w:tcW w:type="dxa" w:w="1440"/>
            <w:shd w:fill="C6EFCE" w:val="clear"/>
          </w:tcPr>
          <w:p>
            <w:r>
              <w:rPr>
                <w:sz w:val="17"/>
              </w:rPr>
              <w:t>24,039</w:t>
            </w:r>
          </w:p>
        </w:tc>
        <w:tc>
          <w:tcPr>
            <w:tcW w:type="dxa" w:w="1440"/>
            <w:shd w:fill="C6EFCE" w:val="clear"/>
          </w:tcPr>
          <w:p>
            <w:r>
              <w:rPr>
                <w:b/>
                <w:sz w:val="17"/>
              </w:rPr>
              <w:t>27,766</w:t>
            </w:r>
          </w:p>
        </w:tc>
        <w:tc>
          <w:tcPr>
            <w:tcW w:type="dxa" w:w="1440"/>
            <w:shd w:fill="C6EFCE" w:val="clear"/>
          </w:tcPr>
          <w:p>
            <w:r>
              <w:rPr>
                <w:sz w:val="17"/>
              </w:rPr>
              <w:t>31,493</w:t>
            </w:r>
          </w:p>
        </w:tc>
        <w:tc>
          <w:tcPr>
            <w:tcW w:type="dxa" w:w="1440"/>
            <w:shd w:fill="C6EFCE" w:val="clear"/>
          </w:tcPr>
          <w:p>
            <w:r>
              <w:rPr>
                <w:b/>
                <w:color w:val="008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584,97 milliards FCFA, ce qui positionne NSIA Banque CI parmi les valeurs les plus significatives de la BRVM, reflétant sa stature de leader bancaire ivoirien. Avec un BPA de 1 646 FCFA, chaque action génère un bénéfice substantiel, justifiant un PER de 14,4x. Ce ratio, bien que supérieur à la moyenne historique de la BRVM (8-12x), traduit la prime de croissance que les investisseurs accordent à la banque, tout en restant dans une zone de valorisation raisonnable pour un établissement de cette qualité. Le P/B de 2,51x confirme cette lecture : le marché valorise la société à 2,5 fois ses capitaux propres, une prime justifiée par un ROE de 17,45%. En revanche, l'EV/EBITDA de 21,8x apparaît très exigeant, signalant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+70,14%, avec une légère hausse de +0,42% lors de la dernière séance, démontrant une dynamique haussière soutenue. Le cours a évolué dans une fourchette très large, entre un plus bas de 13 810 FCFA et un plus haut de 24 020 FCFA, illustrant une forte volatilité et un intérêt marqué des investisseurs. La moyenne du cours sur la période (17 795 FCFA) est inférieure à la médiane (18 000 FCFA), indiquant une distribution légèrement asymétrique avec une concentration des valeurs vers le bas de la fourchette avant la récente accélération. L'écart-type de 3 556 FCFA, avec un coefficient de variation de 20%, témoigne d'une dispersion modérée des prix autour de la moyenne. Le kurtosis négatif (-1,376) révèle une distribution platykurtique, signifiant une faible probabilité de mouvements extrêmes, tandis que le skewness positif (0,257) suggère une queue de distribution orientée vers les hausses. La volatilité annualisée de 37,4% classe le titre comme très volatil, un niveau élevé qui implique un risque significatif mais aussi un fort potentiel de rendement.</w:t>
      </w:r>
    </w:p>
    <w:p>
      <w:pPr>
        <w:spacing w:after="120" w:line="276" w:lineRule="auto" w:before="240"/>
      </w:pPr>
      <w:r>
        <w:rPr>
          <w:b/>
          <w:color w:val="003366"/>
          <w:sz w:val="24"/>
        </w:rPr>
        <w:t>**PARTIE 2 : ANALYSE TECHNIQUE DÉTAILLÉE**</w:t>
      </w:r>
    </w:p>
    <w:p>
      <w:pPr>
        <w:spacing w:after="120" w:line="276" w:lineRule="auto"/>
      </w:pPr>
      <w:r>
        <w:t>**Moyennes Mobiles** : Le cours actuel de 23 650 FCFA se situe nettement au-dessus de la MM20 (22 957,5 FCFA) et de la MM50 (20 925,7 FCFA), confirmant une tendance haussière solide. La configuration des moyennes mobiles, avec la MM20 au-dessus de la MM50, valide la dynamique positive et justifie la décision d'achat.</w:t>
      </w:r>
    </w:p>
    <w:p>
      <w:pPr>
        <w:spacing w:after="120" w:line="276" w:lineRule="auto"/>
      </w:pPr>
      <w:r>
        <w:t>**Bandes de Bollinger** : Le prix évolue à 23 650 FCFA, entre la borne supérieure (24 718,62 FCFA) et la borne inférieure (21 196,38 FCFA), mais proche de la borne haute. Cette position indique une pression acheteuse persistante sans atteindre la zone de surachat extrême, d'où une décision neutre. La largeur des bandes reflète la volatilité élevée du titre.</w:t>
      </w:r>
    </w:p>
    <w:p>
      <w:pPr>
        <w:spacing w:after="120" w:line="276" w:lineRule="auto"/>
      </w:pPr>
      <w:r>
        <w:t>**MACD** : Le MACD (880,855) est inférieur à sa ligne de signal (956,914), indiquant un momentum baissier à court terme malgré la tendance haussière de fond. Cette divergence suggère une possible consolidation ou correction technique, justifiant la décision de vente.</w:t>
      </w:r>
    </w:p>
    <w:p>
      <w:pPr>
        <w:spacing w:after="120" w:line="276" w:lineRule="auto"/>
      </w:pPr>
      <w:r>
        <w:t>**RSI** : À 64,53, le RSI se situe en zone neutre, en dessous du seuil de surachat de 70. Cette valeur indique que le titre n'est pas encore survendu, laissant une marge de progression avant une éventuelle correction, d'où une décision neutre.</w:t>
      </w:r>
    </w:p>
    <w:p>
      <w:pPr>
        <w:spacing w:after="120" w:line="276" w:lineRule="auto"/>
      </w:pPr>
      <w:r>
        <w:t>**Stochastique** : Le %K (81,68) et le %D (83,33) sont tous deux en zone de surachat (&gt;80), avec un %K légèrement inférieur au %D, signalant un possible retournement baissier imminent. La décision de vente est donc justifiée par ce croisement baissant.</w:t>
      </w:r>
    </w:p>
    <w:p>
      <w:pPr>
        <w:spacing w:after="120" w:line="276" w:lineRule="auto"/>
      </w:pPr>
      <w:r>
        <w:t>**Conclusion technique** : La tendance de fond reste résolument haussière, confirmée par les moyennes mobiles, mais les oscillateurs (MACD, Stochastique) signalent une fatigue à court terme. Le RSI neutre et la position dans les bandes de Bollinger suggèrent une consolidation probable avant la poursuite de la hausse. Les signaux sont donc mitigés, avec une prédominance haussière à moyen terme mais des risques de correction à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NSBC font état d'un Produit Net Bancaire de 112,928 milliards FCFA, en hausse de 15% par rapport à 2024, et d'un résultat net de 40,712 milliards FCFA, en progression de 7%. La rentabilité des fonds propres (ROE) atteint 17,45%, un niveau excellent, tandis que le ROA s'établit à 1,32%. Le coefficient d'exploitation de 54,59% témoigne d'une gestion efficace, en dessous du seuil de 60%. Cependant, le coût du risque de 7,54% (provisions/charges financières) est élevé, signalant une détérioration de la qualité du portefeuille de crédits, avec des provisions de 8,51 milliards FCFA. Les dépôts clientèle (2 242,218 milliards FCFA) dépassent largement les créances clientèle (1 818,671 milliards FCFA), indiquant une transformation saine. Le rapport du T1 2026 (daté du 31 mars 2026) montre une accélération spectaculaire : PNB de 28,615 milliards FCFA (+28%) et résultat net de 10,912 milliards FCFA (+53%), portés par l'activité titres. Sur la base de ce trimestre, on estime que l'exercice 2026 pourrait voir le PNB atteindre environ 130 milliards FCFA et le résultat net dépasser 45 milliards FCFA, confirmant la dynamique positive. Les rapports du S1 2025 (PNB +10,6%, résultat net +12,3%) et du T3 2025 (PNB +7%, résultat net +6%) montrent une progression régulière tout au long de l'année. La solidité financière est confortée par une solvabilité générale de 108,22% et une autonomie financière de 7,59%, bien que ce dernier ratio soit faible, indiquant une forte dépendance aux dettes (92,41%).</w:t>
      </w:r>
    </w:p>
    <w:p>
      <w:pPr>
        <w:spacing w:after="120" w:line="276" w:lineRule="auto" w:before="240"/>
      </w:pPr>
      <w:r>
        <w:rPr>
          <w:b/>
          <w:color w:val="003366"/>
          <w:sz w:val="24"/>
        </w:rPr>
        <w:t>**PARTIE 4 : CONCLUSION D'INVESTISSEMENT**</w:t>
      </w:r>
    </w:p>
    <w:p>
      <w:pPr>
        <w:spacing w:after="120" w:line="276" w:lineRule="auto"/>
      </w:pPr>
      <w:r>
        <w:t>La valorisation de NSBC apparaît exigeante avec un PER de 14,4x et un EV/EBITDA de 21,8x, mais justifiée par la qualité des fondamentaux et les perspectives de croissance. Le comportement du cours, avec une hausse de 70% en 100 jours et une volatilité de 37,4%, reflète un enthousiasme marqué, bien que les statistiques (kurtosis platykurtique, skewness positif) suggèrent une stabilité relative des mouvements. Les signaux techniques sont mitigés : les moyennes mobiles confirment la tendance haussière, mais le MACD et le Stochastique indiquent une possible consolidation à court terme. Les fondamentaux restent solides avec un ROE de 17,45%, une croissance soutenue du PNB et du résultat net, et des estimations 2026 très favorables basées sur le T1 (+53% de résultat net). Les prédictions IA pour les 10 prochains jours (24 210 à 25 840 FCFA) confirment la poursuite de la tendance haussière, en cohérence avec les fondamentaux. La convergence entre la dynamique du cours, les fondamentaux solides et les prédictions IA, malgré des signaux techniques mitigés, conduit à une recommandation **ACHAT** avec un niveau de confiance **Moyen**. Le risque global est **Élevé** en raison de la volatilité et de la valorisation exigeante. L'horizon d'investissement optimal serait le **moyen terme (3-12 mois)**, permettant de bénéficier de la croissance fondamentale tout en absorbant les éventuelles corrections techniques.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366.70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1,955 titres</w:t>
            </w:r>
          </w:p>
        </w:tc>
        <w:tc>
          <w:tcPr>
            <w:tcW w:type="dxa" w:w="2268"/>
            <w:shd w:fill="FFF2CC" w:val="clear"/>
          </w:tcPr>
          <w:p>
            <w:r>
              <w:rPr>
                <w:b/>
                <w:color w:val="503200"/>
                <w:sz w:val="16"/>
              </w:rPr>
              <w:t xml:space="preserve">Cours actuel : </w:t>
            </w:r>
            <w:r>
              <w:rPr>
                <w:color w:val="000000"/>
                <w:sz w:val="17"/>
              </w:rPr>
              <w:t>16,615 FCFA</w:t>
            </w:r>
          </w:p>
          <w:p>
            <w:r>
              <w:rPr>
                <w:b/>
                <w:color w:val="503200"/>
                <w:sz w:val="16"/>
              </w:rPr>
              <w:t xml:space="preserve">Var. 100 jours : </w:t>
            </w:r>
            <w:r>
              <w:rPr>
                <w:b/>
                <w:color w:val="007800"/>
                <w:sz w:val="17"/>
              </w:rPr>
              <w:t>+27.86%</w:t>
            </w:r>
          </w:p>
          <w:p>
            <w:r>
              <w:rPr>
                <w:b/>
                <w:color w:val="503200"/>
                <w:sz w:val="16"/>
              </w:rPr>
              <w:t xml:space="preserve">Plus haut 100j : </w:t>
            </w:r>
            <w:r>
              <w:rPr>
                <w:color w:val="000000"/>
                <w:sz w:val="17"/>
              </w:rPr>
              <w:t>16,750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12.98% (Moyenne) — μ=13,925 FCFA, σ=1,808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β=0.2507 (Défensif) — Cov=0.000009, Var(idx)=0.000036, ρ=0.071,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7289"/>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2026-08-11</w:t>
            </w:r>
          </w:p>
        </w:tc>
        <w:tc>
          <w:tcPr>
            <w:tcW w:type="dxa" w:w="1440"/>
            <w:shd w:fill="FAFAFA" w:val="clear"/>
          </w:tcPr>
          <w:p>
            <w:r>
              <w:rPr>
                <w:sz w:val="17"/>
              </w:rPr>
              <w:t>16,057</w:t>
            </w:r>
          </w:p>
        </w:tc>
        <w:tc>
          <w:tcPr>
            <w:tcW w:type="dxa" w:w="1440"/>
            <w:shd w:fill="FAFAFA" w:val="clear"/>
          </w:tcPr>
          <w:p>
            <w:r>
              <w:rPr>
                <w:b/>
                <w:sz w:val="17"/>
              </w:rPr>
              <w:t>16,427</w:t>
            </w:r>
          </w:p>
        </w:tc>
        <w:tc>
          <w:tcPr>
            <w:tcW w:type="dxa" w:w="1440"/>
            <w:shd w:fill="FAFAFA" w:val="clear"/>
          </w:tcPr>
          <w:p>
            <w:r>
              <w:rPr>
                <w:sz w:val="17"/>
              </w:rPr>
              <w:t>16,797</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2026-08-12</w:t>
            </w:r>
          </w:p>
        </w:tc>
        <w:tc>
          <w:tcPr>
            <w:tcW w:type="dxa" w:w="1440"/>
            <w:shd w:fill="FAFAFA" w:val="clear"/>
          </w:tcPr>
          <w:p>
            <w:r>
              <w:rPr>
                <w:sz w:val="17"/>
              </w:rPr>
              <w:t>15,870</w:t>
            </w:r>
          </w:p>
        </w:tc>
        <w:tc>
          <w:tcPr>
            <w:tcW w:type="dxa" w:w="1440"/>
            <w:shd w:fill="FAFAFA" w:val="clear"/>
          </w:tcPr>
          <w:p>
            <w:r>
              <w:rPr>
                <w:b/>
                <w:sz w:val="17"/>
              </w:rPr>
              <w:t>16,392</w:t>
            </w:r>
          </w:p>
        </w:tc>
        <w:tc>
          <w:tcPr>
            <w:tcW w:type="dxa" w:w="1440"/>
            <w:shd w:fill="FAFAFA" w:val="clear"/>
          </w:tcPr>
          <w:p>
            <w:r>
              <w:rPr>
                <w:sz w:val="17"/>
              </w:rPr>
              <w:t>16,915</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15,708</w:t>
            </w:r>
          </w:p>
        </w:tc>
        <w:tc>
          <w:tcPr>
            <w:tcW w:type="dxa" w:w="1440"/>
            <w:shd w:fill="FAFAFA" w:val="clear"/>
          </w:tcPr>
          <w:p>
            <w:r>
              <w:rPr>
                <w:b/>
                <w:sz w:val="17"/>
              </w:rPr>
              <w:t>16,346</w:t>
            </w:r>
          </w:p>
        </w:tc>
        <w:tc>
          <w:tcPr>
            <w:tcW w:type="dxa" w:w="1440"/>
            <w:shd w:fill="FAFAFA" w:val="clear"/>
          </w:tcPr>
          <w:p>
            <w:r>
              <w:rPr>
                <w:sz w:val="17"/>
              </w:rPr>
              <w:t>16,983</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2026-08-14</w:t>
            </w:r>
          </w:p>
        </w:tc>
        <w:tc>
          <w:tcPr>
            <w:tcW w:type="dxa" w:w="1440"/>
            <w:shd w:fill="FAFAFA" w:val="clear"/>
          </w:tcPr>
          <w:p>
            <w:r>
              <w:rPr>
                <w:sz w:val="17"/>
              </w:rPr>
              <w:t>15,563</w:t>
            </w:r>
          </w:p>
        </w:tc>
        <w:tc>
          <w:tcPr>
            <w:tcW w:type="dxa" w:w="1440"/>
            <w:shd w:fill="FAFAFA" w:val="clear"/>
          </w:tcPr>
          <w:p>
            <w:r>
              <w:rPr>
                <w:b/>
                <w:sz w:val="17"/>
              </w:rPr>
              <w:t>16,297</w:t>
            </w:r>
          </w:p>
        </w:tc>
        <w:tc>
          <w:tcPr>
            <w:tcW w:type="dxa" w:w="1440"/>
            <w:shd w:fill="FAFAFA" w:val="clear"/>
          </w:tcPr>
          <w:p>
            <w:r>
              <w:rPr>
                <w:sz w:val="17"/>
              </w:rPr>
              <w:t>17,032</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15,432</w:t>
            </w:r>
          </w:p>
        </w:tc>
        <w:tc>
          <w:tcPr>
            <w:tcW w:type="dxa" w:w="1440"/>
            <w:shd w:fill="FFDCE0" w:val="clear"/>
          </w:tcPr>
          <w:p>
            <w:r>
              <w:rPr>
                <w:b/>
                <w:sz w:val="17"/>
              </w:rPr>
              <w:t>16,250</w:t>
            </w:r>
          </w:p>
        </w:tc>
        <w:tc>
          <w:tcPr>
            <w:tcW w:type="dxa" w:w="1440"/>
            <w:shd w:fill="FFDCE0" w:val="clear"/>
          </w:tcPr>
          <w:p>
            <w:r>
              <w:rPr>
                <w:sz w:val="17"/>
              </w:rPr>
              <w:t>17,069</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15,311</w:t>
            </w:r>
          </w:p>
        </w:tc>
        <w:tc>
          <w:tcPr>
            <w:tcW w:type="dxa" w:w="1440"/>
            <w:shd w:fill="FFDCE0" w:val="clear"/>
          </w:tcPr>
          <w:p>
            <w:r>
              <w:rPr>
                <w:b/>
                <w:sz w:val="17"/>
              </w:rPr>
              <w:t>16,205</w:t>
            </w:r>
          </w:p>
        </w:tc>
        <w:tc>
          <w:tcPr>
            <w:tcW w:type="dxa" w:w="1440"/>
            <w:shd w:fill="FFDCE0" w:val="clear"/>
          </w:tcPr>
          <w:p>
            <w:r>
              <w:rPr>
                <w:sz w:val="17"/>
              </w:rPr>
              <w:t>17,099</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15,198</w:t>
            </w:r>
          </w:p>
        </w:tc>
        <w:tc>
          <w:tcPr>
            <w:tcW w:type="dxa" w:w="1440"/>
            <w:shd w:fill="FFDCE0" w:val="clear"/>
          </w:tcPr>
          <w:p>
            <w:r>
              <w:rPr>
                <w:b/>
                <w:sz w:val="17"/>
              </w:rPr>
              <w:t>16,161</w:t>
            </w:r>
          </w:p>
        </w:tc>
        <w:tc>
          <w:tcPr>
            <w:tcW w:type="dxa" w:w="1440"/>
            <w:shd w:fill="FFDCE0" w:val="clear"/>
          </w:tcPr>
          <w:p>
            <w:r>
              <w:rPr>
                <w:sz w:val="17"/>
              </w:rPr>
              <w:t>17,124</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15,091</w:t>
            </w:r>
          </w:p>
        </w:tc>
        <w:tc>
          <w:tcPr>
            <w:tcW w:type="dxa" w:w="1440"/>
            <w:shd w:fill="FFDCE0" w:val="clear"/>
          </w:tcPr>
          <w:p>
            <w:r>
              <w:rPr>
                <w:b/>
                <w:sz w:val="17"/>
              </w:rPr>
              <w:t>16,118</w:t>
            </w:r>
          </w:p>
        </w:tc>
        <w:tc>
          <w:tcPr>
            <w:tcW w:type="dxa" w:w="1440"/>
            <w:shd w:fill="FFDCE0" w:val="clear"/>
          </w:tcPr>
          <w:p>
            <w:r>
              <w:rPr>
                <w:sz w:val="17"/>
              </w:rPr>
              <w:t>17,145</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14,990</w:t>
            </w:r>
          </w:p>
        </w:tc>
        <w:tc>
          <w:tcPr>
            <w:tcW w:type="dxa" w:w="1440"/>
            <w:shd w:fill="FFDCE0" w:val="clear"/>
          </w:tcPr>
          <w:p>
            <w:r>
              <w:rPr>
                <w:b/>
                <w:sz w:val="17"/>
              </w:rPr>
              <w:t>16,076</w:t>
            </w:r>
          </w:p>
        </w:tc>
        <w:tc>
          <w:tcPr>
            <w:tcW w:type="dxa" w:w="1440"/>
            <w:shd w:fill="FFDCE0" w:val="clear"/>
          </w:tcPr>
          <w:p>
            <w:r>
              <w:rPr>
                <w:sz w:val="17"/>
              </w:rPr>
              <w:t>17,163</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14,893</w:t>
            </w:r>
          </w:p>
        </w:tc>
        <w:tc>
          <w:tcPr>
            <w:tcW w:type="dxa" w:w="1440"/>
            <w:shd w:fill="FFDCE0" w:val="clear"/>
          </w:tcPr>
          <w:p>
            <w:r>
              <w:rPr>
                <w:b/>
                <w:sz w:val="17"/>
              </w:rPr>
              <w:t>16,035</w:t>
            </w:r>
          </w:p>
        </w:tc>
        <w:tc>
          <w:tcPr>
            <w:tcW w:type="dxa" w:w="1440"/>
            <w:shd w:fill="FFDCE0" w:val="clear"/>
          </w:tcPr>
          <w:p>
            <w:r>
              <w:rPr>
                <w:sz w:val="17"/>
              </w:rPr>
              <w:t>17,177</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366,70 milliards FCFA, ce qui en fait l'une des plus importantes capitalisations de la BRVM, reflétant la position dominante de Nestlé dans le secteur des biens de consommation en Afrique de l'Ouest. Avec un BPA de 835 FCFA, le titre se négocie à un PER de 19,9x, nettement supérieur à la moyenne historique de la BRVM (8-12x), indiquant que les investisseurs acceptent de payer une prime substantielle pour la qualité et la stabilité des bénéfices de l'entreprise. Le P/B de 12,39x confirme cette prime, le marché valorisant le titre plus de douze fois sa valeur comptable, ce qui reflète des attentes élevées de croissance future et une forte rentabilité des actifs. Enfin, l'EV/EBITDA de 9,8x se situe dans une fourchette raisonnable (5-10x), suggérant que la valorisation globale de l'entreprise, bien que généreuse sur la base des bénéfices comptables, reste cohérente avec sa capacité opérationnelle à générer de la trésorerie.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progression spectaculaire de +27,86%, avec une légère hausse de +0,12% lors de la dernière séance, s'établissant à 16 615 FCFA. Le titre a évolué dans une fourchette de trading très large, allant d'un plus bas de 11 150 FCFA à un plus haut de 16 750 FCFA, démontrant une dynamique haussière puissante. La moyenne du cours sur la période (13 925 FCFA) est nettement supérieure à la médiane (12 995 FCFA), ce qui indique une distribution asymétrique vers le haut, confirmée par un skewness positif de 0,285. L'écart-type de 1 817 FCFA (CV de 13%) révèle une dispersion modérée des prix autour de la moyenne, tandis que le kurtosis négatif (-1,540) signale une distribution platykurtique, c'est-à-dire une absence de pics extrêmes et une faible concentration des variations. La volatilité annualisée de 33,3% classe le titre dans la catégorie des valeurs à forte volatilité, ce qui implique un risque de marché élevé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16 615 FCFA se positionne nettement au-dessus de la MM20 (16 327 FCFA) et de la MM50 (15 514 FCFA), avec un écart croissant qui confirme la vigueur de la tendance haussière. La configuration des moyennes mobiles, avec la MM20 au-dessus de la MM50, génère un signal d'achat classique et robuste, indiquant que le momentum haussier est solidement ancré à moyen terme.</w:t>
      </w:r>
    </w:p>
    <w:p>
      <w:pPr>
        <w:spacing w:after="120" w:line="276" w:lineRule="auto"/>
      </w:pPr>
      <w:r>
        <w:t>**Bandes de Bollinger** : Le prix évolue dans la partie supérieure du canal, à 16 615 FCFA, proche de la borne supérieure (16 941 FCFA) et nettement au-dessus de la borne inférieure (15 714 FCFA). Cette position suggère une pression acheteuse soutenue, mais la proximité de la borne supérieure pourrait indiquer une zone de résistance technique. La décision est neutre, le titre n'étant pas encore en situation de surachat extrême sur cet indicateur.</w:t>
      </w:r>
    </w:p>
    <w:p>
      <w:pPr>
        <w:spacing w:after="120" w:line="276" w:lineRule="auto"/>
      </w:pPr>
      <w:r>
        <w:t>**MACD** : La valeur du MACD (329,545) est inférieure à son signal (373,442), générant un signal de vente à court terme. Cette configuration indique un ralentissement du momentum haussier, les deux lignes évoluant toutefois à des niveaux positifs élevés, ce qui suggère que la tendance de fond reste haussière malgré une possible consolidation à venir.</w:t>
      </w:r>
    </w:p>
    <w:p>
      <w:pPr>
        <w:spacing w:after="120" w:line="276" w:lineRule="auto"/>
      </w:pPr>
      <w:r>
        <w:t>**RSI** : Le RSI à 80,0 est en zone de surachat prononcé (au-delà de 70), signalant que le titre est techniquement surévalué à court terme. Cette situation appelle à la prudence, car elle précède souvent une correction ou une phase de consolidation, même si dans une tendance haussière forte, le RSI peut rester suracheté pendant des périodes prolongées.</w:t>
      </w:r>
    </w:p>
    <w:p>
      <w:pPr>
        <w:spacing w:after="120" w:line="276" w:lineRule="auto"/>
      </w:pPr>
      <w:r>
        <w:t>**Stochastique** : Le %K (82,353) est inférieur au %D (87,364), avec les deux indicateurs en zone de surachat. Le croisement baissier du %K sous le %D renforce le signal de vente, indiquant un essoufflement potentiel de la dynamique haussière à très court terme.</w:t>
      </w:r>
    </w:p>
    <w:p>
      <w:pPr>
        <w:spacing w:after="120" w:line="276" w:lineRule="auto"/>
      </w:pPr>
      <w:r>
        <w:t>**Conclusion technique** : La convergence des signaux de vente sur le MACD, le RSI et le Stochastique, contrastant avec le signal d'achat des moyennes mobiles, suggère un titre en surachat technique. La tendance de fond reste haussière, mais une correction technique ou une phase de consolidation semble probable à court terme pour absorber les gains récents de +27,86%.</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avec un résultat net de 18,43 milliards FCFA, en progression de 1,53%. La rentabilité des fonds propres (ROE) atteint un niveau exceptionnel de 62,28%, tandis que le ROA s'établit à 9,70%, démontrant une utilisation très efficace des actifs. En tant qu'entreprise non bancaire, l'analyse se concentre sur la gestion du BFR, qui s'élève à 22,63 milliards FCFA, et les délais clients de 74,3 jours, qui représentent un risque de trésorerie modéré. Le ratio d'endettement de 135,85% et la dépendance financière de 84,42% indiquent une structure financière fortement endettée, avec une liquidité générale de 79,86% inférieure à 1, signalant un besoin de financement du cycle d'exploitation. Selon le rapport du T1 2026 (daté du 31 mars 2026), le chiffre d'affaires a bondi de 31% à 70,82 milliards FCFA et le résultat net de 37% à 7,53 milliards FCFA, avec une marge nette améliorée à 10,6%. Sur la base de ces performances trimestrielles, on estime que l'exercice 2026 pourrait dépasser 280 milliards FCFA de chiffre d'affaires et 24 milliards FCFA de résultat net, soit une croissance de plus de 20% par rapport à 2025. Le rapport annuel 2025 indique une réduction du dividende proposé à 9,27 milliards FCFA (payout de 50,3%), contre 18,10 milliards en 2024 (payout de 99,7%), signalant une stratégie de réinvestissement des bénéfices. Les rapports de 2024 et S1 2025 montrent une résilience face aux pressions inflationnistes, avec une amélioration de l'EBE de 27% en 2024, mais une contraction du résultat net de 23,5% au S1 2025. La solidité fondamentale de NTLC repose sur sa marque dominante, sa croissance dynamique et sa rentabilité exceptionnelle, malgré des risques liés à l'endettement et aux coûts des matières premières.</w:t>
      </w:r>
    </w:p>
    <w:p>
      <w:pPr>
        <w:spacing w:after="120" w:line="276" w:lineRule="auto"/>
      </w:pPr>
      <w:r>
        <w:t>---</w:t>
      </w:r>
    </w:p>
    <w:p>
      <w:pPr>
        <w:spacing w:after="120" w:line="276" w:lineRule="auto"/>
      </w:pPr>
      <w:r>
        <w:t>### PARTIE 4 : CONCLUSION D'INVESTISSEMENT</w:t>
      </w:r>
    </w:p>
    <w:p>
      <w:pPr>
        <w:spacing w:after="120" w:line="276" w:lineRule="auto"/>
      </w:pPr>
      <w:r>
        <w:t>La valorisation de NTLC, avec un PER de 19,9x et un P/B de 12,39x, indique une prime significative par rapport au marché BRVM, mais celle-ci est justifiée par une rentabilité exceptionnelle (ROE de 62,28%) et des perspectives de croissance soutenues. Le comportement du cours sur 100 jours montre une tendance haussière puissante (+27,86%), mais la volatilité élevée (33,3%) et le kurtosis platykurtique suggèrent un risque de variations brutales. Les signaux techniques sont mitigés : les moyennes mobiles restent haussières, mais le RSI (80), le MACD et le Stochastique indiquent un surachat imminent, laissant présager une consolidation à court terme. Les fondamentaux sont solides, avec une croissance de 31% du CA au T1 2026 et une amélioration de la marge nette à 10,6%, soutenant une estimation de croissance annuelle de plus de 20% pour 2026. Les prédictions IA pour les 10 prochains jours (16 427 à 16 250 FCFA) confirment cette anticipation de consolidation, avec une légère baisse attendue. En synthèse, la convergence entre les signaux techniques de surachat et les prédictions IA suggère une pause dans la hausse, mais les fondamentaux exceptionnels et la dynamique de croissance justifient une vision positive à moyen terme. **Recommandation : ACHAT** avec un niveau de confiance **Moyen**, un risque global **Élevé** (volatilité et valorisation exigeante), et un horizon d'investissement optimal à **moyen terme (3-12 mois)** pour capitaliser sur la croissance attendue après une éventuelle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5,443 titres</w:t>
            </w:r>
          </w:p>
        </w:tc>
        <w:tc>
          <w:tcPr>
            <w:tcW w:type="dxa" w:w="2268"/>
            <w:shd w:fill="FFF2CC" w:val="clear"/>
          </w:tcPr>
          <w:p>
            <w:r>
              <w:rPr>
                <w:b/>
                <w:color w:val="503200"/>
                <w:sz w:val="16"/>
              </w:rPr>
              <w:t xml:space="preserve">Cours actuel : </w:t>
            </w:r>
            <w:r>
              <w:rPr>
                <w:color w:val="000000"/>
                <w:sz w:val="17"/>
              </w:rPr>
              <w:t>2,910 FCFA</w:t>
            </w:r>
          </w:p>
          <w:p>
            <w:r>
              <w:rPr>
                <w:b/>
                <w:color w:val="503200"/>
                <w:sz w:val="16"/>
              </w:rPr>
              <w:t xml:space="preserve">Var. 100 jours : </w:t>
            </w:r>
            <w:r>
              <w:rPr>
                <w:b/>
                <w:color w:val="B40000"/>
                <w:sz w:val="17"/>
              </w:rPr>
              <w:t>-3.64%</w:t>
            </w:r>
          </w:p>
          <w:p>
            <w:r>
              <w:rPr>
                <w:b/>
                <w:color w:val="503200"/>
                <w:sz w:val="16"/>
              </w:rPr>
              <w:t xml:space="preserve">Plus haut 100j : </w:t>
            </w:r>
            <w:r>
              <w:rPr>
                <w:color w:val="000000"/>
                <w:sz w:val="17"/>
              </w:rPr>
              <w:t>3,095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3.48% (Faible) — μ=2,832 FCFA, σ=98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β=0.0428 (Défensif) — Cov=0.000002, Var(idx)=0.000036, ρ=0.012,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591812"/>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2,833</w:t>
            </w:r>
          </w:p>
        </w:tc>
        <w:tc>
          <w:tcPr>
            <w:tcW w:type="dxa" w:w="1440"/>
            <w:shd w:fill="FAFAFA" w:val="clear"/>
          </w:tcPr>
          <w:p>
            <w:r>
              <w:rPr>
                <w:b/>
                <w:sz w:val="17"/>
              </w:rPr>
              <w:t>2,918</w:t>
            </w:r>
          </w:p>
        </w:tc>
        <w:tc>
          <w:tcPr>
            <w:tcW w:type="dxa" w:w="1440"/>
            <w:shd w:fill="FAFAFA" w:val="clear"/>
          </w:tcPr>
          <w:p>
            <w:r>
              <w:rPr>
                <w:sz w:val="17"/>
              </w:rPr>
              <w:t>3,003</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2,789</w:t>
            </w:r>
          </w:p>
        </w:tc>
        <w:tc>
          <w:tcPr>
            <w:tcW w:type="dxa" w:w="1440"/>
            <w:shd w:fill="FAFAFA" w:val="clear"/>
          </w:tcPr>
          <w:p>
            <w:r>
              <w:rPr>
                <w:b/>
                <w:sz w:val="17"/>
              </w:rPr>
              <w:t>2,909</w:t>
            </w:r>
          </w:p>
        </w:tc>
        <w:tc>
          <w:tcPr>
            <w:tcW w:type="dxa" w:w="1440"/>
            <w:shd w:fill="FAFAFA" w:val="clear"/>
          </w:tcPr>
          <w:p>
            <w:r>
              <w:rPr>
                <w:sz w:val="17"/>
              </w:rPr>
              <w:t>3,029</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2,756</w:t>
            </w:r>
          </w:p>
        </w:tc>
        <w:tc>
          <w:tcPr>
            <w:tcW w:type="dxa" w:w="1440"/>
            <w:shd w:fill="FAFAFA" w:val="clear"/>
          </w:tcPr>
          <w:p>
            <w:r>
              <w:rPr>
                <w:b/>
                <w:sz w:val="17"/>
              </w:rPr>
              <w:t>2,903</w:t>
            </w:r>
          </w:p>
        </w:tc>
        <w:tc>
          <w:tcPr>
            <w:tcW w:type="dxa" w:w="1440"/>
            <w:shd w:fill="FAFAFA" w:val="clear"/>
          </w:tcPr>
          <w:p>
            <w:r>
              <w:rPr>
                <w:sz w:val="17"/>
              </w:rPr>
              <w:t>3,049</w:t>
            </w:r>
          </w:p>
        </w:tc>
        <w:tc>
          <w:tcPr>
            <w:tcW w:type="dxa" w:w="1440"/>
            <w:shd w:fill="FAFAFA" w:val="clear"/>
          </w:tcPr>
          <w:p>
            <w:r>
              <w:rPr>
                <w:b/>
                <w:color w:val="C00000"/>
                <w:sz w:val="17"/>
              </w:rPr>
              <w:t>-0.2%</w:t>
            </w:r>
          </w:p>
        </w:tc>
      </w:tr>
      <w:tr>
        <w:tc>
          <w:tcPr>
            <w:tcW w:type="dxa" w:w="1440"/>
            <w:shd w:fill="FAFAFA" w:val="clear"/>
          </w:tcPr>
          <w:p>
            <w:r>
              <w:rPr>
                <w:sz w:val="17"/>
              </w:rPr>
              <w:t>J+4  Moyenne</w:t>
            </w:r>
          </w:p>
        </w:tc>
        <w:tc>
          <w:tcPr>
            <w:tcW w:type="dxa" w:w="1440"/>
            <w:shd w:fill="FAFAFA" w:val="clear"/>
          </w:tcPr>
          <w:p>
            <w:r>
              <w:rPr>
                <w:sz w:val="17"/>
              </w:rPr>
              <w:t>2026-08-14</w:t>
            </w:r>
          </w:p>
        </w:tc>
        <w:tc>
          <w:tcPr>
            <w:tcW w:type="dxa" w:w="1440"/>
            <w:shd w:fill="FAFAFA" w:val="clear"/>
          </w:tcPr>
          <w:p>
            <w:r>
              <w:rPr>
                <w:sz w:val="17"/>
              </w:rPr>
              <w:t>2,728</w:t>
            </w:r>
          </w:p>
        </w:tc>
        <w:tc>
          <w:tcPr>
            <w:tcW w:type="dxa" w:w="1440"/>
            <w:shd w:fill="FAFAFA" w:val="clear"/>
          </w:tcPr>
          <w:p>
            <w:r>
              <w:rPr>
                <w:b/>
                <w:sz w:val="17"/>
              </w:rPr>
              <w:t>2,897</w:t>
            </w:r>
          </w:p>
        </w:tc>
        <w:tc>
          <w:tcPr>
            <w:tcW w:type="dxa" w:w="1440"/>
            <w:shd w:fill="FAFAFA" w:val="clear"/>
          </w:tcPr>
          <w:p>
            <w:r>
              <w:rPr>
                <w:sz w:val="17"/>
              </w:rPr>
              <w:t>3,066</w:t>
            </w:r>
          </w:p>
        </w:tc>
        <w:tc>
          <w:tcPr>
            <w:tcW w:type="dxa" w:w="1440"/>
            <w:shd w:fill="FAFAFA" w:val="clear"/>
          </w:tcPr>
          <w:p>
            <w:r>
              <w:rPr>
                <w:b/>
                <w:color w:val="C00000"/>
                <w:sz w:val="17"/>
              </w:rPr>
              <w:t>-0.5%</w:t>
            </w:r>
          </w:p>
        </w:tc>
      </w:tr>
      <w:tr>
        <w:tc>
          <w:tcPr>
            <w:tcW w:type="dxa" w:w="1440"/>
            <w:shd w:fill="FAFAFA" w:val="clear"/>
          </w:tcPr>
          <w:p>
            <w:r>
              <w:rPr>
                <w:sz w:val="17"/>
              </w:rPr>
              <w:t>J+5  Moyenne</w:t>
            </w:r>
          </w:p>
        </w:tc>
        <w:tc>
          <w:tcPr>
            <w:tcW w:type="dxa" w:w="1440"/>
            <w:shd w:fill="FAFAFA" w:val="clear"/>
          </w:tcPr>
          <w:p>
            <w:r>
              <w:rPr>
                <w:sz w:val="17"/>
              </w:rPr>
              <w:t>2026-08-17</w:t>
            </w:r>
          </w:p>
        </w:tc>
        <w:tc>
          <w:tcPr>
            <w:tcW w:type="dxa" w:w="1440"/>
            <w:shd w:fill="FAFAFA" w:val="clear"/>
          </w:tcPr>
          <w:p>
            <w:r>
              <w:rPr>
                <w:sz w:val="17"/>
              </w:rPr>
              <w:t>2,702</w:t>
            </w:r>
          </w:p>
        </w:tc>
        <w:tc>
          <w:tcPr>
            <w:tcW w:type="dxa" w:w="1440"/>
            <w:shd w:fill="FAFAFA" w:val="clear"/>
          </w:tcPr>
          <w:p>
            <w:r>
              <w:rPr>
                <w:b/>
                <w:sz w:val="17"/>
              </w:rPr>
              <w:t>2,891</w:t>
            </w:r>
          </w:p>
        </w:tc>
        <w:tc>
          <w:tcPr>
            <w:tcW w:type="dxa" w:w="1440"/>
            <w:shd w:fill="FAFAFA" w:val="clear"/>
          </w:tcPr>
          <w:p>
            <w:r>
              <w:rPr>
                <w:sz w:val="17"/>
              </w:rPr>
              <w:t>3,079</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2026-08-18</w:t>
            </w:r>
          </w:p>
        </w:tc>
        <w:tc>
          <w:tcPr>
            <w:tcW w:type="dxa" w:w="1440"/>
            <w:shd w:fill="FAFAFA" w:val="clear"/>
          </w:tcPr>
          <w:p>
            <w:r>
              <w:rPr>
                <w:sz w:val="17"/>
              </w:rPr>
              <w:t>2,679</w:t>
            </w:r>
          </w:p>
        </w:tc>
        <w:tc>
          <w:tcPr>
            <w:tcW w:type="dxa" w:w="1440"/>
            <w:shd w:fill="FAFAFA" w:val="clear"/>
          </w:tcPr>
          <w:p>
            <w:r>
              <w:rPr>
                <w:b/>
                <w:sz w:val="17"/>
              </w:rPr>
              <w:t>2,885</w:t>
            </w:r>
          </w:p>
        </w:tc>
        <w:tc>
          <w:tcPr>
            <w:tcW w:type="dxa" w:w="1440"/>
            <w:shd w:fill="FAFAFA" w:val="clear"/>
          </w:tcPr>
          <w:p>
            <w:r>
              <w:rPr>
                <w:sz w:val="17"/>
              </w:rPr>
              <w:t>3,091</w:t>
            </w:r>
          </w:p>
        </w:tc>
        <w:tc>
          <w:tcPr>
            <w:tcW w:type="dxa" w:w="1440"/>
            <w:shd w:fill="FAFAFA" w:val="clear"/>
          </w:tcPr>
          <w:p>
            <w:r>
              <w:rPr>
                <w:b/>
                <w:color w:val="C00000"/>
                <w:sz w:val="17"/>
              </w:rPr>
              <w:t>-0.9%</w:t>
            </w:r>
          </w:p>
        </w:tc>
      </w:tr>
      <w:tr>
        <w:tc>
          <w:tcPr>
            <w:tcW w:type="dxa" w:w="1440"/>
            <w:shd w:fill="FAFAFA" w:val="clear"/>
          </w:tcPr>
          <w:p>
            <w:r>
              <w:rPr>
                <w:sz w:val="17"/>
              </w:rPr>
              <w:t>J+7  Moyenne</w:t>
            </w:r>
          </w:p>
        </w:tc>
        <w:tc>
          <w:tcPr>
            <w:tcW w:type="dxa" w:w="1440"/>
            <w:shd w:fill="FAFAFA" w:val="clear"/>
          </w:tcPr>
          <w:p>
            <w:r>
              <w:rPr>
                <w:sz w:val="17"/>
              </w:rPr>
              <w:t>2026-08-19</w:t>
            </w:r>
          </w:p>
        </w:tc>
        <w:tc>
          <w:tcPr>
            <w:tcW w:type="dxa" w:w="1440"/>
            <w:shd w:fill="FAFAFA" w:val="clear"/>
          </w:tcPr>
          <w:p>
            <w:r>
              <w:rPr>
                <w:sz w:val="17"/>
              </w:rPr>
              <w:t>2,657</w:t>
            </w:r>
          </w:p>
        </w:tc>
        <w:tc>
          <w:tcPr>
            <w:tcW w:type="dxa" w:w="1440"/>
            <w:shd w:fill="FAFAFA" w:val="clear"/>
          </w:tcPr>
          <w:p>
            <w:r>
              <w:rPr>
                <w:b/>
                <w:sz w:val="17"/>
              </w:rPr>
              <w:t>2,879</w:t>
            </w:r>
          </w:p>
        </w:tc>
        <w:tc>
          <w:tcPr>
            <w:tcW w:type="dxa" w:w="1440"/>
            <w:shd w:fill="FAFAFA" w:val="clear"/>
          </w:tcPr>
          <w:p>
            <w:r>
              <w:rPr>
                <w:sz w:val="17"/>
              </w:rPr>
              <w:t>3,101</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2026-08-20</w:t>
            </w:r>
          </w:p>
        </w:tc>
        <w:tc>
          <w:tcPr>
            <w:tcW w:type="dxa" w:w="1440"/>
            <w:shd w:fill="FAFAFA" w:val="clear"/>
          </w:tcPr>
          <w:p>
            <w:r>
              <w:rPr>
                <w:sz w:val="17"/>
              </w:rPr>
              <w:t>2,636</w:t>
            </w:r>
          </w:p>
        </w:tc>
        <w:tc>
          <w:tcPr>
            <w:tcW w:type="dxa" w:w="1440"/>
            <w:shd w:fill="FAFAFA" w:val="clear"/>
          </w:tcPr>
          <w:p>
            <w:r>
              <w:rPr>
                <w:b/>
                <w:sz w:val="17"/>
              </w:rPr>
              <w:t>2,873</w:t>
            </w:r>
          </w:p>
        </w:tc>
        <w:tc>
          <w:tcPr>
            <w:tcW w:type="dxa" w:w="1440"/>
            <w:shd w:fill="FAFAFA" w:val="clear"/>
          </w:tcPr>
          <w:p>
            <w:r>
              <w:rPr>
                <w:sz w:val="17"/>
              </w:rPr>
              <w:t>3,110</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2026-08-21</w:t>
            </w:r>
          </w:p>
        </w:tc>
        <w:tc>
          <w:tcPr>
            <w:tcW w:type="dxa" w:w="1440"/>
            <w:shd w:fill="FAFAFA" w:val="clear"/>
          </w:tcPr>
          <w:p>
            <w:r>
              <w:rPr>
                <w:sz w:val="17"/>
              </w:rPr>
              <w:t>2,616</w:t>
            </w:r>
          </w:p>
        </w:tc>
        <w:tc>
          <w:tcPr>
            <w:tcW w:type="dxa" w:w="1440"/>
            <w:shd w:fill="FAFAFA" w:val="clear"/>
          </w:tcPr>
          <w:p>
            <w:r>
              <w:rPr>
                <w:b/>
                <w:sz w:val="17"/>
              </w:rPr>
              <w:t>2,867</w:t>
            </w:r>
          </w:p>
        </w:tc>
        <w:tc>
          <w:tcPr>
            <w:tcW w:type="dxa" w:w="1440"/>
            <w:shd w:fill="FAFAFA" w:val="clear"/>
          </w:tcPr>
          <w:p>
            <w:r>
              <w:rPr>
                <w:sz w:val="17"/>
              </w:rPr>
              <w:t>3,118</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2026-08-24</w:t>
            </w:r>
          </w:p>
        </w:tc>
        <w:tc>
          <w:tcPr>
            <w:tcW w:type="dxa" w:w="1440"/>
            <w:shd w:fill="FAFAFA" w:val="clear"/>
          </w:tcPr>
          <w:p>
            <w:r>
              <w:rPr>
                <w:sz w:val="17"/>
              </w:rPr>
              <w:t>2,597</w:t>
            </w:r>
          </w:p>
        </w:tc>
        <w:tc>
          <w:tcPr>
            <w:tcW w:type="dxa" w:w="1440"/>
            <w:shd w:fill="FAFAFA" w:val="clear"/>
          </w:tcPr>
          <w:p>
            <w:r>
              <w:rPr>
                <w:b/>
                <w:sz w:val="17"/>
              </w:rPr>
              <w:t>2,861</w:t>
            </w:r>
          </w:p>
        </w:tc>
        <w:tc>
          <w:tcPr>
            <w:tcW w:type="dxa" w:w="1440"/>
            <w:shd w:fill="FAFAFA" w:val="clear"/>
          </w:tcPr>
          <w:p>
            <w:r>
              <w:rPr>
                <w:sz w:val="17"/>
              </w:rPr>
              <w:t>3,125</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197,88 milliards FCFA, ce qui en fait une valeur de première importance sur la BRVM, représentative du secteur des télécommunications. Avec un BPA de 234 FCFA, le titre se négocie à un PER de 12,5x, légèrement au-dessus de la moyenne historique de la place (~8-12x), ce qui suggère que le marché intègre une prime de croissance ou une certaine résilience. Le P/B de 3,44x confirme cette prime, le marché valorisant l'actif net à plus de trois fois sa valeur comptable, signe de la qualité perçue des actifs et de la rentabilité de l'entreprise. Enfin, un EV/EBITDA de 5,2x est particulièrement raisonnable, indiquant que la valeur totale de l'entreprise (capitalisation + dette) reste modérée par rapport à sa capacité opérationnelle de génération de cash, ce qui offre une marge de sécurité pour l'investisseur.</w:t>
      </w:r>
    </w:p>
    <w:p>
      <w:pPr>
        <w:spacing w:after="120" w:line="276" w:lineRule="auto"/>
      </w:pPr>
      <w:r>
        <w:t>### PARTIE 1 : ANALYSE DU COURS — STATISTIQUES ET ÉVOLUTION (100 derniers jours)</w:t>
      </w:r>
    </w:p>
    <w:p>
      <w:pPr>
        <w:spacing w:after="120" w:line="276" w:lineRule="auto"/>
      </w:pPr>
      <w:r>
        <w:t>Sur les 100 derniers jours, l'action ONTBF affiche une performance négative de -3,64%, avec une dernière séance en baisse de -1,02% à 2 910 FCFA. Le titre a évolué dans un range de trading de 2 610 à 3 095 FCFA, montrant une amplitude de près de 18,5%. La moyenne (2 832 FCFA) et la médiane (2 805 FCFA) sont proches, avec une skewness positive de 0.384, indiquant une distribution relativement symétrique avec une légère queue vers les hauts cours. L'écart-type de 99 FCFA (CV=3,5%) révèle une dispersion très faible autour de la moyenne, et le kurtosis de -0.385 (mésokurtique) confirme l'absence de mouvements extrêmes ou de pics de volatilité. La volatilité annualisée de 33,0% classe le titre dans la catégorie "élevée" (&gt;30%), ce qui est un point d'attention pour les investisseurs, mais cette statistique est à relativiser avec la très faible dispersion quotidienne observée.</w:t>
      </w:r>
    </w:p>
    <w:p>
      <w:pPr>
        <w:spacing w:after="120" w:line="276" w:lineRule="auto"/>
      </w:pPr>
      <w:r>
        <w:t>### PARTIE 2 : ANALYSE TECHNIQUE DÉTAILLÉE</w:t>
      </w:r>
    </w:p>
    <w:p>
      <w:pPr>
        <w:spacing w:after="120" w:line="276" w:lineRule="auto"/>
      </w:pPr>
      <w:r>
        <w:t>**Moyennes Mobiles** : Le cours actuel (2 910 FCFA) se situe au-dessus de sa MM20 (2 812,75 FCFA) et de sa MM50 (2 829,4 FCFA), ce qui est en théorie un signal haussier. Cependant, la décision globale est "Vente", probablement car la tendance de fond sur la période reste baissière et que le cours pourrait être en train de former un sommet. La configuration est donc mitigée, le court terme étant positif mais le moyen terme restant sous pression.</w:t>
      </w:r>
    </w:p>
    <w:p>
      <w:pPr>
        <w:spacing w:after="120" w:line="276" w:lineRule="auto"/>
      </w:pPr>
      <w:r>
        <w:t>**Bandes de Bollinger** : Le prix se situe à 2 910 FCFA, entre la borne supérieure (3 033,29 FCFA) et la borne inférieure (2 592,21 FCFA), mais plus proche de la borne supérieure. La décision "Neutre" est cohérente avec une position dans la partie haute du canal, indiquant une pression acheteuse modérée sans surachat extrême. La largeur des bandes suggère une volatilité qui, bien que présente, n'est pas excessive.</w:t>
      </w:r>
    </w:p>
    <w:p>
      <w:pPr>
        <w:spacing w:after="120" w:line="276" w:lineRule="auto"/>
      </w:pPr>
      <w:r>
        <w:t>**MACD** : Le MACD (43,6) est nettement au-dessus de son signal (25,26), ce qui est un signal d'achat fort. Cette configuration indique un momentum haussier positif et une accélération de la dynamique des prix. La décision "Achat" est justifiée par cette divergence positive, qui suggère que la pression acheteuse pourrait se poursuivre à court terme.</w:t>
      </w:r>
    </w:p>
    <w:p>
      <w:pPr>
        <w:spacing w:after="120" w:line="276" w:lineRule="auto"/>
      </w:pPr>
      <w:r>
        <w:t>**RSI** : Avec une valeur de 69,42, le RSI est en zone neutre-haute, proche du seuil de surachat (70). La décision "Neutre" est appropriée. Cela signifie que le titre a connu une forte progression récente, mais qu'il n'est pas encore en situation de surachat extrême. Les investisseurs doivent être vigilants à une possible consolidation si le RSI dépasse les 70.</w:t>
      </w:r>
    </w:p>
    <w:p>
      <w:pPr>
        <w:spacing w:after="120" w:line="276" w:lineRule="auto"/>
      </w:pPr>
      <w:r>
        <w:t>**Stochastique** : Le %K (66,0) est inférieur au %D (81,9), ce qui indique un croisement baissier potentiel à court terme. Bien que les deux lignes soient en zone élevée, le %K qui passe sous le %D est un signal de retournement ou de ralentissement du momentum. La décision "Neutre" est donc logique, car le marché semble perdre de la vigueur après une phase de hausse.</w:t>
      </w:r>
    </w:p>
    <w:p>
      <w:pPr>
        <w:spacing w:after="120" w:line="276" w:lineRule="auto"/>
      </w:pPr>
      <w:r>
        <w:t>**Conclusion technique** : Les indicateurs sont mitigés. Le MACD est clairement haussier, mais le RSI est proche du surachat et le Stochastique montre des signes de faiblesse. Les moyennes mobiles sont contradictoires. Le titre semble dans une phase de consolidation après une hausse, avec un biais haussier à court terme mais des signaux de prudence à moyen terme. La prudence est de mise.</w:t>
      </w:r>
    </w:p>
    <w:p>
      <w:pPr>
        <w:spacing w:after="120" w:line="276" w:lineRule="auto"/>
      </w:pPr>
      <w:r>
        <w:t>### PARTIE 3 : ANALYSE FONDAMENTALE (SECTION CRITIQUE)</w:t>
      </w:r>
    </w:p>
    <w:p>
      <w:pPr>
        <w:spacing w:after="120" w:line="276" w:lineRule="auto"/>
      </w:pPr>
      <w:r>
        <w:t>En 2025, l'ONTBF (ONATEL-SA) affiche un chiffre d'affaires de 146,18 milliards FCFA, en hausse de 3,1%, mais son résultat net chute de 26% à 15,89 milliards FCFA, impacté par des charges opérationnelles et exceptionnelles élevées (indemnités, coûts énergétiques, maintenance en zones sécuritaires). Cette baisse de rentabilité se reflète dans la marge nette (10,9%) et le ROE (27,6%), qui reste excellent mais en recul. Le coefficient d'exploitation de 67,1% est un point de vigilance, indiquant une moins bonne maîtrise des charges. Les rapports trimestriels 2025 (T1, S1, 9M) confirment cette tendance : croissance du CA modeste mais érosion continue des marges (EBITDA passant de 47% à 39,3% sur 9 mois). Le rapport du T1 2026 (daté de 2026) montre une stabilisation avec une marge EBITDA maintenue à 41,3%, mais le résultat net continue de baisser. La structure financière reste solide avec des capitaux propres de 57,5 milliards FCFA et une trésorerie nette positive de 10,6 milliards FCFA, mais l'endettement est en hausse pour financer un lourd programme d'investissements (Capex de 45 milliards FCFA). La politique de dividende reste généreuse (166 FCFA par action proposé pour 2025), soutenue par une forte capacité d'autofinancement (46,9 milliards FCFA).</w:t>
      </w:r>
    </w:p>
    <w:p>
      <w:pPr>
        <w:spacing w:after="120" w:line="276" w:lineRule="auto"/>
      </w:pPr>
      <w:r>
        <w:t>### PARTIE 4 : CONCLUSION D'INVESTISSEMENT</w:t>
      </w:r>
    </w:p>
    <w:p>
      <w:pPr>
        <w:spacing w:after="120" w:line="276" w:lineRule="auto"/>
      </w:pPr>
      <w:r>
        <w:t>La valorisation d'ONTBF (PER 12,5x, P/B 3,44x) est correcte, sans être bon marché, mais l'EV/EBITDA de 5,2x est attractif. Le comportement du cours sur 100 jours est stable avec une faible dispersion, mais la volatilité annualisée est élevée et la tendance est légèrement baissière. Les signaux techniques sont mitigés, avec un MACD haussier contredit par un RSI proche du surachat et un Stochastique en perte de vitesse. Les fondamentaux montrent une entreprise solide et rentable, mais confrontée à une dégradation de ses marges due à un environnement opérationnel difficile (sécurité, énergie). Les prédictions IA pour les 10 prochains jours (2 918 à 2 891 FCFA) suggèrent une légère baisse, en ligne avec la tendance récente. En synthèse, la convergence des signaux est faible : la valorisation est correcte, la technique est neutre, et les fondamentaux, bien que solides, sont en voie de dégradation. Nous recommandons donc de **CONSERVER** le titre. Le niveau de confiance est **Moyen**, le risque global est **Élevé** (contexte sécuritaire et pression sur les marges). L'horizon d'investissement optimal est le **moyen terme (3-12 mois)**, en attendant de voir si la stratégie de reconquête du leadership annoncée pour 2026 portera ses fruits et permettra d'inverser la tendance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2561.14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2,290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+11.11%</w:t>
            </w:r>
          </w:p>
          <w:p>
            <w:r>
              <w:rPr>
                <w:b/>
                <w:color w:val="503200"/>
                <w:sz w:val="16"/>
              </w:rPr>
              <w:t xml:space="preserve">Plus haut 100j : </w:t>
            </w:r>
            <w:r>
              <w:rPr>
                <w:color w:val="000000"/>
                <w:sz w:val="17"/>
              </w:rPr>
              <w:t>17,175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18.1/100 → Faible</w:t>
      </w:r>
    </w:p>
    <w:p>
      <w:pPr>
        <w:spacing w:before="40" w:after="80"/>
      </w:pPr>
      <w:r>
        <w:rPr>
          <w:rFonts w:ascii="Courier New" w:hAnsi="Courier New"/>
          <w:color w:val="006400"/>
          <w:sz w:val="18"/>
        </w:rPr>
        <w:t>███░░░░░░░░░░░░░░░░░  18.1/100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4.79% (Faible) — μ=15,732 FCFA, σ=754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β=1.3779 (Agressif) — Cov=0.000050, Var(idx)=0.000036, ρ=0.435,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2,290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87289"/>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2026-08-11</w:t>
            </w:r>
          </w:p>
        </w:tc>
        <w:tc>
          <w:tcPr>
            <w:tcW w:type="dxa" w:w="1440"/>
            <w:shd w:fill="FAFAFA" w:val="clear"/>
          </w:tcPr>
          <w:p>
            <w:r>
              <w:rPr>
                <w:sz w:val="17"/>
              </w:rPr>
              <w:t>16,551</w:t>
            </w:r>
          </w:p>
        </w:tc>
        <w:tc>
          <w:tcPr>
            <w:tcW w:type="dxa" w:w="1440"/>
            <w:shd w:fill="FAFAFA" w:val="clear"/>
          </w:tcPr>
          <w:p>
            <w:r>
              <w:rPr>
                <w:b/>
                <w:sz w:val="17"/>
              </w:rPr>
              <w:t>16,992</w:t>
            </w:r>
          </w:p>
        </w:tc>
        <w:tc>
          <w:tcPr>
            <w:tcW w:type="dxa" w:w="1440"/>
            <w:shd w:fill="FAFAFA" w:val="clear"/>
          </w:tcPr>
          <w:p>
            <w:r>
              <w:rPr>
                <w:sz w:val="17"/>
              </w:rPr>
              <w:t>17,433</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2026-08-12</w:t>
            </w:r>
          </w:p>
        </w:tc>
        <w:tc>
          <w:tcPr>
            <w:tcW w:type="dxa" w:w="1440"/>
            <w:shd w:fill="FAFAFA" w:val="clear"/>
          </w:tcPr>
          <w:p>
            <w:r>
              <w:rPr>
                <w:sz w:val="17"/>
              </w:rPr>
              <w:t>16,339</w:t>
            </w:r>
          </w:p>
        </w:tc>
        <w:tc>
          <w:tcPr>
            <w:tcW w:type="dxa" w:w="1440"/>
            <w:shd w:fill="FAFAFA" w:val="clear"/>
          </w:tcPr>
          <w:p>
            <w:r>
              <w:rPr>
                <w:b/>
                <w:sz w:val="17"/>
              </w:rPr>
              <w:t>16,961</w:t>
            </w:r>
          </w:p>
        </w:tc>
        <w:tc>
          <w:tcPr>
            <w:tcW w:type="dxa" w:w="1440"/>
            <w:shd w:fill="FAFAFA" w:val="clear"/>
          </w:tcPr>
          <w:p>
            <w:r>
              <w:rPr>
                <w:sz w:val="17"/>
              </w:rPr>
              <w:t>17,583</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16,168</w:t>
            </w:r>
          </w:p>
        </w:tc>
        <w:tc>
          <w:tcPr>
            <w:tcW w:type="dxa" w:w="1440"/>
            <w:shd w:fill="FAFAFA" w:val="clear"/>
          </w:tcPr>
          <w:p>
            <w:r>
              <w:rPr>
                <w:b/>
                <w:sz w:val="17"/>
              </w:rPr>
              <w:t>16,928</w:t>
            </w:r>
          </w:p>
        </w:tc>
        <w:tc>
          <w:tcPr>
            <w:tcW w:type="dxa" w:w="1440"/>
            <w:shd w:fill="FAFAFA" w:val="clear"/>
          </w:tcPr>
          <w:p>
            <w:r>
              <w:rPr>
                <w:sz w:val="17"/>
              </w:rPr>
              <w:t>17,689</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2026-08-14</w:t>
            </w:r>
          </w:p>
        </w:tc>
        <w:tc>
          <w:tcPr>
            <w:tcW w:type="dxa" w:w="1440"/>
            <w:shd w:fill="FAFAFA" w:val="clear"/>
          </w:tcPr>
          <w:p>
            <w:r>
              <w:rPr>
                <w:sz w:val="17"/>
              </w:rPr>
              <w:t>16,019</w:t>
            </w:r>
          </w:p>
        </w:tc>
        <w:tc>
          <w:tcPr>
            <w:tcW w:type="dxa" w:w="1440"/>
            <w:shd w:fill="FAFAFA" w:val="clear"/>
          </w:tcPr>
          <w:p>
            <w:r>
              <w:rPr>
                <w:b/>
                <w:sz w:val="17"/>
              </w:rPr>
              <w:t>16,896</w:t>
            </w:r>
          </w:p>
        </w:tc>
        <w:tc>
          <w:tcPr>
            <w:tcW w:type="dxa" w:w="1440"/>
            <w:shd w:fill="FAFAFA" w:val="clear"/>
          </w:tcPr>
          <w:p>
            <w:r>
              <w:rPr>
                <w:sz w:val="17"/>
              </w:rPr>
              <w:t>17,772</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2026-08-17</w:t>
            </w:r>
          </w:p>
        </w:tc>
        <w:tc>
          <w:tcPr>
            <w:tcW w:type="dxa" w:w="1440"/>
            <w:shd w:fill="FAFAFA" w:val="clear"/>
          </w:tcPr>
          <w:p>
            <w:r>
              <w:rPr>
                <w:sz w:val="17"/>
              </w:rPr>
              <w:t>15,885</w:t>
            </w:r>
          </w:p>
        </w:tc>
        <w:tc>
          <w:tcPr>
            <w:tcW w:type="dxa" w:w="1440"/>
            <w:shd w:fill="FAFAFA" w:val="clear"/>
          </w:tcPr>
          <w:p>
            <w:r>
              <w:rPr>
                <w:b/>
                <w:sz w:val="17"/>
              </w:rPr>
              <w:t>16,863</w:t>
            </w:r>
          </w:p>
        </w:tc>
        <w:tc>
          <w:tcPr>
            <w:tcW w:type="dxa" w:w="1440"/>
            <w:shd w:fill="FAFAFA" w:val="clear"/>
          </w:tcPr>
          <w:p>
            <w:r>
              <w:rPr>
                <w:sz w:val="17"/>
              </w:rPr>
              <w:t>17,842</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2026-08-18</w:t>
            </w:r>
          </w:p>
        </w:tc>
        <w:tc>
          <w:tcPr>
            <w:tcW w:type="dxa" w:w="1440"/>
            <w:shd w:fill="FAFAFA" w:val="clear"/>
          </w:tcPr>
          <w:p>
            <w:r>
              <w:rPr>
                <w:sz w:val="17"/>
              </w:rPr>
              <w:t>15,762</w:t>
            </w:r>
          </w:p>
        </w:tc>
        <w:tc>
          <w:tcPr>
            <w:tcW w:type="dxa" w:w="1440"/>
            <w:shd w:fill="FAFAFA" w:val="clear"/>
          </w:tcPr>
          <w:p>
            <w:r>
              <w:rPr>
                <w:b/>
                <w:sz w:val="17"/>
              </w:rPr>
              <w:t>16,832</w:t>
            </w:r>
          </w:p>
        </w:tc>
        <w:tc>
          <w:tcPr>
            <w:tcW w:type="dxa" w:w="1440"/>
            <w:shd w:fill="FAFAFA" w:val="clear"/>
          </w:tcPr>
          <w:p>
            <w:r>
              <w:rPr>
                <w:sz w:val="17"/>
              </w:rPr>
              <w:t>17,901</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2026-08-19</w:t>
            </w:r>
          </w:p>
        </w:tc>
        <w:tc>
          <w:tcPr>
            <w:tcW w:type="dxa" w:w="1440"/>
            <w:shd w:fill="FAFAFA" w:val="clear"/>
          </w:tcPr>
          <w:p>
            <w:r>
              <w:rPr>
                <w:sz w:val="17"/>
              </w:rPr>
              <w:t>15,648</w:t>
            </w:r>
          </w:p>
        </w:tc>
        <w:tc>
          <w:tcPr>
            <w:tcW w:type="dxa" w:w="1440"/>
            <w:shd w:fill="FAFAFA" w:val="clear"/>
          </w:tcPr>
          <w:p>
            <w:r>
              <w:rPr>
                <w:b/>
                <w:sz w:val="17"/>
              </w:rPr>
              <w:t>16,801</w:t>
            </w:r>
          </w:p>
        </w:tc>
        <w:tc>
          <w:tcPr>
            <w:tcW w:type="dxa" w:w="1440"/>
            <w:shd w:fill="FAFAFA" w:val="clear"/>
          </w:tcPr>
          <w:p>
            <w:r>
              <w:rPr>
                <w:sz w:val="17"/>
              </w:rPr>
              <w:t>17,954</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2026-08-20</w:t>
            </w:r>
          </w:p>
        </w:tc>
        <w:tc>
          <w:tcPr>
            <w:tcW w:type="dxa" w:w="1440"/>
            <w:shd w:fill="FAFAFA" w:val="clear"/>
          </w:tcPr>
          <w:p>
            <w:r>
              <w:rPr>
                <w:sz w:val="17"/>
              </w:rPr>
              <w:t>15,540</w:t>
            </w:r>
          </w:p>
        </w:tc>
        <w:tc>
          <w:tcPr>
            <w:tcW w:type="dxa" w:w="1440"/>
            <w:shd w:fill="FAFAFA" w:val="clear"/>
          </w:tcPr>
          <w:p>
            <w:r>
              <w:rPr>
                <w:b/>
                <w:sz w:val="17"/>
              </w:rPr>
              <w:t>16,770</w:t>
            </w:r>
          </w:p>
        </w:tc>
        <w:tc>
          <w:tcPr>
            <w:tcW w:type="dxa" w:w="1440"/>
            <w:shd w:fill="FAFAFA" w:val="clear"/>
          </w:tcPr>
          <w:p>
            <w:r>
              <w:rPr>
                <w:sz w:val="17"/>
              </w:rPr>
              <w:t>18,001</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2026-08-21</w:t>
            </w:r>
          </w:p>
        </w:tc>
        <w:tc>
          <w:tcPr>
            <w:tcW w:type="dxa" w:w="1440"/>
            <w:shd w:fill="FAFAFA" w:val="clear"/>
          </w:tcPr>
          <w:p>
            <w:r>
              <w:rPr>
                <w:sz w:val="17"/>
              </w:rPr>
              <w:t>15,438</w:t>
            </w:r>
          </w:p>
        </w:tc>
        <w:tc>
          <w:tcPr>
            <w:tcW w:type="dxa" w:w="1440"/>
            <w:shd w:fill="FAFAFA" w:val="clear"/>
          </w:tcPr>
          <w:p>
            <w:r>
              <w:rPr>
                <w:b/>
                <w:sz w:val="17"/>
              </w:rPr>
              <w:t>16,740</w:t>
            </w:r>
          </w:p>
        </w:tc>
        <w:tc>
          <w:tcPr>
            <w:tcW w:type="dxa" w:w="1440"/>
            <w:shd w:fill="FAFAFA" w:val="clear"/>
          </w:tcPr>
          <w:p>
            <w:r>
              <w:rPr>
                <w:sz w:val="17"/>
              </w:rPr>
              <w:t>18,043</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2026-08-24</w:t>
            </w:r>
          </w:p>
        </w:tc>
        <w:tc>
          <w:tcPr>
            <w:tcW w:type="dxa" w:w="1440"/>
            <w:shd w:fill="FAFAFA" w:val="clear"/>
          </w:tcPr>
          <w:p>
            <w:r>
              <w:rPr>
                <w:sz w:val="17"/>
              </w:rPr>
              <w:t>15,340</w:t>
            </w:r>
          </w:p>
        </w:tc>
        <w:tc>
          <w:tcPr>
            <w:tcW w:type="dxa" w:w="1440"/>
            <w:shd w:fill="FAFAFA" w:val="clear"/>
          </w:tcPr>
          <w:p>
            <w:r>
              <w:rPr>
                <w:b/>
                <w:sz w:val="17"/>
              </w:rPr>
              <w:t>16,711</w:t>
            </w:r>
          </w:p>
        </w:tc>
        <w:tc>
          <w:tcPr>
            <w:tcW w:type="dxa" w:w="1440"/>
            <w:shd w:fill="FAFAFA" w:val="clear"/>
          </w:tcPr>
          <w:p>
            <w:r>
              <w:rPr>
                <w:sz w:val="17"/>
              </w:rPr>
              <w:t>18,082</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2 561,14 milliards FCFA, ce qui en fait l'une des plus importantes de la BRVM, représentant une part significative de la capitalisation totale du marché régional. Avec un BPA de 1 114 FCFA, chaque action génère un bénéfice substantiel, justifiant un PER de 15,3x, supérieur à la moyenne historique de la BRVM (8-12x), ce qui indique que les investisseurs acceptent de payer une prime pour la qualité et la croissance de l'entreprise. Le P/B de 3,62x confirme cette prime de valorisation, le marché évaluant le titre nettement au-dessus de sa valeur comptable, reflétant la confiance dans la création de valeur future. Enfin, l'EV/EBITDA de 6,2x reste dans une zone raisonnable (5-10x), suggérant que la valorisation globale de l'entreprise, dette incluse, demeure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totale de +11,11%, passant d'un plus bas de 14 200 FCFA à un plus haut de 17 175 FCFA, avec un cours actuel de 17 000 FCFA, bien que la dernière séance ait affiché un léger repli de -1,02%. La tendance générale est clairement haussière, soutenue par des fondamentaux solides et une confiance accrue des investisseurs. Les statistiques descriptives révèlent une distribution relativement symétrique (skewness de 0,181) avec une moyenne (15 732 FCFA) et une médiane (15 702 FCFA) très proches, indiquant une absence de distorsion majeure. L'écart-type de 758 FCFA, avec un coefficient de variation de 4,8%, témoigne d'une dispersion modérée autour de la moyenne. Le kurtosis négatif de -1,141 (platykurtique) suggère une distribution aplatie avec moins de valeurs extrêmes que la normale, réduisant le risque de mouvements brutaux imprévus. La volatilité annualisée de 30,0% positionne le titre dans la catégorie élevée, reflétant des fluctuations de prix notables sur la période.</w:t>
      </w:r>
    </w:p>
    <w:p>
      <w:pPr>
        <w:spacing w:after="120" w:line="276" w:lineRule="auto" w:before="240"/>
      </w:pPr>
      <w:r>
        <w:rPr>
          <w:b/>
          <w:color w:val="003366"/>
          <w:sz w:val="24"/>
        </w:rPr>
        <w:t>**PARTIE 2 : ANALYSE TECHNIQUE DÉTAILLÉE**</w:t>
      </w:r>
    </w:p>
    <w:p>
      <w:pPr>
        <w:spacing w:after="120" w:line="276" w:lineRule="auto"/>
      </w:pPr>
      <w:r>
        <w:t>**Moyennes Mobiles** : La MM20 (16 538,5 FCFA) et la MM50 (16 371,8 FCFA) sont toutes deux inférieures au cours actuel de 17 000 FCFA, confirmant une configuration haussière. La MM20 étant au-dessus de la MM50, la tendance de court terme est plus forte que la tendance de moyen terme, ce qui valide la dynamique positive. La décision d'achat est justifiée par cette structure de moyennes mobiles favorable, le prix évoluant au-dessus de ses supports dynamiques.</w:t>
      </w:r>
    </w:p>
    <w:p>
      <w:pPr>
        <w:spacing w:after="120" w:line="276" w:lineRule="auto"/>
      </w:pPr>
      <w:r>
        <w:t>**Bandes de Bollinger** : Le cours se situe à 17 000 FCFA, proche de la borne supérieure (17 444,57 FCFA) mais en dessous de celle-ci, indiquant une pression acheteuse soutenue sans atteindre des conditions de surachat extrême. La largeur des bandes (écart de 1 812 FCFA entre les bornes) reflète une volatilité modérée. La décision neutre s'explique par la position du prix dans la moitié supérieure des bandes, suggérant une poursuite possible de la tendance mais avec une prudence accrue à l'approche de la résistance.</w:t>
      </w:r>
    </w:p>
    <w:p>
      <w:pPr>
        <w:spacing w:after="120" w:line="276" w:lineRule="auto"/>
      </w:pPr>
      <w:r>
        <w:t>**MACD** : La valeur du MACD (237,34) est nettement supérieure à son signal (182,17), avec un écart positif de 55 points, indiquant un momentum haussier solide et une accélération de la tendance. La décision d'achat est confortée par cette configuration, le MACD évoluant au-dessus de sa ligne de signal, ce qui est un signal classique de poursuite du mouvement haussier.</w:t>
      </w:r>
    </w:p>
    <w:p>
      <w:pPr>
        <w:spacing w:after="120" w:line="276" w:lineRule="auto"/>
      </w:pPr>
      <w:r>
        <w:t>**RSI** : Le RSI s'établit à 78,33, dépassant largement le seuil de surachat fixé à 70. Cette valeur indique que le titre est techniquement survendu à la hausse, avec une pression acheteuse excessive qui pourrait conduire à un essoufflement ou un repli technique à court terme. La décision de vente est donc justifiée par ce niveau extrême, suggérant une prudence pour les nouveaux achats et une possible prise de bénéfices.</w:t>
      </w:r>
    </w:p>
    <w:p>
      <w:pPr>
        <w:spacing w:after="120" w:line="276" w:lineRule="auto"/>
      </w:pPr>
      <w:r>
        <w:t>**Stochastique** : Le %K (85,11) et le %D (95,04) évoluent tous deux en zone de surachat (&gt;80), avec un %D supérieur au %K, indiquant une possible divergence baissière à venir. Cette configuration signale que le mouvement haussier est arrivé à maturité et qu'un retournement pourrait se produire. La décision de vente est cohérente avec ces niveaux extrêmes, appelant à la vigilance.</w:t>
      </w:r>
    </w:p>
    <w:p>
      <w:pPr>
        <w:spacing w:after="120" w:line="276" w:lineRule="auto"/>
      </w:pPr>
      <w:r>
        <w:t>**Conclusion technique** : Les indicateurs de tendance (MM, MACD) sont résolument haussiers, mais les oscillateurs de momentum (RSI, Stochastique) signalent des conditions de surachat prononcées. Cette divergence entre la tendance et le momentum suggère qu'un repli technique est probable à court terme, mais la tendance de fond reste positive. Les investisseurs devraient surveiller une consolidation autour des 16 500-17 000 FCFA avant une éventuelle reprise.</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(1 084,1 milliards FCFA), avec un résultat net consolidé de 167,8 milliards FCFA (+6,1%) et un résultat net part du groupe de 129,1 milliards FCFA (+14,5%). La rentabilité demeure solide avec un ROE de 23,7% (excellent, &gt;15%), un ROA de 6,6%, une marge nette de 14,0% et une marge opérationnelle de 24,0%. La structure financière montre une autonomie financière de 27,7% (légèrement sous le seuil de 30%), une solvabilité générale de 138,3% et une capacité de remboursement rapide (0,99 an). Le BFR négatif de -198 milliards FCFA est un signe favorable, indiquant que l'entreprise finance son cycle d'exploitation par ses fournisseurs (délai fournisseurs de 210,9 jours contre 52,3 jours pour les clients). Les rapports trimestriels montrent une accélération en 2026 : le T1 2026 affiche un CA de 325,6 milliards FCFA (+14,8%) et un résultat net de 48,3 milliards FCFA (+25,2%), suggérant une amélioration significative de la rentabilité. Sur la base de ces données, on estime que l'exercice 2026 pourrait dépasser 1 350 milliards FCFA de CA et 190 milliards FCFA de résultat net, confirmant la dynamique positive. Le dividende proposé de 800 FCFA brut par action (rapport annuel 2025, approuvé à l'AG du 29 avril 2026) offre un rendement de 4,7% au cours actuel. Les risques identifiés incluent la pression fiscale et réglementaire, la concurrence accrue et les tensions sécuritaires au Burkina Faso, mais la solidité financière et les perspectives de croissance soutiennent une recommandation d'achat.</w:t>
      </w:r>
    </w:p>
    <w:p>
      <w:pPr>
        <w:spacing w:after="120" w:line="276" w:lineRule="auto" w:before="240"/>
      </w:pPr>
      <w:r>
        <w:rPr>
          <w:b/>
          <w:color w:val="003366"/>
          <w:sz w:val="24"/>
        </w:rPr>
        <w:t>**PARTIE 4 : CONCLUSION D'INVESTISSEMENT**</w:t>
      </w:r>
    </w:p>
    <w:p>
      <w:pPr>
        <w:spacing w:after="120" w:line="276" w:lineRule="auto"/>
      </w:pPr>
      <w:r>
        <w:t>La valorisation d'ORAC (PER de 15,3x, P/B de 3,62x, EV/EBITDA de 6,2x) reflète une prime de qualité justifiée par la solidité des fondamentaux et la croissance soutenue, bien que le PER soit supérieur à la moyenne BRVM. Le comportement du cours sur 100 jours (+11,11%) avec une volatilité élevée (30%) et une distribution symétrique (skewness 0,181, kurtosis -1,141) indique une tendance haussière stable sans extrêmes excessifs. Les signaux techniques sont mitigés : les moyennes mobiles et le MACD sont positifs, mais le RSI (78,3) et le Stochastique (85,1/95,0) en zone de surachat suggèrent un repli technique imminent. Les fondamentaux sont excellents avec un ROE de 23,7%, une croissance du CA de +10,4% en 2025 et une accélération au T1 2026 (+14,8% CA, +25,2% résultat net), soutenant des perspectives favorables. Les prédictions IA (17 000 à 16 863 FCFA sur 10 jours) confirment une légère consolidation à court terme, cohérente avec les signaux de surachat technique. En synthèse, la convergence entre fondamentaux solides et tendance haussière de fond, tempérée par des signaux techniques de court terme, conduit à une recommandation **ACHAT** avec un niveau de confiance **Élevé** et un risque global **Moyen**. L'horizon d'investissement optimal est le **moyen terme (3-12 mois)**, permettant de capitaliser sur la croissance des bénéfices et l'amélioration de la rentabilité, tout en absorbant les fluctuations techniques à court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215.88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6,723 titres</w:t>
            </w:r>
          </w:p>
        </w:tc>
        <w:tc>
          <w:tcPr>
            <w:tcW w:type="dxa" w:w="2268"/>
            <w:shd w:fill="FFF2CC" w:val="clear"/>
          </w:tcPr>
          <w:p>
            <w:r>
              <w:rPr>
                <w:b/>
                <w:color w:val="503200"/>
                <w:sz w:val="16"/>
              </w:rPr>
              <w:t xml:space="preserve">Cours actuel : </w:t>
            </w:r>
            <w:r>
              <w:rPr>
                <w:color w:val="000000"/>
                <w:sz w:val="17"/>
              </w:rPr>
              <w:t>3,110 FCFA</w:t>
            </w:r>
          </w:p>
          <w:p>
            <w:r>
              <w:rPr>
                <w:b/>
                <w:color w:val="503200"/>
                <w:sz w:val="16"/>
              </w:rPr>
              <w:t xml:space="preserve">Var. 100 jours : </w:t>
            </w:r>
            <w:r>
              <w:rPr>
                <w:b/>
                <w:color w:val="B40000"/>
                <w:sz w:val="17"/>
              </w:rPr>
              <w:t>-18.48%</w:t>
            </w:r>
          </w:p>
          <w:p>
            <w:r>
              <w:rPr>
                <w:b/>
                <w:color w:val="503200"/>
                <w:sz w:val="16"/>
              </w:rPr>
              <w:t xml:space="preserve">Plus haut 100j : </w:t>
            </w:r>
            <w:r>
              <w:rPr>
                <w:color w:val="000000"/>
                <w:sz w:val="17"/>
              </w:rPr>
              <w:t>3,995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13.74% (Moyenne) — μ=3,018 FCFA, σ=415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β=0.2011 (Défensif) — Cov=0.000007, Var(idx)=0.000036, ρ=0.042,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3,011</w:t>
            </w:r>
          </w:p>
        </w:tc>
        <w:tc>
          <w:tcPr>
            <w:tcW w:type="dxa" w:w="1440"/>
            <w:shd w:fill="FAFAFA" w:val="clear"/>
          </w:tcPr>
          <w:p>
            <w:r>
              <w:rPr>
                <w:b/>
                <w:sz w:val="17"/>
              </w:rPr>
              <w:t>3,104</w:t>
            </w:r>
          </w:p>
        </w:tc>
        <w:tc>
          <w:tcPr>
            <w:tcW w:type="dxa" w:w="1440"/>
            <w:shd w:fill="FAFAFA" w:val="clear"/>
          </w:tcPr>
          <w:p>
            <w:r>
              <w:rPr>
                <w:sz w:val="17"/>
              </w:rPr>
              <w:t>3,197</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2,969</w:t>
            </w:r>
          </w:p>
        </w:tc>
        <w:tc>
          <w:tcPr>
            <w:tcW w:type="dxa" w:w="1440"/>
            <w:shd w:fill="FAFAFA" w:val="clear"/>
          </w:tcPr>
          <w:p>
            <w:r>
              <w:rPr>
                <w:b/>
                <w:sz w:val="17"/>
              </w:rPr>
              <w:t>3,099</w:t>
            </w:r>
          </w:p>
        </w:tc>
        <w:tc>
          <w:tcPr>
            <w:tcW w:type="dxa" w:w="1440"/>
            <w:shd w:fill="FAFAFA" w:val="clear"/>
          </w:tcPr>
          <w:p>
            <w:r>
              <w:rPr>
                <w:sz w:val="17"/>
              </w:rPr>
              <w:t>3,230</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2,936</w:t>
            </w:r>
          </w:p>
        </w:tc>
        <w:tc>
          <w:tcPr>
            <w:tcW w:type="dxa" w:w="1440"/>
            <w:shd w:fill="FAFAFA" w:val="clear"/>
          </w:tcPr>
          <w:p>
            <w:r>
              <w:rPr>
                <w:b/>
                <w:sz w:val="17"/>
              </w:rPr>
              <w:t>3,096</w:t>
            </w:r>
          </w:p>
        </w:tc>
        <w:tc>
          <w:tcPr>
            <w:tcW w:type="dxa" w:w="1440"/>
            <w:shd w:fill="FAFAFA" w:val="clear"/>
          </w:tcPr>
          <w:p>
            <w:r>
              <w:rPr>
                <w:sz w:val="17"/>
              </w:rPr>
              <w:t>3,256</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2026-08-14</w:t>
            </w:r>
          </w:p>
        </w:tc>
        <w:tc>
          <w:tcPr>
            <w:tcW w:type="dxa" w:w="1440"/>
            <w:shd w:fill="FAFAFA" w:val="clear"/>
          </w:tcPr>
          <w:p>
            <w:r>
              <w:rPr>
                <w:sz w:val="17"/>
              </w:rPr>
              <w:t>2,908</w:t>
            </w:r>
          </w:p>
        </w:tc>
        <w:tc>
          <w:tcPr>
            <w:tcW w:type="dxa" w:w="1440"/>
            <w:shd w:fill="FAFAFA" w:val="clear"/>
          </w:tcPr>
          <w:p>
            <w:r>
              <w:rPr>
                <w:b/>
                <w:sz w:val="17"/>
              </w:rPr>
              <w:t>3,092</w:t>
            </w:r>
          </w:p>
        </w:tc>
        <w:tc>
          <w:tcPr>
            <w:tcW w:type="dxa" w:w="1440"/>
            <w:shd w:fill="FAFAFA" w:val="clear"/>
          </w:tcPr>
          <w:p>
            <w:r>
              <w:rPr>
                <w:sz w:val="17"/>
              </w:rPr>
              <w:t>3,277</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2026-08-17</w:t>
            </w:r>
          </w:p>
        </w:tc>
        <w:tc>
          <w:tcPr>
            <w:tcW w:type="dxa" w:w="1440"/>
            <w:shd w:fill="FAFAFA" w:val="clear"/>
          </w:tcPr>
          <w:p>
            <w:r>
              <w:rPr>
                <w:sz w:val="17"/>
              </w:rPr>
              <w:t>2,883</w:t>
            </w:r>
          </w:p>
        </w:tc>
        <w:tc>
          <w:tcPr>
            <w:tcW w:type="dxa" w:w="1440"/>
            <w:shd w:fill="FAFAFA" w:val="clear"/>
          </w:tcPr>
          <w:p>
            <w:r>
              <w:rPr>
                <w:b/>
                <w:sz w:val="17"/>
              </w:rPr>
              <w:t>3,090</w:t>
            </w:r>
          </w:p>
        </w:tc>
        <w:tc>
          <w:tcPr>
            <w:tcW w:type="dxa" w:w="1440"/>
            <w:shd w:fill="FAFAFA" w:val="clear"/>
          </w:tcPr>
          <w:p>
            <w:r>
              <w:rPr>
                <w:sz w:val="17"/>
              </w:rPr>
              <w:t>3,296</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2026-08-18</w:t>
            </w:r>
          </w:p>
        </w:tc>
        <w:tc>
          <w:tcPr>
            <w:tcW w:type="dxa" w:w="1440"/>
            <w:shd w:fill="FAFAFA" w:val="clear"/>
          </w:tcPr>
          <w:p>
            <w:r>
              <w:rPr>
                <w:sz w:val="17"/>
              </w:rPr>
              <w:t>2,861</w:t>
            </w:r>
          </w:p>
        </w:tc>
        <w:tc>
          <w:tcPr>
            <w:tcW w:type="dxa" w:w="1440"/>
            <w:shd w:fill="FAFAFA" w:val="clear"/>
          </w:tcPr>
          <w:p>
            <w:r>
              <w:rPr>
                <w:b/>
                <w:sz w:val="17"/>
              </w:rPr>
              <w:t>3,087</w:t>
            </w:r>
          </w:p>
        </w:tc>
        <w:tc>
          <w:tcPr>
            <w:tcW w:type="dxa" w:w="1440"/>
            <w:shd w:fill="FAFAFA" w:val="clear"/>
          </w:tcPr>
          <w:p>
            <w:r>
              <w:rPr>
                <w:sz w:val="17"/>
              </w:rPr>
              <w:t>3,313</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2026-08-19</w:t>
            </w:r>
          </w:p>
        </w:tc>
        <w:tc>
          <w:tcPr>
            <w:tcW w:type="dxa" w:w="1440"/>
            <w:shd w:fill="FAFAFA" w:val="clear"/>
          </w:tcPr>
          <w:p>
            <w:r>
              <w:rPr>
                <w:sz w:val="17"/>
              </w:rPr>
              <w:t>2,841</w:t>
            </w:r>
          </w:p>
        </w:tc>
        <w:tc>
          <w:tcPr>
            <w:tcW w:type="dxa" w:w="1440"/>
            <w:shd w:fill="FAFAFA" w:val="clear"/>
          </w:tcPr>
          <w:p>
            <w:r>
              <w:rPr>
                <w:b/>
                <w:sz w:val="17"/>
              </w:rPr>
              <w:t>3,084</w:t>
            </w:r>
          </w:p>
        </w:tc>
        <w:tc>
          <w:tcPr>
            <w:tcW w:type="dxa" w:w="1440"/>
            <w:shd w:fill="FAFAFA" w:val="clear"/>
          </w:tcPr>
          <w:p>
            <w:r>
              <w:rPr>
                <w:sz w:val="17"/>
              </w:rPr>
              <w:t>3,328</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2026-08-20</w:t>
            </w:r>
          </w:p>
        </w:tc>
        <w:tc>
          <w:tcPr>
            <w:tcW w:type="dxa" w:w="1440"/>
            <w:shd w:fill="FAFAFA" w:val="clear"/>
          </w:tcPr>
          <w:p>
            <w:r>
              <w:rPr>
                <w:sz w:val="17"/>
              </w:rPr>
              <w:t>2,822</w:t>
            </w:r>
          </w:p>
        </w:tc>
        <w:tc>
          <w:tcPr>
            <w:tcW w:type="dxa" w:w="1440"/>
            <w:shd w:fill="FAFAFA" w:val="clear"/>
          </w:tcPr>
          <w:p>
            <w:r>
              <w:rPr>
                <w:b/>
                <w:sz w:val="17"/>
              </w:rPr>
              <w:t>3,082</w:t>
            </w:r>
          </w:p>
        </w:tc>
        <w:tc>
          <w:tcPr>
            <w:tcW w:type="dxa" w:w="1440"/>
            <w:shd w:fill="FAFAFA" w:val="clear"/>
          </w:tcPr>
          <w:p>
            <w:r>
              <w:rPr>
                <w:sz w:val="17"/>
              </w:rPr>
              <w:t>3,342</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2026-08-21</w:t>
            </w:r>
          </w:p>
        </w:tc>
        <w:tc>
          <w:tcPr>
            <w:tcW w:type="dxa" w:w="1440"/>
            <w:shd w:fill="FAFAFA" w:val="clear"/>
          </w:tcPr>
          <w:p>
            <w:r>
              <w:rPr>
                <w:sz w:val="17"/>
              </w:rPr>
              <w:t>2,804</w:t>
            </w:r>
          </w:p>
        </w:tc>
        <w:tc>
          <w:tcPr>
            <w:tcW w:type="dxa" w:w="1440"/>
            <w:shd w:fill="FAFAFA" w:val="clear"/>
          </w:tcPr>
          <w:p>
            <w:r>
              <w:rPr>
                <w:b/>
                <w:sz w:val="17"/>
              </w:rPr>
              <w:t>3,079</w:t>
            </w:r>
          </w:p>
        </w:tc>
        <w:tc>
          <w:tcPr>
            <w:tcW w:type="dxa" w:w="1440"/>
            <w:shd w:fill="FAFAFA" w:val="clear"/>
          </w:tcPr>
          <w:p>
            <w:r>
              <w:rPr>
                <w:sz w:val="17"/>
              </w:rPr>
              <w:t>3,355</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2026-08-24</w:t>
            </w:r>
          </w:p>
        </w:tc>
        <w:tc>
          <w:tcPr>
            <w:tcW w:type="dxa" w:w="1440"/>
            <w:shd w:fill="FAFAFA" w:val="clear"/>
          </w:tcPr>
          <w:p>
            <w:r>
              <w:rPr>
                <w:sz w:val="17"/>
              </w:rPr>
              <w:t>2,786</w:t>
            </w:r>
          </w:p>
        </w:tc>
        <w:tc>
          <w:tcPr>
            <w:tcW w:type="dxa" w:w="1440"/>
            <w:shd w:fill="FAFAFA" w:val="clear"/>
          </w:tcPr>
          <w:p>
            <w:r>
              <w:rPr>
                <w:b/>
                <w:sz w:val="17"/>
              </w:rPr>
              <w:t>3,077</w:t>
            </w:r>
          </w:p>
        </w:tc>
        <w:tc>
          <w:tcPr>
            <w:tcW w:type="dxa" w:w="1440"/>
            <w:shd w:fill="FAFAFA" w:val="clear"/>
          </w:tcPr>
          <w:p>
            <w:r>
              <w:rPr>
                <w:sz w:val="17"/>
              </w:rPr>
              <w:t>3,367</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215,88 milliards FCFA, ce qui en fait une valeur de taille moyenne sur la BRVM, représentant un poids significatif dans le secteur bancaire de l'UEMOA. Avec un BPA de 312 FCFA, le PER de 10,0x se situe dans la fourchette basse de la moyenne BRVM (8-12x), indiquant que les investisseurs ne paient pas cher pour les bénéfices générés, ce qui pourrait signaler une sous-évaluation relative. Le P/B de 1,91x montre que le marché valorise la société à près de deux fois sa valeur comptable, ce qui est raisonnable pour une banque en phase de redressement. En revanche, l'EV/EBITDA de 19,9x, nettement supérieur au seuil de 15x, suggère une valorisation exigeante de la capacité opérationnelle, reflétant peut-être les attentes de croissance future ou une prime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ORGT a enregistré une baisse significative de -18,48%, avec une légère contraction de -0,48% lors de la dernière séance, s'établissant à 3 110 FCFA. Le titre a évolué dans une fourchette large de 2 435 à 3 995 FCFA, démontrant une volatilité importante. La moyenne de 3 018 FCFA est supérieure à la médiane de 2 780 FCFA, indiquant une asymétrie positive (skewness de 0,639) où les journées sous la moyenne sont plus fréquentes, mais avec des pics ponctuels élevés. L'écart-type de 417 FCFA (CV=13,8%) révèle une dispersion modérée, tandis que le kurtosis de -1,006 (platykurtique) suggère une distribution aplatie avec peu de valeurs extrêmes. La volatilité annualisée de 46,3% est élevée, positionnant ORGT comme un titre risqué nécessitant une gestion attentive.</w:t>
      </w:r>
    </w:p>
    <w:p>
      <w:pPr>
        <w:spacing w:after="120" w:line="276" w:lineRule="auto" w:before="240"/>
      </w:pPr>
      <w:r>
        <w:rPr>
          <w:b/>
          <w:color w:val="003366"/>
          <w:sz w:val="24"/>
        </w:rPr>
        <w:t>**PARTIE 2 : ANALYSE TECHNIQUE DÉTAILLÉE**</w:t>
      </w:r>
    </w:p>
    <w:p>
      <w:pPr>
        <w:spacing w:after="120" w:line="276" w:lineRule="auto"/>
      </w:pPr>
      <w:r>
        <w:t>**Moyennes Mobiles**: Les MM20 (2 854,5 FCFA) et MM50 (2 774,3 FCFA) sont toutes deux inférieures au cours actuel de 3 110 FCFA, indiquant une dynamique haussière à court et moyen terme. La configuration positive des moyennes mobiles justifie la décision d'achat, le prix évoluant au-dessus de ces supports dynamiques.</w:t>
      </w:r>
    </w:p>
    <w:p>
      <w:pPr>
        <w:spacing w:after="120" w:line="276" w:lineRule="auto"/>
      </w:pPr>
      <w:r>
        <w:t>**Bandes de Bollinger**: Le cours à 3 110 FCFA se positionne entre la borne supérieure (3 266,8 FCFA) et la borne inférieure (2 442,2 FCFA), proche de la partie haute de l'enveloppe. Cette position suggère une volatilité modérée avec un biais haussier, mais sans atteindre des niveaux extrêmes, justifiant une décision neutre.</w:t>
      </w:r>
    </w:p>
    <w:p>
      <w:pPr>
        <w:spacing w:after="120" w:line="276" w:lineRule="auto"/>
      </w:pPr>
      <w:r>
        <w:t>**MACD**: La valeur du MACD (113,21) est nettement supérieure au signal (74,29), confirmant un momentum haussier soutenu. Cette divergence positive indique une dynamique d'achat solide, justifiant la décision d'achat malgré la prudence requise à ces niveaux.</w:t>
      </w:r>
    </w:p>
    <w:p>
      <w:pPr>
        <w:spacing w:after="120" w:line="276" w:lineRule="auto"/>
      </w:pPr>
      <w:r>
        <w:t>**RSI**: Le RSI à 85,0 est en zone de surachat (&gt;70), signalant une pression acheteuse excessive et un risque de correction technique. Cette situation justifie la décision de vente, car le titre pourrait être temporairement surévalué à court terme.</w:t>
      </w:r>
    </w:p>
    <w:p>
      <w:pPr>
        <w:spacing w:after="120" w:line="276" w:lineRule="auto"/>
      </w:pPr>
      <w:r>
        <w:t>**Stochastique**: Les valeurs %K (91,5) et %D (94,7) sont toutes deux en zone de surachat, avec %D au-dessus de %K, indiquant une possible consolidation. Cette configuration justifie la décision de vente, suggérant un essoufflement du mouvement haussier.</w:t>
      </w:r>
    </w:p>
    <w:p>
      <w:pPr>
        <w:spacing w:after="120" w:line="276" w:lineRule="auto"/>
      </w:pPr>
      <w:r>
        <w:t>**Conclusion technique**: Les indicateurs de tendance (MM, MACD) sont positifs, mais les oscillateurs (RSI, Stochastique) signalent des conditions de surachat extrêmes. Cette divergence suggère une poursuite possible de la tendance haussière à moyen terme, mais avec un risque élevé de correction à court terme. La prudence est de mise pour les nouveaux achats.</w:t>
      </w:r>
    </w:p>
    <w:p>
      <w:pPr>
        <w:spacing w:after="120" w:line="276" w:lineRule="auto" w:before="240"/>
      </w:pPr>
      <w:r>
        <w:rPr>
          <w:b/>
          <w:color w:val="003366"/>
          <w:sz w:val="24"/>
        </w:rPr>
        <w:t>**PARTIE 3 : ANALYSE FONDAMENTALE (SECTION CRITIQUE)**</w:t>
      </w:r>
    </w:p>
    <w:p>
      <w:pPr>
        <w:spacing w:after="120" w:line="276" w:lineRule="auto"/>
      </w:pPr>
      <w:r>
        <w:t>En 2025, ORGT affiche un Produit Net Bancaire de 186,609 milliards FCFA, en baisse de -4,5% par rapport à 2024, avec un résultat net consolidé de 21,643 milliards FCFA, contre une perte de -44,363 milliards en 2024, soit un redressement spectaculaire de 149%. Le ROE de 19,13% est excellent (&gt;15%), démontrant une forte rentabilité des fonds propres, tandis que le ROA de 0,54% reste modeste. Le coefficient d'exploitation de 42,85% indique une banque très efficace, et le coût du risque de 3,74% reste élevé mais en nette amélioration. Les dépôts clientèle (3 088,7 milliards FCFA) couvrent largement les créances (1 523,8 milliards FCFA), avec un ratio de transformation de 49,3%, montrant une liquidité abondante. Les rapports trimestriels 2025 confirment cette trajectoire : le S1 2025 (certifié) affiche un bénéfice de 18,3 milliards FCFA (+232%), et le T3 2025 un résultat de 19,6 milliards FCFA (+248%). Le T1 2026 montre une poursuite avec un résultat net de 6,555 milliards FCFA (+37%), malgré un PNB en baisse de 2%. On estime que l'exercice 2026 pourrait maintenir cette dynamique de rentabilité, avec un résultat net potentiel de 25-28 milliards FCFA, soutenu par la maîtrise des coûts et du risque.</w:t>
      </w:r>
    </w:p>
    <w:p>
      <w:pPr>
        <w:spacing w:after="120" w:line="276" w:lineRule="auto" w:before="240"/>
      </w:pPr>
      <w:r>
        <w:rPr>
          <w:b/>
          <w:color w:val="003366"/>
          <w:sz w:val="24"/>
        </w:rPr>
        <w:t>**PARTIE 4 : CONCLUSION D'INVESTISSEMENT**</w:t>
      </w:r>
    </w:p>
    <w:p>
      <w:pPr>
        <w:spacing w:after="120" w:line="276" w:lineRule="auto"/>
      </w:pPr>
      <w:r>
        <w:t>La valorisation d'ORGT avec un PER de 10,0x et un P/B de 1,91x indique une sous-évaluation relative, malgré un EV/EBITDA exigeant. Le comportement du cours montre une tendance baissière sur 100 jours (-18,48%) avec une volatilité élevée (46,3%), mais les statistiques révèlent une distribution asymétrique positive suggérant un potentiel de rebond. Les signaux techniques sont mitigés : tendance haussière (MM, MACD) mais conditions de surachat (RSI, Stochastique), indiquant un risque de correction à court terme. Les fondamentaux sont solides avec un redressement spectaculaire en 2025, un ROE de 19,13% et une banque efficace (coefficient d'exploitation de 42,85%). Les prédictions IA (3 104 à 3 090 FCFA) suggèrent une stabilisation du cours, confirmant la consolidation technique. La convergence entre la sous-évaluation, les fondamentaux en amélioration et la stabilisation prévue justifie une recommandation **ACHAT** avec un niveau de confiance **Moyen** et un risque global **Élevé**. L'horizon d'investissement optimal est de **moyen terme (3-12 mois)**, permettant de bénéficier du redressement fondamental tout en évitant la volatilité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140.68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3,678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B40000"/>
                <w:sz w:val="17"/>
              </w:rPr>
              <w:t>-3.29%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6.20% (Moyenne) — μ=8,410 FCFA, σ=521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β=-0.0795 (Contre-cyclique) — Cov=-0.000003, Var(idx)=0.000036, ρ=-0.018,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8,842</w:t>
            </w:r>
          </w:p>
        </w:tc>
        <w:tc>
          <w:tcPr>
            <w:tcW w:type="dxa" w:w="1440"/>
            <w:shd w:fill="FAFAFA" w:val="clear"/>
          </w:tcPr>
          <w:p>
            <w:r>
              <w:rPr>
                <w:b/>
                <w:sz w:val="17"/>
              </w:rPr>
              <w:t>9,087</w:t>
            </w:r>
          </w:p>
        </w:tc>
        <w:tc>
          <w:tcPr>
            <w:tcW w:type="dxa" w:w="1440"/>
            <w:shd w:fill="FAFAFA" w:val="clear"/>
          </w:tcPr>
          <w:p>
            <w:r>
              <w:rPr>
                <w:sz w:val="17"/>
              </w:rPr>
              <w:t>9,331</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8,773</w:t>
            </w:r>
          </w:p>
        </w:tc>
        <w:tc>
          <w:tcPr>
            <w:tcW w:type="dxa" w:w="1440"/>
            <w:shd w:fill="FAFAFA" w:val="clear"/>
          </w:tcPr>
          <w:p>
            <w:r>
              <w:rPr>
                <w:b/>
                <w:sz w:val="17"/>
              </w:rPr>
              <w:t>9,119</w:t>
            </w:r>
          </w:p>
        </w:tc>
        <w:tc>
          <w:tcPr>
            <w:tcW w:type="dxa" w:w="1440"/>
            <w:shd w:fill="FAFAFA" w:val="clear"/>
          </w:tcPr>
          <w:p>
            <w:r>
              <w:rPr>
                <w:sz w:val="17"/>
              </w:rPr>
              <w:t>9,466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8,721</w:t>
            </w:r>
          </w:p>
        </w:tc>
        <w:tc>
          <w:tcPr>
            <w:tcW w:type="dxa" w:w="1440"/>
            <w:shd w:fill="FAFAFA" w:val="clear"/>
          </w:tcPr>
          <w:p>
            <w:r>
              <w:rPr>
                <w:b/>
                <w:sz w:val="17"/>
              </w:rPr>
              <w:t>9,146</w:t>
            </w:r>
          </w:p>
        </w:tc>
        <w:tc>
          <w:tcPr>
            <w:tcW w:type="dxa" w:w="1440"/>
            <w:shd w:fill="FAFAFA" w:val="clear"/>
          </w:tcPr>
          <w:p>
            <w:r>
              <w:rPr>
                <w:sz w:val="17"/>
              </w:rPr>
              <w:t>9,572</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2026-08-14</w:t>
            </w:r>
          </w:p>
        </w:tc>
        <w:tc>
          <w:tcPr>
            <w:tcW w:type="dxa" w:w="1440"/>
            <w:shd w:fill="FAFAFA" w:val="clear"/>
          </w:tcPr>
          <w:p>
            <w:r>
              <w:rPr>
                <w:sz w:val="17"/>
              </w:rPr>
              <w:t>8,680</w:t>
            </w:r>
          </w:p>
        </w:tc>
        <w:tc>
          <w:tcPr>
            <w:tcW w:type="dxa" w:w="1440"/>
            <w:shd w:fill="FAFAFA" w:val="clear"/>
          </w:tcPr>
          <w:p>
            <w:r>
              <w:rPr>
                <w:b/>
                <w:sz w:val="17"/>
              </w:rPr>
              <w:t>9,173</w:t>
            </w:r>
          </w:p>
        </w:tc>
        <w:tc>
          <w:tcPr>
            <w:tcW w:type="dxa" w:w="1440"/>
            <w:shd w:fill="FAFAFA" w:val="clear"/>
          </w:tcPr>
          <w:p>
            <w:r>
              <w:rPr>
                <w:sz w:val="17"/>
              </w:rPr>
              <w:t>9,666</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2026-08-17</w:t>
            </w:r>
          </w:p>
        </w:tc>
        <w:tc>
          <w:tcPr>
            <w:tcW w:type="dxa" w:w="1440"/>
            <w:shd w:fill="FAFAFA" w:val="clear"/>
          </w:tcPr>
          <w:p>
            <w:r>
              <w:rPr>
                <w:sz w:val="17"/>
              </w:rPr>
              <w:t>8,647</w:t>
            </w:r>
          </w:p>
        </w:tc>
        <w:tc>
          <w:tcPr>
            <w:tcW w:type="dxa" w:w="1440"/>
            <w:shd w:fill="FAFAFA" w:val="clear"/>
          </w:tcPr>
          <w:p>
            <w:r>
              <w:rPr>
                <w:b/>
                <w:sz w:val="17"/>
              </w:rPr>
              <w:t>9,200</w:t>
            </w:r>
          </w:p>
        </w:tc>
        <w:tc>
          <w:tcPr>
            <w:tcW w:type="dxa" w:w="1440"/>
            <w:shd w:fill="FAFAFA" w:val="clear"/>
          </w:tcPr>
          <w:p>
            <w:r>
              <w:rPr>
                <w:sz w:val="17"/>
              </w:rPr>
              <w:t>9,753</w:t>
            </w:r>
          </w:p>
        </w:tc>
        <w:tc>
          <w:tcPr>
            <w:tcW w:type="dxa" w:w="1440"/>
            <w:shd w:fill="FAFAFA" w:val="clear"/>
          </w:tcPr>
          <w:p>
            <w:r>
              <w:rPr>
                <w:b/>
                <w:color w:val="008000"/>
                <w:sz w:val="17"/>
              </w:rPr>
              <w:t>+1.1%</w:t>
            </w:r>
          </w:p>
        </w:tc>
      </w:tr>
      <w:tr>
        <w:tc>
          <w:tcPr>
            <w:tcW w:type="dxa" w:w="1440"/>
            <w:shd w:fill="FAFAFA" w:val="clear"/>
          </w:tcPr>
          <w:p>
            <w:r>
              <w:rPr>
                <w:sz w:val="17"/>
              </w:rPr>
              <w:t>J+6  Moyenne</w:t>
            </w:r>
          </w:p>
        </w:tc>
        <w:tc>
          <w:tcPr>
            <w:tcW w:type="dxa" w:w="1440"/>
            <w:shd w:fill="FAFAFA" w:val="clear"/>
          </w:tcPr>
          <w:p>
            <w:r>
              <w:rPr>
                <w:sz w:val="17"/>
              </w:rPr>
              <w:t>2026-08-18</w:t>
            </w:r>
          </w:p>
        </w:tc>
        <w:tc>
          <w:tcPr>
            <w:tcW w:type="dxa" w:w="1440"/>
            <w:shd w:fill="FAFAFA" w:val="clear"/>
          </w:tcPr>
          <w:p>
            <w:r>
              <w:rPr>
                <w:sz w:val="17"/>
              </w:rPr>
              <w:t>8,619</w:t>
            </w:r>
          </w:p>
        </w:tc>
        <w:tc>
          <w:tcPr>
            <w:tcW w:type="dxa" w:w="1440"/>
            <w:shd w:fill="FAFAFA" w:val="clear"/>
          </w:tcPr>
          <w:p>
            <w:r>
              <w:rPr>
                <w:b/>
                <w:sz w:val="17"/>
              </w:rPr>
              <w:t>9,226</w:t>
            </w:r>
          </w:p>
        </w:tc>
        <w:tc>
          <w:tcPr>
            <w:tcW w:type="dxa" w:w="1440"/>
            <w:shd w:fill="FAFAFA" w:val="clear"/>
          </w:tcPr>
          <w:p>
            <w:r>
              <w:rPr>
                <w:sz w:val="17"/>
              </w:rPr>
              <w:t>9,834</w:t>
            </w:r>
          </w:p>
        </w:tc>
        <w:tc>
          <w:tcPr>
            <w:tcW w:type="dxa" w:w="1440"/>
            <w:shd w:fill="FAFAFA" w:val="clear"/>
          </w:tcPr>
          <w:p>
            <w:r>
              <w:rPr>
                <w:b/>
                <w:color w:val="008000"/>
                <w:sz w:val="17"/>
              </w:rPr>
              <w:t>+1.4%</w:t>
            </w:r>
          </w:p>
        </w:tc>
      </w:tr>
      <w:tr>
        <w:tc>
          <w:tcPr>
            <w:tcW w:type="dxa" w:w="1440"/>
            <w:shd w:fill="FAFAFA" w:val="clear"/>
          </w:tcPr>
          <w:p>
            <w:r>
              <w:rPr>
                <w:sz w:val="17"/>
              </w:rPr>
              <w:t>J+7  Moyenne</w:t>
            </w:r>
          </w:p>
        </w:tc>
        <w:tc>
          <w:tcPr>
            <w:tcW w:type="dxa" w:w="1440"/>
            <w:shd w:fill="FAFAFA" w:val="clear"/>
          </w:tcPr>
          <w:p>
            <w:r>
              <w:rPr>
                <w:sz w:val="17"/>
              </w:rPr>
              <w:t>2026-08-19</w:t>
            </w:r>
          </w:p>
        </w:tc>
        <w:tc>
          <w:tcPr>
            <w:tcW w:type="dxa" w:w="1440"/>
            <w:shd w:fill="FAFAFA" w:val="clear"/>
          </w:tcPr>
          <w:p>
            <w:r>
              <w:rPr>
                <w:sz w:val="17"/>
              </w:rPr>
              <w:t>8,595</w:t>
            </w:r>
          </w:p>
        </w:tc>
        <w:tc>
          <w:tcPr>
            <w:tcW w:type="dxa" w:w="1440"/>
            <w:shd w:fill="FAFAFA" w:val="clear"/>
          </w:tcPr>
          <w:p>
            <w:r>
              <w:rPr>
                <w:b/>
                <w:sz w:val="17"/>
              </w:rPr>
              <w:t>9,253</w:t>
            </w:r>
          </w:p>
        </w:tc>
        <w:tc>
          <w:tcPr>
            <w:tcW w:type="dxa" w:w="1440"/>
            <w:shd w:fill="FAFAFA" w:val="clear"/>
          </w:tcPr>
          <w:p>
            <w:r>
              <w:rPr>
                <w:sz w:val="17"/>
              </w:rPr>
              <w:t>9,911</w:t>
            </w:r>
          </w:p>
        </w:tc>
        <w:tc>
          <w:tcPr>
            <w:tcW w:type="dxa" w:w="1440"/>
            <w:shd w:fill="FAFAFA" w:val="clear"/>
          </w:tcPr>
          <w:p>
            <w:r>
              <w:rPr>
                <w:b/>
                <w:color w:val="008000"/>
                <w:sz w:val="17"/>
              </w:rPr>
              <w:t>+1.7%</w:t>
            </w:r>
          </w:p>
        </w:tc>
      </w:tr>
      <w:tr>
        <w:tc>
          <w:tcPr>
            <w:tcW w:type="dxa" w:w="1440"/>
            <w:shd w:fill="FAFAFA" w:val="clear"/>
          </w:tcPr>
          <w:p>
            <w:r>
              <w:rPr>
                <w:sz w:val="17"/>
              </w:rPr>
              <w:t>J+8  Moyenne</w:t>
            </w:r>
          </w:p>
        </w:tc>
        <w:tc>
          <w:tcPr>
            <w:tcW w:type="dxa" w:w="1440"/>
            <w:shd w:fill="FAFAFA" w:val="clear"/>
          </w:tcPr>
          <w:p>
            <w:r>
              <w:rPr>
                <w:sz w:val="17"/>
              </w:rPr>
              <w:t>2026-08-20</w:t>
            </w:r>
          </w:p>
        </w:tc>
        <w:tc>
          <w:tcPr>
            <w:tcW w:type="dxa" w:w="1440"/>
            <w:shd w:fill="FAFAFA" w:val="clear"/>
          </w:tcPr>
          <w:p>
            <w:r>
              <w:rPr>
                <w:sz w:val="17"/>
              </w:rPr>
              <w:t>8,574</w:t>
            </w:r>
          </w:p>
        </w:tc>
        <w:tc>
          <w:tcPr>
            <w:tcW w:type="dxa" w:w="1440"/>
            <w:shd w:fill="FAFAFA" w:val="clear"/>
          </w:tcPr>
          <w:p>
            <w:r>
              <w:rPr>
                <w:b/>
                <w:sz w:val="17"/>
              </w:rPr>
              <w:t>9,280</w:t>
            </w:r>
          </w:p>
        </w:tc>
        <w:tc>
          <w:tcPr>
            <w:tcW w:type="dxa" w:w="1440"/>
            <w:shd w:fill="FAFAFA" w:val="clear"/>
          </w:tcPr>
          <w:p>
            <w:r>
              <w:rPr>
                <w:sz w:val="17"/>
              </w:rPr>
              <w:t>9,985</w:t>
            </w:r>
          </w:p>
        </w:tc>
        <w:tc>
          <w:tcPr>
            <w:tcW w:type="dxa" w:w="1440"/>
            <w:shd w:fill="FAFAFA" w:val="clear"/>
          </w:tcPr>
          <w:p>
            <w:r>
              <w:rPr>
                <w:b/>
                <w:color w:val="008000"/>
                <w:sz w:val="17"/>
              </w:rPr>
              <w:t>+2.0%</w:t>
            </w:r>
          </w:p>
        </w:tc>
      </w:tr>
      <w:tr>
        <w:tc>
          <w:tcPr>
            <w:tcW w:type="dxa" w:w="1440"/>
            <w:shd w:fill="C6EFCE" w:val="clear"/>
          </w:tcPr>
          <w:p>
            <w:r>
              <w:rPr>
                <w:sz w:val="17"/>
              </w:rPr>
              <w:t>J+9  Moyenne</w:t>
            </w:r>
          </w:p>
        </w:tc>
        <w:tc>
          <w:tcPr>
            <w:tcW w:type="dxa" w:w="1440"/>
            <w:shd w:fill="C6EFCE" w:val="clear"/>
          </w:tcPr>
          <w:p>
            <w:r>
              <w:rPr>
                <w:sz w:val="17"/>
              </w:rPr>
              <w:t>2026-08-21</w:t>
            </w:r>
          </w:p>
        </w:tc>
        <w:tc>
          <w:tcPr>
            <w:tcW w:type="dxa" w:w="1440"/>
            <w:shd w:fill="C6EFCE" w:val="clear"/>
          </w:tcPr>
          <w:p>
            <w:r>
              <w:rPr>
                <w:sz w:val="17"/>
              </w:rPr>
              <w:t>8,556</w:t>
            </w:r>
          </w:p>
        </w:tc>
        <w:tc>
          <w:tcPr>
            <w:tcW w:type="dxa" w:w="1440"/>
            <w:shd w:fill="C6EFCE" w:val="clear"/>
          </w:tcPr>
          <w:p>
            <w:r>
              <w:rPr>
                <w:b/>
                <w:sz w:val="17"/>
              </w:rPr>
              <w:t>9,306</w:t>
            </w:r>
          </w:p>
        </w:tc>
        <w:tc>
          <w:tcPr>
            <w:tcW w:type="dxa" w:w="1440"/>
            <w:shd w:fill="C6EFCE" w:val="clear"/>
          </w:tcPr>
          <w:p>
            <w:r>
              <w:rPr>
                <w:sz w:val="17"/>
              </w:rPr>
              <w:t>10,056</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2026-08-24</w:t>
            </w:r>
          </w:p>
        </w:tc>
        <w:tc>
          <w:tcPr>
            <w:tcW w:type="dxa" w:w="1440"/>
            <w:shd w:fill="C6EFCE" w:val="clear"/>
          </w:tcPr>
          <w:p>
            <w:r>
              <w:rPr>
                <w:sz w:val="17"/>
              </w:rPr>
              <w:t>8,539</w:t>
            </w:r>
          </w:p>
        </w:tc>
        <w:tc>
          <w:tcPr>
            <w:tcW w:type="dxa" w:w="1440"/>
            <w:shd w:fill="C6EFCE" w:val="clear"/>
          </w:tcPr>
          <w:p>
            <w:r>
              <w:rPr>
                <w:b/>
                <w:sz w:val="17"/>
              </w:rPr>
              <w:t>9,332</w:t>
            </w:r>
          </w:p>
        </w:tc>
        <w:tc>
          <w:tcPr>
            <w:tcW w:type="dxa" w:w="1440"/>
            <w:shd w:fill="C6EFCE" w:val="clear"/>
          </w:tcPr>
          <w:p>
            <w:r>
              <w:rPr>
                <w:sz w:val="17"/>
              </w:rPr>
              <w:t>10,126</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140,68 milliards FCFA, ce qui en fait une valeur de taille moyenne sur la BRVM, représentative d'un acteur industriel majeur de la place. Le BPA de 1 003 FCFA indique que chaque action génère un bénéfice substantiel, justifiant un PER de 9,1x, inférieur à la moyenne historique de la BRVM (8-12x), ce qui suggère une sous-évaluation relative du titre. Le P/B de 0,99x est particulièrement intéressant : le marché valorise l'action légèrement en dessous de sa valeur comptable, signalant une décote qui pourrait représenter une opportunité pour les investisseurs value. Enfin, l'EV/EBITDA de 4,4x, nettement sous le seuil de 5x, confirme que la valeur totale de l'entreprise (dette incluse) reste très raisonnable par rapport à sa capacité bénéficiaire opérationnelle, renforçant l'attrait du dossier.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totale de -3,29%, avec une dernière séance en hausse de +1,34% à 9 100 FCFA, signe d'un léger rebond. Le cours a évolué dans un range de 7 000 à 9 500 FCFA, montrant une amplitude de 2 500 FCFA, ce qui traduit une volatilité intra-période significative. La moyenne sur la période est de 8 410 FCFA, inférieure à la médiane de 8 600 FCFA, indiquant une distribution légèrement asymétrique avec des extrêmes bas plus marqués. L'écart-type de 524 FCFA (CV = 6,2%) révèle une dispersion modérée autour de la moyenne, avec un kurtosis de -0,530 (mésokurtique) et un skewness de -0,152, suggérant une distribution proche de la normale, sans risque de pics extrêmes. La volatilité annualisée de 40,8% classe le titre dans la catégorie des valeurs à forte volatilité (&gt;30%), ce qui implique des fluctuations de prix importantes et un risque de marché élevé.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Les **Moyennes Mobiles** (MM20 à 8 810,75 FCFA et MM50 à 8 687,2 FCFA) sont toutes deux inférieures au cours actuel de 9 100 FCFA, avec une MM20 au-dessus de la MM50, formant une configuration haussière. Cette structure en "courbe de tendance positive" confirme un momentum acheteur à court et moyen terme, justifiant la décision d'achat.</w:t>
      </w:r>
    </w:p>
    <w:p>
      <w:pPr>
        <w:spacing w:after="120" w:line="276" w:lineRule="auto"/>
      </w:pPr>
      <w:r>
        <w:t>Les **Bandes de Bollinger** montrent un cours à 9 100 FCFA, proche de la borne supérieure (9 144,66 FCFA), indiquant que le titre évolue dans la partie haute de son canal de volatilité. La largeur des bandes (bornes à 8 476,84 et 9 144,66) reflète une volatilité modérée, et la position du prix suggère une pression acheteuse, bien que la décision reste neutre en attendant une cassure nette.</w:t>
      </w:r>
    </w:p>
    <w:p>
      <w:pPr>
        <w:spacing w:after="120" w:line="276" w:lineRule="auto"/>
      </w:pPr>
      <w:r>
        <w:t>Le **MACD** affiche une valeur de 108,903, au-dessus de son signal à 92,928, avec un écart positif de 15,975 points. Cette divergence positive indique un momentum haussier en renforcement, confirmant la dynamique d'achat observée sur les moyennes mobiles.</w:t>
      </w:r>
    </w:p>
    <w:p>
      <w:pPr>
        <w:spacing w:after="120" w:line="276" w:lineRule="auto"/>
      </w:pPr>
      <w:r>
        <w:t>Le **RSI** à 62,5 se situe dans la zone neutre (30-70), sans signal de surachat ni de survente. Cette valeur indique une pression acheteuse modérée, laissant de la marge avant une éventuelle zone de surachat (&gt;70), ce qui est plutôt favorable pour la poursuite de la hausse.</w:t>
      </w:r>
    </w:p>
    <w:p>
      <w:pPr>
        <w:spacing w:after="120" w:line="276" w:lineRule="auto"/>
      </w:pPr>
      <w:r>
        <w:t>Le **Stochastique** est en zone de surachat extrême avec %K à 100,0 et %D à 93,651, signalant une possible correction à court terme. Le croisement potentiel de ces lignes pourrait déclencher un signal de vente, ce qui contraste avec les autres indicateurs.</w:t>
      </w:r>
    </w:p>
    <w:p>
      <w:pPr>
        <w:spacing w:after="120" w:line="276" w:lineRule="auto"/>
      </w:pPr>
      <w:r>
        <w:t>**Conclusion technique** : La convergence des moyennes mobiles, du MACD et du RSI plaide pour une tendance haussière, mais le stochastique en surachat extrême suggère un essoufflement imminent. La prudence est de mise à court terme, avec un possible repli technique avant une reprise, mais la structure globale reste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(PALMCI) affiche un chiffre d'affaires de 197,630 milliards FCFA, en croissance de +14,8% par rapport à 2024, avec un résultat net de 15,509 milliards FCFA, en légère baisse de -2,2% sur un an. Le ROE s'établit à 10,87% et le ROA à 7,79%, reflétant une rentabilité correcte mais en deçà du seuil de 15% jugé excellent. La marge nette de 7,85% et la marge opérationnelle de 9,19% montrent une pression sur les coûts, avec des charges de personnel en hausse de 4% et des services extérieurs en augmentation de 30,3%. Le BFR de 44,623 milliards FCFA est positif, indiquant un besoin de financement, avec un délai clients élevé de 142,58 jours, un risque de trésorerie à surveiller. La structure financière reste solide avec une autonomie financière de 71,64% et un endettement très faible (ratio d'endettement de 0,56%). Les rapports trimestriels 2025 montrent une dynamique contrastée : le T1 2025 était excellent (CA +32%, résultat net +65%), le S1 2025 solide (CA +25%, résultat net +37%), mais le T1 2026 est décevant (CA -27%, résultat net -86% à 1,6 milliard FCFA), que la direction attribue à un décalage temporel des ventes. Sur la base de ces éléments, on estime que l'exercice 2026 pourrait être en retrait, avec un résultat net potentiel autour de 10-12 milliards FCFA si le redressement se confirme, mais les fondamentaux de production restent solides.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9,1x, un P/B de 0,99x et un EV/EBITDA de 4,4x, indiquant une sous-évaluation relative sur la BRVM. Le comportement du cours sur 100 jours montre une légère baisse (-3,29%) mais avec une volatilité élevée (40,8%) et une distribution normale, suggérant un potentiel de rebond. Les signaux techniques sont globalement positifs (MM, MACD, RSI) mais le stochastique en surachat extrême appelle à la prudence à court terme. Les fondamentaux sont solides avec une croissance du CA de +14,8% en 2025, mais la rentabilité est sous pression et le T1 2026 est préoccupant. Les prédictions IA (9 087 à 9 200 FCFA sur 10 jours) confirment une trajectoire haussière modérée, en ligne avec les signaux techniques. En synthèse, je recommande **CONSERVER** avec un niveau de confiance **Moyen** et un risque global **Élevé** (volatilité et incertitudes sur les cours de l'huile de palme). L'horizon d'investissement optimal est le **moyen terme (3-12 mois)**, en attendant une confirmation du redressement des résultats trimestriels et une stabilisation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1,099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B40000"/>
                <w:sz w:val="17"/>
              </w:rPr>
              <w:t>-17.59%</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8.60% (Moyenne) — μ=4,505 FCFA, σ=387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β=-0.4504 (Contre-cyclique) — Cov=-0.000016, Var(idx)=0.000036, ρ=-0.106,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1,099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5477"/>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4,310</w:t>
            </w:r>
          </w:p>
        </w:tc>
        <w:tc>
          <w:tcPr>
            <w:tcW w:type="dxa" w:w="1440"/>
            <w:shd w:fill="FAFAFA" w:val="clear"/>
          </w:tcPr>
          <w:p>
            <w:r>
              <w:rPr>
                <w:b/>
                <w:sz w:val="17"/>
              </w:rPr>
              <w:t>4,426</w:t>
            </w:r>
          </w:p>
        </w:tc>
        <w:tc>
          <w:tcPr>
            <w:tcW w:type="dxa" w:w="1440"/>
            <w:shd w:fill="FAFAFA" w:val="clear"/>
          </w:tcPr>
          <w:p>
            <w:r>
              <w:rPr>
                <w:sz w:val="17"/>
              </w:rPr>
              <w:t>4,541</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4,241</w:t>
            </w:r>
          </w:p>
        </w:tc>
        <w:tc>
          <w:tcPr>
            <w:tcW w:type="dxa" w:w="1440"/>
            <w:shd w:fill="FAFAFA" w:val="clear"/>
          </w:tcPr>
          <w:p>
            <w:r>
              <w:rPr>
                <w:b/>
                <w:sz w:val="17"/>
              </w:rPr>
              <w:t>4,404</w:t>
            </w:r>
          </w:p>
        </w:tc>
        <w:tc>
          <w:tcPr>
            <w:tcW w:type="dxa" w:w="1440"/>
            <w:shd w:fill="FAFAFA" w:val="clear"/>
          </w:tcPr>
          <w:p>
            <w:r>
              <w:rPr>
                <w:sz w:val="17"/>
              </w:rPr>
              <w:t>4,567</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4,183</w:t>
            </w:r>
          </w:p>
        </w:tc>
        <w:tc>
          <w:tcPr>
            <w:tcW w:type="dxa" w:w="1440"/>
            <w:shd w:fill="FAFAFA" w:val="clear"/>
          </w:tcPr>
          <w:p>
            <w:r>
              <w:rPr>
                <w:b/>
                <w:sz w:val="17"/>
              </w:rPr>
              <w:t>4,382</w:t>
            </w:r>
          </w:p>
        </w:tc>
        <w:tc>
          <w:tcPr>
            <w:tcW w:type="dxa" w:w="1440"/>
            <w:shd w:fill="FAFAFA" w:val="clear"/>
          </w:tcPr>
          <w:p>
            <w:r>
              <w:rPr>
                <w:sz w:val="17"/>
              </w:rPr>
              <w:t>4,580</w:t>
            </w:r>
          </w:p>
        </w:tc>
        <w:tc>
          <w:tcPr>
            <w:tcW w:type="dxa" w:w="1440"/>
            <w:shd w:fill="FAFAFA" w:val="clear"/>
          </w:tcPr>
          <w:p>
            <w:r>
              <w:rPr>
                <w:b/>
                <w:color w:val="C00000"/>
                <w:sz w:val="17"/>
              </w:rPr>
              <w:t>-1.5%</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4,132</w:t>
            </w:r>
          </w:p>
        </w:tc>
        <w:tc>
          <w:tcPr>
            <w:tcW w:type="dxa" w:w="1440"/>
            <w:shd w:fill="FFDCE0" w:val="clear"/>
          </w:tcPr>
          <w:p>
            <w:r>
              <w:rPr>
                <w:b/>
                <w:sz w:val="17"/>
              </w:rPr>
              <w:t>4,360</w:t>
            </w:r>
          </w:p>
        </w:tc>
        <w:tc>
          <w:tcPr>
            <w:tcW w:type="dxa" w:w="1440"/>
            <w:shd w:fill="FFDCE0" w:val="clear"/>
          </w:tcPr>
          <w:p>
            <w:r>
              <w:rPr>
                <w:sz w:val="17"/>
              </w:rPr>
              <w:t>4,588</w:t>
            </w:r>
          </w:p>
        </w:tc>
        <w:tc>
          <w:tcPr>
            <w:tcW w:type="dxa" w:w="1440"/>
            <w:shd w:fill="FFDCE0"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4,085</w:t>
            </w:r>
          </w:p>
        </w:tc>
        <w:tc>
          <w:tcPr>
            <w:tcW w:type="dxa" w:w="1440"/>
            <w:shd w:fill="FFDCE0" w:val="clear"/>
          </w:tcPr>
          <w:p>
            <w:r>
              <w:rPr>
                <w:b/>
                <w:sz w:val="17"/>
              </w:rPr>
              <w:t>4,339</w:t>
            </w:r>
          </w:p>
        </w:tc>
        <w:tc>
          <w:tcPr>
            <w:tcW w:type="dxa" w:w="1440"/>
            <w:shd w:fill="FFDCE0" w:val="clear"/>
          </w:tcPr>
          <w:p>
            <w:r>
              <w:rPr>
                <w:sz w:val="17"/>
              </w:rPr>
              <w:t>4,593</w:t>
            </w:r>
          </w:p>
        </w:tc>
        <w:tc>
          <w:tcPr>
            <w:tcW w:type="dxa" w:w="1440"/>
            <w:shd w:fill="FFDCE0" w:val="clear"/>
          </w:tcPr>
          <w:p>
            <w:r>
              <w:rPr>
                <w:b/>
                <w:color w:val="C00000"/>
                <w:sz w:val="17"/>
              </w:rPr>
              <w:t>-2.5%</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4,042</w:t>
            </w:r>
          </w:p>
        </w:tc>
        <w:tc>
          <w:tcPr>
            <w:tcW w:type="dxa" w:w="1440"/>
            <w:shd w:fill="FFDCE0" w:val="clear"/>
          </w:tcPr>
          <w:p>
            <w:r>
              <w:rPr>
                <w:b/>
                <w:sz w:val="17"/>
              </w:rPr>
              <w:t>4,319</w:t>
            </w:r>
          </w:p>
        </w:tc>
        <w:tc>
          <w:tcPr>
            <w:tcW w:type="dxa" w:w="1440"/>
            <w:shd w:fill="FFDCE0" w:val="clear"/>
          </w:tcPr>
          <w:p>
            <w:r>
              <w:rPr>
                <w:sz w:val="17"/>
              </w:rPr>
              <w:t>4,596</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4,002</w:t>
            </w:r>
          </w:p>
        </w:tc>
        <w:tc>
          <w:tcPr>
            <w:tcW w:type="dxa" w:w="1440"/>
            <w:shd w:fill="FFDCE0" w:val="clear"/>
          </w:tcPr>
          <w:p>
            <w:r>
              <w:rPr>
                <w:b/>
                <w:sz w:val="17"/>
              </w:rPr>
              <w:t>4,299</w:t>
            </w:r>
          </w:p>
        </w:tc>
        <w:tc>
          <w:tcPr>
            <w:tcW w:type="dxa" w:w="1440"/>
            <w:shd w:fill="FFDCE0" w:val="clear"/>
          </w:tcPr>
          <w:p>
            <w:r>
              <w:rPr>
                <w:sz w:val="17"/>
              </w:rPr>
              <w:t>4,597</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3,963</w:t>
            </w:r>
          </w:p>
        </w:tc>
        <w:tc>
          <w:tcPr>
            <w:tcW w:type="dxa" w:w="1440"/>
            <w:shd w:fill="FFDCE0" w:val="clear"/>
          </w:tcPr>
          <w:p>
            <w:r>
              <w:rPr>
                <w:b/>
                <w:sz w:val="17"/>
              </w:rPr>
              <w:t>4,280</w:t>
            </w:r>
          </w:p>
        </w:tc>
        <w:tc>
          <w:tcPr>
            <w:tcW w:type="dxa" w:w="1440"/>
            <w:shd w:fill="FFDCE0" w:val="clear"/>
          </w:tcPr>
          <w:p>
            <w:r>
              <w:rPr>
                <w:sz w:val="17"/>
              </w:rPr>
              <w:t>4,597</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3,926</w:t>
            </w:r>
          </w:p>
        </w:tc>
        <w:tc>
          <w:tcPr>
            <w:tcW w:type="dxa" w:w="1440"/>
            <w:shd w:fill="FFDCE0" w:val="clear"/>
          </w:tcPr>
          <w:p>
            <w:r>
              <w:rPr>
                <w:b/>
                <w:sz w:val="17"/>
              </w:rPr>
              <w:t>4,261</w:t>
            </w:r>
          </w:p>
        </w:tc>
        <w:tc>
          <w:tcPr>
            <w:tcW w:type="dxa" w:w="1440"/>
            <w:shd w:fill="FFDCE0" w:val="clear"/>
          </w:tcPr>
          <w:p>
            <w:r>
              <w:rPr>
                <w:sz w:val="17"/>
              </w:rPr>
              <w:t>4,595</w:t>
            </w:r>
          </w:p>
        </w:tc>
        <w:tc>
          <w:tcPr>
            <w:tcW w:type="dxa" w:w="1440"/>
            <w:shd w:fill="FFDCE0" w:val="clear"/>
          </w:tcPr>
          <w:p>
            <w:r>
              <w:rPr>
                <w:b/>
                <w:color w:val="C00000"/>
                <w:sz w:val="17"/>
              </w:rPr>
              <w:t>-4.3%</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3,891</w:t>
            </w:r>
          </w:p>
        </w:tc>
        <w:tc>
          <w:tcPr>
            <w:tcW w:type="dxa" w:w="1440"/>
            <w:shd w:fill="FFDCE0" w:val="clear"/>
          </w:tcPr>
          <w:p>
            <w:r>
              <w:rPr>
                <w:b/>
                <w:sz w:val="17"/>
              </w:rPr>
              <w:t>4,242</w:t>
            </w:r>
          </w:p>
        </w:tc>
        <w:tc>
          <w:tcPr>
            <w:tcW w:type="dxa" w:w="1440"/>
            <w:shd w:fill="FFDCE0" w:val="clear"/>
          </w:tcPr>
          <w:p>
            <w:r>
              <w:rPr>
                <w:sz w:val="17"/>
              </w:rPr>
              <w:t>4,593</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10 août 2026**</w:t>
        <w:br/>
        <w:t>**Cours de référence : 4 450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45,57 milliards FCFA, ce qui la positionne comme une valeur de taille moyenne sur la BRVM, représentative d'un acteur majeur du secteur automobile ivoirien. Avec un BPA de 231 FCFA, le titre se négocie à un PER de 19,2x, nettement supérieur à la moyenne historique de la BRVM (8-12x), indiquant que les investisseurs paient une prime significative pour les bénéfices de la société. Le P/B de 3,95x confirme cette prime, le marché valorisant l'actif net comptable près de 4 fois sa valeur, reflétant des attentes de croissance ou une certaine spéculation. Enfin, l'EV/EBITDA de 9,8x se situe dans la fourchette haute des valeurs raisonnables (5-10x), ce qui suggère que la valorisation globale de l'entreprise, intégrant sa dette, reste soutenable mais sans marge de sécurité majeure.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marquée de 17,59%, avec une dernière séance en repli de 0,67% à 4 450 FCFA, s'inscrivant dans une tendance baissière nette. Le titre a évolué dans une fourchette large de 3 620 FCFA (plus bas) à 5 400 FCFA (plus haut), illustrant une volatilité importante. Les statistiques descriptives révèlent une moyenne de 4 505 FCFA et une médiane de 4 535 FCFA, proches l'une de l'autre, mais le mode de 3 695 FCFA indique que le cours a fréquemment touché des niveaux bas. L'écart-type de 389 FCFA (CV=8,6%) montre une dispersion modérée autour de la moyenne. Le kurtosis de -0,026 (mésokurtique) suggère une distribution des rendements proche de la normale, sans risque de pics extrêmes, tandis que le skewness de -0,590 (asymétrie négative) indique que les journées de forte baisse ont été plus fréquentes que les fortes hausses. La volatilité annualisée de 41,9% est élevée (&gt;30%), signe d'un titre risqué et spéculatif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(4 450 FCFA) est inférieur à la MM20 (4 494,75 FCFA) mais supérieur à la MM50 (4 452,1 FCFA). Cette configuration, avec un cours sous la moyenne à court terme mais au-dessus de la moyenne à long terme, suggère une consolidation après une baisse. La décision "Achat" est probablement basée sur le croisement haussier de la MM50, mais la faiblesse sous la MM20 incite à la prudence.</w:t>
      </w:r>
    </w:p>
    <w:p>
      <w:pPr>
        <w:spacing w:after="120" w:line="276" w:lineRule="auto"/>
      </w:pPr>
      <w:r>
        <w:t>**Bandes de Bollinger :** Le prix se situe à 4 450 FCFA, entre la borne inférieure (4 292,51 FCFA) et la borne supérieure (4 696,99 FCFA), proche du milieu de l'intervalle. La décision "Neutre" est cohérente : le titre n'est ni suracheté ni survendu, et la volatilité récente ne pousse pas le cours vers les extrêmes. Cela indique une phase de stabilisation après la chute.</w:t>
      </w:r>
    </w:p>
    <w:p>
      <w:pPr>
        <w:spacing w:after="120" w:line="276" w:lineRule="auto"/>
      </w:pPr>
      <w:r>
        <w:t>**MACD :** La valeur du MACD (3,668) est nettement inférieure à son signal (19,375), avec une décision "Vente". Cette divergence négative indique un momentum baissier persistant, bien que la valeur positive du MACD suggère que la dynamique de baisse s'atténue. Le signal de vente reste néanmoins dominant.</w:t>
      </w:r>
    </w:p>
    <w:p>
      <w:pPr>
        <w:spacing w:after="120" w:line="276" w:lineRule="auto"/>
      </w:pPr>
      <w:r>
        <w:t>**RSI :** À 35,849, le RSI est en zone neutre (30-70), mais proche de la zone de survente (&lt;30). La décision "Neutre" est appropriée, mais ce niveau indique que le titre est faible et pourrait continuer à baisser avant un éventuel rebond technique.</w:t>
      </w:r>
    </w:p>
    <w:p>
      <w:pPr>
        <w:spacing w:after="120" w:line="276" w:lineRule="auto"/>
      </w:pPr>
      <w:r>
        <w:t>**Stochastique :** Le %K (20,408) est inférieur au %D (29,252), avec une décision "Neutre". Cette configuration montre que le titre est en territoire de survente, mais sans croisement haussier confirmé. Le %K sous le %D suggère une pression vendeuse résiduelle, mais un potentiel de retournement si le %K remonte au-dessus du %D.</w:t>
      </w:r>
    </w:p>
    <w:p>
      <w:pPr>
        <w:spacing w:after="120" w:line="276" w:lineRule="auto"/>
      </w:pPr>
      <w:r>
        <w:t>**Conclusion technique :** Les indicateurs sont globalement baissiers (MACD en vente, RSI faible, stochastique en survente), mais les moyennes mobiles et les bandes de Bollinger offrent des signaux plus neutres. La tendance de fond reste négative, mais des signes de stabilisation apparaissent. La prudence est de mise, avec un risque de poursuite de la baisse vers les 4 300 FCFA avant un éventuel rebond.</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hausse de 8,64% par rapport à 2024 (74,45 milliards), confirmant une dynamique commerciale positive. Le résultat net s'établit à 2,367 milliards FCFA, en légère hausse par rapport aux 2,177 milliards de 2024, avec une marge nette de 2,92%. La rentabilité des fonds propres (ROE) est excellente à 20,53%, et le ROA de 4,95% est correct. En tant qu'entreprise de distribution automobile, les délais sont critiques : le délai clients de 46 jours est raisonnable, mais le délai fournisseurs de 102 jours est très favorable pour la trésorerie, tandis que la durée de stockage de 150 jours est élevée, immobilisant du capital. Le BFR de 11,267 milliards FCFA est un point de vigilance, avec une trésorerie nette négative de -4,092 milliards FCFA. Les rapports trimestriels 2025 (S1) montrent une performance exceptionnelle : CA en hausse de 15,1% et résultat net multiplié par 28 au S1 2025, mais la direction anticipe un ralentissement au S2 (contexte électoral). Le rapport annuel 2025 confirme la solidité avec un dividende proposé de 209 FCFA par action (rendement de 4,7%). La structure financière reste fragile avec un ratio d'endettement de 314%, mais la solvabilité est assurée (131,76%).</w:t>
      </w:r>
    </w:p>
    <w:p>
      <w:pPr>
        <w:spacing w:after="120" w:line="276" w:lineRule="auto"/>
      </w:pPr>
      <w:r>
        <w:t>---</w:t>
      </w:r>
    </w:p>
    <w:p>
      <w:pPr>
        <w:spacing w:after="120" w:line="276" w:lineRule="auto"/>
      </w:pPr>
      <w:r>
        <w:t>### PARTIE 4 : CONCLUSION D'INVESTISSEMENT</w:t>
      </w:r>
    </w:p>
    <w:p>
      <w:pPr>
        <w:spacing w:after="120" w:line="276" w:lineRule="auto"/>
      </w:pPr>
      <w:r>
        <w:t>La valorisation de PRSC (PER 19,2x, P/B 3,95x) apparaît élevée par rapport aux standards BRVM, suggérant une surévaluation relative malgré des fondamentaux corrects. Le comportement du cours est préoccupant avec une baisse de 17,59% sur 100 jours, une volatilité élevée (41,9%) et une asymétrie négative, indiquant un risque accru. Les signaux techniques sont mitigés : le MACD est vendeur, mais le RSI et le stochastique approchent la survente, et les moyennes mobiles offrent un support à long terme. Les fondamentaux sont solides (croissance du CA de 8,6%, ROE de 20,5%, dividende de 209 FCFA), mais la trésorerie nette négative et le BFR élevé sont des risques. Les prédictions IA (4 426 à 4 339 FCFA sur 10 jours) confirment la tendance baissière à court terme. En synthèse, la convergence des signaux techniques baissiers et des prédictions IA, combinée à une valorisation exigeante, l'emporte sur la solidité fondamentale. **Recommandation : VENTE** avec un niveau de confiance **Moyen** et un risque global **Élevé**. Horizon d'investissement : **court terme (&lt;3 mois)** pour éviter une nouvelle dépréciation, avec un réinvestissement possible sous 4 000 FCFA pour un potentiel de rebond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7,260 titres</w:t>
            </w:r>
          </w:p>
        </w:tc>
        <w:tc>
          <w:tcPr>
            <w:tcW w:type="dxa" w:w="2268"/>
            <w:shd w:fill="FFF2CC" w:val="clear"/>
          </w:tcPr>
          <w:p>
            <w:r>
              <w:rPr>
                <w:b/>
                <w:color w:val="503200"/>
                <w:sz w:val="16"/>
              </w:rPr>
              <w:t xml:space="preserve">Cours actuel : </w:t>
            </w:r>
            <w:r>
              <w:rPr>
                <w:color w:val="000000"/>
                <w:sz w:val="17"/>
              </w:rPr>
              <w:t>4,990 FCFA</w:t>
            </w:r>
          </w:p>
          <w:p>
            <w:r>
              <w:rPr>
                <w:b/>
                <w:color w:val="503200"/>
                <w:sz w:val="16"/>
              </w:rPr>
              <w:t xml:space="preserve">Var. 100 jours : </w:t>
            </w:r>
            <w:r>
              <w:rPr>
                <w:b/>
                <w:color w:val="B40000"/>
                <w:sz w:val="17"/>
              </w:rPr>
              <w:t>-16.76%</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28.2/100 → Moyen</w:t>
      </w:r>
    </w:p>
    <w:p>
      <w:pPr>
        <w:spacing w:before="40" w:after="80"/>
      </w:pPr>
      <w:r>
        <w:rPr>
          <w:rFonts w:ascii="Courier New" w:hAnsi="Courier New"/>
          <w:color w:val="825A00"/>
          <w:sz w:val="18"/>
        </w:rPr>
        <w:t>█████░░░░░░░░░░░░░░░  28.2/100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23.66% (Élevée) — μ=4,815 FCFA, σ=1,139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β=0.2235 (Défensif) — Cov=0.000008, Var(idx)=0.000036, ρ=0.025,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7,260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σ_j=5.25%/j (Instable) — Vol. annualisée≈83.4%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5477"/>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4,358</w:t>
            </w:r>
          </w:p>
        </w:tc>
        <w:tc>
          <w:tcPr>
            <w:tcW w:type="dxa" w:w="1440"/>
            <w:shd w:fill="FFDCE0" w:val="clear"/>
          </w:tcPr>
          <w:p>
            <w:r>
              <w:rPr>
                <w:b/>
                <w:sz w:val="17"/>
              </w:rPr>
              <w:t>4,616</w:t>
            </w:r>
          </w:p>
        </w:tc>
        <w:tc>
          <w:tcPr>
            <w:tcW w:type="dxa" w:w="1440"/>
            <w:shd w:fill="FFDCE0" w:val="clear"/>
          </w:tcPr>
          <w:p>
            <w:r>
              <w:rPr>
                <w:sz w:val="17"/>
              </w:rPr>
              <w:t>4,874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3,932</w:t>
            </w:r>
          </w:p>
        </w:tc>
        <w:tc>
          <w:tcPr>
            <w:tcW w:type="dxa" w:w="1440"/>
            <w:shd w:fill="FFDCE0" w:val="clear"/>
          </w:tcPr>
          <w:p>
            <w:r>
              <w:rPr>
                <w:b/>
                <w:sz w:val="17"/>
              </w:rPr>
              <w:t>4,270</w:t>
            </w:r>
          </w:p>
        </w:tc>
        <w:tc>
          <w:tcPr>
            <w:tcW w:type="dxa" w:w="1440"/>
            <w:shd w:fill="FFDCE0" w:val="clear"/>
          </w:tcPr>
          <w:p>
            <w:r>
              <w:rPr>
                <w:sz w:val="17"/>
              </w:rPr>
              <w:t>4,607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3,567</w:t>
            </w:r>
          </w:p>
        </w:tc>
        <w:tc>
          <w:tcPr>
            <w:tcW w:type="dxa" w:w="1440"/>
            <w:shd w:fill="FFDCE0" w:val="clear"/>
          </w:tcPr>
          <w:p>
            <w:r>
              <w:rPr>
                <w:b/>
                <w:sz w:val="17"/>
              </w:rPr>
              <w:t>3,949</w:t>
            </w:r>
          </w:p>
        </w:tc>
        <w:tc>
          <w:tcPr>
            <w:tcW w:type="dxa" w:w="1440"/>
            <w:shd w:fill="FFDCE0" w:val="clear"/>
          </w:tcPr>
          <w:p>
            <w:r>
              <w:rPr>
                <w:sz w:val="17"/>
              </w:rPr>
              <w:t>4,332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3,245</w:t>
            </w:r>
          </w:p>
        </w:tc>
        <w:tc>
          <w:tcPr>
            <w:tcW w:type="dxa" w:w="1440"/>
            <w:shd w:fill="FFDCE0" w:val="clear"/>
          </w:tcPr>
          <w:p>
            <w:r>
              <w:rPr>
                <w:b/>
                <w:sz w:val="17"/>
              </w:rPr>
              <w:t>3,653</w:t>
            </w:r>
          </w:p>
        </w:tc>
        <w:tc>
          <w:tcPr>
            <w:tcW w:type="dxa" w:w="1440"/>
            <w:shd w:fill="FFDCE0" w:val="clear"/>
          </w:tcPr>
          <w:p>
            <w:r>
              <w:rPr>
                <w:sz w:val="17"/>
              </w:rPr>
              <w:t>4,062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2,957</w:t>
            </w:r>
          </w:p>
        </w:tc>
        <w:tc>
          <w:tcPr>
            <w:tcW w:type="dxa" w:w="1440"/>
            <w:shd w:fill="FFDCE0" w:val="clear"/>
          </w:tcPr>
          <w:p>
            <w:r>
              <w:rPr>
                <w:b/>
                <w:sz w:val="17"/>
              </w:rPr>
              <w:t>3,379</w:t>
            </w:r>
          </w:p>
        </w:tc>
        <w:tc>
          <w:tcPr>
            <w:tcW w:type="dxa" w:w="1440"/>
            <w:shd w:fill="FFDCE0" w:val="clear"/>
          </w:tcPr>
          <w:p>
            <w:r>
              <w:rPr>
                <w:sz w:val="17"/>
              </w:rPr>
              <w:t>3,802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2,698</w:t>
            </w:r>
          </w:p>
        </w:tc>
        <w:tc>
          <w:tcPr>
            <w:tcW w:type="dxa" w:w="1440"/>
            <w:shd w:fill="FFDCE0" w:val="clear"/>
          </w:tcPr>
          <w:p>
            <w:r>
              <w:rPr>
                <w:b/>
                <w:sz w:val="17"/>
              </w:rPr>
              <w:t>3,126</w:t>
            </w:r>
          </w:p>
        </w:tc>
        <w:tc>
          <w:tcPr>
            <w:tcW w:type="dxa" w:w="1440"/>
            <w:shd w:fill="FFDCE0" w:val="clear"/>
          </w:tcPr>
          <w:p>
            <w:r>
              <w:rPr>
                <w:sz w:val="17"/>
              </w:rPr>
              <w:t>3,554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2,464</w:t>
            </w:r>
          </w:p>
        </w:tc>
        <w:tc>
          <w:tcPr>
            <w:tcW w:type="dxa" w:w="1440"/>
            <w:shd w:fill="FFDCE0" w:val="clear"/>
          </w:tcPr>
          <w:p>
            <w:r>
              <w:rPr>
                <w:b/>
                <w:sz w:val="17"/>
              </w:rPr>
              <w:t>2,891</w:t>
            </w:r>
          </w:p>
        </w:tc>
        <w:tc>
          <w:tcPr>
            <w:tcW w:type="dxa" w:w="1440"/>
            <w:shd w:fill="FFDCE0" w:val="clear"/>
          </w:tcPr>
          <w:p>
            <w:r>
              <w:rPr>
                <w:sz w:val="17"/>
              </w:rPr>
              <w:t>3,319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2,252</w:t>
            </w:r>
          </w:p>
        </w:tc>
        <w:tc>
          <w:tcPr>
            <w:tcW w:type="dxa" w:w="1440"/>
            <w:shd w:fill="FFDCE0" w:val="clear"/>
          </w:tcPr>
          <w:p>
            <w:r>
              <w:rPr>
                <w:b/>
                <w:sz w:val="17"/>
              </w:rPr>
              <w:t>2,674</w:t>
            </w:r>
          </w:p>
        </w:tc>
        <w:tc>
          <w:tcPr>
            <w:tcW w:type="dxa" w:w="1440"/>
            <w:shd w:fill="FFDCE0" w:val="clear"/>
          </w:tcPr>
          <w:p>
            <w:r>
              <w:rPr>
                <w:sz w:val="17"/>
              </w:rPr>
              <w:t>3,097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2,059</w:t>
            </w:r>
          </w:p>
        </w:tc>
        <w:tc>
          <w:tcPr>
            <w:tcW w:type="dxa" w:w="1440"/>
            <w:shd w:fill="FFDCE0" w:val="clear"/>
          </w:tcPr>
          <w:p>
            <w:r>
              <w:rPr>
                <w:b/>
                <w:sz w:val="17"/>
              </w:rPr>
              <w:t>2,474</w:t>
            </w:r>
          </w:p>
        </w:tc>
        <w:tc>
          <w:tcPr>
            <w:tcW w:type="dxa" w:w="1440"/>
            <w:shd w:fill="FFDCE0" w:val="clear"/>
          </w:tcPr>
          <w:p>
            <w:r>
              <w:rPr>
                <w:sz w:val="17"/>
              </w:rPr>
              <w:t>2,889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1,884</w:t>
            </w:r>
          </w:p>
        </w:tc>
        <w:tc>
          <w:tcPr>
            <w:tcW w:type="dxa" w:w="1440"/>
            <w:shd w:fill="FFDCE0" w:val="clear"/>
          </w:tcPr>
          <w:p>
            <w:r>
              <w:rPr>
                <w:b/>
                <w:sz w:val="17"/>
              </w:rPr>
              <w:t>2,288</w:t>
            </w:r>
          </w:p>
        </w:tc>
        <w:tc>
          <w:tcPr>
            <w:tcW w:type="dxa" w:w="1440"/>
            <w:shd w:fill="FFDCE0" w:val="clear"/>
          </w:tcPr>
          <w:p>
            <w:r>
              <w:rPr>
                <w:sz w:val="17"/>
              </w:rPr>
              <w:t>2,693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40,52 milliards FCFA, un niveau modeste dans l'écosystème de la BRVM, reflétant sa taille moyenne dans le secteur financier. Le BPA de 86 FCFA par action indique un bénéfice net par titre relativement faible, ce qui explique un PER de 57,8x, très supérieur à la moyenne du marché régional (8-12x). Les investisseurs paient donc un prix extrêmement élevé pour chaque unité de bénéfice, signe d'une anticipation de croissance future ou d'une spéculation marquée. Le P/B de 6,85x confirme cette prime, le marché valorisant l'action près de sept fois sa valeur comptable, un niveau exigeant qui laisse peu de marge d'erreur. Enfin, l'EV/EBITDA de 77,5x est également très élevé, indiquant que la valeur totale de l'entreprise est disproportionnée par rapport à sa capacité opérationnelle, ce qui impose une vigilance accrue.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SAFC a enregistré une baisse significative de 16,76%, avec une chute de 4,95% lors de la dernière séance, témoignant d'une pression vendeuse persistante. Le titre a évolué dans une fourchette très large, oscillant entre un plus haut de 7 555 FCFA et un plus bas de 3 340 FCFA, illustrant une volatilité extrême et une incertitude marquée. La moyenne du cours (4 815 FCFA) est supérieure à la médiane (4 505 FCFA), ce qui révèle une distribution asymétrique positive (skewness de 0,868), avec des journées sous la moyenne plus fréquentes mais des pics occasionnels. L'écart-type de 1 145 FCFA, soit un coefficient de variation de 23,8%, confirme une dispersion importante des prix, tandis que le kurtosis de -0,290 indique une distribution mésokurtique, sans risque de pics extrêmes particulier. La volatilité annualisée de 83,4% est très élevée, positionnant SAFC comme un actif spéculatif à haut risque, loin des standards de stabilité.</w:t>
      </w:r>
    </w:p>
    <w:p>
      <w:pPr>
        <w:spacing w:after="120" w:line="276" w:lineRule="auto" w:before="240"/>
      </w:pPr>
      <w:r>
        <w:rPr>
          <w:b/>
          <w:color w:val="003366"/>
          <w:sz w:val="24"/>
        </w:rPr>
        <w:t>**PARTIE 2 : ANALYSE TECHNIQUE DÉTAILLÉE**</w:t>
      </w:r>
    </w:p>
    <w:p>
      <w:pPr>
        <w:spacing w:after="120" w:line="276" w:lineRule="auto"/>
      </w:pPr>
      <w:r>
        <w:t>Les moyennes mobiles MM20 (4 766,75 FCFA) et MM50 (4 414,6 FCFA) sont toutes deux inférieures au cours actuel de 4 990 FCFA, ce qui génère un signal d'achat. Cette configuration haussière indique que la tendance de court terme est positive, le prix se maintenant au-dessus de ces niveaux de support dynamiques, suggérant un momentum favorable à moyen terme.</w:t>
      </w:r>
    </w:p>
    <w:p>
      <w:pPr>
        <w:spacing w:after="120" w:line="276" w:lineRule="auto"/>
      </w:pPr>
      <w:r>
        <w:t>Les bandes de Bollinger, avec une borne supérieure à 5 476,96 FCFA et une borne inférieure à 4 056,54 FCFA, encadrent un cours à 4 990 FCFA, positionné dans la moitié supérieure de l'enveloppe. Cette position neutre reflète une volatilité modérée, sans excès de surachat ni de survente, laissant place à une évolution directionnelle sans signal fort.</w:t>
      </w:r>
    </w:p>
    <w:p>
      <w:pPr>
        <w:spacing w:after="120" w:line="276" w:lineRule="auto"/>
      </w:pPr>
      <w:r>
        <w:t>Le MACD affiche une valeur de 214,10 contre un signal de 201,76, soit une divergence positive de 12,34 points. Ce croisement haussier indique un momentum positif en cours, avec une dynamique de prix qui se renforce, justifiant une décision d'achat pour les traders de court terme.</w:t>
      </w:r>
    </w:p>
    <w:p>
      <w:pPr>
        <w:spacing w:after="120" w:line="276" w:lineRule="auto"/>
      </w:pPr>
      <w:r>
        <w:t>Le RSI s'établit à 67,17, une valeur proche de la zone de surachat (70), mais encore en territoire neutre. Cette lecture suggère que le titre conserve un potentiel haussier, mais avec un risque croissant de correction si le niveau de 70 est franchi, d'où une position neutre prudente.</w:t>
      </w:r>
    </w:p>
    <w:p>
      <w:pPr>
        <w:spacing w:after="120" w:line="276" w:lineRule="auto"/>
      </w:pPr>
      <w:r>
        <w:t>Le stochastique, avec %K à 62,37 et %D à 74,18, montre un %D supérieur au %K, indiquant un croisement baissier potentiel. Cette configuration signale un essoufflement du momentum haussier, bien que les niveaux restent en zone neutre, justifiant une décision neutre avec une vigilance accrue.</w:t>
      </w:r>
    </w:p>
    <w:p>
      <w:pPr>
        <w:spacing w:after="120" w:line="276" w:lineRule="auto"/>
      </w:pPr>
      <w:r>
        <w:t>La convergence des indicateurs est mitigée : les moyennes mobiles et le MACD plaident pour un achat, tandis que le RSI et le stochastique suggèrent une prudence. Cette divergence entre signaux de tendance et de momentum implique une consolidation probable, avec un biais haussier à moyen terme mais un risque de correction à court terme.</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affiche un Produit Net Bancaire de 5,735 milliards FCFA, en hausse de 44% par rapport à 2024 (3,980 milliards FCFA), et un résultat net positif de 701 millions FCFA, contre une perte de 165 millions en 2024, marquant un retournement spectaculaire après huit années de déficit. Le ROE s'établit à 11,85%, en amélioration nette mais encore en dessous du seuil de 15% considéré comme excellent, tandis que le ROA est faible à 0,88%, reflétant une rentabilité des actifs limitée. Le coefficient d'exploitation de 77,63% reste élevé, indiquant une efficacité opérationnelle perfectible, et le coût du risque de 6,57% signale un portefeuille de crédits encore fragile. Les dépôts clientèle (9,112 milliards FCFA) sont largement inférieurs aux créances clientèle (60,476 milliards FCFA), créant une forte dépendance aux dettes interbancaires (35,747 milliards FCFA), un facteur de vulnérabilité. Sur la base du rapport T1 2026 (PNB de 1,395 milliards FCFA, +29%, et résultat net de 151 millions FCFA, +1062%), on estime que l'exercice 2026 pourrait voir un PNB annuel autour de 6,5 milliards FCFA et un résultat net dépassant 700 millions FCFA, confirmant la dynamique de redressement. Les rapports de 2025 (DeepSeek et Mistral) convergent vers une recommandation de conserver, soulignant la solidité du redressement mais aussi la nécessité de renforcer les fonds propres et de diversifier les ressources.</w:t>
      </w:r>
    </w:p>
    <w:p>
      <w:pPr>
        <w:spacing w:after="120" w:line="276" w:lineRule="auto" w:before="240"/>
      </w:pPr>
      <w:r>
        <w:rPr>
          <w:b/>
          <w:color w:val="003366"/>
          <w:sz w:val="24"/>
        </w:rPr>
        <w:t>**PARTIE 4 : CONCLUSION D'INVESTISSEMENT**</w:t>
      </w:r>
    </w:p>
    <w:p>
      <w:pPr>
        <w:spacing w:after="120" w:line="276" w:lineRule="auto"/>
      </w:pPr>
      <w:r>
        <w:t>La valorisation de SAFC est clairement surévaluée avec un PER de 57,8x, un P/B de 6,85x et un EV/EBITDA de 77,5x, tous très supérieurs aux normes du marché, ce qui pénalise l'attractivité du titre. Le comportement du cours, avec une baisse de 16,76% sur 100 jours et une volatilité annualisée de 83,4%, est préoccupant, bien que les statistiques montrent une distribution sans risque de pics extrêmes. Les signaux techniques sont mitigés : les moyennes mobiles et le MACD sont positifs, mais le RSI et le stochastique appellent à la prudence, suggérant une consolidation. Les fondamentaux, bien qu'en amélioration nette avec un retour à la rentabilité en 2025 et une croissance soutenue du PNB, restent fragiles avec un coefficient d'exploitation élevé et une dépendance aux dettes interbancaires. Les prédictions IA pour les 10 prochains jours indiquent une chute brutale de 4 616 FCFA à 3 379 FCFA, contredisant les signaux techniques haussiers et confirmant un risque baissier imminent. En synthèse, la convergence entre la surévaluation, la volatilité élevée, les signaux techniques divergents et les prédictions IA baissières conduit à une recommandation de **VENTE**, avec un niveau de confiance **Moyen** et un risque global **Élevé**. L'horizon d'investissement optimal est le **court terme** (moins de 3 mois), pour éviter une dépréciation potentielle du capital.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70.95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12,315 titres</w:t>
            </w:r>
          </w:p>
        </w:tc>
        <w:tc>
          <w:tcPr>
            <w:tcW w:type="dxa" w:w="2268"/>
            <w:shd w:fill="FFF2CC" w:val="clear"/>
          </w:tcPr>
          <w:p>
            <w:r>
              <w:rPr>
                <w:b/>
                <w:color w:val="503200"/>
                <w:sz w:val="16"/>
              </w:rPr>
              <w:t xml:space="preserve">Cours actuel : </w:t>
            </w:r>
            <w:r>
              <w:rPr>
                <w:color w:val="000000"/>
                <w:sz w:val="17"/>
              </w:rPr>
              <w:t>3,620 FCFA</w:t>
            </w:r>
          </w:p>
          <w:p>
            <w:r>
              <w:rPr>
                <w:b/>
                <w:color w:val="503200"/>
                <w:sz w:val="16"/>
              </w:rPr>
              <w:t xml:space="preserve">Var. 100 jours : </w:t>
            </w:r>
            <w:r>
              <w:rPr>
                <w:b/>
                <w:color w:val="007800"/>
                <w:sz w:val="17"/>
              </w:rPr>
              <w:t>+142.95%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1,455 FCFA</w:t>
            </w:r>
          </w:p>
          <w:p>
            <w:r>
              <w:rPr>
                <w:b/>
                <w:color w:val="503200"/>
                <w:sz w:val="16"/>
              </w:rPr>
              <w:t xml:space="preserve">Volatilité ann. : </w:t>
            </w:r>
            <w:r>
              <w:rPr>
                <w:color w:val="000000"/>
                <w:sz w:val="17"/>
              </w:rPr>
              <w:t>58.1%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27.86% (Élevée) — μ=2,672 FCFA, σ=744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β=0.3820 (Défensif) — Cov=0.000014, Var(idx)=0.000036, ρ=0.062,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12,315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5477"/>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3,165</w:t>
            </w:r>
          </w:p>
        </w:tc>
        <w:tc>
          <w:tcPr>
            <w:tcW w:type="dxa" w:w="1440"/>
            <w:shd w:fill="FFDCE0" w:val="clear"/>
          </w:tcPr>
          <w:p>
            <w:r>
              <w:rPr>
                <w:b/>
                <w:sz w:val="17"/>
              </w:rPr>
              <w:t>3,348</w:t>
            </w:r>
          </w:p>
        </w:tc>
        <w:tc>
          <w:tcPr>
            <w:tcW w:type="dxa" w:w="1440"/>
            <w:shd w:fill="FFDCE0" w:val="clear"/>
          </w:tcPr>
          <w:p>
            <w:r>
              <w:rPr>
                <w:sz w:val="17"/>
              </w:rPr>
              <w:t>3,532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2,858</w:t>
            </w:r>
          </w:p>
        </w:tc>
        <w:tc>
          <w:tcPr>
            <w:tcW w:type="dxa" w:w="1440"/>
            <w:shd w:fill="FFDCE0" w:val="clear"/>
          </w:tcPr>
          <w:p>
            <w:r>
              <w:rPr>
                <w:b/>
                <w:sz w:val="17"/>
              </w:rPr>
              <w:t>3,097</w:t>
            </w:r>
          </w:p>
        </w:tc>
        <w:tc>
          <w:tcPr>
            <w:tcW w:type="dxa" w:w="1440"/>
            <w:shd w:fill="FFDCE0" w:val="clear"/>
          </w:tcPr>
          <w:p>
            <w:r>
              <w:rPr>
                <w:sz w:val="17"/>
              </w:rPr>
              <w:t>3,337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2,594</w:t>
            </w:r>
          </w:p>
        </w:tc>
        <w:tc>
          <w:tcPr>
            <w:tcW w:type="dxa" w:w="1440"/>
            <w:shd w:fill="FFDCE0" w:val="clear"/>
          </w:tcPr>
          <w:p>
            <w:r>
              <w:rPr>
                <w:b/>
                <w:sz w:val="17"/>
              </w:rPr>
              <w:t>2,865</w:t>
            </w:r>
          </w:p>
        </w:tc>
        <w:tc>
          <w:tcPr>
            <w:tcW w:type="dxa" w:w="1440"/>
            <w:shd w:fill="FFDCE0" w:val="clear"/>
          </w:tcPr>
          <w:p>
            <w:r>
              <w:rPr>
                <w:sz w:val="17"/>
              </w:rPr>
              <w:t>3,136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2,360</w:t>
            </w:r>
          </w:p>
        </w:tc>
        <w:tc>
          <w:tcPr>
            <w:tcW w:type="dxa" w:w="1440"/>
            <w:shd w:fill="FFDCE0" w:val="clear"/>
          </w:tcPr>
          <w:p>
            <w:r>
              <w:rPr>
                <w:b/>
                <w:sz w:val="17"/>
              </w:rPr>
              <w:t>2,650</w:t>
            </w:r>
          </w:p>
        </w:tc>
        <w:tc>
          <w:tcPr>
            <w:tcW w:type="dxa" w:w="1440"/>
            <w:shd w:fill="FFDCE0" w:val="clear"/>
          </w:tcPr>
          <w:p>
            <w:r>
              <w:rPr>
                <w:sz w:val="17"/>
              </w:rPr>
              <w:t>2,940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2,152</w:t>
            </w:r>
          </w:p>
        </w:tc>
        <w:tc>
          <w:tcPr>
            <w:tcW w:type="dxa" w:w="1440"/>
            <w:shd w:fill="FFDCE0" w:val="clear"/>
          </w:tcPr>
          <w:p>
            <w:r>
              <w:rPr>
                <w:b/>
                <w:sz w:val="17"/>
              </w:rPr>
              <w:t>2,451</w:t>
            </w:r>
          </w:p>
        </w:tc>
        <w:tc>
          <w:tcPr>
            <w:tcW w:type="dxa" w:w="1440"/>
            <w:shd w:fill="FFDCE0" w:val="clear"/>
          </w:tcPr>
          <w:p>
            <w:r>
              <w:rPr>
                <w:sz w:val="17"/>
              </w:rPr>
              <w:t>2,751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1,964</w:t>
            </w:r>
          </w:p>
        </w:tc>
        <w:tc>
          <w:tcPr>
            <w:tcW w:type="dxa" w:w="1440"/>
            <w:shd w:fill="FFDCE0" w:val="clear"/>
          </w:tcPr>
          <w:p>
            <w:r>
              <w:rPr>
                <w:b/>
                <w:sz w:val="17"/>
              </w:rPr>
              <w:t>2,268</w:t>
            </w:r>
          </w:p>
        </w:tc>
        <w:tc>
          <w:tcPr>
            <w:tcW w:type="dxa" w:w="1440"/>
            <w:shd w:fill="FFDCE0" w:val="clear"/>
          </w:tcPr>
          <w:p>
            <w:r>
              <w:rPr>
                <w:sz w:val="17"/>
              </w:rPr>
              <w:t>2,571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1,794</w:t>
            </w:r>
          </w:p>
        </w:tc>
        <w:tc>
          <w:tcPr>
            <w:tcW w:type="dxa" w:w="1440"/>
            <w:shd w:fill="FFDCE0" w:val="clear"/>
          </w:tcPr>
          <w:p>
            <w:r>
              <w:rPr>
                <w:b/>
                <w:sz w:val="17"/>
              </w:rPr>
              <w:t>2,097</w:t>
            </w:r>
          </w:p>
        </w:tc>
        <w:tc>
          <w:tcPr>
            <w:tcW w:type="dxa" w:w="1440"/>
            <w:shd w:fill="FFDCE0" w:val="clear"/>
          </w:tcPr>
          <w:p>
            <w:r>
              <w:rPr>
                <w:sz w:val="17"/>
              </w:rPr>
              <w:t>2,401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1,640</w:t>
            </w:r>
          </w:p>
        </w:tc>
        <w:tc>
          <w:tcPr>
            <w:tcW w:type="dxa" w:w="1440"/>
            <w:shd w:fill="FFDCE0" w:val="clear"/>
          </w:tcPr>
          <w:p>
            <w:r>
              <w:rPr>
                <w:b/>
                <w:sz w:val="17"/>
              </w:rPr>
              <w:t>1,940</w:t>
            </w:r>
          </w:p>
        </w:tc>
        <w:tc>
          <w:tcPr>
            <w:tcW w:type="dxa" w:w="1440"/>
            <w:shd w:fill="FFDCE0" w:val="clear"/>
          </w:tcPr>
          <w:p>
            <w:r>
              <w:rPr>
                <w:sz w:val="17"/>
              </w:rPr>
              <w:t>2,240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1,500</w:t>
            </w:r>
          </w:p>
        </w:tc>
        <w:tc>
          <w:tcPr>
            <w:tcW w:type="dxa" w:w="1440"/>
            <w:shd w:fill="FFDCE0" w:val="clear"/>
          </w:tcPr>
          <w:p>
            <w:r>
              <w:rPr>
                <w:b/>
                <w:sz w:val="17"/>
              </w:rPr>
              <w:t>1,795</w:t>
            </w:r>
          </w:p>
        </w:tc>
        <w:tc>
          <w:tcPr>
            <w:tcW w:type="dxa" w:w="1440"/>
            <w:shd w:fill="FFDCE0" w:val="clear"/>
          </w:tcPr>
          <w:p>
            <w:r>
              <w:rPr>
                <w:sz w:val="17"/>
              </w:rPr>
              <w:t>2,089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1,373</w:t>
            </w:r>
          </w:p>
        </w:tc>
        <w:tc>
          <w:tcPr>
            <w:tcW w:type="dxa" w:w="1440"/>
            <w:shd w:fill="FFDCE0" w:val="clear"/>
          </w:tcPr>
          <w:p>
            <w:r>
              <w:rPr>
                <w:b/>
                <w:sz w:val="17"/>
              </w:rPr>
              <w:t>1,660</w:t>
            </w:r>
          </w:p>
        </w:tc>
        <w:tc>
          <w:tcPr>
            <w:tcW w:type="dxa" w:w="1440"/>
            <w:shd w:fill="FFDCE0" w:val="clear"/>
          </w:tcPr>
          <w:p>
            <w:r>
              <w:rPr>
                <w:sz w:val="17"/>
              </w:rPr>
              <w:t>1,947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70,95 milliards FCFA, un niveau significatif sur la BRVM qui place la société parmi les valeurs moyennes du marché. Le BPA est négatif à -406 FCFA, reflétant la perte nette de l'exercice 2025, ce qui rend le PER non pertinent à -8,9x ; les investisseurs ne paient donc pas pour des bénéfices actuels mais pour un potentiel de redressement. Le P/B de 4,11x indique que le marché valorise l'action bien au-dessus de sa valeur comptable, une prime exigeante qui traduit des anticipations de retour à la rentabilité. L'EV/EBITDA de 10,9x se situe dans la fourchette haute (10-15x), suggérant une valorisation élevée par rapport à la capacité opérationnelle de l'entreprise. Ces ratios, combinés à un BPA négatif, signalent une valorisation spéculative qui repose entièrement sur la réussite du plan de redressement.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variation totale spectaculaire de +142,95%, passant d'un plus bas de 1 455 FCFA à un plus haut de 3 920 FCFA, avec un cours actuel de 3 620 FCFA et une progression de +1,97% lors de la dernière séance. Cette tendance fortement haussière contraste avec la moyenne de 2 672 FCFA et la médiane de 2 772 FCFA, dont l'écart modéré suggère une distribution relativement symétrique, confirmée par un skewness de -0,042. L'écart-type de 748 FCFA et le coefficient de variation de 28% indiquent une dispersion modérée des cours autour de la moyenne, tandis que le kurtosis de -1,373 (platykurtique) révèle une distribution aplatie avec peu de valeurs extrêmes, donc un risque de pics limité. La volatilité annualisée de 58,1% classe le titre dans la catégorie des valeurs à très forte volatilité, ce qui représente un risque élevé pour les investisseurs mais aussi un potentiel de gains rapides.</w:t>
      </w:r>
    </w:p>
    <w:p>
      <w:pPr>
        <w:spacing w:after="120" w:line="276" w:lineRule="auto" w:before="240"/>
      </w:pPr>
      <w:r>
        <w:rPr>
          <w:b/>
          <w:color w:val="003366"/>
          <w:sz w:val="24"/>
        </w:rPr>
        <w:t>**PARTIE 2 : ANALYSE TECHNIQUE DÉTAILLÉE**</w:t>
      </w:r>
    </w:p>
    <w:p>
      <w:pPr>
        <w:spacing w:after="120" w:line="276" w:lineRule="auto"/>
      </w:pPr>
      <w:r>
        <w:t>**Moyennes Mobiles** : Le cours actuel de 3 620 FCFA se positionne au-dessus de la MM20 (3 622,5 FCFA) et nettement au-dessus de la MM50 (3 336,7 FCFA), indiquant une dynamique haussière à moyen terme. La proximité du cours avec la MM20 suggère un maintien de la tendance, et la décision d'achat est justifiée par la configuration positive des moyennes mobiles.</w:t>
      </w:r>
    </w:p>
    <w:p>
      <w:pPr>
        <w:spacing w:after="120" w:line="276" w:lineRule="auto"/>
      </w:pPr>
      <w:r>
        <w:t>**Bandes de Bollinger** : Le cours se situe à 3 620 FCFA, entre la borne supérieure de 3 864,65 FCFA et la borne inférieure de 3 380,35 FCFA, dans la partie médiane-haute des bandes. Cette position indique une volatilité normale sans surachat ni survente, justifiant une décision neutre, bien que la largeur des bandes reflète la forte volatilité du titre.</w:t>
      </w:r>
    </w:p>
    <w:p>
      <w:pPr>
        <w:spacing w:after="120" w:line="276" w:lineRule="auto"/>
      </w:pPr>
      <w:r>
        <w:t>**MACD** : Le MACD à 81,682 est inférieur à son signal à 112,161, indiquant une divergence baissière à court terme. Cette configuration suggère un momentum en perte de vitesse malgré la tendance haussière de fond, ce qui justifie la décision de vente à court terme.</w:t>
      </w:r>
    </w:p>
    <w:p>
      <w:pPr>
        <w:spacing w:after="120" w:line="276" w:lineRule="auto"/>
      </w:pPr>
      <w:r>
        <w:t>**RSI** : Le RSI à 45,05 se situe dans la zone neutre (30-70), indiquant un équilibre entre les forces acheteuses et vendeuses. Cette valeur ne signale ni surachat ni survente, justifiant une décision neutre et laissant place à une évolution dans les deux sens.</w:t>
      </w:r>
    </w:p>
    <w:p>
      <w:pPr>
        <w:spacing w:after="120" w:line="276" w:lineRule="auto"/>
      </w:pPr>
      <w:r>
        <w:t>**Stochastique** : Le %K à 40,984 est supérieur au %D à 28,415, indiquant un croisement haussier en cours de formation. Cette configuration suggère un potentiel de rebond à court terme, bien que les valeurs restent en zone neutre, justifiant une décision neutre.</w:t>
      </w:r>
    </w:p>
    <w:p>
      <w:pPr>
        <w:spacing w:after="120" w:line="276" w:lineRule="auto"/>
      </w:pPr>
      <w:r>
        <w:t>**Conclusion technique** : La convergence des indicateurs est mitigée : les moyennes mobiles soutiennent la tendance haussière, tandis que le MACD signale un essoufflement du momentum et le RSI reste neutre. Le stochastique suggère un possible rebond technique. Globalement, la tendance de fond reste positive mais le titre pourrait connaître une consolidation à court terme avant de poursuivre son mouvement haussier.</w:t>
      </w:r>
    </w:p>
    <w:p>
      <w:pPr>
        <w:spacing w:after="120" w:line="276" w:lineRule="auto" w:before="240"/>
      </w:pPr>
      <w:r>
        <w:rPr>
          <w:b/>
          <w:color w:val="003366"/>
          <w:sz w:val="24"/>
        </w:rPr>
        <w:t>**PARTIE 3 : ANALYSE FONDAMENTALE (SECTION CRITIQUE)**</w:t>
      </w:r>
    </w:p>
    <w:p>
      <w:pPr>
        <w:spacing w:after="120" w:line="276" w:lineRule="auto"/>
      </w:pPr>
      <w:r>
        <w:t>En 2025, SCRC a enregistré un chiffre d'affaires de 80,57 milliards FCFA, en baisse de 7,6% par rapport à 2024 (87,22 milliards FCFA), et un résultat net déficitaire de -7,95 milliards FCFA contre un bénéfice de 2,47 milliards FCFA en 2024, soit une dégradation de 421%. Le ROE s'effondre à -46,13% et le ROA à -5,08%, traduisant une destruction de valeur pour les actionnaires. En tant qu'entreprise industrielle, l'analyse du BFR est cruciale : le BFR s'établit à 6,53 milliards FCFA (positif, donc défavorable), avec un délai clients de 12,28 jours (acceptable) mais un délai fournisseurs de 366 jours (très favorable pour la trésorerie) et une durée de stockage de 360,73 jours (élevée, immobilisant du capital). L'endettement est préoccupant avec un ratio d'endettement de 88,98% et une capacité de remboursement de 11,21 ans, tandis que le fonds de roulement est négatif à -10,67 milliards FCFA, signalant des tensions de liquidité. Les rapports trimestriels 2025 confirment cette dégradation : le T1 2025 affichait un résultat net de 3,21 milliards FCFA (-32% vs T1 2024), mais le S1 2025 est passé en perte de -6,71 milliards FCFA, pénalisé par des coûts exceptionnels et un résultat d'exploitation négatif. Les rapports de 2025 recommandent tous la vente, soulignant l'explosion du coût de l'endettement (+262% à 6,79 milliards FCFA) et l'endettement long terme multiplié par 2,7 à 64,5 milliards FCFA. Les perspectives 2026 restent préoccupantes, la société devant impérativement restructurer sa dette et améliorer ses marges opérationnelles pour éviter une défaillance financière.</w:t>
      </w:r>
    </w:p>
    <w:p>
      <w:pPr>
        <w:spacing w:after="120" w:line="276" w:lineRule="auto" w:before="240"/>
      </w:pPr>
      <w:r>
        <w:rPr>
          <w:b/>
          <w:color w:val="003366"/>
          <w:sz w:val="24"/>
        </w:rPr>
        <w:t>**PARTIE 4 : CONCLUSION D'INVESTISSEMENT**</w:t>
      </w:r>
    </w:p>
    <w:p>
      <w:pPr>
        <w:spacing w:after="120" w:line="276" w:lineRule="auto"/>
      </w:pPr>
      <w:r>
        <w:t>La valorisation de SCRC est clairement surévaluée avec un PER négatif, un P/B de 4,11x et un EV/EBITDA de 10,9x, tandis que le comportement du cours montre une hausse spectaculaire de +142,95% sur 100 jours avec une volatilité très élevée de 58,1%, signe d'un mouvement spéculatif. Les signaux techniques sont mitigés : les moyennes mobiles sont haussières mais le MACD indique un essoufflement, et le RSI neutre ne confirme pas la tendance. Les fondamentaux sont très dégradés avec une perte nette de 7,95 milliards FCFA, un endettement critique et des tensions de liquidité, malgré des investissements massifs qui pourraient soutenir une reprise à moyen terme. Les prédictions IA pour les 10 prochains jours (de 3 348 FCFA à 2 451 FCFA) confirment une trajectoire baissière, contredisant la tendance récente et suggérant un retour de bâton. La convergence entre la surévaluation, la dégradation fondamentale et les prédictions baissières est forte. **Recommandation finale : VENTE FORTE**, avec un niveau de confiance Élevé, un risque global Élevé, et un horizon d'investissement optimal à court terme (&lt;3 mois) pour les investisseurs cherchant à sécuriser leurs gains, tandis que les investisseurs à long terme devraient attendre une stabilisation des fondamentaux et une restructuration réussie de la dette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1,036 titres</w:t>
            </w:r>
          </w:p>
        </w:tc>
        <w:tc>
          <w:tcPr>
            <w:tcW w:type="dxa" w:w="2268"/>
            <w:shd w:fill="FFF2CC" w:val="clear"/>
          </w:tcPr>
          <w:p>
            <w:r>
              <w:rPr>
                <w:b/>
                <w:color w:val="503200"/>
                <w:sz w:val="16"/>
              </w:rPr>
              <w:t xml:space="preserve">Cours actuel : </w:t>
            </w:r>
            <w:r>
              <w:rPr>
                <w:color w:val="000000"/>
                <w:sz w:val="17"/>
              </w:rPr>
              <w:t>11,890 FCFA</w:t>
            </w:r>
          </w:p>
          <w:p>
            <w:r>
              <w:rPr>
                <w:b/>
                <w:color w:val="503200"/>
                <w:sz w:val="16"/>
              </w:rPr>
              <w:t xml:space="preserve">Var. 100 jours : </w:t>
            </w:r>
            <w:r>
              <w:rPr>
                <w:b/>
                <w:color w:val="007800"/>
                <w:sz w:val="17"/>
              </w:rPr>
              <w:t>+51.56%</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24.5/100 → Moyen</w:t>
      </w:r>
    </w:p>
    <w:p>
      <w:pPr>
        <w:spacing w:before="40" w:after="80"/>
      </w:pPr>
      <w:r>
        <w:rPr>
          <w:rFonts w:ascii="Courier New" w:hAnsi="Courier New"/>
          <w:color w:val="825A00"/>
          <w:sz w:val="18"/>
        </w:rPr>
        <w:t>████░░░░░░░░░░░░░░░░  24.5/100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19.63% (Élevée) — μ=10,087 FCFA, σ=1,980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β=0.3738 (Défensif) — Cov=0.000014, Var(idx)=0.000036, ρ=0.098,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47/100  (Moyen)</w:t>
      </w:r>
    </w:p>
    <w:p/>
    <w:p>
      <w:pPr>
        <w:jc w:val="center"/>
      </w:pPr>
      <w:r>
        <w:drawing>
          <wp:inline xmlns:a="http://schemas.openxmlformats.org/drawingml/2006/main" xmlns:pic="http://schemas.openxmlformats.org/drawingml/2006/picture">
            <wp:extent cx="5669280" cy="2587289"/>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11,132</w:t>
            </w:r>
          </w:p>
        </w:tc>
        <w:tc>
          <w:tcPr>
            <w:tcW w:type="dxa" w:w="1440"/>
            <w:shd w:fill="FFDCE0" w:val="clear"/>
          </w:tcPr>
          <w:p>
            <w:r>
              <w:rPr>
                <w:b/>
                <w:sz w:val="17"/>
              </w:rPr>
              <w:t>11,510</w:t>
            </w:r>
          </w:p>
        </w:tc>
        <w:tc>
          <w:tcPr>
            <w:tcW w:type="dxa" w:w="1440"/>
            <w:shd w:fill="FFDCE0" w:val="clear"/>
          </w:tcPr>
          <w:p>
            <w:r>
              <w:rPr>
                <w:sz w:val="17"/>
              </w:rPr>
              <w:t>11,887</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10,866</w:t>
            </w:r>
          </w:p>
        </w:tc>
        <w:tc>
          <w:tcPr>
            <w:tcW w:type="dxa" w:w="1440"/>
            <w:shd w:fill="FFDCE0" w:val="clear"/>
          </w:tcPr>
          <w:p>
            <w:r>
              <w:rPr>
                <w:b/>
                <w:sz w:val="17"/>
              </w:rPr>
              <w:t>11,394</w:t>
            </w:r>
          </w:p>
        </w:tc>
        <w:tc>
          <w:tcPr>
            <w:tcW w:type="dxa" w:w="1440"/>
            <w:shd w:fill="FFDCE0" w:val="clear"/>
          </w:tcPr>
          <w:p>
            <w:r>
              <w:rPr>
                <w:sz w:val="17"/>
              </w:rPr>
              <w:t>11,923</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10,647</w:t>
            </w:r>
          </w:p>
        </w:tc>
        <w:tc>
          <w:tcPr>
            <w:tcW w:type="dxa" w:w="1440"/>
            <w:shd w:fill="FFDCE0" w:val="clear"/>
          </w:tcPr>
          <w:p>
            <w:r>
              <w:rPr>
                <w:b/>
                <w:sz w:val="17"/>
              </w:rPr>
              <w:t>11,288</w:t>
            </w:r>
          </w:p>
        </w:tc>
        <w:tc>
          <w:tcPr>
            <w:tcW w:type="dxa" w:w="1440"/>
            <w:shd w:fill="FFDCE0" w:val="clear"/>
          </w:tcPr>
          <w:p>
            <w:r>
              <w:rPr>
                <w:sz w:val="17"/>
              </w:rPr>
              <w:t>11,928</w:t>
            </w:r>
          </w:p>
        </w:tc>
        <w:tc>
          <w:tcPr>
            <w:tcW w:type="dxa" w:w="1440"/>
            <w:shd w:fill="FFDCE0" w:val="clear"/>
          </w:tcPr>
          <w:p>
            <w:r>
              <w:rPr>
                <w:b/>
                <w:color w:val="C00000"/>
                <w:sz w:val="17"/>
              </w:rPr>
              <w:t>-5.1%</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10,453</w:t>
            </w:r>
          </w:p>
        </w:tc>
        <w:tc>
          <w:tcPr>
            <w:tcW w:type="dxa" w:w="1440"/>
            <w:shd w:fill="FFDCE0" w:val="clear"/>
          </w:tcPr>
          <w:p>
            <w:r>
              <w:rPr>
                <w:b/>
                <w:sz w:val="17"/>
              </w:rPr>
              <w:t>11,187</w:t>
            </w:r>
          </w:p>
        </w:tc>
        <w:tc>
          <w:tcPr>
            <w:tcW w:type="dxa" w:w="1440"/>
            <w:shd w:fill="FFDCE0" w:val="clear"/>
          </w:tcPr>
          <w:p>
            <w:r>
              <w:rPr>
                <w:sz w:val="17"/>
              </w:rPr>
              <w:t>11,920</w:t>
            </w:r>
          </w:p>
        </w:tc>
        <w:tc>
          <w:tcPr>
            <w:tcW w:type="dxa" w:w="1440"/>
            <w:shd w:fill="FFDCE0" w:val="clear"/>
          </w:tcPr>
          <w:p>
            <w:r>
              <w:rPr>
                <w:b/>
                <w:color w:val="C00000"/>
                <w:sz w:val="17"/>
              </w:rPr>
              <w:t>-5.9%</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10,279</w:t>
            </w:r>
          </w:p>
        </w:tc>
        <w:tc>
          <w:tcPr>
            <w:tcW w:type="dxa" w:w="1440"/>
            <w:shd w:fill="FFDCE0" w:val="clear"/>
          </w:tcPr>
          <w:p>
            <w:r>
              <w:rPr>
                <w:b/>
                <w:sz w:val="17"/>
              </w:rPr>
              <w:t>11,092</w:t>
            </w:r>
          </w:p>
        </w:tc>
        <w:tc>
          <w:tcPr>
            <w:tcW w:type="dxa" w:w="1440"/>
            <w:shd w:fill="FFDCE0" w:val="clear"/>
          </w:tcPr>
          <w:p>
            <w:r>
              <w:rPr>
                <w:sz w:val="17"/>
              </w:rPr>
              <w:t>11,905</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10,119</w:t>
            </w:r>
          </w:p>
        </w:tc>
        <w:tc>
          <w:tcPr>
            <w:tcW w:type="dxa" w:w="1440"/>
            <w:shd w:fill="FFDCE0" w:val="clear"/>
          </w:tcPr>
          <w:p>
            <w:r>
              <w:rPr>
                <w:b/>
                <w:sz w:val="17"/>
              </w:rPr>
              <w:t>11,003</w:t>
            </w:r>
          </w:p>
        </w:tc>
        <w:tc>
          <w:tcPr>
            <w:tcW w:type="dxa" w:w="1440"/>
            <w:shd w:fill="FFDCE0" w:val="clear"/>
          </w:tcPr>
          <w:p>
            <w:r>
              <w:rPr>
                <w:sz w:val="17"/>
              </w:rPr>
              <w:t>11,886</w:t>
            </w:r>
          </w:p>
        </w:tc>
        <w:tc>
          <w:tcPr>
            <w:tcW w:type="dxa" w:w="1440"/>
            <w:shd w:fill="FFDCE0" w:val="clear"/>
          </w:tcPr>
          <w:p>
            <w:r>
              <w:rPr>
                <w:b/>
                <w:color w:val="C00000"/>
                <w:sz w:val="17"/>
              </w:rPr>
              <w:t>-7.5%</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9,973</w:t>
            </w:r>
          </w:p>
        </w:tc>
        <w:tc>
          <w:tcPr>
            <w:tcW w:type="dxa" w:w="1440"/>
            <w:shd w:fill="FFDCE0" w:val="clear"/>
          </w:tcPr>
          <w:p>
            <w:r>
              <w:rPr>
                <w:b/>
                <w:sz w:val="17"/>
              </w:rPr>
              <w:t>10,920</w:t>
            </w:r>
          </w:p>
        </w:tc>
        <w:tc>
          <w:tcPr>
            <w:tcW w:type="dxa" w:w="1440"/>
            <w:shd w:fill="FFDCE0" w:val="clear"/>
          </w:tcPr>
          <w:p>
            <w:r>
              <w:rPr>
                <w:sz w:val="17"/>
              </w:rPr>
              <w:t>11,867</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9,837</w:t>
            </w:r>
          </w:p>
        </w:tc>
        <w:tc>
          <w:tcPr>
            <w:tcW w:type="dxa" w:w="1440"/>
            <w:shd w:fill="FFDCE0" w:val="clear"/>
          </w:tcPr>
          <w:p>
            <w:r>
              <w:rPr>
                <w:b/>
                <w:sz w:val="17"/>
              </w:rPr>
              <w:t>10,842</w:t>
            </w:r>
          </w:p>
        </w:tc>
        <w:tc>
          <w:tcPr>
            <w:tcW w:type="dxa" w:w="1440"/>
            <w:shd w:fill="FFDCE0" w:val="clear"/>
          </w:tcPr>
          <w:p>
            <w:r>
              <w:rPr>
                <w:sz w:val="17"/>
              </w:rPr>
              <w:t>11,847</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9,710</w:t>
            </w:r>
          </w:p>
        </w:tc>
        <w:tc>
          <w:tcPr>
            <w:tcW w:type="dxa" w:w="1440"/>
            <w:shd w:fill="FFDCE0" w:val="clear"/>
          </w:tcPr>
          <w:p>
            <w:r>
              <w:rPr>
                <w:b/>
                <w:sz w:val="17"/>
              </w:rPr>
              <w:t>10,769</w:t>
            </w:r>
          </w:p>
        </w:tc>
        <w:tc>
          <w:tcPr>
            <w:tcW w:type="dxa" w:w="1440"/>
            <w:shd w:fill="FFDCE0" w:val="clear"/>
          </w:tcPr>
          <w:p>
            <w:r>
              <w:rPr>
                <w:sz w:val="17"/>
              </w:rPr>
              <w:t>11,828</w:t>
            </w:r>
          </w:p>
        </w:tc>
        <w:tc>
          <w:tcPr>
            <w:tcW w:type="dxa" w:w="1440"/>
            <w:shd w:fill="FFDCE0" w:val="clear"/>
          </w:tcPr>
          <w:p>
            <w:r>
              <w:rPr>
                <w:b/>
                <w:color w:val="C00000"/>
                <w:sz w:val="17"/>
              </w:rPr>
              <w:t>-9.4%</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9,592</w:t>
            </w:r>
          </w:p>
        </w:tc>
        <w:tc>
          <w:tcPr>
            <w:tcW w:type="dxa" w:w="1440"/>
            <w:shd w:fill="FFDCE0" w:val="clear"/>
          </w:tcPr>
          <w:p>
            <w:r>
              <w:rPr>
                <w:b/>
                <w:sz w:val="17"/>
              </w:rPr>
              <w:t>10,701</w:t>
            </w:r>
          </w:p>
        </w:tc>
        <w:tc>
          <w:tcPr>
            <w:tcW w:type="dxa" w:w="1440"/>
            <w:shd w:fill="FFDCE0" w:val="clear"/>
          </w:tcPr>
          <w:p>
            <w:r>
              <w:rPr>
                <w:sz w:val="17"/>
              </w:rPr>
              <w:t>11,811</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107,01 milliards FCFA positionne SDCC comme une valeur de taille moyenne sur la BRVM, représentative d'un actif stratégique dans le secteur de l'eau en Côte d'Ivoire. Avec un BPA de 518 FCFA, le titre affiche un PER de 23,0x, nettement supérieur à la moyenne historique du marché BRVM (8-12x), ce qui traduit une prime de valorisation significative, probablement justifiée par les attentes de croissance du marché de l'eau. Le P/B de 5,43x confirme cette lecture, indiquant que le marché valorise l'actif bien au-delà de sa valeur comptable, une situation exigeante qui reflète la confiance des investisseurs dans la rentabilité future. Enfin, l'EV/EBITDA de 14,4x se situe dans la fourchette haute des standards, signalant que la valeur d'entreprise intègre déjà une capacité opérationnelle solide, mais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+51,56%, passant d'un plus bas de 7 140 FCFA à un plus haut de 12 195 FCFA, avec un cours actuel de 11 890 FCFA, soit une légère baisse de -0,08% lors de la dernière séance. La moyenne du cours sur la période (10 087 FCFA) est inférieure à la médiane (11 072 FCFA), ce qui révèle une asymétrie positive dans la distribution des prix, la majorité des séances s'étant tenues à des niveaux élevés après une forte accélération. L'écart-type de 1 990 FCFA, avec un coefficient de variation de 19,7%, indique une dispersion modérée, tandis que le kurtosis de -1,587 (distribution platykurtique) suggère une absence de pics extrêmes, et le skewness de -0,425 confirme une distribution relativement symétrique. La volatilité annualisée de 36,1% classe le titre dans la catégorie élevée, signalant un risque de marché important mais aussi un potentiel de rendement substantiel pour les investisseurs tolérants au risque.</w:t>
      </w:r>
    </w:p>
    <w:p>
      <w:pPr>
        <w:spacing w:after="120" w:line="276" w:lineRule="auto" w:before="240"/>
      </w:pPr>
      <w:r>
        <w:rPr>
          <w:b/>
          <w:color w:val="003366"/>
          <w:sz w:val="24"/>
        </w:rPr>
        <w:t>**PARTIE 2 : ANALYSE TECHNIQUE DÉTAILLÉE**</w:t>
      </w:r>
    </w:p>
    <w:p>
      <w:pPr>
        <w:spacing w:after="120" w:line="276" w:lineRule="auto"/>
      </w:pPr>
      <w:r>
        <w:t>Les moyennes mobiles sur 20 jours (11 709 FCFA) et 50 jours (11 794 FCFA) sont toutes deux inférieures au cours actuel de 11 890 FCFA, indiquant une tendance haussière de fond, mais la décision de vente suggère un essoufflement à court terme, le prix peinant à se maintenir au-dessus de ces niveaux clés. Les bandes de Bollinger, avec une borne supérieure à 12 259 FCFA et une borne inférieure à 11 158 FCFA, encadrent le cours dans une fourchette relativement étroite, et la position neutre du prix près de la moyenne signale une phase de consolidation après la forte hausse, avec une volatilité qui se normalise. Le MACD, avec une valeur de 32,975 inférieure à son signal de 42,112, montre un momentum baissier en cours de formation, suggérant que la dynamique haussière s'affaiblit et que les vendeurs prennent progressivement le contrôle. Le RSI à 49,734 se situe en zone neutre, indiquant un équilibre entre pression acheteuse et vendeuse, sans signal de surachat ni de survente, ce qui laisse place à une évolution directionnelle. Le stochastique, avec %K à 85,965 et %D à 62,87, montre que le %K a dépassé la zone de surachat et croise sous le %D, un signal de vente précoce qui suggère un potentiel de correction à très court terme. La convergence des signaux de vente sur les moyennes mobiles, le MACD et le stochastique, contrastant avec la neutralité du RSI et des bandes de Bollinger, indique une phase de consolidation baissière probable, mais sans cassure majeure, le titre restant dans un canal haussier de moyen terme.</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croissance de 9,98%, avec un résultat net de 4,663 milliards FCFA, en hausse de 31% par rapport à 2024, et une marge nette de 2,46%. Le ROE de 23,65% est excellent, démontrant une utilisation très efficace des capitaux propres, tandis que le ROA de 0,99% reste faible, reflétant la lourdeur du bilan (472,672 milliards FCFA) et la nature capitalistique du secteur. En tant qu'entreprise non bancaire, l'analyse des délais clients est cruciale : le délai de 749 jours est extrêmement élevé, représentant un risque majeur de trésorerie, bien que le BFR de 104,748 milliards FCFA soit positif, indiquant un besoin de financement structurel. La structure financière montre une autonomie financière très faible (4,17%) avec un ratio d'endettement de 95,83%, mais la solvabilité générale de 104,35% et la couverture des intérêts de 1583% rassurent sur la capacité à honorer les dettes. Les rapports trimestriels confirment une dynamique contrastée : le T1 2025 (rapport daté de 2025) montrait un CA de 41,6 milliards FCFA (+8%) et un RN de 604 millions FCFA (+17%), tandis que le S1 2025 (rapport daté de 2025) affichait une quasi-stabilité du CA à 82,3 milliards FCFA (-0,4%) et un RN en baisse de -24% à 1,355 milliard FCFA. Cependant, le rapport T1 2026 (daté de 2026) révèle une amélioration spectaculaire avec un RN de 1,318 milliard FCFA (+118%), porté par un résultat d'exploitation multiplié par 2,5, suggérant que l'exercice 2026 pourrait dépasser les performances de 2025. Le dividende proposé de 525 FCFA par action pour 2025 offre un rendement d'environ 4,4% au cours actuel, un élément attractif pour les investisseurs de long terme.</w:t>
      </w:r>
    </w:p>
    <w:p>
      <w:pPr>
        <w:spacing w:after="120" w:line="276" w:lineRule="auto" w:before="240"/>
      </w:pPr>
      <w:r>
        <w:rPr>
          <w:b/>
          <w:color w:val="003366"/>
          <w:sz w:val="24"/>
        </w:rPr>
        <w:t>**PARTIE 4 : CONCLUSION D'INVESTISSEMENT**</w:t>
      </w:r>
    </w:p>
    <w:p>
      <w:pPr>
        <w:spacing w:after="120" w:line="276" w:lineRule="auto"/>
      </w:pPr>
      <w:r>
        <w:t>La valorisation de SDCC, avec un PER de 23,0x et un P/B de 5,43x, indique une surévaluation relative par rapport au marché BRVM, mais elle est partiellement justifiée par la position monopolistique de l'entreprise et ses perspectives de croissance. Le comportement du cours, avec une hausse de +51,56% sur 100 jours et une volatilité élevée de 36,1%, reflète un optimisme marqué des investisseurs, bien que les statistiques descriptives (kurtosis platykurtique, skewness légèrement négatif) suggèrent un risque de consolidation. Les signaux techniques sont majoritairement vendeurs à court terme (MM, MACD, Stochastique), indiquant une probable phase de correction, mais la tendance de fond reste haussière. Les fondamentaux solides, avec un ROE de 23,65% et une croissance du RN de 31% en 2025, renforcés par les estimations T1 2026 (+118% du RN), soutiennent une vision positive à moyen terme. Les prédictions IA, projetant une baisse progressive vers 11 092 FCFA sur 10 jours, confirment le scénario de correction technique à court terme. La convergence entre les signaux techniques baissiers à court terme et les fondamentaux solides à moyen terme justifie une recommandation de **CONSERVER**, avec un niveau de confiance **Moyen** et un risque global **Élevé**. L'horizon d'investissement optimal serait le **moyen terme (3-12 mois)**, en attendant une stabilisation du cours pour renforcer la position, tout en capitalisant sur le dividende attractif de 525 FCFA par action.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140.72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16,481 titres</w:t>
            </w:r>
          </w:p>
        </w:tc>
        <w:tc>
          <w:tcPr>
            <w:tcW w:type="dxa" w:w="2268"/>
            <w:shd w:fill="FFF2CC" w:val="clear"/>
          </w:tcPr>
          <w:p>
            <w:r>
              <w:rPr>
                <w:b/>
                <w:color w:val="503200"/>
                <w:sz w:val="16"/>
              </w:rPr>
              <w:t xml:space="preserve">Cours actuel : </w:t>
            </w:r>
            <w:r>
              <w:rPr>
                <w:color w:val="000000"/>
                <w:sz w:val="17"/>
              </w:rPr>
              <w:t>2,585 FCFA</w:t>
            </w:r>
          </w:p>
          <w:p>
            <w:r>
              <w:rPr>
                <w:b/>
                <w:color w:val="503200"/>
                <w:sz w:val="16"/>
              </w:rPr>
              <w:t xml:space="preserve">Var. 100 jours : </w:t>
            </w:r>
            <w:r>
              <w:rPr>
                <w:b/>
                <w:color w:val="007800"/>
                <w:sz w:val="17"/>
              </w:rPr>
              <w:t>+30.56%</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16.51% (Élevée) — μ=2,115 FCFA, σ=349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β=0.0004 (Défensif) — Cov=0.000000, Var(idx)=0.000036, ρ=0.000,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16,481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181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2026-08-11</w:t>
            </w:r>
          </w:p>
        </w:tc>
        <w:tc>
          <w:tcPr>
            <w:tcW w:type="dxa" w:w="1440"/>
            <w:shd w:fill="FAFAFA" w:val="clear"/>
          </w:tcPr>
          <w:p>
            <w:r>
              <w:rPr>
                <w:sz w:val="17"/>
              </w:rPr>
              <w:t>2,400</w:t>
            </w:r>
          </w:p>
        </w:tc>
        <w:tc>
          <w:tcPr>
            <w:tcW w:type="dxa" w:w="1440"/>
            <w:shd w:fill="FAFAFA" w:val="clear"/>
          </w:tcPr>
          <w:p>
            <w:r>
              <w:rPr>
                <w:b/>
                <w:sz w:val="17"/>
              </w:rPr>
              <w:t>2,560</w:t>
            </w:r>
          </w:p>
        </w:tc>
        <w:tc>
          <w:tcPr>
            <w:tcW w:type="dxa" w:w="1440"/>
            <w:shd w:fill="FAFAFA" w:val="clear"/>
          </w:tcPr>
          <w:p>
            <w:r>
              <w:rPr>
                <w:sz w:val="17"/>
              </w:rPr>
              <w:t>2,720</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2026-08-12</w:t>
            </w:r>
          </w:p>
        </w:tc>
        <w:tc>
          <w:tcPr>
            <w:tcW w:type="dxa" w:w="1440"/>
            <w:shd w:fill="FAFAFA" w:val="clear"/>
          </w:tcPr>
          <w:p>
            <w:r>
              <w:rPr>
                <w:sz w:val="17"/>
              </w:rPr>
              <w:t>2,310</w:t>
            </w:r>
          </w:p>
        </w:tc>
        <w:tc>
          <w:tcPr>
            <w:tcW w:type="dxa" w:w="1440"/>
            <w:shd w:fill="FAFAFA" w:val="clear"/>
          </w:tcPr>
          <w:p>
            <w:r>
              <w:rPr>
                <w:b/>
                <w:sz w:val="17"/>
              </w:rPr>
              <w:t>2,534</w:t>
            </w:r>
          </w:p>
        </w:tc>
        <w:tc>
          <w:tcPr>
            <w:tcW w:type="dxa" w:w="1440"/>
            <w:shd w:fill="FAFAFA" w:val="clear"/>
          </w:tcPr>
          <w:p>
            <w:r>
              <w:rPr>
                <w:sz w:val="17"/>
              </w:rPr>
              <w:t>2,759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2,240</w:t>
            </w:r>
          </w:p>
        </w:tc>
        <w:tc>
          <w:tcPr>
            <w:tcW w:type="dxa" w:w="1440"/>
            <w:shd w:fill="FFDCE0" w:val="clear"/>
          </w:tcPr>
          <w:p>
            <w:r>
              <w:rPr>
                <w:b/>
                <w:sz w:val="17"/>
              </w:rPr>
              <w:t>2,513</w:t>
            </w:r>
          </w:p>
        </w:tc>
        <w:tc>
          <w:tcPr>
            <w:tcW w:type="dxa" w:w="1440"/>
            <w:shd w:fill="FFDCE0" w:val="clear"/>
          </w:tcPr>
          <w:p>
            <w:r>
              <w:rPr>
                <w:sz w:val="17"/>
              </w:rPr>
              <w:t>2,786</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2,183</w:t>
            </w:r>
          </w:p>
        </w:tc>
        <w:tc>
          <w:tcPr>
            <w:tcW w:type="dxa" w:w="1440"/>
            <w:shd w:fill="FFDCE0" w:val="clear"/>
          </w:tcPr>
          <w:p>
            <w:r>
              <w:rPr>
                <w:b/>
                <w:sz w:val="17"/>
              </w:rPr>
              <w:t>2,495</w:t>
            </w:r>
          </w:p>
        </w:tc>
        <w:tc>
          <w:tcPr>
            <w:tcW w:type="dxa" w:w="1440"/>
            <w:shd w:fill="FFDCE0" w:val="clear"/>
          </w:tcPr>
          <w:p>
            <w:r>
              <w:rPr>
                <w:sz w:val="17"/>
              </w:rPr>
              <w:t>2,808</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2,132</w:t>
            </w:r>
          </w:p>
        </w:tc>
        <w:tc>
          <w:tcPr>
            <w:tcW w:type="dxa" w:w="1440"/>
            <w:shd w:fill="FFDCE0" w:val="clear"/>
          </w:tcPr>
          <w:p>
            <w:r>
              <w:rPr>
                <w:b/>
                <w:sz w:val="17"/>
              </w:rPr>
              <w:t>2,479</w:t>
            </w:r>
          </w:p>
        </w:tc>
        <w:tc>
          <w:tcPr>
            <w:tcW w:type="dxa" w:w="1440"/>
            <w:shd w:fill="FFDCE0" w:val="clear"/>
          </w:tcPr>
          <w:p>
            <w:r>
              <w:rPr>
                <w:sz w:val="17"/>
              </w:rPr>
              <w:t>2,826</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2,086</w:t>
            </w:r>
          </w:p>
        </w:tc>
        <w:tc>
          <w:tcPr>
            <w:tcW w:type="dxa" w:w="1440"/>
            <w:shd w:fill="FFDCE0" w:val="clear"/>
          </w:tcPr>
          <w:p>
            <w:r>
              <w:rPr>
                <w:b/>
                <w:sz w:val="17"/>
              </w:rPr>
              <w:t>2,463</w:t>
            </w:r>
          </w:p>
        </w:tc>
        <w:tc>
          <w:tcPr>
            <w:tcW w:type="dxa" w:w="1440"/>
            <w:shd w:fill="FFDCE0" w:val="clear"/>
          </w:tcPr>
          <w:p>
            <w:r>
              <w:rPr>
                <w:sz w:val="17"/>
              </w:rPr>
              <w:t>2,841</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2,043</w:t>
            </w:r>
          </w:p>
        </w:tc>
        <w:tc>
          <w:tcPr>
            <w:tcW w:type="dxa" w:w="1440"/>
            <w:shd w:fill="FFDCE0" w:val="clear"/>
          </w:tcPr>
          <w:p>
            <w:r>
              <w:rPr>
                <w:b/>
                <w:sz w:val="17"/>
              </w:rPr>
              <w:t>2,449</w:t>
            </w:r>
          </w:p>
        </w:tc>
        <w:tc>
          <w:tcPr>
            <w:tcW w:type="dxa" w:w="1440"/>
            <w:shd w:fill="FFDCE0" w:val="clear"/>
          </w:tcPr>
          <w:p>
            <w:r>
              <w:rPr>
                <w:sz w:val="17"/>
              </w:rPr>
              <w:t>2,855</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2,003</w:t>
            </w:r>
          </w:p>
        </w:tc>
        <w:tc>
          <w:tcPr>
            <w:tcW w:type="dxa" w:w="1440"/>
            <w:shd w:fill="FFDCE0" w:val="clear"/>
          </w:tcPr>
          <w:p>
            <w:r>
              <w:rPr>
                <w:b/>
                <w:sz w:val="17"/>
              </w:rPr>
              <w:t>2,434</w:t>
            </w:r>
          </w:p>
        </w:tc>
        <w:tc>
          <w:tcPr>
            <w:tcW w:type="dxa" w:w="1440"/>
            <w:shd w:fill="FFDCE0" w:val="clear"/>
          </w:tcPr>
          <w:p>
            <w:r>
              <w:rPr>
                <w:sz w:val="17"/>
              </w:rPr>
              <w:t>2,866</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1,966</w:t>
            </w:r>
          </w:p>
        </w:tc>
        <w:tc>
          <w:tcPr>
            <w:tcW w:type="dxa" w:w="1440"/>
            <w:shd w:fill="FFDCE0" w:val="clear"/>
          </w:tcPr>
          <w:p>
            <w:r>
              <w:rPr>
                <w:b/>
                <w:sz w:val="17"/>
              </w:rPr>
              <w:t>2,421</w:t>
            </w:r>
          </w:p>
        </w:tc>
        <w:tc>
          <w:tcPr>
            <w:tcW w:type="dxa" w:w="1440"/>
            <w:shd w:fill="FFDCE0" w:val="clear"/>
          </w:tcPr>
          <w:p>
            <w:r>
              <w:rPr>
                <w:sz w:val="17"/>
              </w:rPr>
              <w:t>2,875</w:t>
            </w:r>
          </w:p>
        </w:tc>
        <w:tc>
          <w:tcPr>
            <w:tcW w:type="dxa" w:w="1440"/>
            <w:shd w:fill="FFDCE0" w:val="clear"/>
          </w:tcPr>
          <w:p>
            <w:r>
              <w:rPr>
                <w:b/>
                <w:color w:val="C00000"/>
                <w:sz w:val="17"/>
              </w:rPr>
              <w:t>-6.4%</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1,930</w:t>
            </w:r>
          </w:p>
        </w:tc>
        <w:tc>
          <w:tcPr>
            <w:tcW w:type="dxa" w:w="1440"/>
            <w:shd w:fill="FFDCE0" w:val="clear"/>
          </w:tcPr>
          <w:p>
            <w:r>
              <w:rPr>
                <w:b/>
                <w:sz w:val="17"/>
              </w:rPr>
              <w:t>2,407</w:t>
            </w:r>
          </w:p>
        </w:tc>
        <w:tc>
          <w:tcPr>
            <w:tcW w:type="dxa" w:w="1440"/>
            <w:shd w:fill="FFDCE0" w:val="clear"/>
          </w:tcPr>
          <w:p>
            <w:r>
              <w:rPr>
                <w:sz w:val="17"/>
              </w:rPr>
              <w:t>2,884</w:t>
            </w:r>
          </w:p>
        </w:tc>
        <w:tc>
          <w:tcPr>
            <w:tcW w:type="dxa" w:w="1440"/>
            <w:shd w:fill="FFDCE0" w:val="clear"/>
          </w:tcPr>
          <w:p>
            <w:r>
              <w:rPr>
                <w:b/>
                <w:color w:val="C00000"/>
                <w:sz w:val="17"/>
              </w:rPr>
              <w:t>-6.9%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140,72 milliards FCFA, un niveau qui la positionne parmi les valeurs moyennes à grandes capitalisations de la BRVM. Avec un BPA de 387 FCFA, le titre se négocie à un PER de 6,7x, nettement inférieur à la moyenne du marché (8-12x), ce qui suggère une sous-évaluation relative du titre par rapport à ses bénéfices historiques. Le P/B de 1,81x indique que le marché valorise la société à près de deux fois sa valeur comptable, une valorisation raisonnable pour une entreprise avec un ROE de 27%. En revanche, l'EV/EBITDA de 30,3x est très exigeant, signalant que la valeur totale de l'entreprise (capitalisation + dettes) est élevée par rapport à sa capacité opérationnelle brute, ce qui tempère l'attrait du PER et reflète les inquiétudes du marché sur la qualité des bénéfices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+30,56%, avec une dernière séance en hausse de +2,17% à 2 585 FCFA. Le titre a évolué dans une fourchette très large, entre un plus bas de 1 650 FCFA et un plus haut de 2 820 FCFA, démontrant une forte dynamique haussière sur la période. La moyenne du cours (2 115 FCFA) est nettement supérieure à la médiane (1 980 FCFA), et le skewness positif de 0,548 confirme une asymétrie avec des journées plus fréquentes sous la moyenne, mais des mouvements de hausse plus amples. L'écart-type de 351 FCFA (CV de 16,6%) indique une dispersion modérée, tandis que le kurtosis négatif (-1,094) suggère une distribution aplatie, sans pics de variation extrêmes. La volatilité annualisée de 51,5% classe le titre comme très volatil, un niveau élevé qui implique un risque significatif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(2 627 FCFA) est supérieure à la MM50 (2 400 FCFA), et le cours actuel (2 585 FCFA) se situe entre les deux, juste sous la MM20. Cette configuration indique une tendance haussière de moyen terme, avec un léger repli à court terme. La décision d'achat est justifiée par la pente positive de la MM50 et le croisement haussier des moyennes.</w:t>
      </w:r>
    </w:p>
    <w:p>
      <w:pPr>
        <w:spacing w:after="120" w:line="276" w:lineRule="auto"/>
      </w:pPr>
      <w:r>
        <w:t>**Bandes de Bollinger :** Le prix se situe à 2 585 FCFA, entre la borne inférieure (2 291 FCFA) et la borne supérieure (2 963 FCFA), plus près du milieu de la bande. La décision neutre est cohérente : le titre n'est ni suracheté ni survendu, et la volatilité récente semble se normaliser après les fortes fluctuations passées.</w:t>
      </w:r>
    </w:p>
    <w:p>
      <w:pPr>
        <w:spacing w:after="120" w:line="276" w:lineRule="auto"/>
      </w:pPr>
      <w:r>
        <w:t>**MACD :** Le MACD (46,9) est inférieur à son signal (86,0), indiquant un momentum baissier à court terme. Cette divergence négative suggère un ralentissement de la dynamique haussière, justifiant la décision de vente. Les investisseurs devraient surveiller un éventuel croisement haussier pour confirmer un retour du momentum.</w:t>
      </w:r>
    </w:p>
    <w:p>
      <w:pPr>
        <w:spacing w:after="120" w:line="276" w:lineRule="auto"/>
      </w:pPr>
      <w:r>
        <w:t>**RSI :** À 37,4, le RSI est en zone neutre, proche du seuil de survente (30). Cela indique que le titre n'est ni suracheté ni survendu, avec une pression vendeuse modérée. La décision neutre est appropriée, mais un passage sous 30 signalerait une opportunité d'achat potentielle.</w:t>
      </w:r>
    </w:p>
    <w:p>
      <w:pPr>
        <w:spacing w:after="120" w:line="276" w:lineRule="auto"/>
      </w:pPr>
      <w:r>
        <w:t>**Stochastique :** Le %K (52,9) est au-dessus du %D (30,2), suggérant un croisement haussier en cours. Cette configuration indique un potentiel de rebond à court terme, mais la prudence reste de mise tant que le %K ne dépasse pas 80. La décision neutre reflète cette incertitude.</w:t>
      </w:r>
    </w:p>
    <w:p>
      <w:pPr>
        <w:spacing w:after="120" w:line="276" w:lineRule="auto"/>
      </w:pPr>
      <w:r>
        <w:t>**Conclusion technique :** Les indicateurs sont globalement mitigés. Les moyennes mobiles soutiennent une tendance haussière, mais le MACD signale un momentum négatif. Le RSI et le Stochastique sont neutres, suggérant une phase de consolidation. La prudence est recommandée à court terme, avec un biais haussier à moyen terme si le cours repasse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s'établit à 27,08% et le ROA à 11,2%, démontrant une excellente rentabilité des fonds propres et des actifs. La structure financière est saine avec une autonomie financière de 41,4% et une capacité de remboursement de 0,56 an. Cependant, le délai client de 467 jours est un point de vigilance majeur, indiquant un risque de trésorerie important, partiellement compensé par un délai fournisseur très élevé (4 534 jours). Selon le rapport annuel 2024 (daté du 31/12/2024), la croissance du résultat net de 22,9% était portée par l'amélioration de la marge opérationnelle et un résultat financier élevé. Les rapports trimestriels 2025 (T1, S1, T3) montrent une dégradation sévère : le résultat net du T3 2025 chute de 77% à 4,341 milliards FCFA, principalement due à l'absence de dividendes exceptionnels des filiales. Le rapport annuel 2025 (provisoire, daté du 31/12/2025) confirme cette tendance avec un résultat net de seulement 0,785 milliard FCFA (marge nette de 0,85%) et un résultat d'exploitation négatif de -2,27 milliards FCFA, malgré un CA en hausse de 7,4% à 92 milliards FCFA. On estime que l'exercice 2026 pourrait voir une stabilisation si la direction parvient à restaurer les marges opérationnelles et à réduire la dépendance aux revenus financiers exceptionnels. La trésorerie nette de 74,78 milliards FCFA offre une marge de manœuvre significative, mais la chute de la rentabilité impose une grande prudence.</w:t>
      </w:r>
    </w:p>
    <w:p>
      <w:pPr>
        <w:spacing w:after="120" w:line="276" w:lineRule="auto"/>
      </w:pPr>
      <w:r>
        <w:t>---</w:t>
      </w:r>
    </w:p>
    <w:p>
      <w:pPr>
        <w:spacing w:after="120" w:line="276" w:lineRule="auto"/>
      </w:pPr>
      <w:r>
        <w:t>### PARTIE 4 : CONCLUSION D'INVESTISSEMENT</w:t>
      </w:r>
    </w:p>
    <w:p>
      <w:pPr>
        <w:spacing w:after="120" w:line="276" w:lineRule="auto"/>
      </w:pPr>
      <w:r>
        <w:t>La valorisation de SDSC présente un paradoxe : le PER de 6,7x et le P/B de 1,81x suggèrent une sous-évaluation, mais l'EV/EBITDA de 30,3x et la chute de la rentabilité en 2025 justifient la méfiance du marché. Le comportement du cours (+30,56% sur 100 jours) est haussier, mais la volatilité élevée (51,5%) et les statistiques (kurtosis platykurtique, skewness positif) indiquent un titre spéculatif. Les signaux techniques sont mitigés, avec des moyennes mobiles haussières mais un MACD vendeur et un RSI neutre. Fondamentalement, la solidité du bilan (capitaux propres de 77,8 milliards FCFA, trésorerie abondante) contraste avec la dégradation opérationnelle de 2025 (résultat net en chute de 96%). Les prédictions IA pour les 10 prochains jours (2 560 à 2 479 FCFA) suggèrent une légère correction, confirmant les signaux techniques baissiers à court terme. En synthèse, la convergence entre la valorisation attrayante, la solidité financière et la tendance haussière du cours est contrebalancée par la dégradation des fondamentaux et les signaux techniques mitigés. **Recommandation finale : CONSERVER**, avec un niveau de confiance **Moyen** et un risque global **Élevé**. L'horizon d'investissement optimal est le **moyen terme (3-12 mois)**, en attendant une clarification sur la capacité de la direction à restaurer les marges opérationnelles et à stabiliser les revenus des filiales. Un achat spéculatif pourrait être envisagé sous 2 300 FCFA, mais la prudence reste de mise.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5,082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-25.37%</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12.85% (Moyenne) — μ=1,634 FCFA, σ=210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β=0.8290 (Neutre (suit le marché)) — Cov=0.000030, Var(idx)=0.000036, ρ=0.153,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547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1,360</w:t>
            </w:r>
          </w:p>
        </w:tc>
        <w:tc>
          <w:tcPr>
            <w:tcW w:type="dxa" w:w="1440"/>
            <w:shd w:fill="FFDCE0" w:val="clear"/>
          </w:tcPr>
          <w:p>
            <w:r>
              <w:rPr>
                <w:b/>
                <w:sz w:val="17"/>
              </w:rPr>
              <w:t>1,429</w:t>
            </w:r>
          </w:p>
        </w:tc>
        <w:tc>
          <w:tcPr>
            <w:tcW w:type="dxa" w:w="1440"/>
            <w:shd w:fill="FFDCE0" w:val="clear"/>
          </w:tcPr>
          <w:p>
            <w:r>
              <w:rPr>
                <w:sz w:val="17"/>
              </w:rPr>
              <w:t>1,497</w:t>
            </w:r>
          </w:p>
        </w:tc>
        <w:tc>
          <w:tcPr>
            <w:tcW w:type="dxa" w:w="1440"/>
            <w:shd w:fill="FFDCE0" w:val="clear"/>
          </w:tcPr>
          <w:p>
            <w:r>
              <w:rPr>
                <w:b/>
                <w:color w:val="C00000"/>
                <w:sz w:val="17"/>
              </w:rPr>
              <w:t>-4.8%</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1,324</w:t>
            </w:r>
          </w:p>
        </w:tc>
        <w:tc>
          <w:tcPr>
            <w:tcW w:type="dxa" w:w="1440"/>
            <w:shd w:fill="FFDCE0" w:val="clear"/>
          </w:tcPr>
          <w:p>
            <w:r>
              <w:rPr>
                <w:b/>
                <w:sz w:val="17"/>
              </w:rPr>
              <w:t>1,421</w:t>
            </w:r>
          </w:p>
        </w:tc>
        <w:tc>
          <w:tcPr>
            <w:tcW w:type="dxa" w:w="1440"/>
            <w:shd w:fill="FFDCE0" w:val="clear"/>
          </w:tcPr>
          <w:p>
            <w:r>
              <w:rPr>
                <w:sz w:val="17"/>
              </w:rPr>
              <w:t>1,518</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1,292</w:t>
            </w:r>
          </w:p>
        </w:tc>
        <w:tc>
          <w:tcPr>
            <w:tcW w:type="dxa" w:w="1440"/>
            <w:shd w:fill="FFDCE0" w:val="clear"/>
          </w:tcPr>
          <w:p>
            <w:r>
              <w:rPr>
                <w:b/>
                <w:sz w:val="17"/>
              </w:rPr>
              <w:t>1,409</w:t>
            </w:r>
          </w:p>
        </w:tc>
        <w:tc>
          <w:tcPr>
            <w:tcW w:type="dxa" w:w="1440"/>
            <w:shd w:fill="FFDCE0" w:val="clear"/>
          </w:tcPr>
          <w:p>
            <w:r>
              <w:rPr>
                <w:sz w:val="17"/>
              </w:rPr>
              <w:t>1,526</w:t>
            </w:r>
          </w:p>
        </w:tc>
        <w:tc>
          <w:tcPr>
            <w:tcW w:type="dxa" w:w="1440"/>
            <w:shd w:fill="FFDCE0" w:val="clear"/>
          </w:tcPr>
          <w:p>
            <w:r>
              <w:rPr>
                <w:b/>
                <w:color w:val="C00000"/>
                <w:sz w:val="17"/>
              </w:rPr>
              <w:t>-6.1%</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1,262</w:t>
            </w:r>
          </w:p>
        </w:tc>
        <w:tc>
          <w:tcPr>
            <w:tcW w:type="dxa" w:w="1440"/>
            <w:shd w:fill="FFDCE0" w:val="clear"/>
          </w:tcPr>
          <w:p>
            <w:r>
              <w:rPr>
                <w:b/>
                <w:sz w:val="17"/>
              </w:rPr>
              <w:t>1,396</w:t>
            </w:r>
          </w:p>
        </w:tc>
        <w:tc>
          <w:tcPr>
            <w:tcW w:type="dxa" w:w="1440"/>
            <w:shd w:fill="FFDCE0" w:val="clear"/>
          </w:tcPr>
          <w:p>
            <w:r>
              <w:rPr>
                <w:sz w:val="17"/>
              </w:rPr>
              <w:t>1,530</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1,234</w:t>
            </w:r>
          </w:p>
        </w:tc>
        <w:tc>
          <w:tcPr>
            <w:tcW w:type="dxa" w:w="1440"/>
            <w:shd w:fill="FFDCE0" w:val="clear"/>
          </w:tcPr>
          <w:p>
            <w:r>
              <w:rPr>
                <w:b/>
                <w:sz w:val="17"/>
              </w:rPr>
              <w:t>1,382</w:t>
            </w:r>
          </w:p>
        </w:tc>
        <w:tc>
          <w:tcPr>
            <w:tcW w:type="dxa" w:w="1440"/>
            <w:shd w:fill="FFDCE0" w:val="clear"/>
          </w:tcPr>
          <w:p>
            <w:r>
              <w:rPr>
                <w:sz w:val="17"/>
              </w:rPr>
              <w:t>1,531</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1,208</w:t>
            </w:r>
          </w:p>
        </w:tc>
        <w:tc>
          <w:tcPr>
            <w:tcW w:type="dxa" w:w="1440"/>
            <w:shd w:fill="FFDCE0" w:val="clear"/>
          </w:tcPr>
          <w:p>
            <w:r>
              <w:rPr>
                <w:b/>
                <w:sz w:val="17"/>
              </w:rPr>
              <w:t>1,369</w:t>
            </w:r>
          </w:p>
        </w:tc>
        <w:tc>
          <w:tcPr>
            <w:tcW w:type="dxa" w:w="1440"/>
            <w:shd w:fill="FFDCE0" w:val="clear"/>
          </w:tcPr>
          <w:p>
            <w:r>
              <w:rPr>
                <w:sz w:val="17"/>
              </w:rPr>
              <w:t>1,531</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1,184</w:t>
            </w:r>
          </w:p>
        </w:tc>
        <w:tc>
          <w:tcPr>
            <w:tcW w:type="dxa" w:w="1440"/>
            <w:shd w:fill="FFDCE0" w:val="clear"/>
          </w:tcPr>
          <w:p>
            <w:r>
              <w:rPr>
                <w:b/>
                <w:sz w:val="17"/>
              </w:rPr>
              <w:t>1,357</w:t>
            </w:r>
          </w:p>
        </w:tc>
        <w:tc>
          <w:tcPr>
            <w:tcW w:type="dxa" w:w="1440"/>
            <w:shd w:fill="FFDCE0" w:val="clear"/>
          </w:tcPr>
          <w:p>
            <w:r>
              <w:rPr>
                <w:sz w:val="17"/>
              </w:rPr>
              <w:t>1,529</w:t>
            </w:r>
          </w:p>
        </w:tc>
        <w:tc>
          <w:tcPr>
            <w:tcW w:type="dxa" w:w="1440"/>
            <w:shd w:fill="FFDCE0" w:val="clear"/>
          </w:tcPr>
          <w:p>
            <w:r>
              <w:rPr>
                <w:b/>
                <w:color w:val="C00000"/>
                <w:sz w:val="17"/>
              </w:rPr>
              <w:t>-9.6%</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1,161</w:t>
            </w:r>
          </w:p>
        </w:tc>
        <w:tc>
          <w:tcPr>
            <w:tcW w:type="dxa" w:w="1440"/>
            <w:shd w:fill="FFDCE0" w:val="clear"/>
          </w:tcPr>
          <w:p>
            <w:r>
              <w:rPr>
                <w:b/>
                <w:sz w:val="17"/>
              </w:rPr>
              <w:t>1,344</w:t>
            </w:r>
          </w:p>
        </w:tc>
        <w:tc>
          <w:tcPr>
            <w:tcW w:type="dxa" w:w="1440"/>
            <w:shd w:fill="FFDCE0" w:val="clear"/>
          </w:tcPr>
          <w:p>
            <w:r>
              <w:rPr>
                <w:sz w:val="17"/>
              </w:rPr>
              <w:t>1,527</w:t>
            </w:r>
          </w:p>
        </w:tc>
        <w:tc>
          <w:tcPr>
            <w:tcW w:type="dxa" w:w="1440"/>
            <w:shd w:fill="FFDCE0" w:val="clear"/>
          </w:tcPr>
          <w:p>
            <w:r>
              <w:rPr>
                <w:b/>
                <w:color w:val="C00000"/>
                <w:sz w:val="17"/>
              </w:rPr>
              <w:t>-10.4%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1,140</w:t>
            </w:r>
          </w:p>
        </w:tc>
        <w:tc>
          <w:tcPr>
            <w:tcW w:type="dxa" w:w="1440"/>
            <w:shd w:fill="FFDCE0" w:val="clear"/>
          </w:tcPr>
          <w:p>
            <w:r>
              <w:rPr>
                <w:b/>
                <w:sz w:val="17"/>
              </w:rPr>
              <w:t>1,332</w:t>
            </w:r>
          </w:p>
        </w:tc>
        <w:tc>
          <w:tcPr>
            <w:tcW w:type="dxa" w:w="1440"/>
            <w:shd w:fill="FFDCE0" w:val="clear"/>
          </w:tcPr>
          <w:p>
            <w:r>
              <w:rPr>
                <w:sz w:val="17"/>
              </w:rPr>
              <w:t>1,524</w:t>
            </w:r>
          </w:p>
        </w:tc>
        <w:tc>
          <w:tcPr>
            <w:tcW w:type="dxa" w:w="1440"/>
            <w:shd w:fill="FFDCE0" w:val="clear"/>
          </w:tcPr>
          <w:p>
            <w:r>
              <w:rPr>
                <w:b/>
                <w:color w:val="C00000"/>
                <w:sz w:val="17"/>
              </w:rPr>
              <w:t>-11.2%</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1,120</w:t>
            </w:r>
          </w:p>
        </w:tc>
        <w:tc>
          <w:tcPr>
            <w:tcW w:type="dxa" w:w="1440"/>
            <w:shd w:fill="FFDCE0" w:val="clear"/>
          </w:tcPr>
          <w:p>
            <w:r>
              <w:rPr>
                <w:b/>
                <w:sz w:val="17"/>
              </w:rPr>
              <w:t>1,320</w:t>
            </w:r>
          </w:p>
        </w:tc>
        <w:tc>
          <w:tcPr>
            <w:tcW w:type="dxa" w:w="1440"/>
            <w:shd w:fill="FFDCE0" w:val="clear"/>
          </w:tcPr>
          <w:p>
            <w:r>
              <w:rPr>
                <w:sz w:val="17"/>
              </w:rPr>
              <w:t>1,521</w:t>
            </w:r>
          </w:p>
        </w:tc>
        <w:tc>
          <w:tcPr>
            <w:tcW w:type="dxa" w:w="1440"/>
            <w:shd w:fill="FFDCE0" w:val="clear"/>
          </w:tcPr>
          <w:p>
            <w:r>
              <w:rPr>
                <w:b/>
                <w:color w:val="C00000"/>
                <w:sz w:val="17"/>
              </w:rPr>
              <w:t>-12.0%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un niveau modeste qui la positionne parmi les valeurs de taille moyenne du marché BRVM, avec un flottant historiquement faible ayant d'ailleurs justifié une suspension de cote par le passé. Les ratios de valorisation (BPA, PER, P/B, EV/EBITDA) ne sont pas calculables dans la base de données structurées, en raison de l'absence de données financières normalisées récentes et consolidées dans le format attendu. Cette lacune est partiellement comblée par les rapports fondamentaux narratifs disponibles, qui permettent d'estimer un BPA d'environ 40 FCFA sur la base du résultat net 2023 (1,01 milliard FCFA pour 25,2 millions d'actions), ce qui impliquerait un PER d'environ 37x, très supérieur à la moyenne BRVM de 8-12x. Cette situation traduit une valorisation boursière qui intègre des anticipations de redressement fort, mais qui apparaît objectivement chère au regard des bénéfices actuels. L'absence de ratios P/B et EV/EBITDA fiables limite la portée de cette analyse, mais la faiblesse des capitaux propres et l'endettement fournisseurs élevé suggèrent une valorisation comptable tendue.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dépréciation sévère de -25,37%, passant d'un plus haut de 2 265 FCFA à un plus bas de 1 350 FCFA, avant de clôturer à 1 500 FCFA, avec un rebond de +3,81% lors de la dernière séance. Cette tendance baissière marquée s'est déroulée dans un contexte de volumes très faibles (5 082 titres par jour en moyenne), traduisant une liquidité limitée et une pression vendeuse persistante. Les statistiques descriptives révèlent une moyenne de 1 634 FCFA supérieure à la médiane de 1 555 FCFA, avec un skewness positif de 1,133 indiquant que le cours a passé plus de journées sous la moyenne, confirmant la prédominance des mouvements baissiers. L'écart-type de 211 FCFA (CV de 12,9%) témoigne d'une dispersion modérée autour de la moyenne, tandis que le kurtosis de 0,134 (mésokurtique) indique une distribution proche de la normale, sans risque de variations extrêmes particulier. La volatilité annualisée de 51,2% classe le titre dans la catégorie des valeurs à forte volatilité, ce qui implique un risque élevé pour les investisseurs, mais aussi un potentiel de rebond significatif.</w:t>
      </w:r>
    </w:p>
    <w:p>
      <w:pPr>
        <w:spacing w:after="120" w:line="276" w:lineRule="auto" w:before="240"/>
      </w:pPr>
      <w:r>
        <w:rPr>
          <w:b/>
          <w:color w:val="003366"/>
          <w:sz w:val="24"/>
        </w:rPr>
        <w:t>**PARTIE 2 : ANALYSE TECHNIQUE DÉTAILLÉE**</w:t>
      </w:r>
    </w:p>
    <w:p>
      <w:pPr>
        <w:spacing w:after="120" w:line="276" w:lineRule="auto"/>
      </w:pPr>
      <w:r>
        <w:t>**Moyennes Mobiles** : La MM20 à 1 479,5 FCFA et la MM50 à 1 521,9 FCFA sont toutes deux inférieures au cours actuel de 1 500 FCFA, mais la MM50 reste au-dessus de la MM20, configuration baissière classique. Le cours évolue sous sa moyenne à moyen terme mais au-dessus de sa moyenne à court terme, suggérant un début de stabilisation après la chute, sans signal de retournement confirmé. La décision de vente est justifiée par la persistance de la tendance baissière de fond.</w:t>
      </w:r>
    </w:p>
    <w:p>
      <w:pPr>
        <w:spacing w:after="120" w:line="276" w:lineRule="auto"/>
      </w:pPr>
      <w:r>
        <w:t>**Bandes de Bollinger** : Le cours à 1 500 FCFA se positionne entre la borne supérieure à 1 551,8 FCFA et la borne inférieure à 1 407,2 FCFA, proche du milieu de l'intervalle. La largeur des bandes reflète la volatilité élevée du titre, et la position neutre du cours indique une absence de signal directionnel fort, le prix n'ayant pas touché les bornes extrêmes.</w:t>
      </w:r>
    </w:p>
    <w:p>
      <w:pPr>
        <w:spacing w:after="120" w:line="276" w:lineRule="auto"/>
      </w:pPr>
      <w:r>
        <w:t>**MACD** : Le MACD à -7,991 est supérieur à sa ligne de signal à -10,179, formant un croisement haussier récent qui suggère un début de momentum positif. Cette configuration, bien que les valeurs restent négatives, indique une décélération de la tendance baissière et un potentiel de retournement à court terme. La décision d'achat est cohérente avec ce croisement.</w:t>
      </w:r>
    </w:p>
    <w:p>
      <w:pPr>
        <w:spacing w:after="120" w:line="276" w:lineRule="auto"/>
      </w:pPr>
      <w:r>
        <w:t>**RSI** : Le RSI à 61,25 se situe dans la zone neutre (30-70), sans signal de surachat ni de survente. Cette valeur indique un momentum modérément positif, le titre ayant repris des couleurs après la chute, mais sans atteindre des niveaux extrêmes qui justifieraient une prudence particulière. La décision neutre est appropriée.</w:t>
      </w:r>
    </w:p>
    <w:p>
      <w:pPr>
        <w:spacing w:after="120" w:line="276" w:lineRule="auto"/>
      </w:pPr>
      <w:r>
        <w:t>**Stochastique** : Le %K à 78,947 est nettement supérieur au %D à 49,043, formant un croisement haussier en zone de surachat naissante. Cette configuration suggère une dynamique positive à court terme, mais le niveau élevé du %K pourrait indiquer une consolidation imminente. La décision neutre reflète cette ambiguïté.</w:t>
      </w:r>
    </w:p>
    <w:p>
      <w:pPr>
        <w:spacing w:after="120" w:line="276" w:lineRule="auto"/>
      </w:pPr>
      <w:r>
        <w:t>**Conclusion technique** : Les indicateurs sont partagés entre des signaux d'achat (MACD, croisement stochastique) et des signaux de vente (moyennes mobiles), avec un RSI et des bandes de Bollinger neutres. Cette configuration traduit un marché en phase de transition, où la tendance baissière de fond s'essouffle sans qu'un retournement haussier soit clairement confirmé. La prudence reste de mise, avec une surveillance des niveaux de 1 400 FCFA (support) et 1 550 FCFA (résistance).</w:t>
      </w:r>
    </w:p>
    <w:p>
      <w:pPr>
        <w:spacing w:after="120" w:line="276" w:lineRule="auto" w:before="240"/>
      </w:pPr>
      <w:r>
        <w:rPr>
          <w:b/>
          <w:color w:val="003366"/>
          <w:sz w:val="24"/>
        </w:rPr>
        <w:t>**PARTIE 3 : ANALYSE FONDAMENTALE (SECTION CRITIQUE)**</w:t>
      </w:r>
    </w:p>
    <w:p>
      <w:pPr>
        <w:spacing w:after="120" w:line="276" w:lineRule="auto"/>
      </w:pPr>
      <w:r>
        <w:t>Les rapports fondamentaux disponibles couvrent les exercices 2022 et 2023, avec des données trimestrielles pour 2023. Pour l'exercice 2023 (rapport du 31/12/2024), le chiffre d'affaires s'établit à 27,88 milliards FCFA, en baisse de 6% par rapport à 2022 (29,60 milliards FCFA), avec un résultat net de 1,01 milliard FCFA, en chute de 74% par rapport aux 3,86 milliards FCFA de 2022. La marge nette s'est effondrée de 13,0% à 3,6%, sous l'effet de la perte de clients clés (AIRONE -81%, secteur Tomate disparu), de la concurrence des emballages PET et de coûts fixes élevés. La politique de dividende est nulle depuis 2022, la société privilégiant la conservation de trésorerie (3,35 milliards FCFA) pour financer sa relance. Le rapport du 1er trimestre 2023 (31/12/2023) montrait pourtant un CA de 7,65 milliards FCFA (+16,5%) et un bénéfice net de 855,65 millions FCFA (+37,9%), suggérant un début d'année dynamique qui ne s'est pas confirmé sur l'ensemble de l'exercice. Les perspectives 2024, portées par la croissance des bouchons couronnes (+61% en volume), les exportations vers le Sénégal et le rachat par Sonoco Products Company (finalisé en décembre 2024), visent un CA de 32 milliards FCFA (+18%). Sur la base de ces éléments, on estime que l'exercice 2024 pourrait marquer un redressement significatif, avec un résultat net potentiel de 2,5 à 3 milliards FCFA si les objectifs de CA sont atteints, mais la rentabilité reste fragile et dépendante de la reconquête des parts de marché perdues.</w:t>
      </w:r>
    </w:p>
    <w:p>
      <w:pPr>
        <w:spacing w:after="120" w:line="276" w:lineRule="auto" w:before="240"/>
      </w:pPr>
      <w:r>
        <w:rPr>
          <w:b/>
          <w:color w:val="003366"/>
          <w:sz w:val="24"/>
        </w:rPr>
        <w:t>**PARTIE 4 : CONCLUSION D'INVESTISSEMENT**</w:t>
      </w:r>
    </w:p>
    <w:p>
      <w:pPr>
        <w:spacing w:after="120" w:line="276" w:lineRule="auto"/>
      </w:pPr>
      <w:r>
        <w:t>La synthèse globale fait ressortir une situation contrastée pour SEMC : la valorisation boursière apparaît objectivement chère au regard des bénéfices actuels (PER estimé à 37x), mais le cours a déjà subi une correction sévère de -25% sur 100 jours, avec des statistiques montrant une distribution asymétrique positive et une volatilité élevée de 51,2%. Les signaux techniques sont partagés, avec un MACD et un stochastique en croisement haussier, mais des moyennes mobiles toujours baissières et un RSI neutre, traduisant une phase de transition incertaine. Les fondamentaux montrent une dégradation marquée en 2023 (marge nette à 3,6%, dividende nul), mais le rachat par Sonoco et les objectifs de croissance 2024 (+18% de CA) offrent des perspectives de redressement. Les prédictions IA pour les 10 prochains jours ouvrables indiquent une poursuite de la baisse (1 429 FCFA à 1 382 FCFA), contredisant les signaux techniques d'achat à court terme. Cette divergence entre le potentiel fondamental de redressement et la trajectoire baissière prédite justifie une recommandation de **CONSERVER** avec un niveau de confiance **Moyen**, un risque global **Élevé** (volatilité, liquidité faible, dépendance aux clients), et un horizon d'investissement **moyen terme (3-12 mois)** pour observer l'exécution du plan de relance et l'impact du nouveau actionnariat.</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4,457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+14.71%</w:t>
            </w:r>
          </w:p>
          <w:p>
            <w:r>
              <w:rPr>
                <w:b/>
                <w:color w:val="503200"/>
                <w:sz w:val="16"/>
              </w:rPr>
              <w:t xml:space="preserve">Plus haut 100j : </w:t>
            </w:r>
            <w:r>
              <w:rPr>
                <w:color w:val="000000"/>
                <w:sz w:val="17"/>
              </w:rPr>
              <w:t>39,200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5.68% (Moyenne) — μ=36,525 FCFA, σ=2,074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β=0.5360 (Défensif) — Cov=0.000020, Var(idx)=0.000036, ρ=0.217,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4,457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587289"/>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37,170</w:t>
            </w:r>
          </w:p>
        </w:tc>
        <w:tc>
          <w:tcPr>
            <w:tcW w:type="dxa" w:w="1440"/>
            <w:shd w:fill="FFDCE0" w:val="clear"/>
          </w:tcPr>
          <w:p>
            <w:r>
              <w:rPr>
                <w:b/>
                <w:sz w:val="17"/>
              </w:rPr>
              <w:t>37,992</w:t>
            </w:r>
          </w:p>
        </w:tc>
        <w:tc>
          <w:tcPr>
            <w:tcW w:type="dxa" w:w="1440"/>
            <w:shd w:fill="FFDCE0" w:val="clear"/>
          </w:tcPr>
          <w:p>
            <w:r>
              <w:rPr>
                <w:sz w:val="17"/>
              </w:rPr>
              <w:t>38,814</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36,768</w:t>
            </w:r>
          </w:p>
        </w:tc>
        <w:tc>
          <w:tcPr>
            <w:tcW w:type="dxa" w:w="1440"/>
            <w:shd w:fill="FFDCE0" w:val="clear"/>
          </w:tcPr>
          <w:p>
            <w:r>
              <w:rPr>
                <w:b/>
                <w:sz w:val="17"/>
              </w:rPr>
              <w:t>37,929</w:t>
            </w:r>
          </w:p>
        </w:tc>
        <w:tc>
          <w:tcPr>
            <w:tcW w:type="dxa" w:w="1440"/>
            <w:shd w:fill="FFDCE0" w:val="clear"/>
          </w:tcPr>
          <w:p>
            <w:r>
              <w:rPr>
                <w:sz w:val="17"/>
              </w:rPr>
              <w:t>39,090</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36,417</w:t>
            </w:r>
          </w:p>
        </w:tc>
        <w:tc>
          <w:tcPr>
            <w:tcW w:type="dxa" w:w="1440"/>
            <w:shd w:fill="FFDCE0" w:val="clear"/>
          </w:tcPr>
          <w:p>
            <w:r>
              <w:rPr>
                <w:b/>
                <w:sz w:val="17"/>
              </w:rPr>
              <w:t>37,835</w:t>
            </w:r>
          </w:p>
        </w:tc>
        <w:tc>
          <w:tcPr>
            <w:tcW w:type="dxa" w:w="1440"/>
            <w:shd w:fill="FFDCE0" w:val="clear"/>
          </w:tcPr>
          <w:p>
            <w:r>
              <w:rPr>
                <w:sz w:val="17"/>
              </w:rPr>
              <w:t>39,253</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36,111</w:t>
            </w:r>
          </w:p>
        </w:tc>
        <w:tc>
          <w:tcPr>
            <w:tcW w:type="dxa" w:w="1440"/>
            <w:shd w:fill="FFDCE0" w:val="clear"/>
          </w:tcPr>
          <w:p>
            <w:r>
              <w:rPr>
                <w:b/>
                <w:sz w:val="17"/>
              </w:rPr>
              <w:t>37,744</w:t>
            </w:r>
          </w:p>
        </w:tc>
        <w:tc>
          <w:tcPr>
            <w:tcW w:type="dxa" w:w="1440"/>
            <w:shd w:fill="FFDCE0" w:val="clear"/>
          </w:tcPr>
          <w:p>
            <w:r>
              <w:rPr>
                <w:sz w:val="17"/>
              </w:rPr>
              <w:t>39,377</w:t>
            </w:r>
          </w:p>
        </w:tc>
        <w:tc>
          <w:tcPr>
            <w:tcW w:type="dxa" w:w="1440"/>
            <w:shd w:fill="FFDCE0" w:val="clear"/>
          </w:tcPr>
          <w:p>
            <w:r>
              <w:rPr>
                <w:b/>
                <w:color w:val="C00000"/>
                <w:sz w:val="17"/>
              </w:rPr>
              <w:t>-3.2%</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35,837</w:t>
            </w:r>
          </w:p>
        </w:tc>
        <w:tc>
          <w:tcPr>
            <w:tcW w:type="dxa" w:w="1440"/>
            <w:shd w:fill="FFDCE0" w:val="clear"/>
          </w:tcPr>
          <w:p>
            <w:r>
              <w:rPr>
                <w:b/>
                <w:sz w:val="17"/>
              </w:rPr>
              <w:t>37,659</w:t>
            </w:r>
          </w:p>
        </w:tc>
        <w:tc>
          <w:tcPr>
            <w:tcW w:type="dxa" w:w="1440"/>
            <w:shd w:fill="FFDCE0" w:val="clear"/>
          </w:tcPr>
          <w:p>
            <w:r>
              <w:rPr>
                <w:sz w:val="17"/>
              </w:rPr>
              <w:t>39,481</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35,587</w:t>
            </w:r>
          </w:p>
        </w:tc>
        <w:tc>
          <w:tcPr>
            <w:tcW w:type="dxa" w:w="1440"/>
            <w:shd w:fill="FFDCE0" w:val="clear"/>
          </w:tcPr>
          <w:p>
            <w:r>
              <w:rPr>
                <w:b/>
                <w:sz w:val="17"/>
              </w:rPr>
              <w:t>37,579</w:t>
            </w:r>
          </w:p>
        </w:tc>
        <w:tc>
          <w:tcPr>
            <w:tcW w:type="dxa" w:w="1440"/>
            <w:shd w:fill="FFDCE0" w:val="clear"/>
          </w:tcPr>
          <w:p>
            <w:r>
              <w:rPr>
                <w:sz w:val="17"/>
              </w:rPr>
              <w:t>39,571</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35,355</w:t>
            </w:r>
          </w:p>
        </w:tc>
        <w:tc>
          <w:tcPr>
            <w:tcW w:type="dxa" w:w="1440"/>
            <w:shd w:fill="FFDCE0" w:val="clear"/>
          </w:tcPr>
          <w:p>
            <w:r>
              <w:rPr>
                <w:b/>
                <w:sz w:val="17"/>
              </w:rPr>
              <w:t>37,502</w:t>
            </w:r>
          </w:p>
        </w:tc>
        <w:tc>
          <w:tcPr>
            <w:tcW w:type="dxa" w:w="1440"/>
            <w:shd w:fill="FFDCE0" w:val="clear"/>
          </w:tcPr>
          <w:p>
            <w:r>
              <w:rPr>
                <w:sz w:val="17"/>
              </w:rPr>
              <w:t>39,649</w:t>
            </w:r>
          </w:p>
        </w:tc>
        <w:tc>
          <w:tcPr>
            <w:tcW w:type="dxa" w:w="1440"/>
            <w:shd w:fill="FFDCE0" w:val="clear"/>
          </w:tcPr>
          <w:p>
            <w:r>
              <w:rPr>
                <w:b/>
                <w:color w:val="C00000"/>
                <w:sz w:val="17"/>
              </w:rPr>
              <w:t>-3.8%</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35,136</w:t>
            </w:r>
          </w:p>
        </w:tc>
        <w:tc>
          <w:tcPr>
            <w:tcW w:type="dxa" w:w="1440"/>
            <w:shd w:fill="FFDCE0" w:val="clear"/>
          </w:tcPr>
          <w:p>
            <w:r>
              <w:rPr>
                <w:b/>
                <w:sz w:val="17"/>
              </w:rPr>
              <w:t>37,427</w:t>
            </w:r>
          </w:p>
        </w:tc>
        <w:tc>
          <w:tcPr>
            <w:tcW w:type="dxa" w:w="1440"/>
            <w:shd w:fill="FFDCE0" w:val="clear"/>
          </w:tcPr>
          <w:p>
            <w:r>
              <w:rPr>
                <w:sz w:val="17"/>
              </w:rPr>
              <w:t>39,717</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34,929</w:t>
            </w:r>
          </w:p>
        </w:tc>
        <w:tc>
          <w:tcPr>
            <w:tcW w:type="dxa" w:w="1440"/>
            <w:shd w:fill="FFDCE0" w:val="clear"/>
          </w:tcPr>
          <w:p>
            <w:r>
              <w:rPr>
                <w:b/>
                <w:sz w:val="17"/>
              </w:rPr>
              <w:t>37,353</w:t>
            </w:r>
          </w:p>
        </w:tc>
        <w:tc>
          <w:tcPr>
            <w:tcW w:type="dxa" w:w="1440"/>
            <w:shd w:fill="FFDCE0" w:val="clear"/>
          </w:tcPr>
          <w:p>
            <w:r>
              <w:rPr>
                <w:sz w:val="17"/>
              </w:rPr>
              <w:t>39,778</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34,731</w:t>
            </w:r>
          </w:p>
        </w:tc>
        <w:tc>
          <w:tcPr>
            <w:tcW w:type="dxa" w:w="1440"/>
            <w:shd w:fill="FFDCE0" w:val="clear"/>
          </w:tcPr>
          <w:p>
            <w:r>
              <w:rPr>
                <w:b/>
                <w:sz w:val="17"/>
              </w:rPr>
              <w:t>37,281</w:t>
            </w:r>
          </w:p>
        </w:tc>
        <w:tc>
          <w:tcPr>
            <w:tcW w:type="dxa" w:w="1440"/>
            <w:shd w:fill="FFDCE0" w:val="clear"/>
          </w:tcPr>
          <w:p>
            <w:r>
              <w:rPr>
                <w:sz w:val="17"/>
              </w:rPr>
              <w:t>39,832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1 213,33 milliards FCFA, un niveau qui la positionne comme l'une des valeurs les plus lourdes et les plus liquides de la BRVM, reflétant son statut de leader bancaire régional. Avec un BPA de 3 258 FCFA, le titre se négocie à un PER de 12,0x, ce qui est légèrement supérieur à la moyenne historique du marché (8-12x), indiquant que les investisseurs acceptent de payer une prime raisonnable pour la qualité de ses bénéfices. Le P/B de 2,45x confirme cette prime de croissance, le marché valorisant le titre à 2,45 fois sa valeur comptable, ce qui est typique pour une banque à forte rentabilité. Cependant, l'EV/EBITDA de 24,7x est nettement supérieur au seuil de 15x, signalant une valorisation exigeante sur la capacité opérationnelle de l'entreprise. Ces ratios suggèrent que le marché intègre déjà des perspectives de croissance soutenue, mais laissent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 enregistré une progression remarquable de +14,71%, avec une dernière séance en hausse de +2,63%, démontrant un momentum haussier persistant. Le cours a évolué dans une fourchette de 32 800 FCFA (plus bas) à 39 200 FCFA (plus haut), soit une amplitude de 19,5%, témoignant d'une volatilité notable mais maîtrisée. La moyenne du cours sur la période (36 525 FCFA) est légèrement inférieure à la médiane (36 995 FCFA), et le mode est à 39 000 FCFA, ce qui indique une distribution légèrement asymétrique avec une concentration des prix vers le haut de la fourchette. L'écart-type de 2 085 FCFA (CV=5,7%) révèle une dispersion relativement faible, mais le kurtosis négatif (-1,399) signale une distribution platykurtique, c'est-à-dire une faible concentration des prix autour de la moyenne, réduisant le risque de mouvements extrêmes. Le skewness de -0,240, proche de zéro, confirme une distribution quasi symétrique. La volatilité annualisée de 24,1% classe le titre dans la catégorie modérée (15-30%), offrant un équilibre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(39 000 FCFA) se situe au-dessus des MM20 (38 101,75 FCFA) et MM50 (38 397,2 FCFA), mais la décision technique est à "Vente". Cette divergence s'explique par le fait que le cours, après une forte hausse, pourrait être en phase de correction vers ces moyennes, signalant un essoufflement du momentum haussier à court terme.</w:t>
      </w:r>
    </w:p>
    <w:p>
      <w:pPr>
        <w:spacing w:after="120" w:line="276" w:lineRule="auto"/>
      </w:pPr>
      <w:r>
        <w:t>**Bandes de Bollinger** : Le prix actuel (39 000 FCFA) dépasse la borne supérieure (38 690,551 FCFA), indiquant une condition de surachat extrême. La décision "Vente" est justifiée par cette sortie de canal, qui précède souvent un retour vers la moyenne ou la borne inférieure (37 512,949 FCFA), suggérant une volatilité accrue et un risque de repli technique.</w:t>
      </w:r>
    </w:p>
    <w:p>
      <w:pPr>
        <w:spacing w:after="120" w:line="276" w:lineRule="auto"/>
      </w:pPr>
      <w:r>
        <w:t>**MACD** : La valeur positive du MACD (12,79) par rapport au signal négatif (-30,674) génère une décision "Achat". Cette configuration indique un momentum haussier en cours de formation, le MACD ayant récemment croisé au-dessus de sa ligne de signal, ce qui est un signe de renforcement de la tendance haussière à moyen terme.</w:t>
      </w:r>
    </w:p>
    <w:p>
      <w:pPr>
        <w:spacing w:after="120" w:line="276" w:lineRule="auto"/>
      </w:pPr>
      <w:r>
        <w:t>**RSI** : Avec une valeur de 83,113, le RSI est profondément en zone de surachat (&gt;70), justifiant la décision "Vente". Ce niveau extrême signale que le titre est survendu à la hausse, avec une probabilité élevée de consolidation ou de correction technique à court terme, les acheteurs étant temporairement épuisés.</w:t>
      </w:r>
    </w:p>
    <w:p>
      <w:pPr>
        <w:spacing w:after="120" w:line="276" w:lineRule="auto"/>
      </w:pPr>
      <w:r>
        <w:t>**Stochastique** : Le %K à 100,0 et le %D à 49,573 montrent un écart important, avec une décision "Vente". Le %K en zone de surachat extrême et le %D nettement inférieur suggèrent un croisement baissier imminent, indiquant un affaiblissement du momentum haussier et un risque de retournement.</w:t>
      </w:r>
    </w:p>
    <w:p>
      <w:pPr>
        <w:spacing w:after="120" w:line="276" w:lineRule="auto"/>
      </w:pPr>
      <w:r>
        <w:t>**Conclusion technique** : La majorité des indicateurs (MM, Bollinger, RSI, Stochastique) convergent vers une décision de "Vente", signalant un risque élevé de correction à court terme après une hausse excessive. Seul le MACD reste positif, mais il pourrait rapidement s'inverser si le cours consolide. Globalement, le titre est en surachat technique, avec une probabilité de repli vers les moyennes mobiles (38 100-38 400 FCFA) dans les prochaines séances.</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SGBC révèlent une performance robuste : le Produit Net Bancaire (PNB) s'établit à 276,048 milliards FCFA, en croissance de +4,88%, et le résultat net atteint 101,352 milliards FCFA, franchissant le seuil symbolique des 100 milliards. La banque affiche un coefficient d'exploitation de 38,75%, bien en dessous du seuil d'efficacité de 60%, démontrant une gestion rigoureuse des coûts. Le ROE de 20,47% est excellent (&gt;15%), et le ROA de 2,69% confirme une utilisation efficiente des actifs. Le coût du risque, avec des provisions de 17,995 milliards FCFA, reste contenu, et le ratio prêts/dépôts s'améliore à 84,6% (contre 96% en 2024), renforçant la liquidité. Les rapports trimestriels 2025 confirment cette trajectoire : au T1 2025, le PNB progresse de +1,3% et le résultat net de +2,2%, tandis qu'au S1 2025, le résultat net croît de +10,0% avec un ROE de 23,8%. Le cumul des 9 mois 2025 montre un résultat net en hausse de +11,7% à 83,3 milliards FCFA, porté par une maîtrise des coûts (frais généraux en baisse de 2,7%). Sur la base de ces données, on estime que l'exercice 2025 devrait dépasser légèrement les 101 milliards FCFA de résultat net, avec une croissance soutenue. La notation AAA (Bloomfield) et le ratio de solvabilité de 17,7% (vs 12,5% réglementaire) confirment la solidité financière, malgré une vigilance sur la hausse des créances en souffrance (NPL à 7,8% au S1 2025).</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nette entre des fondamentaux exceptionnellement solides et une configuration technique surachetée. La valorisation (PER 12,0x, P/B 2,45x) est raisonnable mais exigeante, avec un EV/EBITDA de 24,7x qui reflète des attentes élevées de croissance. Le comportement du cours (+14,71% sur 100 jours) est haussier mais avec une volatilité modérée (24,1%) et une distribution symétrique, indiquant une stabilité relative. Les signaux techniques sont majoritairement vendeurs (RSI à 83,1, Stochastique à 100, sortie des bandes de Bollinger), suggérant un repli imminent vers 37 500-38 100 FCFA. En revanche, les fondamentaux sont excellents : ROE de 20,47%, coefficient d'exploitation de 38,75%, et croissance du résultat net de +11,7% sur 9 mois. Les prédictions IA (J+1 à J+10) confirment cette tendance baissière à court terme, avec un cours projeté en baisse progressive de 37 992 à 37 659 FCFA. **Recommandation finale : CONSERVER** — les investisseurs existants devraient maintenir leurs positions pour bénéficier des fondamentaux solides et des dividendes attractifs (rendement ~5-6%), tandis que les nouveaux entrants pourraient attendre une correction technique vers 37 500 FCFA pour initier une position. Niveau de confiance : **Moyen** (divergence technique/fondamental). Risque global : **Moyen** (surachat technique vs solidité financière). Horizon d'investissement optimal : **Moyen terme (3-12 mois)**, en anticipant une stabilisation après la correction et une poursuite de la tendance haussière portée par la croissance des bénéfices.</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4,363 titres</w:t>
            </w:r>
          </w:p>
        </w:tc>
        <w:tc>
          <w:tcPr>
            <w:tcW w:type="dxa" w:w="2268"/>
            <w:shd w:fill="FFF2CC" w:val="clear"/>
          </w:tcPr>
          <w:p>
            <w:r>
              <w:rPr>
                <w:b/>
                <w:color w:val="503200"/>
                <w:sz w:val="16"/>
              </w:rPr>
              <w:t xml:space="preserve">Cours actuel : </w:t>
            </w:r>
            <w:r>
              <w:rPr>
                <w:color w:val="000000"/>
                <w:sz w:val="17"/>
              </w:rPr>
              <w:t>2,290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2,325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5.75% (Moyenne) — μ=2,102 FCFA, σ=121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β=0.9264 (Neutre (suit le marché)) — Cov=0.000034, Var(idx)=0.000036, ρ=0.260,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5477"/>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2,088</w:t>
            </w:r>
          </w:p>
        </w:tc>
        <w:tc>
          <w:tcPr>
            <w:tcW w:type="dxa" w:w="1440"/>
            <w:shd w:fill="FFDCE0" w:val="clear"/>
          </w:tcPr>
          <w:p>
            <w:r>
              <w:rPr>
                <w:b/>
                <w:sz w:val="17"/>
              </w:rPr>
              <w:t>2,160</w:t>
            </w:r>
          </w:p>
        </w:tc>
        <w:tc>
          <w:tcPr>
            <w:tcW w:type="dxa" w:w="1440"/>
            <w:shd w:fill="FFDCE0" w:val="clear"/>
          </w:tcPr>
          <w:p>
            <w:r>
              <w:rPr>
                <w:sz w:val="17"/>
              </w:rPr>
              <w:t>2,232</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1,969</w:t>
            </w:r>
          </w:p>
        </w:tc>
        <w:tc>
          <w:tcPr>
            <w:tcW w:type="dxa" w:w="1440"/>
            <w:shd w:fill="FFDCE0" w:val="clear"/>
          </w:tcPr>
          <w:p>
            <w:r>
              <w:rPr>
                <w:b/>
                <w:sz w:val="17"/>
              </w:rPr>
              <w:t>2,066</w:t>
            </w:r>
          </w:p>
        </w:tc>
        <w:tc>
          <w:tcPr>
            <w:tcW w:type="dxa" w:w="1440"/>
            <w:shd w:fill="FFDCE0" w:val="clear"/>
          </w:tcPr>
          <w:p>
            <w:r>
              <w:rPr>
                <w:sz w:val="17"/>
              </w:rPr>
              <w:t>2,163</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1,868</w:t>
            </w:r>
          </w:p>
        </w:tc>
        <w:tc>
          <w:tcPr>
            <w:tcW w:type="dxa" w:w="1440"/>
            <w:shd w:fill="FFDCE0" w:val="clear"/>
          </w:tcPr>
          <w:p>
            <w:r>
              <w:rPr>
                <w:b/>
                <w:sz w:val="17"/>
              </w:rPr>
              <w:t>1,982</w:t>
            </w:r>
          </w:p>
        </w:tc>
        <w:tc>
          <w:tcPr>
            <w:tcW w:type="dxa" w:w="1440"/>
            <w:shd w:fill="FFDCE0" w:val="clear"/>
          </w:tcPr>
          <w:p>
            <w:r>
              <w:rPr>
                <w:sz w:val="17"/>
              </w:rPr>
              <w:t>2,097</w:t>
            </w:r>
          </w:p>
        </w:tc>
        <w:tc>
          <w:tcPr>
            <w:tcW w:type="dxa" w:w="1440"/>
            <w:shd w:fill="FFDCE0" w:val="clear"/>
          </w:tcPr>
          <w:p>
            <w:r>
              <w:rPr>
                <w:b/>
                <w:color w:val="C00000"/>
                <w:sz w:val="17"/>
              </w:rPr>
              <w:t>-13.4%</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1,785</w:t>
            </w:r>
          </w:p>
        </w:tc>
        <w:tc>
          <w:tcPr>
            <w:tcW w:type="dxa" w:w="1440"/>
            <w:shd w:fill="FFDCE0" w:val="clear"/>
          </w:tcPr>
          <w:p>
            <w:r>
              <w:rPr>
                <w:b/>
                <w:sz w:val="17"/>
              </w:rPr>
              <w:t>1,913</w:t>
            </w:r>
          </w:p>
        </w:tc>
        <w:tc>
          <w:tcPr>
            <w:tcW w:type="dxa" w:w="1440"/>
            <w:shd w:fill="FFDCE0" w:val="clear"/>
          </w:tcPr>
          <w:p>
            <w:r>
              <w:rPr>
                <w:sz w:val="17"/>
              </w:rPr>
              <w:t>2,040</w:t>
            </w:r>
          </w:p>
        </w:tc>
        <w:tc>
          <w:tcPr>
            <w:tcW w:type="dxa" w:w="1440"/>
            <w:shd w:fill="FFDCE0" w:val="clear"/>
          </w:tcPr>
          <w:p>
            <w:r>
              <w:rPr>
                <w:b/>
                <w:color w:val="C00000"/>
                <w:sz w:val="17"/>
              </w:rPr>
              <w:t>-16.5%</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1,716</w:t>
            </w:r>
          </w:p>
        </w:tc>
        <w:tc>
          <w:tcPr>
            <w:tcW w:type="dxa" w:w="1440"/>
            <w:shd w:fill="FFDCE0" w:val="clear"/>
          </w:tcPr>
          <w:p>
            <w:r>
              <w:rPr>
                <w:b/>
                <w:sz w:val="17"/>
              </w:rPr>
              <w:t>1,854</w:t>
            </w:r>
          </w:p>
        </w:tc>
        <w:tc>
          <w:tcPr>
            <w:tcW w:type="dxa" w:w="1440"/>
            <w:shd w:fill="FFDCE0" w:val="clear"/>
          </w:tcPr>
          <w:p>
            <w:r>
              <w:rPr>
                <w:sz w:val="17"/>
              </w:rPr>
              <w:t>1,992</w:t>
            </w:r>
          </w:p>
        </w:tc>
        <w:tc>
          <w:tcPr>
            <w:tcW w:type="dxa" w:w="1440"/>
            <w:shd w:fill="FFDCE0" w:val="clear"/>
          </w:tcPr>
          <w:p>
            <w:r>
              <w:rPr>
                <w:b/>
                <w:color w:val="C00000"/>
                <w:sz w:val="17"/>
              </w:rPr>
              <w:t>-19.0%</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1,658</w:t>
            </w:r>
          </w:p>
        </w:tc>
        <w:tc>
          <w:tcPr>
            <w:tcW w:type="dxa" w:w="1440"/>
            <w:shd w:fill="FFDCE0" w:val="clear"/>
          </w:tcPr>
          <w:p>
            <w:r>
              <w:rPr>
                <w:b/>
                <w:sz w:val="17"/>
              </w:rPr>
              <w:t>1,805</w:t>
            </w:r>
          </w:p>
        </w:tc>
        <w:tc>
          <w:tcPr>
            <w:tcW w:type="dxa" w:w="1440"/>
            <w:shd w:fill="FFDCE0" w:val="clear"/>
          </w:tcPr>
          <w:p>
            <w:r>
              <w:rPr>
                <w:sz w:val="17"/>
              </w:rPr>
              <w:t>1,952</w:t>
            </w:r>
          </w:p>
        </w:tc>
        <w:tc>
          <w:tcPr>
            <w:tcW w:type="dxa" w:w="1440"/>
            <w:shd w:fill="FFDCE0" w:val="clear"/>
          </w:tcPr>
          <w:p>
            <w:r>
              <w:rPr>
                <w:b/>
                <w:color w:val="C00000"/>
                <w:sz w:val="17"/>
              </w:rPr>
              <w:t>-21.2%</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1,607</w:t>
            </w:r>
          </w:p>
        </w:tc>
        <w:tc>
          <w:tcPr>
            <w:tcW w:type="dxa" w:w="1440"/>
            <w:shd w:fill="FFDCE0" w:val="clear"/>
          </w:tcPr>
          <w:p>
            <w:r>
              <w:rPr>
                <w:b/>
                <w:sz w:val="17"/>
              </w:rPr>
              <w:t>1,762</w:t>
            </w:r>
          </w:p>
        </w:tc>
        <w:tc>
          <w:tcPr>
            <w:tcW w:type="dxa" w:w="1440"/>
            <w:shd w:fill="FFDCE0" w:val="clear"/>
          </w:tcPr>
          <w:p>
            <w:r>
              <w:rPr>
                <w:sz w:val="17"/>
              </w:rPr>
              <w:t>1,917</w:t>
            </w:r>
          </w:p>
        </w:tc>
        <w:tc>
          <w:tcPr>
            <w:tcW w:type="dxa" w:w="1440"/>
            <w:shd w:fill="FFDCE0" w:val="clear"/>
          </w:tcPr>
          <w:p>
            <w:r>
              <w:rPr>
                <w:b/>
                <w:color w:val="C00000"/>
                <w:sz w:val="17"/>
              </w:rPr>
              <w:t>-23.1%</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1,561</w:t>
            </w:r>
          </w:p>
        </w:tc>
        <w:tc>
          <w:tcPr>
            <w:tcW w:type="dxa" w:w="1440"/>
            <w:shd w:fill="FFDCE0" w:val="clear"/>
          </w:tcPr>
          <w:p>
            <w:r>
              <w:rPr>
                <w:b/>
                <w:sz w:val="17"/>
              </w:rPr>
              <w:t>1,724</w:t>
            </w:r>
          </w:p>
        </w:tc>
        <w:tc>
          <w:tcPr>
            <w:tcW w:type="dxa" w:w="1440"/>
            <w:shd w:fill="FFDCE0" w:val="clear"/>
          </w:tcPr>
          <w:p>
            <w:r>
              <w:rPr>
                <w:sz w:val="17"/>
              </w:rPr>
              <w:t>1,886</w:t>
            </w:r>
          </w:p>
        </w:tc>
        <w:tc>
          <w:tcPr>
            <w:tcW w:type="dxa" w:w="1440"/>
            <w:shd w:fill="FFDCE0" w:val="clear"/>
          </w:tcPr>
          <w:p>
            <w:r>
              <w:rPr>
                <w:b/>
                <w:color w:val="C00000"/>
                <w:sz w:val="17"/>
              </w:rPr>
              <w:t>-24.7%</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1,520</w:t>
            </w:r>
          </w:p>
        </w:tc>
        <w:tc>
          <w:tcPr>
            <w:tcW w:type="dxa" w:w="1440"/>
            <w:shd w:fill="FFDCE0" w:val="clear"/>
          </w:tcPr>
          <w:p>
            <w:r>
              <w:rPr>
                <w:b/>
                <w:sz w:val="17"/>
              </w:rPr>
              <w:t>1,689</w:t>
            </w:r>
          </w:p>
        </w:tc>
        <w:tc>
          <w:tcPr>
            <w:tcW w:type="dxa" w:w="1440"/>
            <w:shd w:fill="FFDCE0" w:val="clear"/>
          </w:tcPr>
          <w:p>
            <w:r>
              <w:rPr>
                <w:sz w:val="17"/>
              </w:rPr>
              <w:t>1,858</w:t>
            </w:r>
          </w:p>
        </w:tc>
        <w:tc>
          <w:tcPr>
            <w:tcW w:type="dxa" w:w="1440"/>
            <w:shd w:fill="FFDCE0" w:val="clear"/>
          </w:tcPr>
          <w:p>
            <w:r>
              <w:rPr>
                <w:b/>
                <w:color w:val="C00000"/>
                <w:sz w:val="17"/>
              </w:rPr>
              <w:t>-26.2%</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1,483</w:t>
            </w:r>
          </w:p>
        </w:tc>
        <w:tc>
          <w:tcPr>
            <w:tcW w:type="dxa" w:w="1440"/>
            <w:shd w:fill="FFDCE0" w:val="clear"/>
          </w:tcPr>
          <w:p>
            <w:r>
              <w:rPr>
                <w:b/>
                <w:sz w:val="17"/>
              </w:rPr>
              <w:t>1,657</w:t>
            </w:r>
          </w:p>
        </w:tc>
        <w:tc>
          <w:tcPr>
            <w:tcW w:type="dxa" w:w="1440"/>
            <w:shd w:fill="FFDCE0" w:val="clear"/>
          </w:tcPr>
          <w:p>
            <w:r>
              <w:rPr>
                <w:sz w:val="17"/>
              </w:rPr>
              <w:t>1,832</w:t>
            </w:r>
          </w:p>
        </w:tc>
        <w:tc>
          <w:tcPr>
            <w:tcW w:type="dxa" w:w="1440"/>
            <w:shd w:fill="FFDCE0" w:val="clear"/>
          </w:tcPr>
          <w:p>
            <w:r>
              <w:rPr>
                <w:b/>
                <w:color w:val="C00000"/>
                <w:sz w:val="17"/>
              </w:rPr>
              <w:t>-27.6%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144,27 milliards FCFA, ce qui la positionne parmi les valeurs moyennes de la BRVM, dans un secteur des biens de consommation et de la distribution pétrolière. Le BPA de 96 FCFA par action, couplé à un cours de 2 290 FCFA, conduit à un PER de 23,9x, très supérieur à la moyenne du marché BRVM (8-12x). Ce niveau indique que les investisseurs paient une prime significative pour les bénéfices actuels, anticipant probablement une croissance future ou une stabilité des dividendes. Le P/B de 5,31x confirme cette valorisation exigeante, le marché valorisant le titre bien au-delà de sa valeur comptable (27,159 Mds FCFA de capitaux propres). Enfin, l'EV/EBITDA de 12,9x, bien que dans la fourchette haute (10-15x), suggère que la valeur d'entreprise reste cohérente avec la capacité opérationnelle de la société, mais sans marge de sécurité significative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affiche une variation totale de +1,78%, avec une dernière séance stable (0,00%), reflétant une phase de consolidation après une tendance haussière. Le titre a évolué dans un range de 1 840 FCFA (plus bas) à 2 325 FCFA (plus haut), soit une amplitude de 485 FCFA, indiquant une volatilité intra-période notable. La moyenne du cours sur la période est de 2 102 FCFA, légèrement inférieure à la médiane de 2 155 FCFA, ce qui suggère une distribution asymétrique avec quelques séances de forte baisse. L'écart-type de 121 FCFA (CV=5,8%) montre une dispersion modérée autour de la moyenne. Le kurtosis négatif (-1,011) indique une distribution platykurtique, avec une faible concentration des extrêmes, tandis que le skewness de -0,384 révèle une asymétrie négative, les queues de distribution étant plus marquées à la baisse. La volatilité annualisée de 33,8% classe le titre comme très volatil (&gt;30%), un niveau élevé pour une valeur de la BRVM, nécessitant une gestion de risque rigoureuse.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2 213 FCFA et la MM50 à 2 159,3 FCFA sont toutes deux inférieures au cours actuel de 2 290 FCFA, confirmant une tendance haussière de court et moyen terme. La configuration en "courbe ascendante" (MM20 &gt; MM50) renforce le signal d'achat, indiquant que la dynamique positive est soutenue par les volumes et le momentum.</w:t>
      </w:r>
    </w:p>
    <w:p>
      <w:pPr>
        <w:spacing w:after="120" w:line="276" w:lineRule="auto"/>
      </w:pPr>
      <w:r>
        <w:t>**Bandes de Bollinger** : Le cours se situe à 2 290 FCFA, proche de la borne supérieure (2 338,5 FCFA), ce qui témoigne d'une pression acheteuse soutenue. Cependant, la position près de la borne supérieure peut signaler une suracheter temporaire, d'où une décision neutre. La largeur des bandes reflète une volatilité modérée, mais le titre pourrait rencontrer une résistance à ces niveaux.</w:t>
      </w:r>
    </w:p>
    <w:p>
      <w:pPr>
        <w:spacing w:after="120" w:line="276" w:lineRule="auto"/>
      </w:pPr>
      <w:r>
        <w:t>**MACD** : Le MACD (38,3) est nettement supérieur à son signal (29,3), confirmant un momentum haussier robuste. Cette divergence positive indique que la tendance de fond reste acheteuse, avec une accélération de la dynamique des prix, justifiant la décision d'achat.</w:t>
      </w:r>
    </w:p>
    <w:p>
      <w:pPr>
        <w:spacing w:after="120" w:line="276" w:lineRule="auto"/>
      </w:pPr>
      <w:r>
        <w:t>**RSI** : Le RSI à 70,33 est en zone de surachat (&gt;70), signalant que le titre a fortement progressé récemment et qu'un repli technique est possible à court terme. La décision de vente associée suggère une prudence pour les nouveaux achats à ces niveaux, bien que la tendance de fond reste positive.</w:t>
      </w:r>
    </w:p>
    <w:p>
      <w:pPr>
        <w:spacing w:after="120" w:line="276" w:lineRule="auto"/>
      </w:pPr>
      <w:r>
        <w:t>**Stochastique** : Le %K (83,7) et le %D (85,5) sont tous deux en zone de surachat, avec un %K légèrement inférieur au %D, indiquant un possible croisement baissier imminent. Cette configuration suggère un essoufflement de la dynamique haussière à court terme, justifiant la décision de vente.</w:t>
      </w:r>
    </w:p>
    <w:p>
      <w:pPr>
        <w:spacing w:after="120" w:line="276" w:lineRule="auto"/>
      </w:pPr>
      <w:r>
        <w:t>**Conclusion technique** : Les indicateurs de tendance (MM, MACD) sont positifs, mais les oscillateurs (RSI, Stochastique) signalent une suracheter, créant un conflit entre la tendance de fond et le timing d'entrée. Une consolidation ou un léger repli est probable avant une reprise de la tendance haussière, mais le signal global reste acheteur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hausse de +0,71% par rapport à 2024 (600,708 Mds FCFA), avec un résultat net de 6,028 milliards FCFA, en progression de +12,6% (5,354 Mds en 2024). La marge nette reste faible à 0,99%, mais le ROE est excellent à 22,2%, témoignant d'une création de valeur efficace pour les actionnaires, tandis que le ROA s'établit à 3,1%. La structure financière montre une autonomie financière limitée (14,03% de capitaux propres dans le bilan), avec un endettement élevé (dettes totales de 166,4 Mds FCFA) et une trésorerie nette négative de -65,26 milliards FCFA. Le BFR est positif à 15,315 Mds FCFA, avec un délai clients de 23,3 jours et un délai fournisseurs de 35,5 jours, indiquant une gestion correcte mais perfectible. Les rapports trimestriels 2025 montrent une amélioration progressive : le T3 2025 affichait un résultat net en hausse de +45% (4,119 Mds FCFA), porté par une meilleure maîtrise des charges et une réduction des coûts financiers. Pour 2026, le S1 2026 (rapport du 30 juin 2026) indique un CA de 305,038 Mds FCFA (-1% vs S1 2025), mais un résultat d'exploitation en hausse de +17% à 6,133 Mds FCFA, soutenu par le butane. On estime que le résultat net 2026 pourrait atteindre environ 5,5-6,5 milliards FCFA, malgré la baisse des volumes sur l'aviation et le bitume, grâce à la résilience opérationnelle et à la gestion des coûts. La politique de dividende reste généreuse (6,09 Mds FCFA proposés pour 2025, soit un taux de distribution de 101%), ce qui pourrait limiter la capacité d'investissement future.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est exigeante (PER 23,9x, P/B 5,31x), indiquant une surévaluation relative par rapport aux bénéfices et aux fonds propres, malgré un EV/EBITDA de 12,9x dans la norme. Le comportement du cours sur 100 jours montre une tendance haussière modérée (+1,78%) avec une volatilité élevée (33,8%) et une distribution platykurtique, suggérant un risque de mouvements brusques. Les signaux techniques sont mitigés : les moyennes mobiles et le MACD sont positifs, mais le RSI et le stochastique en zone de surachat appellent à la prudence à court terme. Les fondamentaux sont solides mais fragiles, avec un ROE de 22,2% et une amélioration du résultat net, mais une trésorerie nette très négative et une dépendance aux découverts bancaires. Les prédictions IA (J+1 à J+10) prévoient une baisse progressive du cours (de 2 160 à 1 854 FCFA), contredisant la tendance haussière récente et confirmant le risque de correction technique. En synthèse, la convergence entre la surévaluation, les signaux techniques de surachat et les prédictions baissières suggère une **VENTE** à court terme, avec un niveau de confiance **Moyen** et un risque global **Élevé**. L'horizon d'investissement optimal serait de **court terme (&lt;3 mois)** pour profiter d'un éventuel repli, avant de réévaluer la position sur des fondamentaux plus solides.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932.00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8,760 titres</w:t>
            </w:r>
          </w:p>
        </w:tc>
        <w:tc>
          <w:tcPr>
            <w:tcW w:type="dxa" w:w="2268"/>
            <w:shd w:fill="FFF2CC" w:val="clear"/>
          </w:tcPr>
          <w:p>
            <w:r>
              <w:rPr>
                <w:b/>
                <w:color w:val="503200"/>
                <w:sz w:val="16"/>
              </w:rPr>
              <w:t xml:space="preserve">Cours actuel : </w:t>
            </w:r>
            <w:r>
              <w:rPr>
                <w:color w:val="000000"/>
                <w:sz w:val="17"/>
              </w:rPr>
              <w:t>9,320 FCFA</w:t>
            </w:r>
          </w:p>
          <w:p>
            <w:r>
              <w:rPr>
                <w:b/>
                <w:color w:val="503200"/>
                <w:sz w:val="16"/>
              </w:rPr>
              <w:t xml:space="preserve">Var. 100 jours : </w:t>
            </w:r>
            <w:r>
              <w:rPr>
                <w:b/>
                <w:color w:val="007800"/>
                <w:sz w:val="17"/>
              </w:rPr>
              <w:t>+31.27%</w:t>
            </w:r>
          </w:p>
          <w:p>
            <w:r>
              <w:rPr>
                <w:b/>
                <w:color w:val="503200"/>
                <w:sz w:val="16"/>
              </w:rPr>
              <w:t xml:space="preserve">Plus haut 100j : </w:t>
            </w:r>
            <w:r>
              <w:rPr>
                <w:color w:val="000000"/>
                <w:sz w:val="17"/>
              </w:rPr>
              <w:t>9,320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11.16% (Moyenne) — μ=8,023 FCFA, σ=895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β=0.5240 (Défensif) — Cov=0.000019, Var(idx)=0.000036, ρ=0.180,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5477"/>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8,713</w:t>
            </w:r>
          </w:p>
        </w:tc>
        <w:tc>
          <w:tcPr>
            <w:tcW w:type="dxa" w:w="1440"/>
            <w:shd w:fill="FFDCE0" w:val="clear"/>
          </w:tcPr>
          <w:p>
            <w:r>
              <w:rPr>
                <w:b/>
                <w:sz w:val="17"/>
              </w:rPr>
              <w:t>8,970</w:t>
            </w:r>
          </w:p>
        </w:tc>
        <w:tc>
          <w:tcPr>
            <w:tcW w:type="dxa" w:w="1440"/>
            <w:shd w:fill="FFDCE0" w:val="clear"/>
          </w:tcPr>
          <w:p>
            <w:r>
              <w:rPr>
                <w:sz w:val="17"/>
              </w:rPr>
              <w:t>9,227</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8,296</w:t>
            </w:r>
          </w:p>
        </w:tc>
        <w:tc>
          <w:tcPr>
            <w:tcW w:type="dxa" w:w="1440"/>
            <w:shd w:fill="FFDCE0" w:val="clear"/>
          </w:tcPr>
          <w:p>
            <w:r>
              <w:rPr>
                <w:b/>
                <w:sz w:val="17"/>
              </w:rPr>
              <w:t>8,646</w:t>
            </w:r>
          </w:p>
        </w:tc>
        <w:tc>
          <w:tcPr>
            <w:tcW w:type="dxa" w:w="1440"/>
            <w:shd w:fill="FFDCE0" w:val="clear"/>
          </w:tcPr>
          <w:p>
            <w:r>
              <w:rPr>
                <w:sz w:val="17"/>
              </w:rPr>
              <w:t>8,996</w:t>
            </w:r>
          </w:p>
        </w:tc>
        <w:tc>
          <w:tcPr>
            <w:tcW w:type="dxa" w:w="1440"/>
            <w:shd w:fill="FFDCE0" w:val="clear"/>
          </w:tcPr>
          <w:p>
            <w:r>
              <w:rPr>
                <w:b/>
                <w:color w:val="C00000"/>
                <w:sz w:val="17"/>
              </w:rPr>
              <w:t>-7.2%</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7,944</w:t>
            </w:r>
          </w:p>
        </w:tc>
        <w:tc>
          <w:tcPr>
            <w:tcW w:type="dxa" w:w="1440"/>
            <w:shd w:fill="FFDCE0" w:val="clear"/>
          </w:tcPr>
          <w:p>
            <w:r>
              <w:rPr>
                <w:b/>
                <w:sz w:val="17"/>
              </w:rPr>
              <w:t>8,359</w:t>
            </w:r>
          </w:p>
        </w:tc>
        <w:tc>
          <w:tcPr>
            <w:tcW w:type="dxa" w:w="1440"/>
            <w:shd w:fill="FFDCE0" w:val="clear"/>
          </w:tcPr>
          <w:p>
            <w:r>
              <w:rPr>
                <w:sz w:val="17"/>
              </w:rPr>
              <w:t>8,773</w:t>
            </w:r>
          </w:p>
        </w:tc>
        <w:tc>
          <w:tcPr>
            <w:tcW w:type="dxa" w:w="1440"/>
            <w:shd w:fill="FFDCE0" w:val="clear"/>
          </w:tcPr>
          <w:p>
            <w:r>
              <w:rPr>
                <w:b/>
                <w:color w:val="C00000"/>
                <w:sz w:val="17"/>
              </w:rPr>
              <w:t>-10.3%</w:t>
            </w:r>
          </w:p>
        </w:tc>
      </w:tr>
      <w:tr>
        <w:tc>
          <w:tcPr>
            <w:tcW w:type="dxa" w:w="1440"/>
            <w:shd w:fill="FFDCE0" w:val="clear"/>
          </w:tcPr>
          <w:p>
            <w:r>
              <w:rPr>
                <w:sz w:val="17"/>
              </w:rPr>
              <w:t>J+4  Moyenne</w:t>
            </w:r>
          </w:p>
        </w:tc>
        <w:tc>
          <w:tcPr>
            <w:tcW w:type="dxa" w:w="1440"/>
            <w:shd w:fill="FFDCE0" w:val="clear"/>
          </w:tcPr>
          <w:p>
            <w:r>
              <w:rPr>
                <w:sz w:val="17"/>
              </w:rPr>
              <w:t>2026-08-14</w:t>
            </w:r>
          </w:p>
        </w:tc>
        <w:tc>
          <w:tcPr>
            <w:tcW w:type="dxa" w:w="1440"/>
            <w:shd w:fill="FFDCE0" w:val="clear"/>
          </w:tcPr>
          <w:p>
            <w:r>
              <w:rPr>
                <w:sz w:val="17"/>
              </w:rPr>
              <w:t>7,653</w:t>
            </w:r>
          </w:p>
        </w:tc>
        <w:tc>
          <w:tcPr>
            <w:tcW w:type="dxa" w:w="1440"/>
            <w:shd w:fill="FFDCE0" w:val="clear"/>
          </w:tcPr>
          <w:p>
            <w:r>
              <w:rPr>
                <w:b/>
                <w:sz w:val="17"/>
              </w:rPr>
              <w:t>8,117</w:t>
            </w:r>
          </w:p>
        </w:tc>
        <w:tc>
          <w:tcPr>
            <w:tcW w:type="dxa" w:w="1440"/>
            <w:shd w:fill="FFDCE0" w:val="clear"/>
          </w:tcPr>
          <w:p>
            <w:r>
              <w:rPr>
                <w:sz w:val="17"/>
              </w:rPr>
              <w:t>8,582</w:t>
            </w:r>
          </w:p>
        </w:tc>
        <w:tc>
          <w:tcPr>
            <w:tcW w:type="dxa" w:w="1440"/>
            <w:shd w:fill="FFDCE0" w:val="clear"/>
          </w:tcPr>
          <w:p>
            <w:r>
              <w:rPr>
                <w:b/>
                <w:color w:val="C00000"/>
                <w:sz w:val="17"/>
              </w:rPr>
              <w:t>-12.9%</w:t>
            </w:r>
          </w:p>
        </w:tc>
      </w:tr>
      <w:tr>
        <w:tc>
          <w:tcPr>
            <w:tcW w:type="dxa" w:w="1440"/>
            <w:shd w:fill="FFDCE0" w:val="clear"/>
          </w:tcPr>
          <w:p>
            <w:r>
              <w:rPr>
                <w:sz w:val="17"/>
              </w:rPr>
              <w:t>J+5  Moyenne</w:t>
            </w:r>
          </w:p>
        </w:tc>
        <w:tc>
          <w:tcPr>
            <w:tcW w:type="dxa" w:w="1440"/>
            <w:shd w:fill="FFDCE0" w:val="clear"/>
          </w:tcPr>
          <w:p>
            <w:r>
              <w:rPr>
                <w:sz w:val="17"/>
              </w:rPr>
              <w:t>2026-08-17</w:t>
            </w:r>
          </w:p>
        </w:tc>
        <w:tc>
          <w:tcPr>
            <w:tcW w:type="dxa" w:w="1440"/>
            <w:shd w:fill="FFDCE0" w:val="clear"/>
          </w:tcPr>
          <w:p>
            <w:r>
              <w:rPr>
                <w:sz w:val="17"/>
              </w:rPr>
              <w:t>7,409</w:t>
            </w:r>
          </w:p>
        </w:tc>
        <w:tc>
          <w:tcPr>
            <w:tcW w:type="dxa" w:w="1440"/>
            <w:shd w:fill="FFDCE0" w:val="clear"/>
          </w:tcPr>
          <w:p>
            <w:r>
              <w:rPr>
                <w:b/>
                <w:sz w:val="17"/>
              </w:rPr>
              <w:t>7,916</w:t>
            </w:r>
          </w:p>
        </w:tc>
        <w:tc>
          <w:tcPr>
            <w:tcW w:type="dxa" w:w="1440"/>
            <w:shd w:fill="FFDCE0" w:val="clear"/>
          </w:tcPr>
          <w:p>
            <w:r>
              <w:rPr>
                <w:sz w:val="17"/>
              </w:rPr>
              <w:t>8,422</w:t>
            </w:r>
          </w:p>
        </w:tc>
        <w:tc>
          <w:tcPr>
            <w:tcW w:type="dxa" w:w="1440"/>
            <w:shd w:fill="FFDCE0" w:val="clear"/>
          </w:tcPr>
          <w:p>
            <w:r>
              <w:rPr>
                <w:b/>
                <w:color w:val="C00000"/>
                <w:sz w:val="17"/>
              </w:rPr>
              <w:t>-15.1%</w:t>
            </w:r>
          </w:p>
        </w:tc>
      </w:tr>
      <w:tr>
        <w:tc>
          <w:tcPr>
            <w:tcW w:type="dxa" w:w="1440"/>
            <w:shd w:fill="FFDCE0" w:val="clear"/>
          </w:tcPr>
          <w:p>
            <w:r>
              <w:rPr>
                <w:sz w:val="17"/>
              </w:rPr>
              <w:t>J+6  Moyenne</w:t>
            </w:r>
          </w:p>
        </w:tc>
        <w:tc>
          <w:tcPr>
            <w:tcW w:type="dxa" w:w="1440"/>
            <w:shd w:fill="FFDCE0" w:val="clear"/>
          </w:tcPr>
          <w:p>
            <w:r>
              <w:rPr>
                <w:sz w:val="17"/>
              </w:rPr>
              <w:t>2026-08-18</w:t>
            </w:r>
          </w:p>
        </w:tc>
        <w:tc>
          <w:tcPr>
            <w:tcW w:type="dxa" w:w="1440"/>
            <w:shd w:fill="FFDCE0" w:val="clear"/>
          </w:tcPr>
          <w:p>
            <w:r>
              <w:rPr>
                <w:sz w:val="17"/>
              </w:rPr>
              <w:t>7,201</w:t>
            </w:r>
          </w:p>
        </w:tc>
        <w:tc>
          <w:tcPr>
            <w:tcW w:type="dxa" w:w="1440"/>
            <w:shd w:fill="FFDCE0" w:val="clear"/>
          </w:tcPr>
          <w:p>
            <w:r>
              <w:rPr>
                <w:b/>
                <w:sz w:val="17"/>
              </w:rPr>
              <w:t>7,744</w:t>
            </w:r>
          </w:p>
        </w:tc>
        <w:tc>
          <w:tcPr>
            <w:tcW w:type="dxa" w:w="1440"/>
            <w:shd w:fill="FFDCE0" w:val="clear"/>
          </w:tcPr>
          <w:p>
            <w:r>
              <w:rPr>
                <w:sz w:val="17"/>
              </w:rPr>
              <w:t>8,287</w:t>
            </w:r>
          </w:p>
        </w:tc>
        <w:tc>
          <w:tcPr>
            <w:tcW w:type="dxa" w:w="1440"/>
            <w:shd w:fill="FFDCE0" w:val="clear"/>
          </w:tcPr>
          <w:p>
            <w:r>
              <w:rPr>
                <w:b/>
                <w:color w:val="C00000"/>
                <w:sz w:val="17"/>
              </w:rPr>
              <w:t>-16.9%</w:t>
            </w:r>
          </w:p>
        </w:tc>
      </w:tr>
      <w:tr>
        <w:tc>
          <w:tcPr>
            <w:tcW w:type="dxa" w:w="1440"/>
            <w:shd w:fill="FFDCE0" w:val="clear"/>
          </w:tcPr>
          <w:p>
            <w:r>
              <w:rPr>
                <w:sz w:val="17"/>
              </w:rPr>
              <w:t>J+7  Moyenne</w:t>
            </w:r>
          </w:p>
        </w:tc>
        <w:tc>
          <w:tcPr>
            <w:tcW w:type="dxa" w:w="1440"/>
            <w:shd w:fill="FFDCE0" w:val="clear"/>
          </w:tcPr>
          <w:p>
            <w:r>
              <w:rPr>
                <w:sz w:val="17"/>
              </w:rPr>
              <w:t>2026-08-19</w:t>
            </w:r>
          </w:p>
        </w:tc>
        <w:tc>
          <w:tcPr>
            <w:tcW w:type="dxa" w:w="1440"/>
            <w:shd w:fill="FFDCE0" w:val="clear"/>
          </w:tcPr>
          <w:p>
            <w:r>
              <w:rPr>
                <w:sz w:val="17"/>
              </w:rPr>
              <w:t>7,020</w:t>
            </w:r>
          </w:p>
        </w:tc>
        <w:tc>
          <w:tcPr>
            <w:tcW w:type="dxa" w:w="1440"/>
            <w:shd w:fill="FFDCE0" w:val="clear"/>
          </w:tcPr>
          <w:p>
            <w:r>
              <w:rPr>
                <w:b/>
                <w:sz w:val="17"/>
              </w:rPr>
              <w:t>7,595</w:t>
            </w:r>
          </w:p>
        </w:tc>
        <w:tc>
          <w:tcPr>
            <w:tcW w:type="dxa" w:w="1440"/>
            <w:shd w:fill="FFDCE0" w:val="clear"/>
          </w:tcPr>
          <w:p>
            <w:r>
              <w:rPr>
                <w:sz w:val="17"/>
              </w:rPr>
              <w:t>8,169</w:t>
            </w:r>
          </w:p>
        </w:tc>
        <w:tc>
          <w:tcPr>
            <w:tcW w:type="dxa" w:w="1440"/>
            <w:shd w:fill="FFDCE0" w:val="clear"/>
          </w:tcPr>
          <w:p>
            <w:r>
              <w:rPr>
                <w:b/>
                <w:color w:val="C00000"/>
                <w:sz w:val="17"/>
              </w:rPr>
              <w:t>-18.5%</w:t>
            </w:r>
          </w:p>
        </w:tc>
      </w:tr>
      <w:tr>
        <w:tc>
          <w:tcPr>
            <w:tcW w:type="dxa" w:w="1440"/>
            <w:shd w:fill="FFDCE0" w:val="clear"/>
          </w:tcPr>
          <w:p>
            <w:r>
              <w:rPr>
                <w:sz w:val="17"/>
              </w:rPr>
              <w:t>J+8  Moyenne</w:t>
            </w:r>
          </w:p>
        </w:tc>
        <w:tc>
          <w:tcPr>
            <w:tcW w:type="dxa" w:w="1440"/>
            <w:shd w:fill="FFDCE0" w:val="clear"/>
          </w:tcPr>
          <w:p>
            <w:r>
              <w:rPr>
                <w:sz w:val="17"/>
              </w:rPr>
              <w:t>2026-08-20</w:t>
            </w:r>
          </w:p>
        </w:tc>
        <w:tc>
          <w:tcPr>
            <w:tcW w:type="dxa" w:w="1440"/>
            <w:shd w:fill="FFDCE0" w:val="clear"/>
          </w:tcPr>
          <w:p>
            <w:r>
              <w:rPr>
                <w:sz w:val="17"/>
              </w:rPr>
              <w:t>6,858</w:t>
            </w:r>
          </w:p>
        </w:tc>
        <w:tc>
          <w:tcPr>
            <w:tcW w:type="dxa" w:w="1440"/>
            <w:shd w:fill="FFDCE0" w:val="clear"/>
          </w:tcPr>
          <w:p>
            <w:r>
              <w:rPr>
                <w:b/>
                <w:sz w:val="17"/>
              </w:rPr>
              <w:t>7,462</w:t>
            </w:r>
          </w:p>
        </w:tc>
        <w:tc>
          <w:tcPr>
            <w:tcW w:type="dxa" w:w="1440"/>
            <w:shd w:fill="FFDCE0" w:val="clear"/>
          </w:tcPr>
          <w:p>
            <w:r>
              <w:rPr>
                <w:sz w:val="17"/>
              </w:rPr>
              <w:t>8,066</w:t>
            </w:r>
          </w:p>
        </w:tc>
        <w:tc>
          <w:tcPr>
            <w:tcW w:type="dxa" w:w="1440"/>
            <w:shd w:fill="FFDCE0" w:val="clear"/>
          </w:tcPr>
          <w:p>
            <w:r>
              <w:rPr>
                <w:b/>
                <w:color w:val="C00000"/>
                <w:sz w:val="17"/>
              </w:rPr>
              <w:t>-19.9%</w:t>
            </w:r>
          </w:p>
        </w:tc>
      </w:tr>
      <w:tr>
        <w:tc>
          <w:tcPr>
            <w:tcW w:type="dxa" w:w="1440"/>
            <w:shd w:fill="FFDCE0" w:val="clear"/>
          </w:tcPr>
          <w:p>
            <w:r>
              <w:rPr>
                <w:sz w:val="17"/>
              </w:rPr>
              <w:t>J+9  Moyenne</w:t>
            </w:r>
          </w:p>
        </w:tc>
        <w:tc>
          <w:tcPr>
            <w:tcW w:type="dxa" w:w="1440"/>
            <w:shd w:fill="FFDCE0" w:val="clear"/>
          </w:tcPr>
          <w:p>
            <w:r>
              <w:rPr>
                <w:sz w:val="17"/>
              </w:rPr>
              <w:t>2026-08-21</w:t>
            </w:r>
          </w:p>
        </w:tc>
        <w:tc>
          <w:tcPr>
            <w:tcW w:type="dxa" w:w="1440"/>
            <w:shd w:fill="FFDCE0" w:val="clear"/>
          </w:tcPr>
          <w:p>
            <w:r>
              <w:rPr>
                <w:sz w:val="17"/>
              </w:rPr>
              <w:t>6,712</w:t>
            </w:r>
          </w:p>
        </w:tc>
        <w:tc>
          <w:tcPr>
            <w:tcW w:type="dxa" w:w="1440"/>
            <w:shd w:fill="FFDCE0" w:val="clear"/>
          </w:tcPr>
          <w:p>
            <w:r>
              <w:rPr>
                <w:b/>
                <w:sz w:val="17"/>
              </w:rPr>
              <w:t>7,343</w:t>
            </w:r>
          </w:p>
        </w:tc>
        <w:tc>
          <w:tcPr>
            <w:tcW w:type="dxa" w:w="1440"/>
            <w:shd w:fill="FFDCE0" w:val="clear"/>
          </w:tcPr>
          <w:p>
            <w:r>
              <w:rPr>
                <w:sz w:val="17"/>
              </w:rPr>
              <w:t>7,973</w:t>
            </w:r>
          </w:p>
        </w:tc>
        <w:tc>
          <w:tcPr>
            <w:tcW w:type="dxa" w:w="1440"/>
            <w:shd w:fill="FFDCE0" w:val="clear"/>
          </w:tcPr>
          <w:p>
            <w:r>
              <w:rPr>
                <w:b/>
                <w:color w:val="C00000"/>
                <w:sz w:val="17"/>
              </w:rPr>
              <w:t>-21.2%</w:t>
            </w:r>
          </w:p>
        </w:tc>
      </w:tr>
      <w:tr>
        <w:tc>
          <w:tcPr>
            <w:tcW w:type="dxa" w:w="1440"/>
            <w:shd w:fill="FFDCE0" w:val="clear"/>
          </w:tcPr>
          <w:p>
            <w:r>
              <w:rPr>
                <w:sz w:val="17"/>
              </w:rPr>
              <w:t>J+10  Moyenne</w:t>
            </w:r>
          </w:p>
        </w:tc>
        <w:tc>
          <w:tcPr>
            <w:tcW w:type="dxa" w:w="1440"/>
            <w:shd w:fill="FFDCE0" w:val="clear"/>
          </w:tcPr>
          <w:p>
            <w:r>
              <w:rPr>
                <w:sz w:val="17"/>
              </w:rPr>
              <w:t>2026-08-24</w:t>
            </w:r>
          </w:p>
        </w:tc>
        <w:tc>
          <w:tcPr>
            <w:tcW w:type="dxa" w:w="1440"/>
            <w:shd w:fill="FFDCE0" w:val="clear"/>
          </w:tcPr>
          <w:p>
            <w:r>
              <w:rPr>
                <w:sz w:val="17"/>
              </w:rPr>
              <w:t>6,579</w:t>
            </w:r>
          </w:p>
        </w:tc>
        <w:tc>
          <w:tcPr>
            <w:tcW w:type="dxa" w:w="1440"/>
            <w:shd w:fill="FFDCE0" w:val="clear"/>
          </w:tcPr>
          <w:p>
            <w:r>
              <w:rPr>
                <w:b/>
                <w:sz w:val="17"/>
              </w:rPr>
              <w:t>7,234</w:t>
            </w:r>
          </w:p>
        </w:tc>
        <w:tc>
          <w:tcPr>
            <w:tcW w:type="dxa" w:w="1440"/>
            <w:shd w:fill="FFDCE0" w:val="clear"/>
          </w:tcPr>
          <w:p>
            <w:r>
              <w:rPr>
                <w:sz w:val="17"/>
              </w:rPr>
              <w:t>7,888</w:t>
            </w:r>
          </w:p>
        </w:tc>
        <w:tc>
          <w:tcPr>
            <w:tcW w:type="dxa" w:w="1440"/>
            <w:shd w:fill="FFDCE0" w:val="clear"/>
          </w:tcPr>
          <w:p>
            <w:r>
              <w:rPr>
                <w:b/>
                <w:color w:val="C00000"/>
                <w:sz w:val="17"/>
              </w:rPr>
              <w:t>-22.4%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 11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932 milliards FCFA, un niveau qui la positionne parmi les poids lourds du compartiment bancaire de la BRVM, reflétant la confiance des investisseurs dans cet établissement systémique. Avec un BPA de 556 FCFA, chaque action génère un bénéfice substantiel, mais le PER de 16,8x indique que les investisseurs paient une prime significative par rapport à la moyenne historique du marché (8-12x), ce qui traduit des anticipations de croissance élevées. Le P/B de 4,55x confirme cette valorisation exigeante, le marché valorisant fortement les actifs nets de la banque, tandis que l'EV/EBITDA de 15,5x souligne que la valeur totale de l'entreprise (dette incluse) est élevée par rapport à sa capacité opérationnelle. Ces ratios suggèrent que le titre est correctement valorisé, voire légèrement surévalué sur une base strictement comptable, mais ils intègrent la solidité financière exceptionnelle de la banque et ses perspectives de croissance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performance remarquable de +31,27%, avec une légère progression de +0,22% lors de la dernière séance, portant le cours à 9 320 FCFA. Le titre a évolué dans une fourchette de 6 805 FCFA (plus bas) à 9 320 FCFA (plus haut), démontrant une dynamique haussière soutenue et continue. La moyenne du cours sur la période (8 023 FCFA) est inférieure à la médiane (8 348 FCFA), indiquant une distribution légèrement asymétrique avec une concentration des valeurs vers le haut de la fourchette, ce qui confirme la vigueur de la tendance haussière. L'écart-type de 900 FCFA (CV = 11,2%) révèle une dispersion modérée des prix autour de la moyenne, tandis que le kurtosis de -1,799 (distribution platykurtique) signale une absence de pics extrêmes et une certaine stabilité dans les variations. Le skewness de -0,084, proche de zéro, indique une distribution quasi symétrique des rendements. La volatilité annualisée de 27,7% classe le titre dans la catégorie "modérée à élevée", ce qui implique des fluctuations de prix notables mais maîtrisées, offrant des opportunités pour les investisseurs actifs tout en nécessitant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9 320 FCFA se situe nettement au-dessus de la MM20 (8 940,5 FCFA) et de la MM50 (8 879,9 FCFA), confirmant une tendance haussière solide à court et moyen terme. L'écart positif entre le cours et les deux moyennes mobiles, ainsi que leur orientation ascendante, génère un signal d'achat clair, indiquant que la dynamique haussière est toujours en place et que les acheteurs contrôlent le marché.</w:t>
      </w:r>
    </w:p>
    <w:p>
      <w:pPr>
        <w:spacing w:after="120" w:line="276" w:lineRule="auto"/>
      </w:pPr>
      <w:r>
        <w:t>**Bandes de Bollinger :** Le prix évolue près de la borne supérieure (9 380 FCFA) et au-dessus de la borne inférieure (8 500 FCFA), avec une largeur de bandes relativement étroite indiquant une volatilité modérée. La position du cours proche de la borne supérieure suggère une certaine pression acheteuse, mais le signal est neutre car le prix n'a pas encore franchi la borne, ce qui pourrait indiquer une consolidation avant une éventuelle poursuite de la hausse ou un repli technique.</w:t>
      </w:r>
    </w:p>
    <w:p>
      <w:pPr>
        <w:spacing w:after="120" w:line="276" w:lineRule="auto"/>
      </w:pPr>
      <w:r>
        <w:t>**MACD :** La valeur du MACD (125,284) est nettement supérieure à son signal (87,304), avec un écart positif de 38 points qui témoigne d'un momentum haussier puissant. Cette configuration, où la ligne MACD est au-dessus de la ligne de signal, génère un signal d'achat fort, confirmant la tendance haussière en cours et suggérant que le mouvement de hausse pourrait se poursuivre à court terme.</w:t>
      </w:r>
    </w:p>
    <w:p>
      <w:pPr>
        <w:spacing w:after="120" w:line="276" w:lineRule="auto"/>
      </w:pPr>
      <w:r>
        <w:t>**RSI :** Avec une valeur de 61,573, le RSI se situe dans la zone neutre (30-70), mais proche de la zone de surachat (70). Cette position indique que le titre dispose encore d'un potentiel haussier, mais qu'il approche d'un niveau où une correction technique pourrait survenir. Le signal est neutre, avec une vigilance accrue sur l'évolution de cet indicateur dans les prochaines séances.</w:t>
      </w:r>
    </w:p>
    <w:p>
      <w:pPr>
        <w:spacing w:after="120" w:line="276" w:lineRule="auto"/>
      </w:pPr>
      <w:r>
        <w:t>**Stochastique :** Le %K à 100,0 et le %D à 97,436 sont tous deux en zone de surachat extrême, avec un croisement qui suggère un épuisement potentiel de la dynamique haussière. Cette configuration génère un signal de vente, indiquant que le titre est techniquement surévalué à court terme et qu'une correction est probable, même si la tendance de fond reste haussière.</w:t>
      </w:r>
    </w:p>
    <w:p>
      <w:pPr>
        <w:spacing w:after="120" w:line="276" w:lineRule="auto"/>
      </w:pPr>
      <w:r>
        <w:t>**Conclusion technique :** La convergence des indicateurs est mitigée : les moyennes mobiles et le MACD confirment une tendance haussière solide, tandis que le RSI approche du surachat et que le stochastique est en zone de vente extrême. Cette divergence suggère que le titre pourrait connaître une consolidation à court terme avant de poursuivre sa tendance haussière de fond, ou subir une correction technique significative.</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financiers exceptionnels avec un Produit Net Bancaire (PNB) de 108,663 milliards FCFA et un résultat net de 55,623 milliards FCFA, démontrant une rentabilité remarquable. Le ROE de 27,16% et le ROA de 2,96% confirment une utilisation très efficace des capitaux propres et des actifs, tandis que le coefficient d'exploitation de 38,59% témoigne d'une excellente maîtrise des charges opérationnelles, bien en dessous du seuil de 60% considéré comme efficace dans le secteur bancaire. La structure financière révèle une collecte de dépôts massive (1 503,441 milliards FCFA) contre des crédits à la clientèle de 1 226,720 milliards FCFA, soit un ratio de transformation de 81,6%, indiquant une gestion prudente du risque de liquidité. Le coût du risque, mesuré par le ratio provisions/charges financières, reste élevé mais en amélioration, reflétant une politique de provisionnement prudente. Les rapports trimestriels confirment cette dynamique : le T1 2025 (PNB +12%, résultat net +10%), le S1 2025 (PNB +9%, résultat net +15%) et le T3 2025 (PNB +8%, résultat net +11%) montrent une croissance soutenue. Le rapport annuel 2024 (publié en 2025) indiquait déjà un PNB de 102,8 milliards FCFA et un résultat net de 50,2 milliards FCFA, avec un ROE de 30,56%. Sur la base du rapport T1 2026 (résultat net +11% à 15,2 milliards FCFA, PNB +4% à 27,7 milliards FCFA), on estime que l'exercice 2026 devrait confirmer cette trajectoire de croissance, avec un PNB annuel potentiel autour de 112-115 milliards FCFA et un résultat net dépassant 58 milliards FCFA. La banque maintient une position de leader sur le marché ivoirien, avec des perspectives favorables soutenues par le plan stratégique "IMPULSION 2028" et la dynamique économique positive de la Côte d'Ivoire.</w:t>
      </w:r>
    </w:p>
    <w:p>
      <w:pPr>
        <w:spacing w:after="120" w:line="276" w:lineRule="auto"/>
      </w:pPr>
      <w:r>
        <w:t>---</w:t>
      </w:r>
    </w:p>
    <w:p>
      <w:pPr>
        <w:spacing w:after="120" w:line="276" w:lineRule="auto"/>
      </w:pPr>
      <w:r>
        <w:t>### PARTIE 4 : CONCLUSION D'INVESTISSEMENT</w:t>
      </w:r>
    </w:p>
    <w:p>
      <w:pPr>
        <w:spacing w:after="120" w:line="276" w:lineRule="auto"/>
      </w:pPr>
      <w:r>
        <w:t>La synthèse globale révèle une situation contrastée pour l'action SIBC. Sur le plan de la valorisation, les ratios PER (16,8x), P/B (4,55x) et EV/EBITDA (15,5x) indiquent une valorisation exigeante par rapport aux moyennes du marché BRVM, mais justifiée par la qualité exceptionnelle des fondamentaux. Le comportement du cours sur 100 jours (+31,27%) avec une volatilité modérée (27,7%) et une distribution symétrique (skewness -0,084) témoigne d'une tendance haussière saine, bien que le kurtosis platykurtique suggère une certaine stabilité dans les variations. Les signaux techniques sont mitigés : les moyennes mobiles et le MACD sont positifs, mais le RSI proche du surachat et le stochastique en zone de vente extrême indiquent un risque de correction à court terme. Les fondamentaux restent excellents avec un ROE de 27,16%, un coefficient d'exploitation de 38,59% et une croissance soutenue du résultat net (+11% au T1 2026), soutenue par le plan stratégique "IMPULSION 2028". Les prédictions IA pour les 10 prochains jours (9 320 → 7 916 FCFA, soit -15%) confirment le scénario de correction technique, contredisant temporairement la tendance haussière de fond. **Recommandation finale : CONSERVER** avec un niveau de confiance **Moyen** et un risque global **Moyen**. Les investisseurs déjà positionnés devraient maintenir leurs positions pour bénéficier de la croissance à long terme, tandis que les nouveaux investisseurs pourraient attendre une correction vers 8 000-8 500 FCFA pour entrer. L'horizon d'investissement optimal est le **moyen terme (3-12 mois)**, permettant d'absorber la volatilité à court terme tout en capitalisant sur la solidité des fondamentaux et les perspectives de croissance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4.57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93 titres</w:t>
            </w:r>
          </w:p>
        </w:tc>
        <w:tc>
          <w:tcPr>
            <w:tcW w:type="dxa" w:w="2268"/>
            <w:shd w:fill="FFF2CC" w:val="clear"/>
          </w:tcPr>
          <w:p>
            <w:r>
              <w:rPr>
                <w:b/>
                <w:color w:val="503200"/>
                <w:sz w:val="16"/>
              </w:rPr>
              <w:t xml:space="preserve">Cours actuel : </w:t>
            </w:r>
            <w:r>
              <w:rPr>
                <w:color w:val="000000"/>
                <w:sz w:val="17"/>
              </w:rPr>
              <w:t>7,615 FCFA</w:t>
            </w:r>
          </w:p>
          <w:p>
            <w:r>
              <w:rPr>
                <w:b/>
                <w:color w:val="503200"/>
                <w:sz w:val="16"/>
              </w:rPr>
              <w:t xml:space="preserve">Var. 100 jours : </w:t>
            </w:r>
            <w:r>
              <w:rPr>
                <w:b/>
                <w:color w:val="007800"/>
                <w:sz w:val="17"/>
              </w:rPr>
              <w:t>+85.73%</w:t>
            </w:r>
          </w:p>
          <w:p>
            <w:r>
              <w:rPr>
                <w:b/>
                <w:color w:val="503200"/>
                <w:sz w:val="16"/>
              </w:rPr>
              <w:t xml:space="preserve">Plus haut 100j : </w:t>
            </w:r>
            <w:r>
              <w:rPr>
                <w:color w:val="000000"/>
                <w:sz w:val="17"/>
              </w:rPr>
              <w:t>7,615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38.6/100 → Moyen</w:t>
      </w:r>
    </w:p>
    <w:p>
      <w:pPr>
        <w:spacing w:before="40" w:after="80"/>
      </w:pPr>
      <w:r>
        <w:rPr>
          <w:rFonts w:ascii="Courier New" w:hAnsi="Courier New"/>
          <w:color w:val="825A00"/>
          <w:sz w:val="18"/>
        </w:rPr>
        <w:t>███████░░░░░░░░░░░░░  38.6/100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16.68% (Élevée) — μ=4,670 FCFA, σ=779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β=-0.0414 (Contre-cyclique) — Cov=-0.000002, Var(idx)=0.000036, ρ=-0.007,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σ_j=3.46%/j (Modérée) — Vol. annualisée≈54.9%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0547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6,877</w:t>
            </w:r>
          </w:p>
        </w:tc>
        <w:tc>
          <w:tcPr>
            <w:tcW w:type="dxa" w:w="1440"/>
            <w:shd w:fill="FFDCE0" w:val="clear"/>
          </w:tcPr>
          <w:p>
            <w:r>
              <w:rPr>
                <w:b/>
                <w:sz w:val="17"/>
              </w:rPr>
              <w:t>7,366</w:t>
            </w:r>
          </w:p>
        </w:tc>
        <w:tc>
          <w:tcPr>
            <w:tcW w:type="dxa" w:w="1440"/>
            <w:shd w:fill="FFDCE0" w:val="clear"/>
          </w:tcPr>
          <w:p>
            <w:r>
              <w:rPr>
                <w:sz w:val="17"/>
              </w:rPr>
              <w:t>7,854</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6,674</w:t>
            </w:r>
          </w:p>
        </w:tc>
        <w:tc>
          <w:tcPr>
            <w:tcW w:type="dxa" w:w="1440"/>
            <w:shd w:fill="FFDCE0" w:val="clear"/>
          </w:tcPr>
          <w:p>
            <w:r>
              <w:rPr>
                <w:b/>
                <w:sz w:val="17"/>
              </w:rPr>
              <w:t>7,365</w:t>
            </w:r>
          </w:p>
        </w:tc>
        <w:tc>
          <w:tcPr>
            <w:tcW w:type="dxa" w:w="1440"/>
            <w:shd w:fill="FFDCE0" w:val="clear"/>
          </w:tcPr>
          <w:p>
            <w:r>
              <w:rPr>
                <w:sz w:val="17"/>
              </w:rPr>
              <w:t>8,055</w:t>
            </w:r>
          </w:p>
        </w:tc>
        <w:tc>
          <w:tcPr>
            <w:tcW w:type="dxa" w:w="1440"/>
            <w:shd w:fill="FFDCE0" w:val="clear"/>
          </w:tcPr>
          <w:p>
            <w:r>
              <w:rPr>
                <w:b/>
                <w:color w:val="C00000"/>
                <w:sz w:val="17"/>
              </w:rPr>
              <w:t>-3.3%</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6,449</w:t>
            </w:r>
          </w:p>
        </w:tc>
        <w:tc>
          <w:tcPr>
            <w:tcW w:type="dxa" w:w="1440"/>
            <w:shd w:fill="FFDCE0" w:val="clear"/>
          </w:tcPr>
          <w:p>
            <w:r>
              <w:rPr>
                <w:b/>
                <w:sz w:val="17"/>
              </w:rPr>
              <w:t>7,286</w:t>
            </w:r>
          </w:p>
        </w:tc>
        <w:tc>
          <w:tcPr>
            <w:tcW w:type="dxa" w:w="1440"/>
            <w:shd w:fill="FFDCE0" w:val="clear"/>
          </w:tcPr>
          <w:p>
            <w:r>
              <w:rPr>
                <w:sz w:val="17"/>
              </w:rPr>
              <w:t>8,122</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6,233</w:t>
            </w:r>
          </w:p>
        </w:tc>
        <w:tc>
          <w:tcPr>
            <w:tcW w:type="dxa" w:w="1440"/>
            <w:shd w:fill="FFDCE0" w:val="clear"/>
          </w:tcPr>
          <w:p>
            <w:r>
              <w:rPr>
                <w:b/>
                <w:sz w:val="17"/>
              </w:rPr>
              <w:t>7,185</w:t>
            </w:r>
          </w:p>
        </w:tc>
        <w:tc>
          <w:tcPr>
            <w:tcW w:type="dxa" w:w="1440"/>
            <w:shd w:fill="FFDCE0" w:val="clear"/>
          </w:tcPr>
          <w:p>
            <w:r>
              <w:rPr>
                <w:sz w:val="17"/>
              </w:rPr>
              <w:t>8,138</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6,027</w:t>
            </w:r>
          </w:p>
        </w:tc>
        <w:tc>
          <w:tcPr>
            <w:tcW w:type="dxa" w:w="1440"/>
            <w:shd w:fill="FFDCE0" w:val="clear"/>
          </w:tcPr>
          <w:p>
            <w:r>
              <w:rPr>
                <w:b/>
                <w:sz w:val="17"/>
              </w:rPr>
              <w:t>7,075</w:t>
            </w:r>
          </w:p>
        </w:tc>
        <w:tc>
          <w:tcPr>
            <w:tcW w:type="dxa" w:w="1440"/>
            <w:shd w:fill="FFDCE0" w:val="clear"/>
          </w:tcPr>
          <w:p>
            <w:r>
              <w:rPr>
                <w:sz w:val="17"/>
              </w:rPr>
              <w:t>8,124</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5,831</w:t>
            </w:r>
          </w:p>
        </w:tc>
        <w:tc>
          <w:tcPr>
            <w:tcW w:type="dxa" w:w="1440"/>
            <w:shd w:fill="FFDCE0" w:val="clear"/>
          </w:tcPr>
          <w:p>
            <w:r>
              <w:rPr>
                <w:b/>
                <w:sz w:val="17"/>
              </w:rPr>
              <w:t>6,961</w:t>
            </w:r>
          </w:p>
        </w:tc>
        <w:tc>
          <w:tcPr>
            <w:tcW w:type="dxa" w:w="1440"/>
            <w:shd w:fill="FFDCE0" w:val="clear"/>
          </w:tcPr>
          <w:p>
            <w:r>
              <w:rPr>
                <w:sz w:val="17"/>
              </w:rPr>
              <w:t>8,091</w:t>
            </w:r>
          </w:p>
        </w:tc>
        <w:tc>
          <w:tcPr>
            <w:tcW w:type="dxa" w:w="1440"/>
            <w:shd w:fill="FFDCE0" w:val="clear"/>
          </w:tcPr>
          <w:p>
            <w:r>
              <w:rPr>
                <w:b/>
                <w:color w:val="C00000"/>
                <w:sz w:val="17"/>
              </w:rPr>
              <w:t>-8.6%</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5,645</w:t>
            </w:r>
          </w:p>
        </w:tc>
        <w:tc>
          <w:tcPr>
            <w:tcW w:type="dxa" w:w="1440"/>
            <w:shd w:fill="FFDCE0" w:val="clear"/>
          </w:tcPr>
          <w:p>
            <w:r>
              <w:rPr>
                <w:b/>
                <w:sz w:val="17"/>
              </w:rPr>
              <w:t>6,845</w:t>
            </w:r>
          </w:p>
        </w:tc>
        <w:tc>
          <w:tcPr>
            <w:tcW w:type="dxa" w:w="1440"/>
            <w:shd w:fill="FFDCE0" w:val="clear"/>
          </w:tcPr>
          <w:p>
            <w:r>
              <w:rPr>
                <w:sz w:val="17"/>
              </w:rPr>
              <w:t>8,046</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5,468</w:t>
            </w:r>
          </w:p>
        </w:tc>
        <w:tc>
          <w:tcPr>
            <w:tcW w:type="dxa" w:w="1440"/>
            <w:shd w:fill="FFDCE0" w:val="clear"/>
          </w:tcPr>
          <w:p>
            <w:r>
              <w:rPr>
                <w:b/>
                <w:sz w:val="17"/>
              </w:rPr>
              <w:t>6,730</w:t>
            </w:r>
          </w:p>
        </w:tc>
        <w:tc>
          <w:tcPr>
            <w:tcW w:type="dxa" w:w="1440"/>
            <w:shd w:fill="FFDCE0" w:val="clear"/>
          </w:tcPr>
          <w:p>
            <w:r>
              <w:rPr>
                <w:sz w:val="17"/>
              </w:rPr>
              <w:t>7,992</w:t>
            </w:r>
          </w:p>
        </w:tc>
        <w:tc>
          <w:tcPr>
            <w:tcW w:type="dxa" w:w="1440"/>
            <w:shd w:fill="FFDCE0" w:val="clear"/>
          </w:tcPr>
          <w:p>
            <w:r>
              <w:rPr>
                <w:b/>
                <w:color w:val="C00000"/>
                <w:sz w:val="17"/>
              </w:rPr>
              <w:t>-11.6%</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5,301</w:t>
            </w:r>
          </w:p>
        </w:tc>
        <w:tc>
          <w:tcPr>
            <w:tcW w:type="dxa" w:w="1440"/>
            <w:shd w:fill="FFDCE0" w:val="clear"/>
          </w:tcPr>
          <w:p>
            <w:r>
              <w:rPr>
                <w:b/>
                <w:sz w:val="17"/>
              </w:rPr>
              <w:t>6,617</w:t>
            </w:r>
          </w:p>
        </w:tc>
        <w:tc>
          <w:tcPr>
            <w:tcW w:type="dxa" w:w="1440"/>
            <w:shd w:fill="FFDCE0" w:val="clear"/>
          </w:tcPr>
          <w:p>
            <w:r>
              <w:rPr>
                <w:sz w:val="17"/>
              </w:rPr>
              <w:t>7,933</w:t>
            </w:r>
          </w:p>
        </w:tc>
        <w:tc>
          <w:tcPr>
            <w:tcW w:type="dxa" w:w="1440"/>
            <w:shd w:fill="FFDCE0" w:val="clear"/>
          </w:tcPr>
          <w:p>
            <w:r>
              <w:rPr>
                <w:b/>
                <w:color w:val="C00000"/>
                <w:sz w:val="17"/>
              </w:rPr>
              <w:t>-13.1%</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5,143</w:t>
            </w:r>
          </w:p>
        </w:tc>
        <w:tc>
          <w:tcPr>
            <w:tcW w:type="dxa" w:w="1440"/>
            <w:shd w:fill="FFDCE0" w:val="clear"/>
          </w:tcPr>
          <w:p>
            <w:r>
              <w:rPr>
                <w:b/>
                <w:sz w:val="17"/>
              </w:rPr>
              <w:t>6,507</w:t>
            </w:r>
          </w:p>
        </w:tc>
        <w:tc>
          <w:tcPr>
            <w:tcW w:type="dxa" w:w="1440"/>
            <w:shd w:fill="FFDCE0" w:val="clear"/>
          </w:tcPr>
          <w:p>
            <w:r>
              <w:rPr>
                <w:sz w:val="17"/>
              </w:rPr>
              <w:t>7,871</w:t>
            </w:r>
          </w:p>
        </w:tc>
        <w:tc>
          <w:tcPr>
            <w:tcW w:type="dxa" w:w="1440"/>
            <w:shd w:fill="FFDCE0" w:val="clear"/>
          </w:tcPr>
          <w:p>
            <w:r>
              <w:rPr>
                <w:b/>
                <w:color w:val="C00000"/>
                <w:sz w:val="17"/>
              </w:rPr>
              <w:t>-14.6%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SICC s'établit à 4,57 milliards FCFA, un niveau modeste qui la classe parmi les petites capitalisations de la BRVM, typique des valeurs agro-industrielles peu liquides. Les ratios de valorisation (BPA, PER, P/B, EV/EBITDA) ne sont pas calculables en raison de l'absence de données financières structurées dans la base, ce qui limite la comparaison directe avec les références du marché (PER moyen BRVM de 8 à 12 fois). Toutefois, sur la base des derniers résultats publiés (perte nette de 128,6 millions FCFA en 2024), le PER serait négatif, indiquant que les investisseurs valorisent davantage un potentiel de redressement futur qu'une rentabilité actuelle. La capitalisation représente environ 1,5 fois les capitaux propres de 2,98 milliards FCFA, suggérant une valorisation relative élevée compte tenu des pertes récurrentes.</w:t>
      </w:r>
    </w:p>
    <w:p>
      <w:pPr>
        <w:spacing w:after="120" w:line="276" w:lineRule="auto" w:before="240"/>
      </w:pPr>
      <w:r>
        <w:rPr>
          <w:b/>
          <w:color w:val="003366"/>
          <w:sz w:val="24"/>
        </w:rPr>
        <w:t>**PARTIE 1 : ANALYSE DU COURS — STATISTIQUES ET ÉVOLUTION (100 derniers jours)**</w:t>
      </w:r>
    </w:p>
    <w:p>
      <w:pPr>
        <w:spacing w:after="120" w:line="276" w:lineRule="auto"/>
      </w:pPr>
      <w:r>
        <w:t>L'action SICC affiche une progression spectaculaire de +85,73% sur les 100 derniers jours, avec une dernière séance en hausse de +7,48%, portant le cours à 7 615 FCFA, son plus haut niveau sur la période. Le range de trading s'étend de 3 765 FCFA (plus bas) à 7 615 FCFA (plus haut), soit une amplitude de plus de 100%, témoignant d'une volatilité extrême. La moyenne de 4 670 FCFA est supérieure à la médiane de 4 395 FCFA, indiquant une distribution asymétrique positive (skewness de 1,802) où les fortes hausses récentes tirent la moyenne vers le haut. L'écart-type de 783 FCFA (CV de 16,8%) révèle une dispersion modérée, mais le kurtosis de 3,059 signale un risque de pics prononcés. La volatilité annualisée de 54,9% classe le titre dans la catégorie à risque élevé, très au-dessus du seuil de 30%, confirmant un comportement spéculatif marqué.</w:t>
      </w:r>
    </w:p>
    <w:p>
      <w:pPr>
        <w:spacing w:after="120" w:line="276" w:lineRule="auto" w:before="240"/>
      </w:pPr>
      <w:r>
        <w:rPr>
          <w:b/>
          <w:color w:val="003366"/>
          <w:sz w:val="24"/>
        </w:rPr>
        <w:t>**PARTIE 2 : ANALYSE TECHNIQUE DÉTAILLÉE**</w:t>
      </w:r>
    </w:p>
    <w:p>
      <w:pPr>
        <w:spacing w:after="120" w:line="276" w:lineRule="auto"/>
      </w:pPr>
      <w:r>
        <w:t>**Moyennes Mobiles** : Le cours actuel de 7 615 FCFA évolue nettement au-dessus de la MM20 (5 912 FCFA) et de la MM50 (5 160 FCFA), avec un écart de +29% et +48% respectivement. Cette configuration haussière confirme une dynamique positive à court et moyen terme, bien que l'écart important suggère une possible correction technique. La décision d'achat est justifiée par la tendance ascendante des moyennes mobiles.</w:t>
      </w:r>
    </w:p>
    <w:p>
      <w:pPr>
        <w:spacing w:after="120" w:line="276" w:lineRule="auto"/>
      </w:pPr>
      <w:r>
        <w:t>**Bandes de Bollinger** : Le prix se situe au-dessus de la borne supérieure (7 569 FCFA), franchissant la limite de volatilité. Cette sortie de bande indique une extension excessive du mouvement haussier, avec une volatilité en expansion. La décision de vente reflète le risque de retour vers la moyenne, la borne inférieure étant à 4 256 FCFA, soit un potentiel de correction de 44%.</w:t>
      </w:r>
    </w:p>
    <w:p>
      <w:pPr>
        <w:spacing w:after="120" w:line="276" w:lineRule="auto"/>
      </w:pPr>
      <w:r>
        <w:t>**MACD** : La valeur de 606 est nettement supérieure au signal de 442, avec un écart positif de 164 points. Ce momentum haussier reste soutenu, mais l'écart important suggère une possible saturation. La décision d'achat est maintenue tant que le MACD reste au-dessus du signal, bien que la prudence soit recommandée à ces niveaux.</w:t>
      </w:r>
    </w:p>
    <w:p>
      <w:pPr>
        <w:spacing w:after="120" w:line="276" w:lineRule="auto"/>
      </w:pPr>
      <w:r>
        <w:t>**RSI** : À 79,94, l'indicateur se situe en zone de surachat prononcée (au-delà de 70), signalant une pression acheteuse excessive. Historiquement, de tels niveaux précèdent souvent des retournements baissiers. La décision de vente est donc cohérente avec la lecture classique du RSI.</w:t>
      </w:r>
    </w:p>
    <w:p>
      <w:pPr>
        <w:spacing w:after="120" w:line="276" w:lineRule="auto"/>
      </w:pPr>
      <w:r>
        <w:t>**Stochastique** : Le %K à 100 et le %D à 99,6 sont en zone de surachat extrême, avec un croisement potentiel baissier imminent. Cette configuration indique que le mouvement haussier est arrivé à maturité et qu'une consolidation est probable. La décision de vente est justifiée par ces niveaux extrêmes.</w:t>
      </w:r>
    </w:p>
    <w:p>
      <w:pPr>
        <w:spacing w:after="120" w:line="276" w:lineRule="auto"/>
      </w:pPr>
      <w:r>
        <w:t>**Conclusion technique** : Les indicateurs de tendance (MM, MACD) restent positifs, mais les oscillateurs (RSI, Stochastique, Bollinger) signalent tous un surachat extrême. Cette divergence suggère une probabilité élevée de correction à court terme, malgré la tendance haussière sous-jacente. Le scénario le plus probable est une consolidation avant reprise de la tendance.</w:t>
      </w:r>
    </w:p>
    <w:p>
      <w:pPr>
        <w:spacing w:after="120" w:line="276" w:lineRule="auto" w:before="240"/>
      </w:pPr>
      <w:r>
        <w:rPr>
          <w:b/>
          <w:color w:val="003366"/>
          <w:sz w:val="24"/>
        </w:rPr>
        <w:t>**PARTIE 3 : ANALYSE FONDAMENTALE (SECTION CRITIQUE)**</w:t>
      </w:r>
    </w:p>
    <w:p>
      <w:pPr>
        <w:spacing w:after="120" w:line="276" w:lineRule="auto"/>
      </w:pPr>
      <w:r>
        <w:t>Les états financiers annuels disponibles couvrent la période 2017-2024. En 2024, SICC a enregistré une perte nette de 128,6 millions FCFA (contre un bénéfice de 19,2 millions en 2023), avec un chiffre d'affaires en baisse de 22% à 546,8 millions FCFA. L'EBE est devenu négatif à -16,2 millions, et le résultat d'exploitation s'est dégradé à -136,6 millions. Cette détérioration résulte de contraintes foncières majeures (occupation et perte d'accès aux sites de Boulay et Avagou-Taboth), ayant entraîné une chute de 40% de la production d'huile de coprah. Les charges ont bondi de 30%, notamment les services extérieurs (+266%) suite au recours à des façonniers. Les commissaires aux comptes ont émis une opinion avec réserves, incluant un ajustement de stocks non justifié. La marge nette s'est effondrée à -23,5%, et les capitaux propres ont diminué à 2,98 milliards FCFA. Sur la période 2019-2024, on observe une forte volatilité des résultats : bénéfice symbolique de 2,35 millions en 2019, redressement à 109,8 millions en 2020, bénéfice de 119,2 millions en 2021 (soutenu par des reprises de provisions non récurrentes), perte de 39,9 millions en 2022, retour à un bénéfice de 19,2 millions en 2023, puis nouvelle perte en 2024. Le report à nouveau reste lourdement négatif (-689 millions), interdisant toute distribution de dividende. La recommandation fondamentale est **VENTE** en raison de la perte nette, de l'EBE négatif, de la menace foncière existentielle et de l'opinion d'audit avec réserves.</w:t>
      </w:r>
    </w:p>
    <w:p>
      <w:pPr>
        <w:spacing w:after="120" w:line="276" w:lineRule="auto" w:before="240"/>
      </w:pPr>
      <w:r>
        <w:rPr>
          <w:b/>
          <w:color w:val="003366"/>
          <w:sz w:val="24"/>
        </w:rPr>
        <w:t>**PARTIE 4 : CONCLUSION D'INVESTISSEMENT**</w:t>
      </w:r>
    </w:p>
    <w:p>
      <w:pPr>
        <w:spacing w:after="120" w:line="276" w:lineRule="auto"/>
      </w:pPr>
      <w:r>
        <w:t>La valorisation boursière de 4,57 milliards FCFA apparaît surévaluée au regard des fondamentaux, avec un PER négatif et une capitalisation représentant 1,5 fois des capitaux propres en érosion. Le comportement du cours (+85,73% en 100 jours) contraste fortement avec la dégradation des résultats financiers, créant une divergence majeure entre le prix et la valeur intrinsèque. Les signaux techniques sont contradictoires : tendance haussière (MM, MACD) mais surachat extrême (RSI, Stochastique, Bollinger), suggérant une correction imminente. Les fondamentaux sont clairement négatifs : perte nette de 128,6 millions en 2024, EBE négatif, menace foncière existentielle et opinion d'audit avec réserves. Les prédictions IA (7 366 à 7 075 FCFA sur 10 jours) confirment un repli progressif, cohérent avec les signaux de surachat. La convergence entre les signaux techniques de surachat, les prédictions IA baissières et les fondamentaux dégradés justifie une recommandation **VENTE** avec un niveau de confiance Élevé. Le risque global est Élevé, et l'horizon d'investissement optimal est le court terme (&lt;3 mois) pour les investisseurs existants cherchant à sécuriser leurs gains, tandis que les nouveaux entrants devraient attendre une correction significative avant toute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"Perte nette, EBE négatif, menace foncière existentielle sur l'outil de production et opinion d'audit avec réserves (dont un ajustement de stocks non justifié). Profil de risque très élevé."}</w:t>
      </w:r>
    </w:p>
    <w:p>
      <w:pPr>
        <w:spacing w:before="40"/>
        <w:ind w:left="400"/>
      </w:pPr>
      <w:r>
        <w:rPr>
          <w:sz w:val="18"/>
        </w:rPr>
        <w:t>L'exercice 2024 est très difficile pour SICOR, qui accuse une perte nette de 128,6 M FCFA (contre un bénéfice de 19,2 M en 2023). Le chiffre d'affaires recule de 22 % à 546,8 M sous l'effet de contraintes foncières majeures (occupation et perte d'accès à plusieurs sites de production), et l'EBE devient négatif (-16,2 M). Les charges bondissent (+30 %), notamment les services extérieurs (+266 %, recours à des façonniers). Les commissaires aux comptes émettent une opinion avec réserves (ajustement de stocks non justifié, absence de provision retraite, comptes IFRS non établis). Aucun dividende n'est distribué, la perte étant reportée (pertes cumulées portées à -799 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{'opinion_cac': 'avec réserves', 'resultat_exploitation': '-136,6 millions FCFA', 'excedent_brut_exploitation': '-16,2 millions FCFA (négatif)'}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-23,5 %</w:t>
            </w:r>
          </w:p>
        </w:tc>
        <w:tc>
          <w:tcPr>
            <w:tcW w:type="dxa" w:w="2160"/>
          </w:tcPr>
          <w:p>
            <w:pPr>
              <w:ind w:left="100"/>
            </w:pPr>
            <w:r/>
            <w:r>
              <w:rPr>
                <w:b/>
                <w:sz w:val="16"/>
              </w:rPr>
              <w:t>total_actif</w:t>
              <w:br/>
            </w:r>
            <w:r>
              <w:rPr>
                <w:sz w:val="18"/>
              </w:rPr>
              <w:t>4,00 milliards FCFA</w:t>
            </w:r>
          </w:p>
        </w:tc>
      </w:tr>
      <w:tr>
        <w:tc>
          <w:tcPr>
            <w:tcW w:type="dxa" w:w="2160"/>
          </w:tcPr>
          <w:p>
            <w:r/>
            <w:r>
              <w:rPr>
                <w:b/>
                <w:sz w:val="16"/>
              </w:rPr>
              <w:t>resultat_net</w:t>
              <w:br/>
            </w:r>
            <w:r>
              <w:rPr>
                <w:sz w:val="18"/>
              </w:rPr>
              <w:t>-128,6 millions FCFA (perte)</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546,8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de 128,6 M FCFA (contre +19,2 M en 2023)</w:t>
      </w:r>
    </w:p>
    <w:p>
      <w:pPr>
        <w:pStyle w:val="ListBullet"/>
        <w:spacing w:before="20" w:after="20"/>
        <w:ind w:left="700"/>
      </w:pPr>
      <w:r>
        <w:rPr>
          <w:sz w:val="18"/>
        </w:rPr>
        <w:t>Chiffre d'affaires en baisse de 22 % à 546,8 M FCFA</w:t>
      </w:r>
    </w:p>
    <w:p>
      <w:pPr>
        <w:pStyle w:val="ListBullet"/>
        <w:spacing w:before="20" w:after="20"/>
        <w:ind w:left="700"/>
      </w:pPr>
      <w:r>
        <w:rPr>
          <w:sz w:val="18"/>
        </w:rPr>
        <w:t>EBE négatif (-16,2 M FCFA), résultat d'exploitation -136,6 M</w:t>
      </w:r>
    </w:p>
    <w:p>
      <w:pPr>
        <w:pStyle w:val="ListBullet"/>
        <w:spacing w:before="20" w:after="20"/>
        <w:ind w:left="700"/>
      </w:pPr>
      <w:r>
        <w:rPr>
          <w:sz w:val="18"/>
        </w:rPr>
        <w:t>Contraintes foncières majeures : sites occupés/perdus (Boulay, Avagou-Taboth), production d'huile de coprah -40 %</w:t>
      </w:r>
    </w:p>
    <w:p>
      <w:pPr>
        <w:pStyle w:val="ListBullet"/>
        <w:spacing w:before="20" w:after="20"/>
        <w:ind w:left="700"/>
      </w:pPr>
      <w:r>
        <w:rPr>
          <w:sz w:val="18"/>
        </w:rPr>
        <w:t>Opinion des commissaires avec réserves : ajustement de stocks non justifié (132 M), provision retraite manquante, comptes IFRS non établis</w:t>
      </w:r>
    </w:p>
    <w:p>
      <w:pPr>
        <w:pStyle w:val="ListBullet"/>
        <w:spacing w:before="20" w:after="20"/>
        <w:ind w:left="700"/>
      </w:pPr>
      <w:r>
        <w:rPr>
          <w:sz w:val="18"/>
        </w:rPr>
        <w:t>Aucun dividende ; perte reportée, pertes cumulées à -799 M FCFA</w:t>
      </w:r>
    </w:p>
    <w:p>
      <w:pPr>
        <w:spacing w:before="40"/>
        <w:ind w:left="400"/>
      </w:pPr>
      <w:r>
        <w:rPr>
          <w:b/>
          <w:color w:val="C05000"/>
          <w:sz w:val="18"/>
        </w:rPr>
        <w:t xml:space="preserve">⚠️ Risques : </w:t>
      </w:r>
      <w:r>
        <w:rPr>
          <w:sz w:val="18"/>
        </w:rPr>
        <w:t>["Menace foncière existentielle : occupation/perte de sites de production, arrêt temporaire du site de Boulay", "EBE négatif et perte nette ; effondrement de la valeur ajoutée", "Opinion des commissaires avec réserves : ajustement de stocks non justifié de 132 M et provision retraite non comptabilis</w:t>
      </w:r>
    </w:p>
    <w:p>
      <w:pPr>
        <w:spacing w:before="40"/>
        <w:ind w:left="400"/>
      </w:pPr>
      <w:r>
        <w:rPr>
          <w:b/>
          <w:color w:val="0064A0"/>
          <w:sz w:val="18"/>
        </w:rPr>
        <w:t xml:space="preserve">🔮 Perspectives : </w:t>
      </w:r>
      <w:r>
        <w:rPr>
          <w:sz w:val="18"/>
        </w:rPr>
        <w:t>La direction engage un plan de redressement (sécurisation foncière, maîtrise des charges, optimisation du site de Gliké-Tabou, renforcement de la gouvernance), et la société a démontré par le passé sa capacité bénéficiaire. Mais le retour à la rentabilité dépend entièrement de la résolution des conf</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5,845 titres</w:t>
            </w:r>
          </w:p>
        </w:tc>
        <w:tc>
          <w:tcPr>
            <w:tcW w:type="dxa" w:w="2268"/>
            <w:shd w:fill="FFF2CC" w:val="clear"/>
          </w:tcPr>
          <w:p>
            <w:r>
              <w:rPr>
                <w:b/>
                <w:color w:val="503200"/>
                <w:sz w:val="16"/>
              </w:rPr>
              <w:t xml:space="preserve">Cours actuel : </w:t>
            </w:r>
            <w:r>
              <w:rPr>
                <w:color w:val="000000"/>
                <w:sz w:val="17"/>
              </w:rPr>
              <w:t>2,280 FCFA</w:t>
            </w:r>
          </w:p>
          <w:p>
            <w:r>
              <w:rPr>
                <w:b/>
                <w:color w:val="503200"/>
                <w:sz w:val="16"/>
              </w:rPr>
              <w:t xml:space="preserve">Var. 100 jours : </w:t>
            </w:r>
            <w:r>
              <w:rPr>
                <w:b/>
                <w:color w:val="B40000"/>
                <w:sz w:val="17"/>
              </w:rPr>
              <w:t>-15.87%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10.88% (Moyenne) — μ=2,648 FCFA, σ=288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β=0.3168 (Défensif) — Cov=0.000012, Var(idx)=0.000036, ρ=0.058,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547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1,958</w:t>
            </w:r>
          </w:p>
        </w:tc>
        <w:tc>
          <w:tcPr>
            <w:tcW w:type="dxa" w:w="1440"/>
            <w:shd w:fill="FFDCE0" w:val="clear"/>
          </w:tcPr>
          <w:p>
            <w:r>
              <w:rPr>
                <w:b/>
                <w:sz w:val="17"/>
              </w:rPr>
              <w:t>2,109</w:t>
            </w:r>
          </w:p>
        </w:tc>
        <w:tc>
          <w:tcPr>
            <w:tcW w:type="dxa" w:w="1440"/>
            <w:shd w:fill="FFDCE0" w:val="clear"/>
          </w:tcPr>
          <w:p>
            <w:r>
              <w:rPr>
                <w:sz w:val="17"/>
              </w:rPr>
              <w:t>2,260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1,816</w:t>
            </w:r>
          </w:p>
        </w:tc>
        <w:tc>
          <w:tcPr>
            <w:tcW w:type="dxa" w:w="1440"/>
            <w:shd w:fill="FFDCE0" w:val="clear"/>
          </w:tcPr>
          <w:p>
            <w:r>
              <w:rPr>
                <w:b/>
                <w:sz w:val="17"/>
              </w:rPr>
              <w:t>2,021</w:t>
            </w:r>
          </w:p>
        </w:tc>
        <w:tc>
          <w:tcPr>
            <w:tcW w:type="dxa" w:w="1440"/>
            <w:shd w:fill="FFDCE0" w:val="clear"/>
          </w:tcPr>
          <w:p>
            <w:r>
              <w:rPr>
                <w:sz w:val="17"/>
              </w:rPr>
              <w:t>2,226</w:t>
            </w:r>
          </w:p>
        </w:tc>
        <w:tc>
          <w:tcPr>
            <w:tcW w:type="dxa" w:w="1440"/>
            <w:shd w:fill="FFDCE0" w:val="clear"/>
          </w:tcPr>
          <w:p>
            <w:r>
              <w:rPr>
                <w:b/>
                <w:color w:val="C00000"/>
                <w:sz w:val="17"/>
              </w:rPr>
              <w:t>-11.4%</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1,736</w:t>
            </w:r>
          </w:p>
        </w:tc>
        <w:tc>
          <w:tcPr>
            <w:tcW w:type="dxa" w:w="1440"/>
            <w:shd w:fill="FFDCE0" w:val="clear"/>
          </w:tcPr>
          <w:p>
            <w:r>
              <w:rPr>
                <w:b/>
                <w:sz w:val="17"/>
              </w:rPr>
              <w:t>1,982</w:t>
            </w:r>
          </w:p>
        </w:tc>
        <w:tc>
          <w:tcPr>
            <w:tcW w:type="dxa" w:w="1440"/>
            <w:shd w:fill="FFDCE0" w:val="clear"/>
          </w:tcPr>
          <w:p>
            <w:r>
              <w:rPr>
                <w:sz w:val="17"/>
              </w:rPr>
              <w:t>2,228</w:t>
            </w:r>
          </w:p>
        </w:tc>
        <w:tc>
          <w:tcPr>
            <w:tcW w:type="dxa" w:w="1440"/>
            <w:shd w:fill="FFDCE0" w:val="clear"/>
          </w:tcPr>
          <w:p>
            <w:r>
              <w:rPr>
                <w:b/>
                <w:color w:val="C00000"/>
                <w:sz w:val="17"/>
              </w:rPr>
              <w:t>-13.1%</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1,661</w:t>
            </w:r>
          </w:p>
        </w:tc>
        <w:tc>
          <w:tcPr>
            <w:tcW w:type="dxa" w:w="1440"/>
            <w:shd w:fill="FFDCE0" w:val="clear"/>
          </w:tcPr>
          <w:p>
            <w:r>
              <w:rPr>
                <w:b/>
                <w:sz w:val="17"/>
              </w:rPr>
              <w:t>1,940</w:t>
            </w:r>
          </w:p>
        </w:tc>
        <w:tc>
          <w:tcPr>
            <w:tcW w:type="dxa" w:w="1440"/>
            <w:shd w:fill="FFDCE0" w:val="clear"/>
          </w:tcPr>
          <w:p>
            <w:r>
              <w:rPr>
                <w:sz w:val="17"/>
              </w:rPr>
              <w:t>2,218</w:t>
            </w:r>
          </w:p>
        </w:tc>
        <w:tc>
          <w:tcPr>
            <w:tcW w:type="dxa" w:w="1440"/>
            <w:shd w:fill="FFDCE0" w:val="clear"/>
          </w:tcPr>
          <w:p>
            <w:r>
              <w:rPr>
                <w:b/>
                <w:color w:val="C00000"/>
                <w:sz w:val="17"/>
              </w:rPr>
              <w:t>-14.9%</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1,593</w:t>
            </w:r>
          </w:p>
        </w:tc>
        <w:tc>
          <w:tcPr>
            <w:tcW w:type="dxa" w:w="1440"/>
            <w:shd w:fill="FFDCE0" w:val="clear"/>
          </w:tcPr>
          <w:p>
            <w:r>
              <w:rPr>
                <w:b/>
                <w:sz w:val="17"/>
              </w:rPr>
              <w:t>1,898</w:t>
            </w:r>
          </w:p>
        </w:tc>
        <w:tc>
          <w:tcPr>
            <w:tcW w:type="dxa" w:w="1440"/>
            <w:shd w:fill="FFDCE0" w:val="clear"/>
          </w:tcPr>
          <w:p>
            <w:r>
              <w:rPr>
                <w:sz w:val="17"/>
              </w:rPr>
              <w:t>2,202</w:t>
            </w:r>
          </w:p>
        </w:tc>
        <w:tc>
          <w:tcPr>
            <w:tcW w:type="dxa" w:w="1440"/>
            <w:shd w:fill="FFDCE0" w:val="clear"/>
          </w:tcPr>
          <w:p>
            <w:r>
              <w:rPr>
                <w:b/>
                <w:color w:val="C00000"/>
                <w:sz w:val="17"/>
              </w:rPr>
              <w:t>-16.8%</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1,530</w:t>
            </w:r>
          </w:p>
        </w:tc>
        <w:tc>
          <w:tcPr>
            <w:tcW w:type="dxa" w:w="1440"/>
            <w:shd w:fill="FFDCE0" w:val="clear"/>
          </w:tcPr>
          <w:p>
            <w:r>
              <w:rPr>
                <w:b/>
                <w:sz w:val="17"/>
              </w:rPr>
              <w:t>1,857</w:t>
            </w:r>
          </w:p>
        </w:tc>
        <w:tc>
          <w:tcPr>
            <w:tcW w:type="dxa" w:w="1440"/>
            <w:shd w:fill="FFDCE0" w:val="clear"/>
          </w:tcPr>
          <w:p>
            <w:r>
              <w:rPr>
                <w:sz w:val="17"/>
              </w:rPr>
              <w:t>2,183</w:t>
            </w:r>
          </w:p>
        </w:tc>
        <w:tc>
          <w:tcPr>
            <w:tcW w:type="dxa" w:w="1440"/>
            <w:shd w:fill="FFDCE0" w:val="clear"/>
          </w:tcPr>
          <w:p>
            <w:r>
              <w:rPr>
                <w:b/>
                <w:color w:val="C00000"/>
                <w:sz w:val="17"/>
              </w:rPr>
              <w:t>-18.6%</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1,472</w:t>
            </w:r>
          </w:p>
        </w:tc>
        <w:tc>
          <w:tcPr>
            <w:tcW w:type="dxa" w:w="1440"/>
            <w:shd w:fill="FFDCE0" w:val="clear"/>
          </w:tcPr>
          <w:p>
            <w:r>
              <w:rPr>
                <w:b/>
                <w:sz w:val="17"/>
              </w:rPr>
              <w:t>1,817</w:t>
            </w:r>
          </w:p>
        </w:tc>
        <w:tc>
          <w:tcPr>
            <w:tcW w:type="dxa" w:w="1440"/>
            <w:shd w:fill="FFDCE0" w:val="clear"/>
          </w:tcPr>
          <w:p>
            <w:r>
              <w:rPr>
                <w:sz w:val="17"/>
              </w:rPr>
              <w:t>2,162</w:t>
            </w:r>
          </w:p>
        </w:tc>
        <w:tc>
          <w:tcPr>
            <w:tcW w:type="dxa" w:w="1440"/>
            <w:shd w:fill="FFDCE0" w:val="clear"/>
          </w:tcPr>
          <w:p>
            <w:r>
              <w:rPr>
                <w:b/>
                <w:color w:val="C00000"/>
                <w:sz w:val="17"/>
              </w:rPr>
              <w:t>-20.3%</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1,418</w:t>
            </w:r>
          </w:p>
        </w:tc>
        <w:tc>
          <w:tcPr>
            <w:tcW w:type="dxa" w:w="1440"/>
            <w:shd w:fill="FFDCE0" w:val="clear"/>
          </w:tcPr>
          <w:p>
            <w:r>
              <w:rPr>
                <w:b/>
                <w:sz w:val="17"/>
              </w:rPr>
              <w:t>1,779</w:t>
            </w:r>
          </w:p>
        </w:tc>
        <w:tc>
          <w:tcPr>
            <w:tcW w:type="dxa" w:w="1440"/>
            <w:shd w:fill="FFDCE0" w:val="clear"/>
          </w:tcPr>
          <w:p>
            <w:r>
              <w:rPr>
                <w:sz w:val="17"/>
              </w:rPr>
              <w:t>2,140</w:t>
            </w:r>
          </w:p>
        </w:tc>
        <w:tc>
          <w:tcPr>
            <w:tcW w:type="dxa" w:w="1440"/>
            <w:shd w:fill="FFDCE0" w:val="clear"/>
          </w:tcPr>
          <w:p>
            <w:r>
              <w:rPr>
                <w:b/>
                <w:color w:val="C00000"/>
                <w:sz w:val="17"/>
              </w:rPr>
              <w:t>-22.0%</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1,367</w:t>
            </w:r>
          </w:p>
        </w:tc>
        <w:tc>
          <w:tcPr>
            <w:tcW w:type="dxa" w:w="1440"/>
            <w:shd w:fill="FFDCE0" w:val="clear"/>
          </w:tcPr>
          <w:p>
            <w:r>
              <w:rPr>
                <w:b/>
                <w:sz w:val="17"/>
              </w:rPr>
              <w:t>1,742</w:t>
            </w:r>
          </w:p>
        </w:tc>
        <w:tc>
          <w:tcPr>
            <w:tcW w:type="dxa" w:w="1440"/>
            <w:shd w:fill="FFDCE0" w:val="clear"/>
          </w:tcPr>
          <w:p>
            <w:r>
              <w:rPr>
                <w:sz w:val="17"/>
              </w:rPr>
              <w:t>2,117</w:t>
            </w:r>
          </w:p>
        </w:tc>
        <w:tc>
          <w:tcPr>
            <w:tcW w:type="dxa" w:w="1440"/>
            <w:shd w:fill="FFDCE0" w:val="clear"/>
          </w:tcPr>
          <w:p>
            <w:r>
              <w:rPr>
                <w:b/>
                <w:color w:val="C00000"/>
                <w:sz w:val="17"/>
              </w:rPr>
              <w:t>-23.6%</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1,319</w:t>
            </w:r>
          </w:p>
        </w:tc>
        <w:tc>
          <w:tcPr>
            <w:tcW w:type="dxa" w:w="1440"/>
            <w:shd w:fill="FFDCE0" w:val="clear"/>
          </w:tcPr>
          <w:p>
            <w:r>
              <w:rPr>
                <w:b/>
                <w:sz w:val="17"/>
              </w:rPr>
              <w:t>1,706</w:t>
            </w:r>
          </w:p>
        </w:tc>
        <w:tc>
          <w:tcPr>
            <w:tcW w:type="dxa" w:w="1440"/>
            <w:shd w:fill="FFDCE0" w:val="clear"/>
          </w:tcPr>
          <w:p>
            <w:r>
              <w:rPr>
                <w:sz w:val="17"/>
              </w:rPr>
              <w:t>2,093</w:t>
            </w:r>
          </w:p>
        </w:tc>
        <w:tc>
          <w:tcPr>
            <w:tcW w:type="dxa" w:w="1440"/>
            <w:shd w:fill="FFDCE0" w:val="clear"/>
          </w:tcPr>
          <w:p>
            <w:r>
              <w:rPr>
                <w:b/>
                <w:color w:val="C00000"/>
                <w:sz w:val="17"/>
              </w:rPr>
              <w:t>-25.2%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ERIUM CI (ex-SIVC)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19,91 milliards FCFA positionne ERIUM CI comme une valeur de taille moyenne sur la BRVM. Avec un BPA de 43 FCFA, le titre se négocie à un PER de 52,8x, un niveau extrêmement élevé comparé à la moyenne du marché BRVM (8-12x), indiquant que les investisseurs paient une prime considérable pour chaque franc de bénéfice. Cette prime est confirmée par un P/B de 6,09x, signifiant que le marché valorise l'actif net comptable plus de six fois sa valeur, et un EV/EBITDA de 16,7x, également exigeant. Ces ratios suggèrent que le marché intègre des perspectives de croissance et de redressement très optimistes, mais ils laissent une marge de sécurité très faible en cas de déception.</w:t>
      </w:r>
    </w:p>
    <w:p>
      <w:pPr>
        <w:spacing w:after="120" w:line="276" w:lineRule="auto"/>
      </w:pPr>
      <w:r>
        <w:t>### PARTIE 1 : ANALYSE DU COURS — STATISTIQUES ET ÉVOLUTION (100 derniers jours)</w:t>
      </w:r>
    </w:p>
    <w:p>
      <w:pPr>
        <w:spacing w:after="120" w:line="276" w:lineRule="auto"/>
      </w:pPr>
      <w:r>
        <w:t>Sur les 100 derniers jours, l'action a enregistré une baisse significative de -15,87%, avec une dernière séance en forte hausse de +7,29% à 2 280 FCFA. Le titre a évolué dans une fourchette large, entre un plus bas de 1 920 FCFA et un plus haut de 3 215 FCFA, démontrant une forte amplitude de trading. La moyenne (2 648 FCFA) est inférieure à la médiane (2 762 FCFA), et le skewness négatif (-0.703) confirme une distribution asymétrique avec des épisodes de fortes baisses plus marqués que les hausses. L'écart-type de 290 FCFA (CV=10.9%) indique une dispersion modérée, tandis que le kurtosis de -0.542 (mésokurtique) suggère l'absence de risques de variations extrêmes. La volatilité annualisée de 51,6% est très élevée, classant le titre comme spéculatif et risqué pour les investisseurs.</w:t>
      </w:r>
    </w:p>
    <w:p>
      <w:pPr>
        <w:spacing w:after="120" w:line="276" w:lineRule="auto"/>
      </w:pPr>
      <w:r>
        <w:t>### PARTIE 2 : ANALYSE TECHNIQUE DÉTAILLÉE</w:t>
      </w:r>
    </w:p>
    <w:p>
      <w:pPr>
        <w:spacing w:after="120" w:line="276" w:lineRule="auto"/>
      </w:pPr>
      <w:r>
        <w:t>**Moyennes Mobiles**: Le cours actuel (2 280 FCFA) est inférieur à la MM20 (2 246 FCFA) et à la MM50 (2 456,8 FCFA). La position sous la MM50 indique une tendance de fond baissière, et le croisement de la MM20 sous la MM50 renforce ce signal, justifiant une décision de **Vente**.</w:t>
      </w:r>
    </w:p>
    <w:p>
      <w:pPr>
        <w:spacing w:after="120" w:line="276" w:lineRule="auto"/>
      </w:pPr>
      <w:r>
        <w:t>**Bandes de Bollinger**: Le prix se situe à 2 280 FCFA, entre la borne inférieure (2 036 FCFA) et la borne supérieure (2 456 FCFA). La position médiane dans des bandes larges suggère une volatilité modérée sans pression directionnelle forte, d'où une décision **Neutre**.</w:t>
      </w:r>
    </w:p>
    <w:p>
      <w:pPr>
        <w:spacing w:after="120" w:line="276" w:lineRule="auto"/>
      </w:pPr>
      <w:r>
        <w:t>**MACD**: Le MACD (-72.475) est négatif mais se situe au-dessus de sa ligne de signal (-85.518). Ce croisement haussier, bien que sous la ligne zéro, indique un momentum en amélioration, justifiant une décision d'**Achat** à court terme.</w:t>
      </w:r>
    </w:p>
    <w:p>
      <w:pPr>
        <w:spacing w:after="120" w:line="276" w:lineRule="auto"/>
      </w:pPr>
      <w:r>
        <w:t>**RSI**: Avec une valeur de 48.462, le RSI se situe en zone neutre (30-70), indiquant un équilibre entre les forces acheteuses et vendeuses. Il n'y a pas de condition de surachat ou de survente, d'où une décision **Neutre**.</w:t>
      </w:r>
    </w:p>
    <w:p>
      <w:pPr>
        <w:spacing w:after="120" w:line="276" w:lineRule="auto"/>
      </w:pPr>
      <w:r>
        <w:t>**Stochastique**: Le %K à 100.0 est en zone de surachat extrême, tandis que le %D à 40.741 est encore bas. Ce croisement baissier potentiel du %K sous le %D suggère un retournement imminent, justifiant une décision de **Vente**.</w:t>
      </w:r>
    </w:p>
    <w:p>
      <w:pPr>
        <w:spacing w:after="120" w:line="276" w:lineRule="auto"/>
      </w:pPr>
      <w:r>
        <w:t>**Conclusion technique** : Les signaux techniques sont mitigés avec une tendance de fond baissière (MM) mais un momentum à court terme qui tente de s'améliorer (MACD). La prudence est de mise, car le titre est dans une phase de consolidation après une forte baisse, avec des signaux de surachat à très court terme (Stochastique) qui pourraient limiter le rebond.</w:t>
      </w:r>
    </w:p>
    <w:p>
      <w:pPr>
        <w:spacing w:after="120" w:line="276" w:lineRule="auto"/>
      </w:pPr>
      <w:r>
        <w:t>### PARTIE 3 : ANALYSE FONDAMENTALE (SECTION CRITIQUE)</w:t>
      </w:r>
    </w:p>
    <w:p>
      <w:pPr>
        <w:spacing w:after="120" w:line="276" w:lineRule="auto"/>
      </w:pPr>
      <w:r>
        <w:t>En 2024, les données structurées indiquent un PNB de 9,283 milliards FCFA, un résultat net de 376,96 millions FCFA, un ROE de 11,52% et un ROA de 2,69%. Le coefficient d'exploitation est très élevé à 95,83%, signifiant une faible efficacité opérationnelle, et le coût du risque est élevé (3,10%). Le rapport annuel 2025 (analysé par DeepSeek) montre une croissance du CA de +8,53% à 10,07 milliards FCFA, mais une chute du résultat net de -52,4% à 179 millions FCFA, avec une marge nette réduite à 1,78%. Cependant, les rapports trimestriels 2025 (S1 et T3) contredisent cette tendance : le T3 2025 affiche un résultat net de 832,5 millions FCFA (+58%), soit une marge nette de 11%. Sur la base de ces rapports trimestriels, on estime que l'exercice 2025 devrait être bien meilleur que 2024, avec un résultat net potentiel dépassant 1 milliard FCFA. Le changement de nom en ERIUM CI et le changement d'actionnariat (cession par Air Liquide International) ajoutent une dimension stratégique. La société est en pleine transformation, avec une amélioration opérationnelle notable mais une situation de trésorerie nette négative (-1,66 milliard FCFA) qui reste un point de vigilance.</w:t>
      </w:r>
    </w:p>
    <w:p>
      <w:pPr>
        <w:spacing w:after="120" w:line="276" w:lineRule="auto"/>
      </w:pPr>
      <w:r>
        <w:t>### PARTIE 4 : CONCLUSION D'INVESTISSEMENT</w:t>
      </w:r>
    </w:p>
    <w:p>
      <w:pPr>
        <w:spacing w:after="120" w:line="276" w:lineRule="auto"/>
      </w:pPr>
      <w:r>
        <w:t>La valorisation actuelle (PER 52,8x, P/B 6,09x) est extrêmement exigeante et ne laisse aucune marge de sécurité, ce qui est préoccupant. Le comportement du cours sur 100 jours est baissier avec une volatilité très élevée, mais les statistiques (kurtosis, skewness) indiquent un risque de distribution normale sans extrêmes. Les signaux techniques sont mitigés, avec une tendance de fond baissière mais un momentum à court terme en amélioration. Les fondamentaux montrent une amélioration opérationnelle significative en 2025 (résultat net T3 en hausse de 58%), mais la rentabilité reste fragile et la trésorerie négative. Les prédictions IA (2 109 à 1 898 FCFA sur 10 jours) suggèrent une poursuite de la baisse, contredisant le signal d'achat du MACD. En synthèse, la convergence entre la valorisation excessive, la tendance baissière et les prédictions IA l'emporte sur l'amélioration fondamentale. **Recommandation : VENTE**. Le niveau de confiance est **Moyen** (l'amélioration des résultats pourrait soutenir le cours), le risque global est **Élevé** (volatilité, valorisation, trésorerie). L'horizon d'investissement optimal serait de **court terme (&lt;3 mois)** pour les investisseurs cherchant à réduire leur exposition, ou d'attendre une correction significative du prix pour envisager un achat à moyen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affiche des pertes r\u00e9currentes avec une d\u00e9gradation continue de la rentabilit\u00e9 op\u00e9rationnelle et un environnement \u00e9conomique tr\u00e8s instable. Les perspectives restent incertaines malgr\u00e9 les efforts de restructuration."}</w:t>
      </w:r>
    </w:p>
    <w:p>
      <w:pPr>
        <w:spacing w:before="40"/>
        <w:ind w:left="400"/>
      </w:pPr>
      <w:r>
        <w:rPr>
          <w:sz w:val="18"/>
        </w:rPr>
        <w:t>Air Liquide Côte d'Ivoire a enregistré une performance dégradée au premier semestre 2020 avec un chiffre d'affaires en recul de 5% à 3,3 milliards FCFA, impacté par la pandémie COVID-19. La société affiche une perte nette de 112 millions FCFA contre un bénéfice de 147 millions FCFA au premier semestre 2019, soit une dégradation de 176%. Le résultat d'exploitation s'est détérioré de 19% à -226 millions FCFA en raison de coûts de restructuration plus élevés. Cependant, l'amélioration du système de gestion clients et stock a permis une réduction des provisions. Le résultat financier s'améliore légèrement grâce au remboursement progressif des emprunts bancaires.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'resultat_financier': '-87 657 K.FCFA', 'resultat_exploitation': '-226 184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-112 006 K.FCFA (S1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3 303 060 K.FCFA (S1 2020)</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 à 3,3 milliards FCFA au S1 2020</w:t>
      </w:r>
    </w:p>
    <w:p>
      <w:pPr>
        <w:pStyle w:val="ListBullet"/>
        <w:spacing w:before="20" w:after="20"/>
        <w:ind w:left="700"/>
      </w:pPr>
      <w:r>
        <w:rPr>
          <w:sz w:val="18"/>
        </w:rPr>
        <w:t>Perte nette de 112 millions FCFA contre un bénéfice de 147 millions FCFA au S1 2019</w:t>
      </w:r>
    </w:p>
    <w:p>
      <w:pPr>
        <w:pStyle w:val="ListBullet"/>
        <w:spacing w:before="20" w:after="20"/>
        <w:ind w:left="700"/>
      </w:pPr>
      <w:r>
        <w:rPr>
          <w:sz w:val="18"/>
        </w:rPr>
        <w:t>Résultat d'exploitation négatif aggravé de 19% à -226 millions FCFA</w:t>
      </w:r>
    </w:p>
    <w:p>
      <w:pPr>
        <w:pStyle w:val="ListBullet"/>
        <w:spacing w:before="20" w:after="20"/>
        <w:ind w:left="700"/>
      </w:pPr>
      <w:r>
        <w:rPr>
          <w:sz w:val="18"/>
        </w:rPr>
        <w:t>Impact significatif de la pandémie COVID-19 sur l'activité</w:t>
      </w:r>
    </w:p>
    <w:p>
      <w:pPr>
        <w:pStyle w:val="ListBullet"/>
        <w:spacing w:before="20" w:after="20"/>
        <w:ind w:left="700"/>
      </w:pPr>
      <w:r>
        <w:rPr>
          <w:sz w:val="18"/>
        </w:rPr>
        <w:t>Coûts de restructuration organisationnelle élevés</w:t>
      </w:r>
    </w:p>
    <w:p>
      <w:pPr>
        <w:pStyle w:val="ListBullet"/>
        <w:spacing w:before="20" w:after="20"/>
        <w:ind w:left="700"/>
      </w:pPr>
      <w:r>
        <w:rPr>
          <w:sz w:val="18"/>
        </w:rPr>
        <w:t>Amélioration du système de gestion clients et stock réduisant les provisions</w:t>
      </w:r>
    </w:p>
    <w:p>
      <w:pPr>
        <w:spacing w:before="40"/>
        <w:ind w:left="400"/>
      </w:pPr>
      <w:r>
        <w:rPr>
          <w:b/>
          <w:color w:val="C05000"/>
          <w:sz w:val="18"/>
        </w:rPr>
        <w:t xml:space="preserve">⚠️ Risques : </w:t>
      </w:r>
      <w:r>
        <w:rPr>
          <w:sz w:val="18"/>
        </w:rPr>
        <w:t>["Impact prolong\u00e9 de la pand\u00e9mie COVID-19 sur l'activit\u00e9", "Contexte \u00e9conomique tr\u00e8s instable en C\u00f4te d'Ivoire", "Difficult\u00e9s r\u00e9currentes de rentabilit\u00e9 op\u00e9rationnelle avec des pertes d'exploitation persistantes"]</w:t>
      </w:r>
    </w:p>
    <w:p>
      <w:pPr>
        <w:spacing w:before="40"/>
        <w:ind w:left="400"/>
      </w:pPr>
      <w:r>
        <w:rPr>
          <w:b/>
          <w:color w:val="0064A0"/>
          <w:sz w:val="18"/>
        </w:rPr>
        <w:t xml:space="preserve">🔮 Perspectives : </w:t>
      </w:r>
      <w:r>
        <w:rPr>
          <w:sz w:val="18"/>
        </w:rPr>
        <w:t>Les perspectives du second semestre 2020 restent marquées par l'incertitude liée à la pandémie COVID-19 toujours présente. La société mise sur l'amélioration du processus de collecte de cash et la conservation de sa part de marché pour garantir la continuité d'exploitation dans un environnement écon</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1,011 titres</w:t>
            </w:r>
          </w:p>
        </w:tc>
        <w:tc>
          <w:tcPr>
            <w:tcW w:type="dxa" w:w="2268"/>
            <w:shd w:fill="FFF2CC" w:val="clear"/>
          </w:tcPr>
          <w:p>
            <w:r>
              <w:rPr>
                <w:b/>
                <w:color w:val="503200"/>
                <w:sz w:val="16"/>
              </w:rPr>
              <w:t xml:space="preserve">Cours actuel : </w:t>
            </w:r>
            <w:r>
              <w:rPr>
                <w:color w:val="000000"/>
                <w:sz w:val="17"/>
              </w:rPr>
              <w:t>37,005 FCFA</w:t>
            </w:r>
          </w:p>
          <w:p>
            <w:r>
              <w:rPr>
                <w:b/>
                <w:color w:val="503200"/>
                <w:sz w:val="16"/>
              </w:rPr>
              <w:t xml:space="preserve">Var. 100 jours : </w:t>
            </w:r>
            <w:r>
              <w:rPr>
                <w:b/>
                <w:color w:val="B40000"/>
                <w:sz w:val="17"/>
              </w:rPr>
              <w:t>-6.32%</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2.43% (Faible) — μ=38,526 FCFA, σ=936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β=0.1848 (Défensif) — Cov=0.000007, Var(idx)=0.000036, ρ=0.061,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87289"/>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2026-08-11</w:t>
            </w:r>
          </w:p>
        </w:tc>
        <w:tc>
          <w:tcPr>
            <w:tcW w:type="dxa" w:w="1440"/>
            <w:shd w:fill="FAFAFA" w:val="clear"/>
          </w:tcPr>
          <w:p>
            <w:r>
              <w:rPr>
                <w:sz w:val="17"/>
              </w:rPr>
              <w:t>35,649</w:t>
            </w:r>
          </w:p>
        </w:tc>
        <w:tc>
          <w:tcPr>
            <w:tcW w:type="dxa" w:w="1440"/>
            <w:shd w:fill="FAFAFA" w:val="clear"/>
          </w:tcPr>
          <w:p>
            <w:r>
              <w:rPr>
                <w:b/>
                <w:sz w:val="17"/>
              </w:rPr>
              <w:t>36,942</w:t>
            </w:r>
          </w:p>
        </w:tc>
        <w:tc>
          <w:tcPr>
            <w:tcW w:type="dxa" w:w="1440"/>
            <w:shd w:fill="FAFAFA" w:val="clear"/>
          </w:tcPr>
          <w:p>
            <w:r>
              <w:rPr>
                <w:sz w:val="17"/>
              </w:rPr>
              <w:t>38,236</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2026-08-12</w:t>
            </w:r>
          </w:p>
        </w:tc>
        <w:tc>
          <w:tcPr>
            <w:tcW w:type="dxa" w:w="1440"/>
            <w:shd w:fill="FAFAFA" w:val="clear"/>
          </w:tcPr>
          <w:p>
            <w:r>
              <w:rPr>
                <w:sz w:val="17"/>
              </w:rPr>
              <w:t>35,080</w:t>
            </w:r>
          </w:p>
        </w:tc>
        <w:tc>
          <w:tcPr>
            <w:tcW w:type="dxa" w:w="1440"/>
            <w:shd w:fill="FAFAFA" w:val="clear"/>
          </w:tcPr>
          <w:p>
            <w:r>
              <w:rPr>
                <w:b/>
                <w:sz w:val="17"/>
              </w:rPr>
              <w:t>36,908</w:t>
            </w:r>
          </w:p>
        </w:tc>
        <w:tc>
          <w:tcPr>
            <w:tcW w:type="dxa" w:w="1440"/>
            <w:shd w:fill="FAFAFA" w:val="clear"/>
          </w:tcPr>
          <w:p>
            <w:r>
              <w:rPr>
                <w:sz w:val="17"/>
              </w:rPr>
              <w:t>38,735</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2026-08-13</w:t>
            </w:r>
          </w:p>
        </w:tc>
        <w:tc>
          <w:tcPr>
            <w:tcW w:type="dxa" w:w="1440"/>
            <w:shd w:fill="FAFAFA" w:val="clear"/>
          </w:tcPr>
          <w:p>
            <w:r>
              <w:rPr>
                <w:sz w:val="17"/>
              </w:rPr>
              <w:t>34,646</w:t>
            </w:r>
          </w:p>
        </w:tc>
        <w:tc>
          <w:tcPr>
            <w:tcW w:type="dxa" w:w="1440"/>
            <w:shd w:fill="FAFAFA" w:val="clear"/>
          </w:tcPr>
          <w:p>
            <w:r>
              <w:rPr>
                <w:b/>
                <w:sz w:val="17"/>
              </w:rPr>
              <w:t>36,882</w:t>
            </w:r>
          </w:p>
        </w:tc>
        <w:tc>
          <w:tcPr>
            <w:tcW w:type="dxa" w:w="1440"/>
            <w:shd w:fill="FAFAFA" w:val="clear"/>
          </w:tcPr>
          <w:p>
            <w:r>
              <w:rPr>
                <w:sz w:val="17"/>
              </w:rPr>
              <w:t>39,119</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2026-08-14</w:t>
            </w:r>
          </w:p>
        </w:tc>
        <w:tc>
          <w:tcPr>
            <w:tcW w:type="dxa" w:w="1440"/>
            <w:shd w:fill="FAFAFA" w:val="clear"/>
          </w:tcPr>
          <w:p>
            <w:r>
              <w:rPr>
                <w:sz w:val="17"/>
              </w:rPr>
              <w:t>34,276</w:t>
            </w:r>
          </w:p>
        </w:tc>
        <w:tc>
          <w:tcPr>
            <w:tcW w:type="dxa" w:w="1440"/>
            <w:shd w:fill="FAFAFA" w:val="clear"/>
          </w:tcPr>
          <w:p>
            <w:r>
              <w:rPr>
                <w:b/>
                <w:sz w:val="17"/>
              </w:rPr>
              <w:t>36,857</w:t>
            </w:r>
          </w:p>
        </w:tc>
        <w:tc>
          <w:tcPr>
            <w:tcW w:type="dxa" w:w="1440"/>
            <w:shd w:fill="FAFAFA" w:val="clear"/>
          </w:tcPr>
          <w:p>
            <w:r>
              <w:rPr>
                <w:sz w:val="17"/>
              </w:rPr>
              <w:t>39,438</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2026-08-17</w:t>
            </w:r>
          </w:p>
        </w:tc>
        <w:tc>
          <w:tcPr>
            <w:tcW w:type="dxa" w:w="1440"/>
            <w:shd w:fill="FAFAFA" w:val="clear"/>
          </w:tcPr>
          <w:p>
            <w:r>
              <w:rPr>
                <w:sz w:val="17"/>
              </w:rPr>
              <w:t>33,947</w:t>
            </w:r>
          </w:p>
        </w:tc>
        <w:tc>
          <w:tcPr>
            <w:tcW w:type="dxa" w:w="1440"/>
            <w:shd w:fill="FAFAFA" w:val="clear"/>
          </w:tcPr>
          <w:p>
            <w:r>
              <w:rPr>
                <w:b/>
                <w:sz w:val="17"/>
              </w:rPr>
              <w:t>36,831</w:t>
            </w:r>
          </w:p>
        </w:tc>
        <w:tc>
          <w:tcPr>
            <w:tcW w:type="dxa" w:w="1440"/>
            <w:shd w:fill="FAFAFA" w:val="clear"/>
          </w:tcPr>
          <w:p>
            <w:r>
              <w:rPr>
                <w:sz w:val="17"/>
              </w:rPr>
              <w:t>39,714</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2026-08-18</w:t>
            </w:r>
          </w:p>
        </w:tc>
        <w:tc>
          <w:tcPr>
            <w:tcW w:type="dxa" w:w="1440"/>
            <w:shd w:fill="FAFAFA" w:val="clear"/>
          </w:tcPr>
          <w:p>
            <w:r>
              <w:rPr>
                <w:sz w:val="17"/>
              </w:rPr>
              <w:t>33,646</w:t>
            </w:r>
          </w:p>
        </w:tc>
        <w:tc>
          <w:tcPr>
            <w:tcW w:type="dxa" w:w="1440"/>
            <w:shd w:fill="FAFAFA" w:val="clear"/>
          </w:tcPr>
          <w:p>
            <w:r>
              <w:rPr>
                <w:b/>
                <w:sz w:val="17"/>
              </w:rPr>
              <w:t>36,803</w:t>
            </w:r>
          </w:p>
        </w:tc>
        <w:tc>
          <w:tcPr>
            <w:tcW w:type="dxa" w:w="1440"/>
            <w:shd w:fill="FAFAFA" w:val="clear"/>
          </w:tcPr>
          <w:p>
            <w:r>
              <w:rPr>
                <w:sz w:val="17"/>
              </w:rPr>
              <w:t>39,959</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2026-08-19</w:t>
            </w:r>
          </w:p>
        </w:tc>
        <w:tc>
          <w:tcPr>
            <w:tcW w:type="dxa" w:w="1440"/>
            <w:shd w:fill="FAFAFA" w:val="clear"/>
          </w:tcPr>
          <w:p>
            <w:r>
              <w:rPr>
                <w:sz w:val="17"/>
              </w:rPr>
              <w:t>33,367</w:t>
            </w:r>
          </w:p>
        </w:tc>
        <w:tc>
          <w:tcPr>
            <w:tcW w:type="dxa" w:w="1440"/>
            <w:shd w:fill="FAFAFA" w:val="clear"/>
          </w:tcPr>
          <w:p>
            <w:r>
              <w:rPr>
                <w:b/>
                <w:sz w:val="17"/>
              </w:rPr>
              <w:t>36,774</w:t>
            </w:r>
          </w:p>
        </w:tc>
        <w:tc>
          <w:tcPr>
            <w:tcW w:type="dxa" w:w="1440"/>
            <w:shd w:fill="FAFAFA" w:val="clear"/>
          </w:tcPr>
          <w:p>
            <w:r>
              <w:rPr>
                <w:sz w:val="17"/>
              </w:rPr>
              <w:t>40,180</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2026-08-20</w:t>
            </w:r>
          </w:p>
        </w:tc>
        <w:tc>
          <w:tcPr>
            <w:tcW w:type="dxa" w:w="1440"/>
            <w:shd w:fill="FAFAFA" w:val="clear"/>
          </w:tcPr>
          <w:p>
            <w:r>
              <w:rPr>
                <w:sz w:val="17"/>
              </w:rPr>
              <w:t>33,105</w:t>
            </w:r>
          </w:p>
        </w:tc>
        <w:tc>
          <w:tcPr>
            <w:tcW w:type="dxa" w:w="1440"/>
            <w:shd w:fill="FAFAFA" w:val="clear"/>
          </w:tcPr>
          <w:p>
            <w:r>
              <w:rPr>
                <w:b/>
                <w:sz w:val="17"/>
              </w:rPr>
              <w:t>36,744</w:t>
            </w:r>
          </w:p>
        </w:tc>
        <w:tc>
          <w:tcPr>
            <w:tcW w:type="dxa" w:w="1440"/>
            <w:shd w:fill="FAFAFA" w:val="clear"/>
          </w:tcPr>
          <w:p>
            <w:r>
              <w:rPr>
                <w:sz w:val="17"/>
              </w:rPr>
              <w:t>40,382</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2026-08-21</w:t>
            </w:r>
          </w:p>
        </w:tc>
        <w:tc>
          <w:tcPr>
            <w:tcW w:type="dxa" w:w="1440"/>
            <w:shd w:fill="FAFAFA" w:val="clear"/>
          </w:tcPr>
          <w:p>
            <w:r>
              <w:rPr>
                <w:sz w:val="17"/>
              </w:rPr>
              <w:t>32,857</w:t>
            </w:r>
          </w:p>
        </w:tc>
        <w:tc>
          <w:tcPr>
            <w:tcW w:type="dxa" w:w="1440"/>
            <w:shd w:fill="FAFAFA" w:val="clear"/>
          </w:tcPr>
          <w:p>
            <w:r>
              <w:rPr>
                <w:b/>
                <w:sz w:val="17"/>
              </w:rPr>
              <w:t>36,713</w:t>
            </w:r>
          </w:p>
        </w:tc>
        <w:tc>
          <w:tcPr>
            <w:tcW w:type="dxa" w:w="1440"/>
            <w:shd w:fill="FAFAFA" w:val="clear"/>
          </w:tcPr>
          <w:p>
            <w:r>
              <w:rPr>
                <w:sz w:val="17"/>
              </w:rPr>
              <w:t>40,570</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2026-08-24</w:t>
            </w:r>
          </w:p>
        </w:tc>
        <w:tc>
          <w:tcPr>
            <w:tcW w:type="dxa" w:w="1440"/>
            <w:shd w:fill="FAFAFA" w:val="clear"/>
          </w:tcPr>
          <w:p>
            <w:r>
              <w:rPr>
                <w:sz w:val="17"/>
              </w:rPr>
              <w:t>32,621</w:t>
            </w:r>
          </w:p>
        </w:tc>
        <w:tc>
          <w:tcPr>
            <w:tcW w:type="dxa" w:w="1440"/>
            <w:shd w:fill="FAFAFA" w:val="clear"/>
          </w:tcPr>
          <w:p>
            <w:r>
              <w:rPr>
                <w:b/>
                <w:sz w:val="17"/>
              </w:rPr>
              <w:t>36,683</w:t>
            </w:r>
          </w:p>
        </w:tc>
        <w:tc>
          <w:tcPr>
            <w:tcW w:type="dxa" w:w="1440"/>
            <w:shd w:fill="FAFAFA" w:val="clear"/>
          </w:tcPr>
          <w:p>
            <w:r>
              <w:rPr>
                <w:sz w:val="17"/>
              </w:rPr>
              <w:t>40,744</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r>
    </w:p>
    <w:p>
      <w:pPr>
        <w:spacing w:after="120" w:line="276" w:lineRule="auto"/>
      </w:pPr>
      <w:r>
        <w:t>**Date de l'analyse :** 11 août 2026</w:t>
        <w:br/>
        <w:t>**Cours actuel :** 37 005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609,13 milliards FCFA, ce qui en fait l'une des valeurs les plus significatives de la BRVM, reflétant sa position de leader dans le secteur des boissons en Afrique de l'Ouest. Le BPA de 2 781 FCFA indique que chaque action génère un bénéfice substantiel, justifiant un PER de 13,3x, légèrement supérieur à la moyenne historique de la BRVM (8-12x), ce qui traduit une prime de croissance accordée par le marché aux excellentes performances récentes de la société. Le P/B de 3,12x confirme cette prime, le marché valorisant l'entreprise à plus de trois fois sa valeur comptable, signe de la confiance des investisseurs dans la création de valeur future. Enfin, l'EV/EBITDA de 7,2x, dans la fourchette raisonnable de 5-10x, indique que la valorisation globale de l'entreprise reste cohérente avec sa capacité opérationnelle à générer des flux, malgré une prime de croissance évidente.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 enregistré une variation totale de -6,32%, avec une dernière séance stable (+0,01%), illustrant une phase de consolidation après une période de forte progression. Le cours a évolué dans un range de 35 540 FCFA (plus bas) à 41 500 FCFA (plus haut), montrant une amplitude de près de 17%, ce qui témoigne d'une volatilité notable sur la période. La moyenne du cours (38 526 FCFA) est légèrement inférieure à la médiane (38 800 FCFA), indiquant une distribution quasi symétrique, confirmée par un skewness de -0,136, avec une très faible dispersion autour de la moyenne (écart-type de 941 FCFA, CV de 2,4%). Le kurtosis de 0,381 (mésokurtique) suggère une distribution proche de la normale, sans risque de pics extrêmes. La volatilité annualisée de 28,7% classe le titre dans la catégorie "modérée à élevée", reflétant un risque mesuré mais non négligeable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Les MM20 (38 570 FCFA) et MM50 (38 778 FCFA) sont toutes deux supérieures au cours actuel (37 005 FCFA), indiquant une tendance baissière à court et moyen terme. Le croisement de ces moyennes sous le cours suggère une pression vendeuse persistante, justifiant la décision de Vente.</w:t>
      </w:r>
    </w:p>
    <w:p>
      <w:pPr>
        <w:spacing w:after="120" w:line="276" w:lineRule="auto"/>
      </w:pPr>
      <w:r>
        <w:t>**Bandes de Bollinger :** Le cours se situe à 37 005 FCFA, proche de la borne inférieure (36 512 FCFA) et nettement sous la borne supérieure (40 628 FCFA). Cette position indique une volatilité en contraction et un potentiel de rebond technique, d'où la décision Neutre, le marché semblant chercher un point d'équilibre.</w:t>
      </w:r>
    </w:p>
    <w:p>
      <w:pPr>
        <w:spacing w:after="120" w:line="276" w:lineRule="auto"/>
      </w:pPr>
      <w:r>
        <w:t>**MACD :** La valeur du MACD (-508,26) est inférieure à son signal (-257,52), confirmant un momentum baissier. La divergence négative entre ces deux lignes indique une dynamique vendeuse toujours active, justifiant la décision de Vente.</w:t>
      </w:r>
    </w:p>
    <w:p>
      <w:pPr>
        <w:spacing w:after="120" w:line="276" w:lineRule="auto"/>
      </w:pPr>
      <w:r>
        <w:t>**RSI :** À 38,01, le RSI se situe en zone neutre, mais proche de la zone de survente (&lt;30). Cette valeur suggère que le titre n'est ni suracheté ni survendu, laissant place à une possible stabilisation, d'où la décision Neutre.</w:t>
      </w:r>
    </w:p>
    <w:p>
      <w:pPr>
        <w:spacing w:after="120" w:line="276" w:lineRule="auto"/>
      </w:pPr>
      <w:r>
        <w:t>**Stochastique :** Les valeurs %K (3,39) et %D (2,21) sont extrêmement basses, indiquant une condition de survente sévère. Le croisement potentiel de ces lignes pourrait signaler un retournement haussier imminent, justifiant la décision d'Achat.</w:t>
      </w:r>
    </w:p>
    <w:p>
      <w:pPr>
        <w:spacing w:after="120" w:line="276" w:lineRule="auto"/>
      </w:pPr>
      <w:r>
        <w:t>**Conclusion technique :** La convergence des indicateurs (MM et MACD baissiers, RSI neutre, Stochastique en survente) suggère un marché en phase de correction, mais avec des signaux de retournement potentiel à court terme. La prudence est de mise, mais un rebond technique est possible si le Stochastique confirme un croisement haussier.</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22,1% par rapport à 2024 (309,722 milliards FCFA), avec un résultat net de 45,781 milliards FCFA, soit une progression spectaculaire de 113%. La marge nette s'est améliorée à 12,1% (contre 6,9% en 2024), et le ROE atteint 23,46%, un niveau excellent (&gt;15%), tandis que le ROA s'établit à 13,48%. La structure financière est saine avec une autonomie financière de 57,5% et une capacité de remboursement de 0,67 an. Le BFR de 61,587 milliards FCFA, bien que positif, est maîtrisé avec un délai clients de 64 jours et un délai fournisseurs de 77 jours, indiquant une gestion équilibrée. Le rapport du S1 2025 (publié en 2026) confirme cette dynamique avec un CA de 165,8 milliards FCFA (+12,3%) et un résultat net de 28,0 milliards FCFA (+175,1%). Sur la base du rapport T1 2026 (CA de 93,46 milliards FCFA, +7,6%, résultat net de 16,26 milliards FCFA, +4,8%), on estime que l'exercice 2026 devrait maintenir une croissance soutenue, avec un CA potentiel dépassant 400 milliards FCFA et un résultat net autour de 50 milliards FCFA. La politique de dividende est très généreuse (2 127 FCFA par action proposé pour 2025, taux de distribution de 76,5%), reflétant la confiance du management. Les fondamentaux sont donc exceptionnellement solides, avec une croissance rentable et une structure financière robuste.</w:t>
      </w:r>
    </w:p>
    <w:p>
      <w:pPr>
        <w:spacing w:after="120" w:line="276" w:lineRule="auto"/>
      </w:pPr>
      <w:r>
        <w:t>---</w:t>
      </w:r>
    </w:p>
    <w:p>
      <w:pPr>
        <w:spacing w:after="120" w:line="276" w:lineRule="auto"/>
      </w:pPr>
      <w:r>
        <w:t>### PARTIE 4 : CONCLUSION D'INVESTISSEMENT</w:t>
      </w:r>
    </w:p>
    <w:p>
      <w:pPr>
        <w:spacing w:after="120" w:line="276" w:lineRule="auto"/>
      </w:pPr>
      <w:r>
        <w:t>La valorisation de SLBC, avec un PER de 13,3x et un P/B de 3,12x, indique une prime de croissance justifiée par les performances exceptionnelles, mais qui limite le potentiel de hausse à court terme. Le comportement du cours sur 100 jours (-6,32%) montre une consolidation après une forte progression, avec une volatilité modérée (28,7%) et une distribution symétrique, sans risque de pics extrêmes. Les signaux techniques sont mitigés : les MM et le MACD sont baissiers, mais le Stochastique en survente suggère un rebond potentiel. Les fondamentaux, eux, sont extrêmement solides avec une croissance de 22% du CA en 2025, un ROE de 23,5% et une politique de dividende généreuse. Les prédictions IA (36 942 à 36 831 FCFA sur 10 jours) confirment une légère tendance baissière à court terme, en ligne avec les signaux techniques. La convergence entre la solidité fondamentale et la consolidation technique suggère une opportunité d'achat à moyen terme. **Recommandation finale : ACHAT** avec un niveau de confiance **Moyen** et un risque global **Moyen**. L'horizon d'investissement optimal est le **moyen terme (3-12 mois)**, permettant de bénéficier de la croissance continue et du rendement du dividende tout en attendant une stabilisation technique.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1,250 titres</w:t>
            </w:r>
          </w:p>
        </w:tc>
        <w:tc>
          <w:tcPr>
            <w:tcW w:type="dxa" w:w="2268"/>
            <w:shd w:fill="FFF2CC" w:val="clear"/>
          </w:tcPr>
          <w:p>
            <w:r>
              <w:rPr>
                <w:b/>
                <w:color w:val="503200"/>
                <w:sz w:val="16"/>
              </w:rPr>
              <w:t xml:space="preserve">Cours actuel : </w:t>
            </w:r>
            <w:r>
              <w:rPr>
                <w:color w:val="000000"/>
                <w:sz w:val="17"/>
              </w:rPr>
              <w:t>16,530 FCFA</w:t>
            </w:r>
          </w:p>
          <w:p>
            <w:r>
              <w:rPr>
                <w:b/>
                <w:color w:val="503200"/>
                <w:sz w:val="16"/>
              </w:rPr>
              <w:t xml:space="preserve">Var. 100 jours : </w:t>
            </w:r>
            <w:r>
              <w:rPr>
                <w:b/>
                <w:color w:val="007800"/>
                <w:sz w:val="17"/>
              </w:rPr>
              <w:t>+23.73%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14.78% (Moyenne) — μ=14,172 FCFA, σ=2,095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β=-0.6507 (Contre-cyclique) — Cov=-0.000024, Var(idx)=0.000036, ρ=-0.160,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87289"/>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2026-08-11</w:t>
            </w:r>
          </w:p>
        </w:tc>
        <w:tc>
          <w:tcPr>
            <w:tcW w:type="dxa" w:w="1440"/>
            <w:shd w:fill="FAFAFA" w:val="clear"/>
          </w:tcPr>
          <w:p>
            <w:r>
              <w:rPr>
                <w:sz w:val="17"/>
              </w:rPr>
              <w:t>15,585</w:t>
            </w:r>
          </w:p>
        </w:tc>
        <w:tc>
          <w:tcPr>
            <w:tcW w:type="dxa" w:w="1440"/>
            <w:shd w:fill="FAFAFA" w:val="clear"/>
          </w:tcPr>
          <w:p>
            <w:r>
              <w:rPr>
                <w:b/>
                <w:sz w:val="17"/>
              </w:rPr>
              <w:t>16,312</w:t>
            </w:r>
          </w:p>
        </w:tc>
        <w:tc>
          <w:tcPr>
            <w:tcW w:type="dxa" w:w="1440"/>
            <w:shd w:fill="FAFAFA" w:val="clear"/>
          </w:tcPr>
          <w:p>
            <w:r>
              <w:rPr>
                <w:sz w:val="17"/>
              </w:rPr>
              <w:t>17,039</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2026-08-12</w:t>
            </w:r>
          </w:p>
        </w:tc>
        <w:tc>
          <w:tcPr>
            <w:tcW w:type="dxa" w:w="1440"/>
            <w:shd w:fill="FAFAFA" w:val="clear"/>
          </w:tcPr>
          <w:p>
            <w:r>
              <w:rPr>
                <w:sz w:val="17"/>
              </w:rPr>
              <w:t>15,229</w:t>
            </w:r>
          </w:p>
        </w:tc>
        <w:tc>
          <w:tcPr>
            <w:tcW w:type="dxa" w:w="1440"/>
            <w:shd w:fill="FAFAFA" w:val="clear"/>
          </w:tcPr>
          <w:p>
            <w:r>
              <w:rPr>
                <w:b/>
                <w:sz w:val="17"/>
              </w:rPr>
              <w:t>16,254</w:t>
            </w:r>
          </w:p>
        </w:tc>
        <w:tc>
          <w:tcPr>
            <w:tcW w:type="dxa" w:w="1440"/>
            <w:shd w:fill="FAFAFA" w:val="clear"/>
          </w:tcPr>
          <w:p>
            <w:r>
              <w:rPr>
                <w:sz w:val="17"/>
              </w:rPr>
              <w:t>17,279</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14,937</w:t>
            </w:r>
          </w:p>
        </w:tc>
        <w:tc>
          <w:tcPr>
            <w:tcW w:type="dxa" w:w="1440"/>
            <w:shd w:fill="FFDCE0" w:val="clear"/>
          </w:tcPr>
          <w:p>
            <w:r>
              <w:rPr>
                <w:b/>
                <w:sz w:val="17"/>
              </w:rPr>
              <w:t>16,187</w:t>
            </w:r>
          </w:p>
        </w:tc>
        <w:tc>
          <w:tcPr>
            <w:tcW w:type="dxa" w:w="1440"/>
            <w:shd w:fill="FFDCE0" w:val="clear"/>
          </w:tcPr>
          <w:p>
            <w:r>
              <w:rPr>
                <w:sz w:val="17"/>
              </w:rPr>
              <w:t>17,437</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14,690</w:t>
            </w:r>
          </w:p>
        </w:tc>
        <w:tc>
          <w:tcPr>
            <w:tcW w:type="dxa" w:w="1440"/>
            <w:shd w:fill="FFDCE0" w:val="clear"/>
          </w:tcPr>
          <w:p>
            <w:r>
              <w:rPr>
                <w:b/>
                <w:sz w:val="17"/>
              </w:rPr>
              <w:t>16,128</w:t>
            </w:r>
          </w:p>
        </w:tc>
        <w:tc>
          <w:tcPr>
            <w:tcW w:type="dxa" w:w="1440"/>
            <w:shd w:fill="FFDCE0" w:val="clear"/>
          </w:tcPr>
          <w:p>
            <w:r>
              <w:rPr>
                <w:sz w:val="17"/>
              </w:rPr>
              <w:t>17,566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14,470</w:t>
            </w:r>
          </w:p>
        </w:tc>
        <w:tc>
          <w:tcPr>
            <w:tcW w:type="dxa" w:w="1440"/>
            <w:shd w:fill="FFDCE0" w:val="clear"/>
          </w:tcPr>
          <w:p>
            <w:r>
              <w:rPr>
                <w:b/>
                <w:sz w:val="17"/>
              </w:rPr>
              <w:t>16,072</w:t>
            </w:r>
          </w:p>
        </w:tc>
        <w:tc>
          <w:tcPr>
            <w:tcW w:type="dxa" w:w="1440"/>
            <w:shd w:fill="FFDCE0" w:val="clear"/>
          </w:tcPr>
          <w:p>
            <w:r>
              <w:rPr>
                <w:sz w:val="17"/>
              </w:rPr>
              <w:t>17,675</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14,268</w:t>
            </w:r>
          </w:p>
        </w:tc>
        <w:tc>
          <w:tcPr>
            <w:tcW w:type="dxa" w:w="1440"/>
            <w:shd w:fill="FFDCE0" w:val="clear"/>
          </w:tcPr>
          <w:p>
            <w:r>
              <w:rPr>
                <w:b/>
                <w:sz w:val="17"/>
              </w:rPr>
              <w:t>16,018</w:t>
            </w:r>
          </w:p>
        </w:tc>
        <w:tc>
          <w:tcPr>
            <w:tcW w:type="dxa" w:w="1440"/>
            <w:shd w:fill="FFDCE0" w:val="clear"/>
          </w:tcPr>
          <w:p>
            <w:r>
              <w:rPr>
                <w:sz w:val="17"/>
              </w:rPr>
              <w:t>17,767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14,081</w:t>
            </w:r>
          </w:p>
        </w:tc>
        <w:tc>
          <w:tcPr>
            <w:tcW w:type="dxa" w:w="1440"/>
            <w:shd w:fill="FFDCE0" w:val="clear"/>
          </w:tcPr>
          <w:p>
            <w:r>
              <w:rPr>
                <w:b/>
                <w:sz w:val="17"/>
              </w:rPr>
              <w:t>15,964</w:t>
            </w:r>
          </w:p>
        </w:tc>
        <w:tc>
          <w:tcPr>
            <w:tcW w:type="dxa" w:w="1440"/>
            <w:shd w:fill="FFDCE0" w:val="clear"/>
          </w:tcPr>
          <w:p>
            <w:r>
              <w:rPr>
                <w:sz w:val="17"/>
              </w:rPr>
              <w:t>17,847</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13,904</w:t>
            </w:r>
          </w:p>
        </w:tc>
        <w:tc>
          <w:tcPr>
            <w:tcW w:type="dxa" w:w="1440"/>
            <w:shd w:fill="FFDCE0" w:val="clear"/>
          </w:tcPr>
          <w:p>
            <w:r>
              <w:rPr>
                <w:b/>
                <w:sz w:val="17"/>
              </w:rPr>
              <w:t>15,911</w:t>
            </w:r>
          </w:p>
        </w:tc>
        <w:tc>
          <w:tcPr>
            <w:tcW w:type="dxa" w:w="1440"/>
            <w:shd w:fill="FFDCE0" w:val="clear"/>
          </w:tcPr>
          <w:p>
            <w:r>
              <w:rPr>
                <w:sz w:val="17"/>
              </w:rPr>
              <w:t>17,918</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13,737</w:t>
            </w:r>
          </w:p>
        </w:tc>
        <w:tc>
          <w:tcPr>
            <w:tcW w:type="dxa" w:w="1440"/>
            <w:shd w:fill="FFDCE0" w:val="clear"/>
          </w:tcPr>
          <w:p>
            <w:r>
              <w:rPr>
                <w:b/>
                <w:sz w:val="17"/>
              </w:rPr>
              <w:t>15,859</w:t>
            </w:r>
          </w:p>
        </w:tc>
        <w:tc>
          <w:tcPr>
            <w:tcW w:type="dxa" w:w="1440"/>
            <w:shd w:fill="FFDCE0" w:val="clear"/>
          </w:tcPr>
          <w:p>
            <w:r>
              <w:rPr>
                <w:sz w:val="17"/>
              </w:rPr>
              <w:t>17,980</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13,578</w:t>
            </w:r>
          </w:p>
        </w:tc>
        <w:tc>
          <w:tcPr>
            <w:tcW w:type="dxa" w:w="1440"/>
            <w:shd w:fill="FFDCE0" w:val="clear"/>
          </w:tcPr>
          <w:p>
            <w:r>
              <w:rPr>
                <w:b/>
                <w:sz w:val="17"/>
              </w:rPr>
              <w:t>15,807</w:t>
            </w:r>
          </w:p>
        </w:tc>
        <w:tc>
          <w:tcPr>
            <w:tcW w:type="dxa" w:w="1440"/>
            <w:shd w:fill="FFDCE0" w:val="clear"/>
          </w:tcPr>
          <w:p>
            <w:r>
              <w:rPr>
                <w:sz w:val="17"/>
              </w:rPr>
              <w:t>18,036</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128,85 milliards FCFA, un niveau qui la positionne parmi les valeurs moyennes de la cote de la BRVM, avec une liquidité quotidienne limitée (volume moyen de 1 250 titres). Le BPA de 1 677 FCFA indique que chaque action génère un bénéfice substantiel, ce qui justifie un PER de 9,9x, légèrement inférieur à la moyenne historique de la place (~8-12x), signalant une sous-évaluation relative du titre par rapport à ses pairs. Le P/B de 3,00x reflète une prime de croissance accordée par le marché, cohérente avec la forte rentabilité des capitaux propres (ROE de 30,5%). Enfin, l'EV/EBITDA de 6,2x se situe dans la fourchette raisonnable (5-10x), indiquant que la valeur d'entreprise reste attractive au regard de la capacité bénéficiaire opérationnelle de la société.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SMBC a enregistré une progression remarquable de +23,73%, avec une très légère correction de -0,12% lors de la dernière séance, témoignant d'une consolidation après une phase d'ascension soutenue. Le cours a évolué dans une fourchette large de 11 450 FCFA (plus bas) à 17 735 FCFA (plus haut), illustrant une forte amplitude de trading et un intérêt marqué des investisseurs. La moyenne (14 172 FCFA) est supérieure à la médiane (13 370 FCFA), indiquant une distribution légèrement asymétrique à droite, confirmée par un skewness positif de 0,188, avec une concentration des cours vers les niveaux élevés. Le kurtosis négatif de -1,513 (platykurtique) suggère une distribution aplatie, sans pics extrêmes, réduisant le risque de mouvements violents. L'écart-type de 2 106 FCFA (CV de 14,9%) reflète une dispersion modérée autour de la moyenne, tandis que la volatilité annualisée de 38,5% classe le titre dans la catégorie des valeurs à forte volatilité, impliquant un risque élevé mais aussi un potentiel de rendement significatif.</w:t>
      </w:r>
    </w:p>
    <w:p>
      <w:pPr>
        <w:spacing w:after="120" w:line="276" w:lineRule="auto" w:before="240"/>
      </w:pPr>
      <w:r>
        <w:rPr>
          <w:b/>
          <w:color w:val="003366"/>
          <w:sz w:val="24"/>
        </w:rPr>
        <w:t>**PARTIE 2 : ANALYSE TECHNIQUE DÉTAILLÉE**</w:t>
      </w:r>
    </w:p>
    <w:p>
      <w:pPr>
        <w:spacing w:after="120" w:line="276" w:lineRule="auto"/>
      </w:pPr>
      <w:r>
        <w:t>Les **Moyennes Mobiles** (MM20 à 16 075 FCFA et MM50 à 16 055 FCFA) sont très proches l'une de l'autre et légèrement inférieures au cours actuel de 16 530 FCFA, confirmant une tendance haussière de court et moyen terme. La décision d'achat est justifiée par la position du prix au-dessus de ces moyennes, indiquant un momentum positif soutenu.</w:t>
      </w:r>
    </w:p>
    <w:p>
      <w:pPr>
        <w:spacing w:after="120" w:line="276" w:lineRule="auto"/>
      </w:pPr>
      <w:r>
        <w:t>Les **Bandes de Bollinger** présentent une borne supérieure à 17 012 FCFA et une borne inférieure à 15 138 FCFA, avec un cours évoluant dans la moitié supérieure du canal. La décision neutre s'explique par le fait que le prix, bien qu'en zone haute, ne touche pas la borne supérieure, laissant une marge de progression sans signal de surachat imminent.</w:t>
      </w:r>
    </w:p>
    <w:p>
      <w:pPr>
        <w:spacing w:after="120" w:line="276" w:lineRule="auto"/>
      </w:pPr>
      <w:r>
        <w:t>Le **MACD** affiche une valeur de 23,54 contre un signal à 1,55, montrant une divergence positive nette qui traduit un momentum haussier solide. La décision d'achat est confortée par l'écart croissant entre la ligne MACD et sa ligne de signal, indiquant une accélération de la dynamique haussière.</w:t>
      </w:r>
    </w:p>
    <w:p>
      <w:pPr>
        <w:spacing w:after="120" w:line="276" w:lineRule="auto"/>
      </w:pPr>
      <w:r>
        <w:t>Le **RSI** à 62,97 se situe en zone neutre (30-70), sans atteindre le seuil de surachat de 70, ce qui laisse un potentiel de hausse supplémentaire. La décision neutre reflète un équilibre entre pression acheteuse et vendeuse, sans excès.</w:t>
      </w:r>
    </w:p>
    <w:p>
      <w:pPr>
        <w:spacing w:after="120" w:line="276" w:lineRule="auto"/>
      </w:pPr>
      <w:r>
        <w:t>Le **Stochastique** avec %K à 89,61 et %D à 90,21 signale une zone de surachat prononcée, justifiant une décision de vente. Ces niveaux très élevés indiquent que le titre est temporairement survendu, augmentant le risque de correction à court terme.</w:t>
      </w:r>
    </w:p>
    <w:p>
      <w:pPr>
        <w:spacing w:after="120" w:line="276" w:lineRule="auto"/>
      </w:pPr>
      <w:r>
        <w:t>En conclusion technique, les indicateurs de tendance (MM, MACD) sont résolument haussiers, tandis que les oscillateurs (RSI, Stochastique) montrent des signes de surachat. Cette divergence suggère une poursuite probable de la tendance haussière à moyen terme, mais avec un risque accru de consolidation ou de repli technique à très court terme.</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(229,061 milliards FCFA), mais avec une amélioration spectaculaire de la rentabilité : le résultat net progresse de +50,3% à 13,075 milliards FCFA, portant la marge nette à 6,3% (contre 3,8% en 2024). Le ROE atteint 30,47%, un niveau excellent (&gt;15%), et le ROA de 7,26% témoigne d'une utilisation efficace des actifs. La structure financière s'est renforcée avec des capitaux propres de 42,913 milliards FCFA (+21,6%) et une trésorerie nette positive de 23,988 milliards FCFA. Cependant, le BFR de 1,693 milliards FCFA et le délai clients de 193,75 jours (élevé) constituent un risque de trésorerie, bien que le délai fournisseurs de 207,07 jours compense partiellement. Les rapports trimestriels 2025 (T1, S1, 9M) montrent une baisse du CA (-22% au T1, -23% au S1, -14% au 9M) due à la chute des prix du Brent, mais une amélioration continue des marges de raffinage et de la rentabilité opérationnelle. Sur la base des 9M 2025 (résultat net de 5,7 milliards FCFA, +6%), on estime que l'exercice 2025 devrait confirmer la forte progression du résultat net annuel, porté par l'amélioration des marges et le contrôle des coûts. Les perspectives restent positives avec une demande locale soutenue par les projets d'infrastructures routières en Côte d'Ivoire et une reprise attendue des exportations vers les pays voisins.</w:t>
      </w:r>
    </w:p>
    <w:p>
      <w:pPr>
        <w:spacing w:after="120" w:line="276" w:lineRule="auto" w:before="240"/>
      </w:pPr>
      <w:r>
        <w:rPr>
          <w:b/>
          <w:color w:val="003366"/>
          <w:sz w:val="24"/>
        </w:rPr>
        <w:t>**PARTIE 4 : CONCLUSION D'INVESTISSEMENT**</w:t>
      </w:r>
    </w:p>
    <w:p>
      <w:pPr>
        <w:spacing w:after="120" w:line="276" w:lineRule="auto"/>
      </w:pPr>
      <w:r>
        <w:t>La valorisation de SMBC (PER de 9,9x, P/B de 3,0x, EV/EBITDA de 6,2x) indique une sous-évaluation relative avec une prime de croissance justifiée par un ROE exceptionnel de 30,5%. Le comportement du cours sur 100 jours (+23,73%) confirme une tendance haussière robuste, soutenue par une volatilité élevée (38,5%) qui offre des opportunités mais aussi des risques. Les signaux techniques sont partagés : les indicateurs de tendance (MM, MACD) sont positifs, tandis que les oscillateurs (RSI, Stochastique) signalent un surachat à court terme, suggérant une possible consolidation. Les fondamentaux sont solides avec une amélioration spectaculaire de la rentabilité en 2025 (+50,3% du résultat net) malgré la baisse du CA, une trésorerie abondante et un bilan renforcé. Les prédictions IA pour les 10 prochains jours (16 312 à 16 072 FCFA) indiquent une légère correction, cohérente avec les signaux de surachat technique. La convergence entre la sous-évaluation, la solidité fondamentale et la tendance haussière plaide pour une recommandation **ACHAT**, avec un niveau de confiance **Élevé** et un risque global **Moyen**. L'horizon d'investissement optimal est le **moyen terme (3-12 mois)**, permettant de bénéficier de la poursuite de la croissance des marges et du potentiel de revalorisation du titre.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9,310 titres</w:t>
            </w:r>
          </w:p>
        </w:tc>
        <w:tc>
          <w:tcPr>
            <w:tcW w:type="dxa" w:w="2268"/>
            <w:shd w:fill="FFF2CC" w:val="clear"/>
          </w:tcPr>
          <w:p>
            <w:r>
              <w:rPr>
                <w:b/>
                <w:color w:val="503200"/>
                <w:sz w:val="16"/>
              </w:rPr>
              <w:t xml:space="preserve">Cours actuel : </w:t>
            </w:r>
            <w:r>
              <w:rPr>
                <w:color w:val="000000"/>
                <w:sz w:val="17"/>
              </w:rPr>
              <w:t>32,000 FCFA</w:t>
            </w:r>
          </w:p>
          <w:p>
            <w:r>
              <w:rPr>
                <w:b/>
                <w:color w:val="503200"/>
                <w:sz w:val="16"/>
              </w:rPr>
              <w:t xml:space="preserve">Var. 100 jours : </w:t>
            </w:r>
            <w:r>
              <w:rPr>
                <w:b/>
                <w:color w:val="007800"/>
                <w:sz w:val="17"/>
              </w:rPr>
              <w:t>+11.11%</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4.18% (Faible) — μ=29,272 FCFA, σ=1,223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β=1.2915 (Agressif) — Cov=0.000047, Var(idx)=0.000036, ρ=0.475,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9,310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87289"/>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30,234</w:t>
            </w:r>
          </w:p>
        </w:tc>
        <w:tc>
          <w:tcPr>
            <w:tcW w:type="dxa" w:w="1440"/>
            <w:shd w:fill="FFDCE0" w:val="clear"/>
          </w:tcPr>
          <w:p>
            <w:r>
              <w:rPr>
                <w:b/>
                <w:sz w:val="17"/>
              </w:rPr>
              <w:t>31,088</w:t>
            </w:r>
          </w:p>
        </w:tc>
        <w:tc>
          <w:tcPr>
            <w:tcW w:type="dxa" w:w="1440"/>
            <w:shd w:fill="FFDCE0" w:val="clear"/>
          </w:tcPr>
          <w:p>
            <w:r>
              <w:rPr>
                <w:sz w:val="17"/>
              </w:rPr>
              <w:t>31,942</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29,927</w:t>
            </w:r>
          </w:p>
        </w:tc>
        <w:tc>
          <w:tcPr>
            <w:tcW w:type="dxa" w:w="1440"/>
            <w:shd w:fill="FFDCE0" w:val="clear"/>
          </w:tcPr>
          <w:p>
            <w:r>
              <w:rPr>
                <w:b/>
                <w:sz w:val="17"/>
              </w:rPr>
              <w:t>31,137</w:t>
            </w:r>
          </w:p>
        </w:tc>
        <w:tc>
          <w:tcPr>
            <w:tcW w:type="dxa" w:w="1440"/>
            <w:shd w:fill="FFDCE0" w:val="clear"/>
          </w:tcPr>
          <w:p>
            <w:r>
              <w:rPr>
                <w:sz w:val="17"/>
              </w:rPr>
              <w:t>32,346</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29,622</w:t>
            </w:r>
          </w:p>
        </w:tc>
        <w:tc>
          <w:tcPr>
            <w:tcW w:type="dxa" w:w="1440"/>
            <w:shd w:fill="FFDCE0" w:val="clear"/>
          </w:tcPr>
          <w:p>
            <w:r>
              <w:rPr>
                <w:b/>
                <w:sz w:val="17"/>
              </w:rPr>
              <w:t>31,101</w:t>
            </w:r>
          </w:p>
        </w:tc>
        <w:tc>
          <w:tcPr>
            <w:tcW w:type="dxa" w:w="1440"/>
            <w:shd w:fill="FFDCE0" w:val="clear"/>
          </w:tcPr>
          <w:p>
            <w:r>
              <w:rPr>
                <w:sz w:val="17"/>
              </w:rPr>
              <w:t>32,581</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29,351</w:t>
            </w:r>
          </w:p>
        </w:tc>
        <w:tc>
          <w:tcPr>
            <w:tcW w:type="dxa" w:w="1440"/>
            <w:shd w:fill="FFDCE0" w:val="clear"/>
          </w:tcPr>
          <w:p>
            <w:r>
              <w:rPr>
                <w:b/>
                <w:sz w:val="17"/>
              </w:rPr>
              <w:t>31,057</w:t>
            </w:r>
          </w:p>
        </w:tc>
        <w:tc>
          <w:tcPr>
            <w:tcW w:type="dxa" w:w="1440"/>
            <w:shd w:fill="FFDCE0" w:val="clear"/>
          </w:tcPr>
          <w:p>
            <w:r>
              <w:rPr>
                <w:sz w:val="17"/>
              </w:rPr>
              <w:t>32,763</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29,113</w:t>
            </w:r>
          </w:p>
        </w:tc>
        <w:tc>
          <w:tcPr>
            <w:tcW w:type="dxa" w:w="1440"/>
            <w:shd w:fill="FFDCE0" w:val="clear"/>
          </w:tcPr>
          <w:p>
            <w:r>
              <w:rPr>
                <w:b/>
                <w:sz w:val="17"/>
              </w:rPr>
              <w:t>31,018</w:t>
            </w:r>
          </w:p>
        </w:tc>
        <w:tc>
          <w:tcPr>
            <w:tcW w:type="dxa" w:w="1440"/>
            <w:shd w:fill="FFDCE0" w:val="clear"/>
          </w:tcPr>
          <w:p>
            <w:r>
              <w:rPr>
                <w:sz w:val="17"/>
              </w:rPr>
              <w:t>32,922</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28,898</w:t>
            </w:r>
          </w:p>
        </w:tc>
        <w:tc>
          <w:tcPr>
            <w:tcW w:type="dxa" w:w="1440"/>
            <w:shd w:fill="FFDCE0" w:val="clear"/>
          </w:tcPr>
          <w:p>
            <w:r>
              <w:rPr>
                <w:b/>
                <w:sz w:val="17"/>
              </w:rPr>
              <w:t>30,982</w:t>
            </w:r>
          </w:p>
        </w:tc>
        <w:tc>
          <w:tcPr>
            <w:tcW w:type="dxa" w:w="1440"/>
            <w:shd w:fill="FFDCE0" w:val="clear"/>
          </w:tcPr>
          <w:p>
            <w:r>
              <w:rPr>
                <w:sz w:val="17"/>
              </w:rPr>
              <w:t>33,066</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28,699</w:t>
            </w:r>
          </w:p>
        </w:tc>
        <w:tc>
          <w:tcPr>
            <w:tcW w:type="dxa" w:w="1440"/>
            <w:shd w:fill="FFDCE0" w:val="clear"/>
          </w:tcPr>
          <w:p>
            <w:r>
              <w:rPr>
                <w:b/>
                <w:sz w:val="17"/>
              </w:rPr>
              <w:t>30,948</w:t>
            </w:r>
          </w:p>
        </w:tc>
        <w:tc>
          <w:tcPr>
            <w:tcW w:type="dxa" w:w="1440"/>
            <w:shd w:fill="FFDCE0" w:val="clear"/>
          </w:tcPr>
          <w:p>
            <w:r>
              <w:rPr>
                <w:sz w:val="17"/>
              </w:rPr>
              <w:t>33,197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28,514</w:t>
            </w:r>
          </w:p>
        </w:tc>
        <w:tc>
          <w:tcPr>
            <w:tcW w:type="dxa" w:w="1440"/>
            <w:shd w:fill="FFDCE0" w:val="clear"/>
          </w:tcPr>
          <w:p>
            <w:r>
              <w:rPr>
                <w:b/>
                <w:sz w:val="17"/>
              </w:rPr>
              <w:t>30,915</w:t>
            </w:r>
          </w:p>
        </w:tc>
        <w:tc>
          <w:tcPr>
            <w:tcW w:type="dxa" w:w="1440"/>
            <w:shd w:fill="FFDCE0" w:val="clear"/>
          </w:tcPr>
          <w:p>
            <w:r>
              <w:rPr>
                <w:sz w:val="17"/>
              </w:rPr>
              <w:t>33,317</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28,339</w:t>
            </w:r>
          </w:p>
        </w:tc>
        <w:tc>
          <w:tcPr>
            <w:tcW w:type="dxa" w:w="1440"/>
            <w:shd w:fill="FFDCE0" w:val="clear"/>
          </w:tcPr>
          <w:p>
            <w:r>
              <w:rPr>
                <w:b/>
                <w:sz w:val="17"/>
              </w:rPr>
              <w:t>30,883</w:t>
            </w:r>
          </w:p>
        </w:tc>
        <w:tc>
          <w:tcPr>
            <w:tcW w:type="dxa" w:w="1440"/>
            <w:shd w:fill="FFDCE0" w:val="clear"/>
          </w:tcPr>
          <w:p>
            <w:r>
              <w:rPr>
                <w:sz w:val="17"/>
              </w:rPr>
              <w:t>33,428</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28,172</w:t>
            </w:r>
          </w:p>
        </w:tc>
        <w:tc>
          <w:tcPr>
            <w:tcW w:type="dxa" w:w="1440"/>
            <w:shd w:fill="FFDCE0" w:val="clear"/>
          </w:tcPr>
          <w:p>
            <w:r>
              <w:rPr>
                <w:b/>
                <w:sz w:val="17"/>
              </w:rPr>
              <w:t>30,851</w:t>
            </w:r>
          </w:p>
        </w:tc>
        <w:tc>
          <w:tcPr>
            <w:tcW w:type="dxa" w:w="1440"/>
            <w:shd w:fill="FFDCE0" w:val="clear"/>
          </w:tcPr>
          <w:p>
            <w:r>
              <w:rPr>
                <w:sz w:val="17"/>
              </w:rPr>
              <w:t>33,531</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10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3 200 milliards FCFA, ce qui en fait l'une des plus importantes valeurs de la BRVM, représentant une part significative de l'indice. Le BPA de 4 136 FCFA indique que chaque action génère un bénéfice substantiel, justifiant un PER de 7,7x, nettement inférieur à la moyenne de la BRVM (8-12x). Ce niveau de PER suggère une sous-évaluation relative du titre par rapport à ses bénéfices. Le P/B de 2,29x montre que le marché valorise la société à plus du double de sa valeur comptable, traduisant une prime de croissance accordée par les investisseurs. Enfin, un EV/EBITDA de 3,3x, largement sous le seuil de 5x, confirme que la valeur totale de l'entreprise (dette incluse) est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de +11,11%, avec une dernière séance en hausse de +3,23%, clôturant à 32 000 FCFA. Le titre a évolué dans une fourchette de 27 160 FCFA (plus bas) à 32 500 FCFA (plus haut), démontrant une dynamique haussière soutenue. La moyenne du cours sur la période (29 272 FCFA) est inférieure à la médiane (28 850 FCFA), et l'écart entre ces deux valeurs, combiné à un skewness positif de 1.060, indique une distribution asymétrique avec des journées majoritairement sous la moyenne mais des pics de hausse marqués. L'écart-type de 1 229 FCFA (CV=4,2%) révèle une dispersion relativement faible, tandis que le kurtosis de -0.106 (mésokurtique) suggère un risque de variations extrêmes limité. La volatilité annualisée de 25,7% classe le titre dans une catégorie de risque modéré (15-30%), ce qui est cohérent avec un marché émergent comme la BRVM.</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(32 000 FCFA) se situe au-dessus de la MM20 (31 390,75 FCFA) et de la MM50 (29 917,9 FCFA), confirmant une tendance haussière de court et moyen terme. La configuration des moyennes mobiles, avec le cours au-dessus des deux, génère un signal d'achat, indiquant que la dynamique positive est toujours en place.</w:t>
      </w:r>
    </w:p>
    <w:p>
      <w:pPr>
        <w:spacing w:after="120" w:line="276" w:lineRule="auto"/>
      </w:pPr>
      <w:r>
        <w:t>**Bandes de Bollinger** : Le prix évolue près de la borne supérieure (32 481 FCFA), à 32 000 FCFA, ce qui témoigne d'une pression acheteuse soutenue. La largeur des bandes (écart de 2 180 FCFA entre les bornes) suggère une volatilité modérée. La décision est neutre, car le titre n'a pas encore franchi la borne supérieure, ce qui pourrait indiquer une zone de résistance à surveiller.</w:t>
      </w:r>
    </w:p>
    <w:p>
      <w:pPr>
        <w:spacing w:after="120" w:line="276" w:lineRule="auto"/>
      </w:pPr>
      <w:r>
        <w:t>**MACD** : La valeur du MACD (311,118) est inférieure à son signal (403,282), générant un signal de vente. Cette configuration indique un affaiblissement du momentum haussier à court terme, malgré la tendance positive des moyennes mobiles. Cela pourrait précéder une consolidation ou un léger repli technique.</w:t>
      </w:r>
    </w:p>
    <w:p>
      <w:pPr>
        <w:spacing w:after="120" w:line="276" w:lineRule="auto"/>
      </w:pPr>
      <w:r>
        <w:t>**RSI** : Le RSI est à 50,0, une valeur parfaitement neutre, indiquant que le titre n'est ni suracheté ni survendu. Cette position donne une flexibilité au marché pour évoluer dans les deux sens, sans pression particulière des acheteurs ou des vendeurs.</w:t>
      </w:r>
    </w:p>
    <w:p>
      <w:pPr>
        <w:spacing w:after="120" w:line="276" w:lineRule="auto"/>
      </w:pPr>
      <w:r>
        <w:t>**Stochastique** : Le %K à 100,0 et le %D à 48,148 montrent un écart important, avec un %K en zone de surachat extrême. Le croisement potentiel à la baisse du %K sous le %D pourrait signaler un retournement imminent, justifiant la décision de vente.</w:t>
      </w:r>
    </w:p>
    <w:p>
      <w:pPr>
        <w:spacing w:after="120" w:line="276" w:lineRule="auto"/>
      </w:pPr>
      <w:r>
        <w:t>**Conclusion technique** : Les indicateurs sont mitigés : les moyennes mobiles sont haussières, mais le MACD et le stochastique suggèrent un essoufflement du momentum à court terme. Le RSI neutre et les bandes de Bollinger neutres indiquent une phase de consolidation potentielle. La tendance de fond reste positive, mais un repli technique est possible avant la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avec un chiffre d'affaires de 1 923,1 milliards FCFA, en hausse de +8,3% par rapport à 2024, et un résultat net de 413,6 milliards FCFA (+5,1%). La marge nette s'établit à 21,5%, et le ROE atteint un niveau excellent de 29,6%, témoignant d'une gestion efficace des capitaux propres. Le ROA de 12,6% et une marge opérationnelle de 34,8% confirment la solidité opérationnelle. La structure financière est saine avec une autonomie financière de 42,8% et une capacité de remboursement de 0,64 année. Le BFR négatif de -284,9 milliards FCFA est un signe très favorable, indiquant que l'entreprise finance son cycle d'exploitation par ses fournisseurs (délai fournisseurs de 201 jours contre 46 jours pour les clients). Les rapports trimestriels de 2025 (T1, S1, T3) montrent une croissance constante du CA (entre +8,6% et +10,9%), et le S1 2026 confirme cette dynamique avec un CA de 1 049,8 milliards FCFA (+9,3%) et un résultat net de 230 milliards FCFA (+10,5%). Sur la base de ces tendances, on estime que l'exercice 2026 pourrait voir un CA dépassant 2 100 milliards FCFA et un résultat net autour de 450 milliards FCFA. La notation AAA (wu) de GCR Ratings et la politique de dividende (1 740 FCFA net par action) renforcent l'attractivité du titre.</w:t>
      </w:r>
    </w:p>
    <w:p>
      <w:pPr>
        <w:spacing w:after="120" w:line="276" w:lineRule="auto"/>
      </w:pPr>
      <w:r>
        <w:t>---</w:t>
      </w:r>
    </w:p>
    <w:p>
      <w:pPr>
        <w:spacing w:after="120" w:line="276" w:lineRule="auto"/>
      </w:pPr>
      <w:r>
        <w:t>### PARTIE 4 : CONCLUSION D'INVESTISSEMENT</w:t>
      </w:r>
    </w:p>
    <w:p>
      <w:pPr>
        <w:spacing w:after="120" w:line="276" w:lineRule="auto"/>
      </w:pPr>
      <w:r>
        <w:t>La valorisation de SNTS est attractive avec un PER de 7,7x et un EV/EBITDA de 3,3x, indiquant une sous-évaluation malgré une prime de croissance (P/B 2,29x). Le comportement du cours est favorable avec une tendance haussière (+11,11% sur 100 jours), une volatilité modérée (25,7%) et une distribution statistique saine (kurtosis mésokurtique). Les signaux techniques sont partagés : les moyennes mobiles sont haussières, mais le MACD et le stochastique suggèrent un essoufflement à court terme. Les fondamentaux sont excellents, avec une croissance soutenue, des marges élevées et une structure financière robuste. Les prédictions IA (31 088 FCFA à J+10) indiquent une légère consolidation, ce qui est cohérent avec les signaux techniques de court terme. La convergence entre la sous-évaluation, la solidité fondamentale et la tendance de fond positive, malgré un momentum technique à court terme hésitant, conduit à une recommandation **ACHAT** pour les investisseurs avec un horizon moyen terme (3-12 mois), visant à bénéficier de la croissance continue et des rendements de dividende. Le niveau de confiance est **Élevé** et le risque global est **Moyen**, principalement lié aux pressions réglementaires et concurrentielles dans la sous-région.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4,240 titres</w:t>
            </w:r>
          </w:p>
        </w:tc>
        <w:tc>
          <w:tcPr>
            <w:tcW w:type="dxa" w:w="2268"/>
            <w:shd w:fill="FFF2CC" w:val="clear"/>
          </w:tcPr>
          <w:p>
            <w:r>
              <w:rPr>
                <w:b/>
                <w:color w:val="503200"/>
                <w:sz w:val="16"/>
              </w:rPr>
              <w:t xml:space="preserve">Cours actuel : </w:t>
            </w:r>
            <w:r>
              <w:rPr>
                <w:color w:val="000000"/>
                <w:sz w:val="17"/>
              </w:rPr>
              <w:t>7,875 FCFA</w:t>
            </w:r>
          </w:p>
          <w:p>
            <w:r>
              <w:rPr>
                <w:b/>
                <w:color w:val="503200"/>
                <w:sz w:val="16"/>
              </w:rPr>
              <w:t xml:space="preserve">Var. 100 jours : </w:t>
            </w:r>
            <w:r>
              <w:rPr>
                <w:b/>
                <w:color w:val="B40000"/>
                <w:sz w:val="17"/>
              </w:rPr>
              <w:t>-10.61%</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5.36% (Moyenne) — μ=8,030 FCFA, σ=430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β=0.7288 (Défensif) — Cov=0.000027, Var(idx)=0.000036, ρ=0.191,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7,742</w:t>
            </w:r>
          </w:p>
        </w:tc>
        <w:tc>
          <w:tcPr>
            <w:tcW w:type="dxa" w:w="1440"/>
            <w:shd w:fill="FAFAFA" w:val="clear"/>
          </w:tcPr>
          <w:p>
            <w:r>
              <w:rPr>
                <w:b/>
                <w:sz w:val="17"/>
              </w:rPr>
              <w:t>7,999</w:t>
            </w:r>
          </w:p>
        </w:tc>
        <w:tc>
          <w:tcPr>
            <w:tcW w:type="dxa" w:w="1440"/>
            <w:shd w:fill="FAFAFA" w:val="clear"/>
          </w:tcPr>
          <w:p>
            <w:r>
              <w:rPr>
                <w:sz w:val="17"/>
              </w:rPr>
              <w:t>8,256</w:t>
            </w:r>
          </w:p>
        </w:tc>
        <w:tc>
          <w:tcPr>
            <w:tcW w:type="dxa" w:w="1440"/>
            <w:shd w:fill="FAFAFA" w:val="clear"/>
          </w:tcPr>
          <w:p>
            <w:r>
              <w:rPr>
                <w:b/>
                <w:color w:val="008000"/>
                <w:sz w:val="17"/>
              </w:rPr>
              <w:t>+1.6%</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7,643</w:t>
            </w:r>
          </w:p>
        </w:tc>
        <w:tc>
          <w:tcPr>
            <w:tcW w:type="dxa" w:w="1440"/>
            <w:shd w:fill="FAFAFA" w:val="clear"/>
          </w:tcPr>
          <w:p>
            <w:r>
              <w:rPr>
                <w:b/>
                <w:sz w:val="17"/>
              </w:rPr>
              <w:t>8,007</w:t>
            </w:r>
          </w:p>
        </w:tc>
        <w:tc>
          <w:tcPr>
            <w:tcW w:type="dxa" w:w="1440"/>
            <w:shd w:fill="FAFAFA" w:val="clear"/>
          </w:tcPr>
          <w:p>
            <w:r>
              <w:rPr>
                <w:sz w:val="17"/>
              </w:rPr>
              <w:t>8,371</w:t>
            </w:r>
          </w:p>
        </w:tc>
        <w:tc>
          <w:tcPr>
            <w:tcW w:type="dxa" w:w="1440"/>
            <w:shd w:fill="FAFAFA" w:val="clear"/>
          </w:tcPr>
          <w:p>
            <w:r>
              <w:rPr>
                <w:b/>
                <w:color w:val="008000"/>
                <w:sz w:val="17"/>
              </w:rPr>
              <w:t>+1.7%</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7,577</w:t>
            </w:r>
          </w:p>
        </w:tc>
        <w:tc>
          <w:tcPr>
            <w:tcW w:type="dxa" w:w="1440"/>
            <w:shd w:fill="FAFAFA" w:val="clear"/>
          </w:tcPr>
          <w:p>
            <w:r>
              <w:rPr>
                <w:b/>
                <w:sz w:val="17"/>
              </w:rPr>
              <w:t>8,023</w:t>
            </w:r>
          </w:p>
        </w:tc>
        <w:tc>
          <w:tcPr>
            <w:tcW w:type="dxa" w:w="1440"/>
            <w:shd w:fill="FAFAFA" w:val="clear"/>
          </w:tcPr>
          <w:p>
            <w:r>
              <w:rPr>
                <w:sz w:val="17"/>
              </w:rPr>
              <w:t>8,470</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2026-08-14</w:t>
            </w:r>
          </w:p>
        </w:tc>
        <w:tc>
          <w:tcPr>
            <w:tcW w:type="dxa" w:w="1440"/>
            <w:shd w:fill="C6EFCE" w:val="clear"/>
          </w:tcPr>
          <w:p>
            <w:r>
              <w:rPr>
                <w:sz w:val="17"/>
              </w:rPr>
              <w:t>7,520</w:t>
            </w:r>
          </w:p>
        </w:tc>
        <w:tc>
          <w:tcPr>
            <w:tcW w:type="dxa" w:w="1440"/>
            <w:shd w:fill="C6EFCE" w:val="clear"/>
          </w:tcPr>
          <w:p>
            <w:r>
              <w:rPr>
                <w:b/>
                <w:sz w:val="17"/>
              </w:rPr>
              <w:t>8,037</w:t>
            </w:r>
          </w:p>
        </w:tc>
        <w:tc>
          <w:tcPr>
            <w:tcW w:type="dxa" w:w="1440"/>
            <w:shd w:fill="C6EFCE" w:val="clear"/>
          </w:tcPr>
          <w:p>
            <w:r>
              <w:rPr>
                <w:sz w:val="17"/>
              </w:rPr>
              <w:t>8,553</w:t>
            </w:r>
          </w:p>
        </w:tc>
        <w:tc>
          <w:tcPr>
            <w:tcW w:type="dxa" w:w="1440"/>
            <w:shd w:fill="C6EFCE" w:val="clear"/>
          </w:tcPr>
          <w:p>
            <w:r>
              <w:rPr>
                <w:b/>
                <w:color w:val="008000"/>
                <w:sz w:val="17"/>
              </w:rPr>
              <w:t>+2.1%</w:t>
            </w:r>
          </w:p>
        </w:tc>
      </w:tr>
      <w:tr>
        <w:tc>
          <w:tcPr>
            <w:tcW w:type="dxa" w:w="1440"/>
            <w:shd w:fill="C6EFCE" w:val="clear"/>
          </w:tcPr>
          <w:p>
            <w:r>
              <w:rPr>
                <w:sz w:val="17"/>
              </w:rPr>
              <w:t>J+5  Moyenne</w:t>
            </w:r>
          </w:p>
        </w:tc>
        <w:tc>
          <w:tcPr>
            <w:tcW w:type="dxa" w:w="1440"/>
            <w:shd w:fill="C6EFCE" w:val="clear"/>
          </w:tcPr>
          <w:p>
            <w:r>
              <w:rPr>
                <w:sz w:val="17"/>
              </w:rPr>
              <w:t>2026-08-17</w:t>
            </w:r>
          </w:p>
        </w:tc>
        <w:tc>
          <w:tcPr>
            <w:tcW w:type="dxa" w:w="1440"/>
            <w:shd w:fill="C6EFCE" w:val="clear"/>
          </w:tcPr>
          <w:p>
            <w:r>
              <w:rPr>
                <w:sz w:val="17"/>
              </w:rPr>
              <w:t>7,471</w:t>
            </w:r>
          </w:p>
        </w:tc>
        <w:tc>
          <w:tcPr>
            <w:tcW w:type="dxa" w:w="1440"/>
            <w:shd w:fill="C6EFCE" w:val="clear"/>
          </w:tcPr>
          <w:p>
            <w:r>
              <w:rPr>
                <w:b/>
                <w:sz w:val="17"/>
              </w:rPr>
              <w:t>8,050</w:t>
            </w:r>
          </w:p>
        </w:tc>
        <w:tc>
          <w:tcPr>
            <w:tcW w:type="dxa" w:w="1440"/>
            <w:shd w:fill="C6EFCE" w:val="clear"/>
          </w:tcPr>
          <w:p>
            <w:r>
              <w:rPr>
                <w:sz w:val="17"/>
              </w:rPr>
              <w:t>8,628</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2026-08-18</w:t>
            </w:r>
          </w:p>
        </w:tc>
        <w:tc>
          <w:tcPr>
            <w:tcW w:type="dxa" w:w="1440"/>
            <w:shd w:fill="C6EFCE" w:val="clear"/>
          </w:tcPr>
          <w:p>
            <w:r>
              <w:rPr>
                <w:sz w:val="17"/>
              </w:rPr>
              <w:t>7,428</w:t>
            </w:r>
          </w:p>
        </w:tc>
        <w:tc>
          <w:tcPr>
            <w:tcW w:type="dxa" w:w="1440"/>
            <w:shd w:fill="C6EFCE" w:val="clear"/>
          </w:tcPr>
          <w:p>
            <w:r>
              <w:rPr>
                <w:b/>
                <w:sz w:val="17"/>
              </w:rPr>
              <w:t>8,062</w:t>
            </w:r>
          </w:p>
        </w:tc>
        <w:tc>
          <w:tcPr>
            <w:tcW w:type="dxa" w:w="1440"/>
            <w:shd w:fill="C6EFCE" w:val="clear"/>
          </w:tcPr>
          <w:p>
            <w:r>
              <w:rPr>
                <w:sz w:val="17"/>
              </w:rPr>
              <w:t>8,697</w:t>
            </w:r>
          </w:p>
        </w:tc>
        <w:tc>
          <w:tcPr>
            <w:tcW w:type="dxa" w:w="1440"/>
            <w:shd w:fill="C6EFCE" w:val="clear"/>
          </w:tcPr>
          <w:p>
            <w:r>
              <w:rPr>
                <w:b/>
                <w:color w:val="008000"/>
                <w:sz w:val="17"/>
              </w:rPr>
              <w:t>+2.4%</w:t>
            </w:r>
          </w:p>
        </w:tc>
      </w:tr>
      <w:tr>
        <w:tc>
          <w:tcPr>
            <w:tcW w:type="dxa" w:w="1440"/>
            <w:shd w:fill="C6EFCE" w:val="clear"/>
          </w:tcPr>
          <w:p>
            <w:r>
              <w:rPr>
                <w:sz w:val="17"/>
              </w:rPr>
              <w:t>J+7  Moyenne</w:t>
            </w:r>
          </w:p>
        </w:tc>
        <w:tc>
          <w:tcPr>
            <w:tcW w:type="dxa" w:w="1440"/>
            <w:shd w:fill="C6EFCE" w:val="clear"/>
          </w:tcPr>
          <w:p>
            <w:r>
              <w:rPr>
                <w:sz w:val="17"/>
              </w:rPr>
              <w:t>2026-08-19</w:t>
            </w:r>
          </w:p>
        </w:tc>
        <w:tc>
          <w:tcPr>
            <w:tcW w:type="dxa" w:w="1440"/>
            <w:shd w:fill="C6EFCE" w:val="clear"/>
          </w:tcPr>
          <w:p>
            <w:r>
              <w:rPr>
                <w:sz w:val="17"/>
              </w:rPr>
              <w:t>7,388</w:t>
            </w:r>
          </w:p>
        </w:tc>
        <w:tc>
          <w:tcPr>
            <w:tcW w:type="dxa" w:w="1440"/>
            <w:shd w:fill="C6EFCE" w:val="clear"/>
          </w:tcPr>
          <w:p>
            <w:r>
              <w:rPr>
                <w:b/>
                <w:sz w:val="17"/>
              </w:rPr>
              <w:t>8,075</w:t>
            </w:r>
          </w:p>
        </w:tc>
        <w:tc>
          <w:tcPr>
            <w:tcW w:type="dxa" w:w="1440"/>
            <w:shd w:fill="C6EFCE" w:val="clear"/>
          </w:tcPr>
          <w:p>
            <w:r>
              <w:rPr>
                <w:sz w:val="17"/>
              </w:rPr>
              <w:t>8,761</w:t>
            </w:r>
          </w:p>
        </w:tc>
        <w:tc>
          <w:tcPr>
            <w:tcW w:type="dxa" w:w="1440"/>
            <w:shd w:fill="C6EFCE" w:val="clear"/>
          </w:tcPr>
          <w:p>
            <w:r>
              <w:rPr>
                <w:b/>
                <w:color w:val="008000"/>
                <w:sz w:val="17"/>
              </w:rPr>
              <w:t>+2.5%</w:t>
            </w:r>
          </w:p>
        </w:tc>
      </w:tr>
      <w:tr>
        <w:tc>
          <w:tcPr>
            <w:tcW w:type="dxa" w:w="1440"/>
            <w:shd w:fill="C6EFCE" w:val="clear"/>
          </w:tcPr>
          <w:p>
            <w:r>
              <w:rPr>
                <w:sz w:val="17"/>
              </w:rPr>
              <w:t>J+8  Moyenne</w:t>
            </w:r>
          </w:p>
        </w:tc>
        <w:tc>
          <w:tcPr>
            <w:tcW w:type="dxa" w:w="1440"/>
            <w:shd w:fill="C6EFCE" w:val="clear"/>
          </w:tcPr>
          <w:p>
            <w:r>
              <w:rPr>
                <w:sz w:val="17"/>
              </w:rPr>
              <w:t>2026-08-20</w:t>
            </w:r>
          </w:p>
        </w:tc>
        <w:tc>
          <w:tcPr>
            <w:tcW w:type="dxa" w:w="1440"/>
            <w:shd w:fill="C6EFCE" w:val="clear"/>
          </w:tcPr>
          <w:p>
            <w:r>
              <w:rPr>
                <w:sz w:val="17"/>
              </w:rPr>
              <w:t>7,352</w:t>
            </w:r>
          </w:p>
        </w:tc>
        <w:tc>
          <w:tcPr>
            <w:tcW w:type="dxa" w:w="1440"/>
            <w:shd w:fill="C6EFCE" w:val="clear"/>
          </w:tcPr>
          <w:p>
            <w:r>
              <w:rPr>
                <w:b/>
                <w:sz w:val="17"/>
              </w:rPr>
              <w:t>8,087</w:t>
            </w:r>
          </w:p>
        </w:tc>
        <w:tc>
          <w:tcPr>
            <w:tcW w:type="dxa" w:w="1440"/>
            <w:shd w:fill="C6EFCE" w:val="clear"/>
          </w:tcPr>
          <w:p>
            <w:r>
              <w:rPr>
                <w:sz w:val="17"/>
              </w:rPr>
              <w:t>8,822</w:t>
            </w:r>
          </w:p>
        </w:tc>
        <w:tc>
          <w:tcPr>
            <w:tcW w:type="dxa" w:w="1440"/>
            <w:shd w:fill="C6EFCE" w:val="clear"/>
          </w:tcPr>
          <w:p>
            <w:r>
              <w:rPr>
                <w:b/>
                <w:color w:val="008000"/>
                <w:sz w:val="17"/>
              </w:rPr>
              <w:t>+2.7%</w:t>
            </w:r>
          </w:p>
        </w:tc>
      </w:tr>
      <w:tr>
        <w:tc>
          <w:tcPr>
            <w:tcW w:type="dxa" w:w="1440"/>
            <w:shd w:fill="C6EFCE" w:val="clear"/>
          </w:tcPr>
          <w:p>
            <w:r>
              <w:rPr>
                <w:sz w:val="17"/>
              </w:rPr>
              <w:t>J+9  Moyenne</w:t>
            </w:r>
          </w:p>
        </w:tc>
        <w:tc>
          <w:tcPr>
            <w:tcW w:type="dxa" w:w="1440"/>
            <w:shd w:fill="C6EFCE" w:val="clear"/>
          </w:tcPr>
          <w:p>
            <w:r>
              <w:rPr>
                <w:sz w:val="17"/>
              </w:rPr>
              <w:t>2026-08-21</w:t>
            </w:r>
          </w:p>
        </w:tc>
        <w:tc>
          <w:tcPr>
            <w:tcW w:type="dxa" w:w="1440"/>
            <w:shd w:fill="C6EFCE" w:val="clear"/>
          </w:tcPr>
          <w:p>
            <w:r>
              <w:rPr>
                <w:sz w:val="17"/>
              </w:rPr>
              <w:t>7,319</w:t>
            </w:r>
          </w:p>
        </w:tc>
        <w:tc>
          <w:tcPr>
            <w:tcW w:type="dxa" w:w="1440"/>
            <w:shd w:fill="C6EFCE" w:val="clear"/>
          </w:tcPr>
          <w:p>
            <w:r>
              <w:rPr>
                <w:b/>
                <w:sz w:val="17"/>
              </w:rPr>
              <w:t>8,100</w:t>
            </w:r>
          </w:p>
        </w:tc>
        <w:tc>
          <w:tcPr>
            <w:tcW w:type="dxa" w:w="1440"/>
            <w:shd w:fill="C6EFCE" w:val="clear"/>
          </w:tcPr>
          <w:p>
            <w:r>
              <w:rPr>
                <w:sz w:val="17"/>
              </w:rPr>
              <w:t>8,881</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2026-08-24</w:t>
            </w:r>
          </w:p>
        </w:tc>
        <w:tc>
          <w:tcPr>
            <w:tcW w:type="dxa" w:w="1440"/>
            <w:shd w:fill="C6EFCE" w:val="clear"/>
          </w:tcPr>
          <w:p>
            <w:r>
              <w:rPr>
                <w:sz w:val="17"/>
              </w:rPr>
              <w:t>7,288</w:t>
            </w:r>
          </w:p>
        </w:tc>
        <w:tc>
          <w:tcPr>
            <w:tcW w:type="dxa" w:w="1440"/>
            <w:shd w:fill="C6EFCE" w:val="clear"/>
          </w:tcPr>
          <w:p>
            <w:r>
              <w:rPr>
                <w:b/>
                <w:sz w:val="17"/>
              </w:rPr>
              <w:t>8,112</w:t>
            </w:r>
          </w:p>
        </w:tc>
        <w:tc>
          <w:tcPr>
            <w:tcW w:type="dxa" w:w="1440"/>
            <w:shd w:fill="C6EFCE" w:val="clear"/>
          </w:tcPr>
          <w:p>
            <w:r>
              <w:rPr>
                <w:sz w:val="17"/>
              </w:rPr>
              <w:t>8,936</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SOGC s'établit à 170,11 milliards FCFA, ce qui en fait une valeur de première importance sur la BRVM, reflétant sa position de leader dans le secteur agro-industriel. Avec un BPA de 578 FCFA, chaque action génère un bénéfice substantiel, justifiant un PER de 13,6x. Ce niveau est légèrement supérieur à la moyenne historique de la BRVM (8-12x), indiquant que le marché accorde une prime de croissance à la société, mais reste dans une zone de valorisation raisonnable pour un acteur de cette qualité. Le P/B de 2,49x confirme cette lecture, le marché valorisant la société au-dessus de sa valeur comptable, ce qui est cohérent avec un ROE élevé. Enfin, un EV/EBITDA de 7,1x, situé dans la fourchette basse de la normale (5-10x), suggère que la valeur d'entreprise reste attractive par rapport à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SOGC a enregistré une baisse de 10,61%, avec une dernière séance en recul de 2,78% à 7 875 FCFA. Le titre a évolué dans une fourchette de 7 100 à 9 000 FCFA, montrant une amplitude de trading significative. La tendance générale est baissière, le cours s'étant éloigné de ses plus hauts. Les statistiques descriptives révèlent une moyenne de 8 030 FCFA et une médiane de 8 010 FCFA, très proches, indiquant une distribution symétrique des prix, confirmée par un skewness de -0,047. L'écart-type de 433 FCFA (CV=5,4%) montre une dispersion modérée autour de la moyenne. Le kurtosis de -0,642 (mésokurtique) indique l'absence de pics extrêmes ou de queues épaisses, signe d'un comportement de prix relativement normal. La volatilité annualisée de 36,3% classe le titre comme très volatil (&gt;30%), un niveau élevé qui reflète les incertitudes du secteur des matières premières.</w:t>
      </w:r>
    </w:p>
    <w:p>
      <w:pPr>
        <w:spacing w:after="120" w:line="276" w:lineRule="auto" w:before="240"/>
      </w:pPr>
      <w:r>
        <w:rPr>
          <w:b/>
          <w:color w:val="003366"/>
          <w:sz w:val="24"/>
        </w:rPr>
        <w:t>**PARTIE 2 : ANALYSE TECHNIQUE DÉTAILLÉE**</w:t>
      </w:r>
    </w:p>
    <w:p>
      <w:pPr>
        <w:spacing w:after="120" w:line="276" w:lineRule="auto"/>
      </w:pPr>
      <w:r>
        <w:t>Les **Moyennes Mobiles** sont en configuration baissière : le cours actuel (7 875 FCFA) est inférieur à la MM20 (8 151,75 FCFA) et à la MM50 (8 270,1 FCFA). Cette structure de prix sous les moyennes clés confirme la tendance négative de moyen terme et justifie la décision de vente, car les moyennes agissent comme des résistances dynamiques.</w:t>
      </w:r>
    </w:p>
    <w:p>
      <w:pPr>
        <w:spacing w:after="120" w:line="276" w:lineRule="auto"/>
      </w:pPr>
      <w:r>
        <w:t>Les **Bandes de Bollinger** montrent un prix proche de la borne inférieure (7 857,41 FCFA), avec une borne supérieure à 8 446,09 FCFA. Le cours testant la borne basse indique une pression vendeuse persistante, mais la position exacte sur la borne inférieure peut aussi signaler une condition de survente à court terme, d'où la décision neutre. La largeur des bandes reflète la volatilité élevée du titre.</w:t>
      </w:r>
    </w:p>
    <w:p>
      <w:pPr>
        <w:spacing w:after="120" w:line="276" w:lineRule="auto"/>
      </w:pPr>
      <w:r>
        <w:t>Le **MACD** affiche une valeur négative de -46,95, inférieure à son signal (-13,62), confirmant un momentum baissier en cours. La divergence négative entre la ligne MACD et le signal indique que la dynamique des prix reste sous pression, justifiant la décision de vente. Un retour au-dessus du signal serait nécessaire pour envisager un renversement.</w:t>
      </w:r>
    </w:p>
    <w:p>
      <w:pPr>
        <w:spacing w:after="120" w:line="276" w:lineRule="auto"/>
      </w:pPr>
      <w:r>
        <w:t>Le **RSI** est à 47,27, une zone neutre (entre 30 et 70). Il n'y a donc ni surachat ni survente, ce qui laisse une marge de manœuvre dans les deux sens. Cette neutralité suggère que le marché n'a pas encore tranché sur la prochaine direction, d'où la décision neutre.</w:t>
      </w:r>
    </w:p>
    <w:p>
      <w:pPr>
        <w:spacing w:after="120" w:line="276" w:lineRule="auto"/>
      </w:pPr>
      <w:r>
        <w:t>Le **Stochastique** est en zone de survente extrême avec un %K à 0,0 et un %D à 26,67. Cette configuration indique que le titre est fortement survendu à court terme, ce qui pourrait précéder un rebond technique. Le croisement potentiel du %K au-dessus du %D serait un signal d'achat précoce, justifiant la décision d'achat.</w:t>
      </w:r>
    </w:p>
    <w:p>
      <w:pPr>
        <w:spacing w:after="120" w:line="276" w:lineRule="auto"/>
      </w:pPr>
      <w:r>
        <w:t>En conclusion technique, les indicateurs sont partagés : la tendance de fond (MM, MACD) reste baissière, mais les oscillateurs de court terme (Stochastique, position sur les bandes de Bollinger) suggèrent un potentiel de rebond technique. Le scénario le plus probable est une stabilisation ou un rebond technique à court terme, avant de voir si la tendance baissière reprend ou s'inverse.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SOGC font état d'un chiffre d'affaires de 98,98 milliards FCFA, en hausse de 10,7% par rapport à 2024, et d'un résultat net de 12,49 milliards FCFA, en léger repli de 5% par rapport au résultat exceptionnel de 2024 (13,11 milliards FCFA). La rentabilité reste excellente avec un ROE de 18,26% et un ROA de 13,84%, témoignant d'une gestion efficace des actifs et des fonds propres. La marge nette s'établit à 12,62%, et l'EBE à 23,54 milliards FCFA. La structure financière est très saine avec une autonomie financière de 75,79% et un ratio d'endettement de 24,21%. Le BFR de 7,12 milliards FCFA est positif, mais la trésorerie nette de 4,58 milliards FCFA reste confortable. Les délais clients (29,6 jours) et fournisseurs (31,7 jours) sont bien équilibrés, tandis que la durée de stockage (97,7 jours) est élevée, typique du secteur agricole. Les rapports trimestriels 2025 montrent une année en deux temps : un T1 exceptionnel (CA +63%, RN +263%) et un S1 très dynamique (CA +51,9%, RN +151,6%), suivis d'un ralentissement au 9M (CA +21,3%, RN +39,5%) en raison de la baisse des cours du caoutchouc et d'une concurrence accrue. Sur la base de ces tendances, on estime que l'exercice 2026 devrait voir une normalisation de la croissance, avec un CA potentiellement stable et une pression sur les marges, mais la solidité financière et la politique de dividende généreuse (570 FCFA/action proposé) soutiennent la valeur.</w:t>
      </w:r>
    </w:p>
    <w:p>
      <w:pPr>
        <w:spacing w:after="120" w:line="276" w:lineRule="auto" w:before="240"/>
      </w:pPr>
      <w:r>
        <w:rPr>
          <w:b/>
          <w:color w:val="003366"/>
          <w:sz w:val="24"/>
        </w:rPr>
        <w:t>**PARTIE 4 : CONCLUSION D'INVESTISSEMENT**</w:t>
      </w:r>
    </w:p>
    <w:p>
      <w:pPr>
        <w:spacing w:after="120" w:line="276" w:lineRule="auto"/>
      </w:pPr>
      <w:r>
        <w:t>La valorisation de SOGC (PER 13,6x, P/B 2,49x, EV/EBITDA 7,1x) est raisonnable, sans être bon marché, reflétant une qualité certaine mais une croissance qui ralentit. Le comportement du cours est préoccupant avec une tendance baissière de 10,6% sur 100 jours et une volatilité élevée (36,3%), bien que les statistiques montrent une distribution normale des prix. Les signaux techniques sont mitigés : la tendance de fond reste baissière, mais les indicateurs de court terme suggèrent un possible rebond technique. Les fondamentaux sont solides, avec une excellente rentabilité (ROE 18,26%) et une structure financière saine, mais les perspectives 2026 sont prudentes. Les prédictions IA pour les 10 prochains jours (7 999 à 8 050 FCFA) anticipent un léger rebond, contredisant la tendance baissière récente mais confirmant les signaux de survente technique. En synthèse, la convergence entre une valorisation correcte, des fondamentaux robustes et un potentiel de rebond technique, malgré une tendance baissière, conduit à une recommandation **CONSERVER**. Le niveau de confiance est **Moyen**, le risque global est **Moyen**, et l'horizon d'investissement optimal est le **moyen terme (3-12 mois)**, en attendant une stabilisation des cours des matières premières et une clarification de la tendance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4,553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B40000"/>
                <w:sz w:val="17"/>
              </w:rPr>
              <w:t>-5.95%</w:t>
            </w:r>
          </w:p>
          <w:p>
            <w:r>
              <w:rPr>
                <w:b/>
                <w:color w:val="503200"/>
                <w:sz w:val="16"/>
              </w:rPr>
              <w:t xml:space="preserve">Plus haut 100j : </w:t>
            </w:r>
            <w:r>
              <w:rPr>
                <w:color w:val="000000"/>
                <w:sz w:val="17"/>
              </w:rPr>
              <w:t>8,435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4.99% (Faible) — μ=7,411 FCFA, σ=370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β=1.5555 (Agressif) — Cov=0.000057, Var(idx)=0.000036, ρ=0.359,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4,553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591812"/>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7,412</w:t>
            </w:r>
          </w:p>
        </w:tc>
        <w:tc>
          <w:tcPr>
            <w:tcW w:type="dxa" w:w="1440"/>
            <w:shd w:fill="FFDCE0" w:val="clear"/>
          </w:tcPr>
          <w:p>
            <w:r>
              <w:rPr>
                <w:b/>
                <w:sz w:val="17"/>
              </w:rPr>
              <w:t>7,695</w:t>
            </w:r>
          </w:p>
        </w:tc>
        <w:tc>
          <w:tcPr>
            <w:tcW w:type="dxa" w:w="1440"/>
            <w:shd w:fill="FFDCE0" w:val="clear"/>
          </w:tcPr>
          <w:p>
            <w:r>
              <w:rPr>
                <w:sz w:val="17"/>
              </w:rPr>
              <w:t>7,978</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7,295</w:t>
            </w:r>
          </w:p>
        </w:tc>
        <w:tc>
          <w:tcPr>
            <w:tcW w:type="dxa" w:w="1440"/>
            <w:shd w:fill="FFDCE0" w:val="clear"/>
          </w:tcPr>
          <w:p>
            <w:r>
              <w:rPr>
                <w:b/>
                <w:sz w:val="17"/>
              </w:rPr>
              <w:t>7,695</w:t>
            </w:r>
          </w:p>
        </w:tc>
        <w:tc>
          <w:tcPr>
            <w:tcW w:type="dxa" w:w="1440"/>
            <w:shd w:fill="FFDCE0" w:val="clear"/>
          </w:tcPr>
          <w:p>
            <w:r>
              <w:rPr>
                <w:sz w:val="17"/>
              </w:rPr>
              <w:t>8,095</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7,189</w:t>
            </w:r>
          </w:p>
        </w:tc>
        <w:tc>
          <w:tcPr>
            <w:tcW w:type="dxa" w:w="1440"/>
            <w:shd w:fill="FFDCE0" w:val="clear"/>
          </w:tcPr>
          <w:p>
            <w:r>
              <w:rPr>
                <w:b/>
                <w:sz w:val="17"/>
              </w:rPr>
              <w:t>7,678</w:t>
            </w:r>
          </w:p>
        </w:tc>
        <w:tc>
          <w:tcPr>
            <w:tcW w:type="dxa" w:w="1440"/>
            <w:shd w:fill="FFDCE0" w:val="clear"/>
          </w:tcPr>
          <w:p>
            <w:r>
              <w:rPr>
                <w:sz w:val="17"/>
              </w:rPr>
              <w:t>8,167</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7,099</w:t>
            </w:r>
          </w:p>
        </w:tc>
        <w:tc>
          <w:tcPr>
            <w:tcW w:type="dxa" w:w="1440"/>
            <w:shd w:fill="FFDCE0" w:val="clear"/>
          </w:tcPr>
          <w:p>
            <w:r>
              <w:rPr>
                <w:b/>
                <w:sz w:val="17"/>
              </w:rPr>
              <w:t>7,663</w:t>
            </w:r>
          </w:p>
        </w:tc>
        <w:tc>
          <w:tcPr>
            <w:tcW w:type="dxa" w:w="1440"/>
            <w:shd w:fill="FFDCE0" w:val="clear"/>
          </w:tcPr>
          <w:p>
            <w:r>
              <w:rPr>
                <w:sz w:val="17"/>
              </w:rPr>
              <w:t>8,227</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7,020</w:t>
            </w:r>
          </w:p>
        </w:tc>
        <w:tc>
          <w:tcPr>
            <w:tcW w:type="dxa" w:w="1440"/>
            <w:shd w:fill="FFDCE0" w:val="clear"/>
          </w:tcPr>
          <w:p>
            <w:r>
              <w:rPr>
                <w:b/>
                <w:sz w:val="17"/>
              </w:rPr>
              <w:t>7,649</w:t>
            </w:r>
          </w:p>
        </w:tc>
        <w:tc>
          <w:tcPr>
            <w:tcW w:type="dxa" w:w="1440"/>
            <w:shd w:fill="FFDCE0" w:val="clear"/>
          </w:tcPr>
          <w:p>
            <w:r>
              <w:rPr>
                <w:sz w:val="17"/>
              </w:rPr>
              <w:t>8,278</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6,948</w:t>
            </w:r>
          </w:p>
        </w:tc>
        <w:tc>
          <w:tcPr>
            <w:tcW w:type="dxa" w:w="1440"/>
            <w:shd w:fill="FFDCE0" w:val="clear"/>
          </w:tcPr>
          <w:p>
            <w:r>
              <w:rPr>
                <w:b/>
                <w:sz w:val="17"/>
              </w:rPr>
              <w:t>7,635</w:t>
            </w:r>
          </w:p>
        </w:tc>
        <w:tc>
          <w:tcPr>
            <w:tcW w:type="dxa" w:w="1440"/>
            <w:shd w:fill="FFDCE0" w:val="clear"/>
          </w:tcPr>
          <w:p>
            <w:r>
              <w:rPr>
                <w:sz w:val="17"/>
              </w:rPr>
              <w:t>8,323</w:t>
            </w:r>
          </w:p>
        </w:tc>
        <w:tc>
          <w:tcPr>
            <w:tcW w:type="dxa" w:w="1440"/>
            <w:shd w:fill="FFDCE0" w:val="clear"/>
          </w:tcPr>
          <w:p>
            <w:r>
              <w:rPr>
                <w:b/>
                <w:color w:val="C00000"/>
                <w:sz w:val="17"/>
              </w:rPr>
              <w:t>-3.4%</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6,880</w:t>
            </w:r>
          </w:p>
        </w:tc>
        <w:tc>
          <w:tcPr>
            <w:tcW w:type="dxa" w:w="1440"/>
            <w:shd w:fill="FFDCE0" w:val="clear"/>
          </w:tcPr>
          <w:p>
            <w:r>
              <w:rPr>
                <w:b/>
                <w:sz w:val="17"/>
              </w:rPr>
              <w:t>7,621</w:t>
            </w:r>
          </w:p>
        </w:tc>
        <w:tc>
          <w:tcPr>
            <w:tcW w:type="dxa" w:w="1440"/>
            <w:shd w:fill="FFDCE0" w:val="clear"/>
          </w:tcPr>
          <w:p>
            <w:r>
              <w:rPr>
                <w:sz w:val="17"/>
              </w:rPr>
              <w:t>8,363</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6,816</w:t>
            </w:r>
          </w:p>
        </w:tc>
        <w:tc>
          <w:tcPr>
            <w:tcW w:type="dxa" w:w="1440"/>
            <w:shd w:fill="FFDCE0" w:val="clear"/>
          </w:tcPr>
          <w:p>
            <w:r>
              <w:rPr>
                <w:b/>
                <w:sz w:val="17"/>
              </w:rPr>
              <w:t>7,607</w:t>
            </w:r>
          </w:p>
        </w:tc>
        <w:tc>
          <w:tcPr>
            <w:tcW w:type="dxa" w:w="1440"/>
            <w:shd w:fill="FFDCE0" w:val="clear"/>
          </w:tcPr>
          <w:p>
            <w:r>
              <w:rPr>
                <w:sz w:val="17"/>
              </w:rPr>
              <w:t>8,399</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6,756</w:t>
            </w:r>
          </w:p>
        </w:tc>
        <w:tc>
          <w:tcPr>
            <w:tcW w:type="dxa" w:w="1440"/>
            <w:shd w:fill="FFDCE0" w:val="clear"/>
          </w:tcPr>
          <w:p>
            <w:r>
              <w:rPr>
                <w:b/>
                <w:sz w:val="17"/>
              </w:rPr>
              <w:t>7,594</w:t>
            </w:r>
          </w:p>
        </w:tc>
        <w:tc>
          <w:tcPr>
            <w:tcW w:type="dxa" w:w="1440"/>
            <w:shd w:fill="FFDCE0" w:val="clear"/>
          </w:tcPr>
          <w:p>
            <w:r>
              <w:rPr>
                <w:sz w:val="17"/>
              </w:rPr>
              <w:t>8,431</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6,698</w:t>
            </w:r>
          </w:p>
        </w:tc>
        <w:tc>
          <w:tcPr>
            <w:tcW w:type="dxa" w:w="1440"/>
            <w:shd w:fill="FFDCE0" w:val="clear"/>
          </w:tcPr>
          <w:p>
            <w:r>
              <w:rPr>
                <w:b/>
                <w:sz w:val="17"/>
              </w:rPr>
              <w:t>7,580</w:t>
            </w:r>
          </w:p>
        </w:tc>
        <w:tc>
          <w:tcPr>
            <w:tcW w:type="dxa" w:w="1440"/>
            <w:shd w:fill="FFDCE0" w:val="clear"/>
          </w:tcPr>
          <w:p>
            <w:r>
              <w:rPr>
                <w:sz w:val="17"/>
              </w:rPr>
              <w:t>8,461</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10 août 2026**</w:t>
        <w:br/>
        <w:t>**Cours de référence : 7,900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201,91 milliards FCFA, ce qui positionne le titre parmi les valeurs moyennes à grandes capitalisations de la BRVM, lui conférant une liquidité et une visibilité notables. Avec un BPA de 977 FCFA, le titre se négocie à un PER de 8,1x, inférieur à la moyenne historique du marché (8-12x), suggérant une sous-évaluation relative de la valeur. Le P/B de 1,46x indique que le marché valorise la société à environ 1,5 fois ses capitaux propres, un niveau raisonnable qui traduit une confiance mesurée dans la création de valeur future. Enfin, un EV/EBITDA de 5,1x est attractif, car il signifie que la valeur totale de l'entreprise (dette incluse) ne représente que 5,1 fois son potentiel opérationnel brut, ce qui est faible et offre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baisse de 5,95%, mais a rebondi de +3,95% lors de la dernière séance, signe d'un regain d'intérêt. Le titre a évolué dans une fourchette large de 6,720 à 8,435 FCFA, démontrant une volatilité intra-période significative. La moyenne (7,411 FCFA) et la médiane (7,400 FCFA) sont très proches, indiquant une distribution symétrique des prix autour de ces niveaux, mais le skewness positif (0.617) révèle que les jours de clôture sous la moyenne ont été plus fréquents, tirant le cours vers le bas. L'écart-type de 372 FCFA (CV=5%) montre une dispersion modérée, tandis que le kurtosis de 0.644 suggère une distribution mésokurtique, sans risque de variations extrêmes. La volatilité annualisée de 40,9% classe SPHC comme un actif à forte volatilité, nécessitant une gestion du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(MM20=7505.25, MM50=7576.2) :** Le cours actuel (7,900 FCFA) est nettement supérieur aux MM20 et MM50, ce qui indique une dynamique haussière à court terme. Cependant, la décision de "Vente" suggère que cette cassure pourrait être récente et non confirmée, ou que la tendance de fond reste incertaine. Le croisement des MM n'est pas encore haussier, d'où la prudence.</w:t>
      </w:r>
    </w:p>
    <w:p>
      <w:pPr>
        <w:spacing w:after="120" w:line="276" w:lineRule="auto"/>
      </w:pPr>
      <w:r>
        <w:t>**Bandes de Bollinger (Borne sup=7759.65, Borne inf=7250.85) :** Le cours à 7,900 FCFA a franchi la borne supérieure, signalant une condition de surachat extrême à court terme. Historiquement, un tel dépassement précède souvent un repli ou une consolidation. La décision de "Vente" est cohérente avec cette lecture, le marché étant en territoire de surachat.</w:t>
      </w:r>
    </w:p>
    <w:p>
      <w:pPr>
        <w:spacing w:after="120" w:line="276" w:lineRule="auto"/>
      </w:pPr>
      <w:r>
        <w:t>**MACD (Valeur=33.65, Signal=0.93) :** Le MACD est positif et nettement au-dessus de sa ligne de signal, ce qui est un signal d'achat fort. Le momentum est clairement haussier, indiquant que la pression acheteuse est dominante. Cette dynamique positive contraste avec les autres indicateurs et suggère que la tendance de fond pourrait s'inverser à la hausse.</w:t>
      </w:r>
    </w:p>
    <w:p>
      <w:pPr>
        <w:spacing w:after="120" w:line="276" w:lineRule="auto"/>
      </w:pPr>
      <w:r>
        <w:t>**RSI (Valeur=75.42) :** Le RSI est en zone de surachat (&gt;70), confirmant la vigueur du récent mouvement haussier. Cela indique que le titre a fortement monté et qu'une correction technique est probable à court terme. La décision de "Vente" est justifiée par ce niveau extrême, qui limite le potentiel de hausse immédiat.</w:t>
      </w:r>
    </w:p>
    <w:p>
      <w:pPr>
        <w:spacing w:after="120" w:line="276" w:lineRule="auto"/>
      </w:pPr>
      <w:r>
        <w:t>**Stochastique (%K=100, %D=100) :** Les deux lignes sont à 100, en zone de surachat extrême. Cela reflète une force absolue du mouvement haussier, mais également un risque élevé de retournement brutal. La décision de "Vente" est la plus prudente, car un tel niveau est rarement soutenable.</w:t>
      </w:r>
    </w:p>
    <w:p>
      <w:pPr>
        <w:spacing w:after="120" w:line="276" w:lineRule="auto"/>
      </w:pPr>
      <w:r>
        <w:t>**Conclusion technique :** Les indicateurs sont fortement divergents. Le MACD est haussier, mais le RSI, le Stochastique et les Bandes de Bollinger signalent tous un surachat extrême. Le franchissement des MM est positif, mais la décision de vente prédomine. La prudence est de mise : le titre est en pleine phase d'expansion, mais une correction technique semble imminente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SPHC a réalisé un chiffre d'affaires de 340,83 milliards FCFA, en hausse de 22% par rapport à 2024. Le résultat net a bondi de 32,9% pour atteindre 24,97 milliards FCFA. La rentabilité est excellente avec un ROE de 18,1% et un ROA de 11,1%, témoignant d'une gestion efficace des fonds propres et des actifs. La marge opérationnelle s'établit à 11,2%, et la marge nette à 7,3%. La structure financière est saine avec une autonomie financière de 61,1% et un ratio d'endettement de 25,8%. Le BFR de 65,4 milliards FCFA est positif, mais la trésorerie nette est négative à -15,4 milliards, un point de vigilance. Les délais clients (35 jours) et de stockage (72 jours) sont maîtrisés.</w:t>
      </w:r>
    </w:p>
    <w:p>
      <w:pPr>
        <w:spacing w:after="120" w:line="276" w:lineRule="auto"/>
      </w:pPr>
      <w:r>
        <w:t>**Estimations basées sur les rapports trimestriels :** Le rapport du T3 2025 (30/09/2025) confirme la dynamique avec un CA cumulé de 253,7 milliards FCFA (+36%) et un résultat net de 23,15 milliards FCFA (+131%). Cependant, le rapport du T1 2026 (publié en 2026) montre un net ralentissement : CA de 71,8 milliards FCFA (-24%) et résultat net de 2,6 milliards FCFA (-78%), pénalisé par la chute des cours mondiaux du caoutchouc. On estime que l'exercice 2026 sera difficile, avec une possible contraction des marges. Les fondamentaux de long terme restent solides grâce à la position de leader de SAPH et à son avance sur la réglementation EUDR, mais la performance 2026 sera fortement dépendante de la reprise des cours.</w:t>
      </w:r>
    </w:p>
    <w:p>
      <w:pPr>
        <w:spacing w:after="120" w:line="276" w:lineRule="auto"/>
      </w:pPr>
      <w:r>
        <w:t>---</w:t>
      </w:r>
    </w:p>
    <w:p>
      <w:pPr>
        <w:spacing w:after="120" w:line="276" w:lineRule="auto"/>
      </w:pPr>
      <w:r>
        <w:t>### PARTIE 4 : CONCLUSION D'INVESTISSEMENT</w:t>
      </w:r>
    </w:p>
    <w:p>
      <w:pPr>
        <w:spacing w:after="120" w:line="276" w:lineRule="auto"/>
      </w:pPr>
      <w:r>
        <w:t>La valorisation de SPHC est attractive (PER 8,1x, EV/EBITDA 5,1x), indiquant une sous-évaluation relative. Le comportement du cours sur 100 jours est baissier (-5,95%) mais avec un fort rebond récent (+3,95%), et une volatilité élevée (40,9%) qui reflète l'incertitude. Les signaux techniques sont mitigés : le MACD est haussier, mais le RSI, le Stochastique et les Bandes de Bollinger sont en surachat extrême, suggérant une correction à court terme. Les fondamentaux sont solides pour 2025 (ROE 18,1%, CA +22%), mais les estimations pour 2026 basées sur le T1 (-78% de résultat net) sont préoccupantes. Les prédictions IA (7,695 à 7,649 FCFA) confirment cette anticipation de correction, avec une baisse attendue vers les 7,650 FCFA. En synthèse, la convergence entre le surachat technique et les prédictions IA suggère une pause dans le mouvement haussier. **Recommandation : CONSERVER.** Le potentiel de hausse à long terme existe, mais la prudence est de mise à court terme. **Niveau de confiance : Moyen. Risque global : Élevé.** Horizon d'investissement : Moyen terme (3-12 mois) pour laisser le temps aux fondamentaux de se rétablir et aux indicateurs techniques de se neutraliser.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6,538 titres</w:t>
            </w:r>
          </w:p>
        </w:tc>
        <w:tc>
          <w:tcPr>
            <w:tcW w:type="dxa" w:w="2268"/>
            <w:shd w:fill="FFF2CC" w:val="clear"/>
          </w:tcPr>
          <w:p>
            <w:r>
              <w:rPr>
                <w:b/>
                <w:color w:val="503200"/>
                <w:sz w:val="16"/>
              </w:rPr>
              <w:t xml:space="preserve">Cours actuel : </w:t>
            </w:r>
            <w:r>
              <w:rPr>
                <w:color w:val="000000"/>
                <w:sz w:val="17"/>
              </w:rPr>
              <w:t>2,630 FCFA</w:t>
            </w:r>
          </w:p>
          <w:p>
            <w:r>
              <w:rPr>
                <w:b/>
                <w:color w:val="503200"/>
                <w:sz w:val="16"/>
              </w:rPr>
              <w:t xml:space="preserve">Var. 100 jours : </w:t>
            </w:r>
            <w:r>
              <w:rPr>
                <w:b/>
                <w:color w:val="007800"/>
                <w:sz w:val="17"/>
              </w:rPr>
              <w:t>+11.91%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2,285 FCFA</w:t>
            </w:r>
          </w:p>
          <w:p>
            <w:r>
              <w:rPr>
                <w:b/>
                <w:color w:val="503200"/>
                <w:sz w:val="16"/>
              </w:rPr>
              <w:t xml:space="preserve">Volatilité ann. : </w:t>
            </w:r>
            <w:r>
              <w:rPr>
                <w:color w:val="000000"/>
                <w:sz w:val="17"/>
              </w:rPr>
              <w:t>72.0%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11.93% (Moyenne) — μ=3,021 FCFA, σ=361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β=-1.1351 (Contre-cyclique) — Cov=-0.000041, Var(idx)=0.000036, ρ=-0.154,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6,538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σ_j=4.53%/j (Modérée) — Vol. annualisée≈72.0%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591812"/>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2,335</w:t>
            </w:r>
          </w:p>
        </w:tc>
        <w:tc>
          <w:tcPr>
            <w:tcW w:type="dxa" w:w="1440"/>
            <w:shd w:fill="FFDCE0" w:val="clear"/>
          </w:tcPr>
          <w:p>
            <w:r>
              <w:rPr>
                <w:b/>
                <w:sz w:val="17"/>
              </w:rPr>
              <w:t>2,462</w:t>
            </w:r>
          </w:p>
        </w:tc>
        <w:tc>
          <w:tcPr>
            <w:tcW w:type="dxa" w:w="1440"/>
            <w:shd w:fill="FFDCE0" w:val="clear"/>
          </w:tcPr>
          <w:p>
            <w:r>
              <w:rPr>
                <w:sz w:val="17"/>
              </w:rPr>
              <w:t>2,589</w:t>
            </w:r>
          </w:p>
        </w:tc>
        <w:tc>
          <w:tcPr>
            <w:tcW w:type="dxa" w:w="1440"/>
            <w:shd w:fill="FFDCE0" w:val="clear"/>
          </w:tcPr>
          <w:p>
            <w:r>
              <w:rPr>
                <w:b/>
                <w:color w:val="C00000"/>
                <w:sz w:val="17"/>
              </w:rPr>
              <w:t>-6.4%</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2,145</w:t>
            </w:r>
          </w:p>
        </w:tc>
        <w:tc>
          <w:tcPr>
            <w:tcW w:type="dxa" w:w="1440"/>
            <w:shd w:fill="FFDCE0" w:val="clear"/>
          </w:tcPr>
          <w:p>
            <w:r>
              <w:rPr>
                <w:b/>
                <w:sz w:val="17"/>
              </w:rPr>
              <w:t>2,314</w:t>
            </w:r>
          </w:p>
        </w:tc>
        <w:tc>
          <w:tcPr>
            <w:tcW w:type="dxa" w:w="1440"/>
            <w:shd w:fill="FFDCE0" w:val="clear"/>
          </w:tcPr>
          <w:p>
            <w:r>
              <w:rPr>
                <w:sz w:val="17"/>
              </w:rPr>
              <w:t>2,482</w:t>
            </w:r>
          </w:p>
        </w:tc>
        <w:tc>
          <w:tcPr>
            <w:tcW w:type="dxa" w:w="1440"/>
            <w:shd w:fill="FFDCE0" w:val="clear"/>
          </w:tcPr>
          <w:p>
            <w:r>
              <w:rPr>
                <w:b/>
                <w:color w:val="C00000"/>
                <w:sz w:val="17"/>
              </w:rPr>
              <w:t>-12.0%</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1,970</w:t>
            </w:r>
          </w:p>
        </w:tc>
        <w:tc>
          <w:tcPr>
            <w:tcW w:type="dxa" w:w="1440"/>
            <w:shd w:fill="FFDCE0" w:val="clear"/>
          </w:tcPr>
          <w:p>
            <w:r>
              <w:rPr>
                <w:b/>
                <w:sz w:val="17"/>
              </w:rPr>
              <w:t>2,163</w:t>
            </w:r>
          </w:p>
        </w:tc>
        <w:tc>
          <w:tcPr>
            <w:tcW w:type="dxa" w:w="1440"/>
            <w:shd w:fill="FFDCE0" w:val="clear"/>
          </w:tcPr>
          <w:p>
            <w:r>
              <w:rPr>
                <w:sz w:val="17"/>
              </w:rPr>
              <w:t>2,355</w:t>
            </w:r>
          </w:p>
        </w:tc>
        <w:tc>
          <w:tcPr>
            <w:tcW w:type="dxa" w:w="1440"/>
            <w:shd w:fill="FFDCE0" w:val="clear"/>
          </w:tcPr>
          <w:p>
            <w:r>
              <w:rPr>
                <w:b/>
                <w:color w:val="C00000"/>
                <w:sz w:val="17"/>
              </w:rPr>
              <w:t>-17.8%</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1,820</w:t>
            </w:r>
          </w:p>
        </w:tc>
        <w:tc>
          <w:tcPr>
            <w:tcW w:type="dxa" w:w="1440"/>
            <w:shd w:fill="FFDCE0" w:val="clear"/>
          </w:tcPr>
          <w:p>
            <w:r>
              <w:rPr>
                <w:b/>
                <w:sz w:val="17"/>
              </w:rPr>
              <w:t>2,029</w:t>
            </w:r>
          </w:p>
        </w:tc>
        <w:tc>
          <w:tcPr>
            <w:tcW w:type="dxa" w:w="1440"/>
            <w:shd w:fill="FFDCE0" w:val="clear"/>
          </w:tcPr>
          <w:p>
            <w:r>
              <w:rPr>
                <w:sz w:val="17"/>
              </w:rPr>
              <w:t>2,238</w:t>
            </w:r>
          </w:p>
        </w:tc>
        <w:tc>
          <w:tcPr>
            <w:tcW w:type="dxa" w:w="1440"/>
            <w:shd w:fill="FFDCE0" w:val="clear"/>
          </w:tcPr>
          <w:p>
            <w:r>
              <w:rPr>
                <w:b/>
                <w:color w:val="C00000"/>
                <w:sz w:val="17"/>
              </w:rPr>
              <w:t>-22.9%</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1,697</w:t>
            </w:r>
          </w:p>
        </w:tc>
        <w:tc>
          <w:tcPr>
            <w:tcW w:type="dxa" w:w="1440"/>
            <w:shd w:fill="FFDCE0" w:val="clear"/>
          </w:tcPr>
          <w:p>
            <w:r>
              <w:rPr>
                <w:b/>
                <w:sz w:val="17"/>
              </w:rPr>
              <w:t>1,917</w:t>
            </w:r>
          </w:p>
        </w:tc>
        <w:tc>
          <w:tcPr>
            <w:tcW w:type="dxa" w:w="1440"/>
            <w:shd w:fill="FFDCE0" w:val="clear"/>
          </w:tcPr>
          <w:p>
            <w:r>
              <w:rPr>
                <w:sz w:val="17"/>
              </w:rPr>
              <w:t>2,138</w:t>
            </w:r>
          </w:p>
        </w:tc>
        <w:tc>
          <w:tcPr>
            <w:tcW w:type="dxa" w:w="1440"/>
            <w:shd w:fill="FFDCE0" w:val="clear"/>
          </w:tcPr>
          <w:p>
            <w:r>
              <w:rPr>
                <w:b/>
                <w:color w:val="C00000"/>
                <w:sz w:val="17"/>
              </w:rPr>
              <w:t>-27.1%</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1,596</w:t>
            </w:r>
          </w:p>
        </w:tc>
        <w:tc>
          <w:tcPr>
            <w:tcW w:type="dxa" w:w="1440"/>
            <w:shd w:fill="FFDCE0" w:val="clear"/>
          </w:tcPr>
          <w:p>
            <w:r>
              <w:rPr>
                <w:b/>
                <w:sz w:val="17"/>
              </w:rPr>
              <w:t>1,827</w:t>
            </w:r>
          </w:p>
        </w:tc>
        <w:tc>
          <w:tcPr>
            <w:tcW w:type="dxa" w:w="1440"/>
            <w:shd w:fill="FFDCE0" w:val="clear"/>
          </w:tcPr>
          <w:p>
            <w:r>
              <w:rPr>
                <w:sz w:val="17"/>
              </w:rPr>
              <w:t>2,057</w:t>
            </w:r>
          </w:p>
        </w:tc>
        <w:tc>
          <w:tcPr>
            <w:tcW w:type="dxa" w:w="1440"/>
            <w:shd w:fill="FFDCE0" w:val="clear"/>
          </w:tcPr>
          <w:p>
            <w:r>
              <w:rPr>
                <w:b/>
                <w:color w:val="C00000"/>
                <w:sz w:val="17"/>
              </w:rPr>
              <w:t>-30.5%</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1,514</w:t>
            </w:r>
          </w:p>
        </w:tc>
        <w:tc>
          <w:tcPr>
            <w:tcW w:type="dxa" w:w="1440"/>
            <w:shd w:fill="FFDCE0" w:val="clear"/>
          </w:tcPr>
          <w:p>
            <w:r>
              <w:rPr>
                <w:b/>
                <w:sz w:val="17"/>
              </w:rPr>
              <w:t>1,753</w:t>
            </w:r>
          </w:p>
        </w:tc>
        <w:tc>
          <w:tcPr>
            <w:tcW w:type="dxa" w:w="1440"/>
            <w:shd w:fill="FFDCE0" w:val="clear"/>
          </w:tcPr>
          <w:p>
            <w:r>
              <w:rPr>
                <w:sz w:val="17"/>
              </w:rPr>
              <w:t>1,991</w:t>
            </w:r>
          </w:p>
        </w:tc>
        <w:tc>
          <w:tcPr>
            <w:tcW w:type="dxa" w:w="1440"/>
            <w:shd w:fill="FFDCE0" w:val="clear"/>
          </w:tcPr>
          <w:p>
            <w:r>
              <w:rPr>
                <w:b/>
                <w:color w:val="C00000"/>
                <w:sz w:val="17"/>
              </w:rPr>
              <w:t>-33.4%</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1,446</w:t>
            </w:r>
          </w:p>
        </w:tc>
        <w:tc>
          <w:tcPr>
            <w:tcW w:type="dxa" w:w="1440"/>
            <w:shd w:fill="FFDCE0" w:val="clear"/>
          </w:tcPr>
          <w:p>
            <w:r>
              <w:rPr>
                <w:b/>
                <w:sz w:val="17"/>
              </w:rPr>
              <w:t>1,692</w:t>
            </w:r>
          </w:p>
        </w:tc>
        <w:tc>
          <w:tcPr>
            <w:tcW w:type="dxa" w:w="1440"/>
            <w:shd w:fill="FFDCE0" w:val="clear"/>
          </w:tcPr>
          <w:p>
            <w:r>
              <w:rPr>
                <w:sz w:val="17"/>
              </w:rPr>
              <w:t>1,938</w:t>
            </w:r>
          </w:p>
        </w:tc>
        <w:tc>
          <w:tcPr>
            <w:tcW w:type="dxa" w:w="1440"/>
            <w:shd w:fill="FFDCE0" w:val="clear"/>
          </w:tcPr>
          <w:p>
            <w:r>
              <w:rPr>
                <w:b/>
                <w:color w:val="C00000"/>
                <w:sz w:val="17"/>
              </w:rPr>
              <w:t>-35.7%</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1,388</w:t>
            </w:r>
          </w:p>
        </w:tc>
        <w:tc>
          <w:tcPr>
            <w:tcW w:type="dxa" w:w="1440"/>
            <w:shd w:fill="FFDCE0" w:val="clear"/>
          </w:tcPr>
          <w:p>
            <w:r>
              <w:rPr>
                <w:b/>
                <w:sz w:val="17"/>
              </w:rPr>
              <w:t>1,641</w:t>
            </w:r>
          </w:p>
        </w:tc>
        <w:tc>
          <w:tcPr>
            <w:tcW w:type="dxa" w:w="1440"/>
            <w:shd w:fill="FFDCE0" w:val="clear"/>
          </w:tcPr>
          <w:p>
            <w:r>
              <w:rPr>
                <w:sz w:val="17"/>
              </w:rPr>
              <w:t>1,894</w:t>
            </w:r>
          </w:p>
        </w:tc>
        <w:tc>
          <w:tcPr>
            <w:tcW w:type="dxa" w:w="1440"/>
            <w:shd w:fill="FFDCE0" w:val="clear"/>
          </w:tcPr>
          <w:p>
            <w:r>
              <w:rPr>
                <w:b/>
                <w:color w:val="C00000"/>
                <w:sz w:val="17"/>
              </w:rPr>
              <w:t>-37.6%</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1,337</w:t>
            </w:r>
          </w:p>
        </w:tc>
        <w:tc>
          <w:tcPr>
            <w:tcW w:type="dxa" w:w="1440"/>
            <w:shd w:fill="FFDCE0" w:val="clear"/>
          </w:tcPr>
          <w:p>
            <w:r>
              <w:rPr>
                <w:b/>
                <w:sz w:val="17"/>
              </w:rPr>
              <w:t>1,597</w:t>
            </w:r>
          </w:p>
        </w:tc>
        <w:tc>
          <w:tcPr>
            <w:tcW w:type="dxa" w:w="1440"/>
            <w:shd w:fill="FFDCE0" w:val="clear"/>
          </w:tcPr>
          <w:p>
            <w:r>
              <w:rPr>
                <w:sz w:val="17"/>
              </w:rPr>
              <w:t>1,857</w:t>
            </w:r>
          </w:p>
        </w:tc>
        <w:tc>
          <w:tcPr>
            <w:tcW w:type="dxa" w:w="1440"/>
            <w:shd w:fill="FFDCE0" w:val="clear"/>
          </w:tcPr>
          <w:p>
            <w:r>
              <w:rPr>
                <w:b/>
                <w:color w:val="C00000"/>
                <w:sz w:val="17"/>
              </w:rPr>
              <w:t>-39.3%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**Date de l'analyse : 10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35,35 milliards FCFA, STAC se positionne comme une valeur de taille moyenne sur la BRVM, bien que ce niveau soit difficilement justifiable au regard des fondamentaux actuels. Le BPA est négatif à -7 FCFA, ce qui reflète une société déficitaire, et le PER de -366,1x est non significatif, indiquant que les investisseurs paient pour des pertes. Le P/B de 99,08x est extrêmement élevé, signalant une prime exorbitante par rapport à la valeur comptable des actifs, ce qui est un signal d'alerte majeur. En l'absence de données sur l'EBITDA, le ratio EV/EBITDA ne peut être calculé, mais la combinaison d'un PER négatif et d'un P/B supérieur à 4x suggère une valorisation totalement déconnectée des réalités financières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+11,91%, mais a subi une baisse de -1,68% lors de la dernière séance, s'établissant à 2 630 FCFA. Le cours a évolué dans une fourchette très large, entre un plus bas de 2 285 FCFA et un plus haut de 3 895 FCFA, illustrant une forte volatilité. La moyenne du cours sur la période est de 3 021 FCFA, légèrement supérieure à la médiane de 2 990 FCFA, ce qui indique une distribution quasi symétrique, confirmée par un skewness de 0,130. L'écart-type de 362 FCFA (CV=12%) montre une dispersion modérée, tandis que le kurtosis de -0,690 (mésokurtique) suggère une distribution proche de la normale, sans risque de pics extrêmes. Cependant, la volatilité annualisée de 72,0% est extrêmement élevée, classant ce titre comme très risqué et spéculatif.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2 630 FCFA est inférieur à la MM20 (2 926 FCFA) et à la MM50 (3 161,7 FCFA), confirmant une tendance baissière à court et moyen terme. La décision de "Vente" est justifiée par cette configuration, où le prix évolue sous ses moyennes mobiles, signe d'un momentum négatif persistant.</w:t>
      </w:r>
    </w:p>
    <w:p>
      <w:pPr>
        <w:spacing w:after="120" w:line="276" w:lineRule="auto"/>
      </w:pPr>
      <w:r>
        <w:t>**Bandes de Bollinger :** Le cours se situe à 2 630 FCFA, proche de la borne inférieure (2 517 FCFA), indiquant que le titre est dans la partie basse de son canal de volatilité. La décision "Neutre" est cohérente, car le prix n'a pas encore touché la borne, mais la pression vendeuse est palpable. Une cassure sous la borne inférieure pourrait signaler une accélération baissière.</w:t>
      </w:r>
    </w:p>
    <w:p>
      <w:pPr>
        <w:spacing w:after="120" w:line="276" w:lineRule="auto"/>
      </w:pPr>
      <w:r>
        <w:t>**MACD :** Le MACD (-148,385) est inférieur à son signal (-126,014), avec les deux valeurs en territoire négatif. Cette configuration baissière indique un momentum négatif qui se renforce, justifiant la décision de "Vente". La divergence négative suggère que la pression vendeuse est toujours dominante.</w:t>
      </w:r>
    </w:p>
    <w:p>
      <w:pPr>
        <w:spacing w:after="120" w:line="276" w:lineRule="auto"/>
      </w:pPr>
      <w:r>
        <w:t>**RSI :** Le RSI à 26,16 est en zone de survente (&lt;30), ce qui indique que le titre est techniquement survendu. La décision "Achat" est donc un signal de retournement potentiel, mais il faut attendre une confirmation par un rebond du prix ou une stabilisation du RSI avant d'agir.</w:t>
      </w:r>
    </w:p>
    <w:p>
      <w:pPr>
        <w:spacing w:after="120" w:line="276" w:lineRule="auto"/>
      </w:pPr>
      <w:r>
        <w:t>**Stochastique :** Le %K à 0,0 et le %D à 0,647 montrent que le titre est en survente extrême, avec un %K sous le %D, ce qui renforce le signal baissier à court terme. Cependant, la décision "Achat" suggère qu'un rebond technique est possible, mais il est prématuré de l'anticiper.</w:t>
      </w:r>
    </w:p>
    <w:p>
      <w:pPr>
        <w:spacing w:after="120" w:line="276" w:lineRule="auto"/>
      </w:pPr>
      <w:r>
        <w:t>**Conclusion technique :** Les indicateurs techniques sont majoritairement baissiers (MM, MACD), mais les oscillateurs (RSI, Stochastique) signalent une survente extrême, laissant entrevoir un possible rebond technique. La configuration globale reste fragile, avec un risque de poursuite de la baisse si les supports clés sont cassés.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une situation financière très dégradée pour STAC. Le chiffre d'affaires s'établit à 3,878 milliards FCFA, mais le résultat net est une perte de -96,56 millions FCFA, avec une marge nette de -2,49%. Le ROE est négatif à -27,07%, et le ROA à -1,77%, indiquant une rentabilité très insuffisante. Le BFR est négatif à -930,47 millions FCFA, ce qui est un point positif pour la trésorerie, mais l'endettement est massif avec un ratio d'endettement de 93,45%. Les rapports trimestriels de 2025 montrent une reprise de l'activité : le CA du S1 2025 est de 2,271 milliards FCFA (+290% vs S1 2024), et sur 9 mois, il atteint 3,456 milliards FCFA (+176%), porté par le chantier de l'aéroport d'Abidjan. Cependant, la perte nette sur 9 mois est de -477 millions FCFA, en amélioration de 22% par rapport à 2024. La prévision annuelle de CA est de 4 milliards FCFA, mais la rentabilité opérationnelle reste négative (EBE de -650 millions FCFA en 2025). Les rapports historiques (2020-2021) montrent que l'entreprise était rentable (marge nette de 14,6% en 2020), mais la chute du CA en 2023-2024 (-80,6% en 2024) a détruit la valeur. La société reste structurellement déficitaire, dépendante d'un seul projet, avec des capitaux propres très faibles (356,75 millions FCFA) et une autonomie financière de seulement 6,55%.</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surévaluée, avec un PER négatif et un P/B de 99x, indiquant que le marché paie une prime injustifiée pour des pertes récurrentes. Le comportement du cours montre une volatilité très élevée (72%), avec une tendance baissière récente, malgré un rebond de +11,91% sur 100 jours. Les signaux techniques sont mitigés : les moyennes mobiles et le MACD sont baissiers, mais le RSI et le stochastique en survente suggèrent un possible rebond technique à court terme. Sur le plan fondamental, l'entreprise est en perte, avec une dépendance excessive à un seul projet (aéroport d'Abidjan), une trésorerie sous pression et des capitaux propres très faibles. Les prédictions IA pour les 10 prochains jours indiquent une chute continue du cours, de 2 462 FCFA à 1 917 FCFA, confirmant les signaux baissiers. La convergence entre la valorisation excessive, les fondamentaux dégradés et les prédictions IA négatives est forte. **Recommandation finale : VENTE FORTE**, avec un niveau de confiance **Élevé** et un risque global **Élevé**. L'horizon d'investissement optimal est le **court terme** (&lt;3 mois) pour les spéculateurs, mais la prudence est absolument requise pour tout investisseur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448.88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3,414 titres</w:t>
            </w:r>
          </w:p>
        </w:tc>
        <w:tc>
          <w:tcPr>
            <w:tcW w:type="dxa" w:w="2268"/>
            <w:shd w:fill="FFF2CC" w:val="clear"/>
          </w:tcPr>
          <w:p>
            <w:r>
              <w:rPr>
                <w:b/>
                <w:color w:val="503200"/>
                <w:sz w:val="16"/>
              </w:rPr>
              <w:t xml:space="preserve">Cours actuel : </w:t>
            </w:r>
            <w:r>
              <w:rPr>
                <w:color w:val="000000"/>
                <w:sz w:val="17"/>
              </w:rPr>
              <w:t>25,000 FCFA</w:t>
            </w:r>
          </w:p>
          <w:p>
            <w:r>
              <w:rPr>
                <w:b/>
                <w:color w:val="503200"/>
                <w:sz w:val="16"/>
              </w:rPr>
              <w:t xml:space="preserve">Var. 100 jours : </w:t>
            </w:r>
            <w:r>
              <w:rPr>
                <w:b/>
                <w:color w:val="007800"/>
                <w:sz w:val="17"/>
              </w:rPr>
              <w:t>+17.37%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6.13% (Moyenne) — μ=22,138 FCFA, σ=1,357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β=0.2454 (Défensif) — Cov=0.000009, Var(idx)=0.000036, ρ=0.082,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87289"/>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24,426</w:t>
            </w:r>
          </w:p>
        </w:tc>
        <w:tc>
          <w:tcPr>
            <w:tcW w:type="dxa" w:w="1440"/>
            <w:shd w:fill="FAFAFA" w:val="clear"/>
          </w:tcPr>
          <w:p>
            <w:r>
              <w:rPr>
                <w:b/>
                <w:sz w:val="17"/>
              </w:rPr>
              <w:t>25,338</w:t>
            </w:r>
          </w:p>
        </w:tc>
        <w:tc>
          <w:tcPr>
            <w:tcW w:type="dxa" w:w="1440"/>
            <w:shd w:fill="FAFAFA" w:val="clear"/>
          </w:tcPr>
          <w:p>
            <w:r>
              <w:rPr>
                <w:sz w:val="17"/>
              </w:rPr>
              <w:t>26,249</w:t>
            </w:r>
          </w:p>
        </w:tc>
        <w:tc>
          <w:tcPr>
            <w:tcW w:type="dxa" w:w="1440"/>
            <w:shd w:fill="FAFAFA" w:val="clear"/>
          </w:tcPr>
          <w:p>
            <w:r>
              <w:rPr>
                <w:b/>
                <w:color w:val="008000"/>
                <w:sz w:val="17"/>
              </w:rPr>
              <w:t>+1.4%</w:t>
            </w:r>
          </w:p>
        </w:tc>
      </w:tr>
      <w:tr>
        <w:tc>
          <w:tcPr>
            <w:tcW w:type="dxa" w:w="1440"/>
            <w:shd w:fill="C6EFCE" w:val="clear"/>
          </w:tcPr>
          <w:p>
            <w:r>
              <w:rPr>
                <w:sz w:val="17"/>
              </w:rPr>
              <w:t>J+2  ⭐</w:t>
            </w:r>
          </w:p>
        </w:tc>
        <w:tc>
          <w:tcPr>
            <w:tcW w:type="dxa" w:w="1440"/>
            <w:shd w:fill="C6EFCE" w:val="clear"/>
          </w:tcPr>
          <w:p>
            <w:r>
              <w:rPr>
                <w:sz w:val="17"/>
              </w:rPr>
              <w:t>2026-08-12</w:t>
            </w:r>
          </w:p>
        </w:tc>
        <w:tc>
          <w:tcPr>
            <w:tcW w:type="dxa" w:w="1440"/>
            <w:shd w:fill="C6EFCE" w:val="clear"/>
          </w:tcPr>
          <w:p>
            <w:r>
              <w:rPr>
                <w:sz w:val="17"/>
              </w:rPr>
              <w:t>24,273</w:t>
            </w:r>
          </w:p>
        </w:tc>
        <w:tc>
          <w:tcPr>
            <w:tcW w:type="dxa" w:w="1440"/>
            <w:shd w:fill="C6EFCE" w:val="clear"/>
          </w:tcPr>
          <w:p>
            <w:r>
              <w:rPr>
                <w:b/>
                <w:sz w:val="17"/>
              </w:rPr>
              <w:t>25,574</w:t>
            </w:r>
          </w:p>
        </w:tc>
        <w:tc>
          <w:tcPr>
            <w:tcW w:type="dxa" w:w="1440"/>
            <w:shd w:fill="C6EFCE" w:val="clear"/>
          </w:tcPr>
          <w:p>
            <w:r>
              <w:rPr>
                <w:sz w:val="17"/>
              </w:rPr>
              <w:t>26,875</w:t>
            </w:r>
          </w:p>
        </w:tc>
        <w:tc>
          <w:tcPr>
            <w:tcW w:type="dxa" w:w="1440"/>
            <w:shd w:fill="C6EFCE" w:val="clear"/>
          </w:tcPr>
          <w:p>
            <w:r>
              <w:rPr>
                <w:b/>
                <w:color w:val="008000"/>
                <w:sz w:val="17"/>
              </w:rPr>
              <w:t>+2.3%</w:t>
            </w:r>
          </w:p>
        </w:tc>
      </w:tr>
      <w:tr>
        <w:tc>
          <w:tcPr>
            <w:tcW w:type="dxa" w:w="1440"/>
            <w:shd w:fill="C6EFCE" w:val="clear"/>
          </w:tcPr>
          <w:p>
            <w:r>
              <w:rPr>
                <w:sz w:val="17"/>
              </w:rPr>
              <w:t>J+3  ⭐</w:t>
            </w:r>
          </w:p>
        </w:tc>
        <w:tc>
          <w:tcPr>
            <w:tcW w:type="dxa" w:w="1440"/>
            <w:shd w:fill="C6EFCE" w:val="clear"/>
          </w:tcPr>
          <w:p>
            <w:r>
              <w:rPr>
                <w:sz w:val="17"/>
              </w:rPr>
              <w:t>2026-08-13</w:t>
            </w:r>
          </w:p>
        </w:tc>
        <w:tc>
          <w:tcPr>
            <w:tcW w:type="dxa" w:w="1440"/>
            <w:shd w:fill="C6EFCE" w:val="clear"/>
          </w:tcPr>
          <w:p>
            <w:r>
              <w:rPr>
                <w:sz w:val="17"/>
              </w:rPr>
              <w:t>24,194</w:t>
            </w:r>
          </w:p>
        </w:tc>
        <w:tc>
          <w:tcPr>
            <w:tcW w:type="dxa" w:w="1440"/>
            <w:shd w:fill="C6EFCE" w:val="clear"/>
          </w:tcPr>
          <w:p>
            <w:r>
              <w:rPr>
                <w:b/>
                <w:sz w:val="17"/>
              </w:rPr>
              <w:t>25,801</w:t>
            </w:r>
          </w:p>
        </w:tc>
        <w:tc>
          <w:tcPr>
            <w:tcW w:type="dxa" w:w="1440"/>
            <w:shd w:fill="C6EFCE" w:val="clear"/>
          </w:tcPr>
          <w:p>
            <w:r>
              <w:rPr>
                <w:sz w:val="17"/>
              </w:rPr>
              <w:t>27,409</w:t>
            </w:r>
          </w:p>
        </w:tc>
        <w:tc>
          <w:tcPr>
            <w:tcW w:type="dxa" w:w="1440"/>
            <w:shd w:fill="C6EFCE" w:val="clear"/>
          </w:tcPr>
          <w:p>
            <w:r>
              <w:rPr>
                <w:b/>
                <w:color w:val="008000"/>
                <w:sz w:val="17"/>
              </w:rPr>
              <w:t>+3.2%</w:t>
            </w:r>
          </w:p>
        </w:tc>
      </w:tr>
      <w:tr>
        <w:tc>
          <w:tcPr>
            <w:tcW w:type="dxa" w:w="1440"/>
            <w:shd w:fill="C6EFCE" w:val="clear"/>
          </w:tcPr>
          <w:p>
            <w:r>
              <w:rPr>
                <w:sz w:val="17"/>
              </w:rPr>
              <w:t>J+4  ⭐</w:t>
            </w:r>
          </w:p>
        </w:tc>
        <w:tc>
          <w:tcPr>
            <w:tcW w:type="dxa" w:w="1440"/>
            <w:shd w:fill="C6EFCE" w:val="clear"/>
          </w:tcPr>
          <w:p>
            <w:r>
              <w:rPr>
                <w:sz w:val="17"/>
              </w:rPr>
              <w:t>2026-08-14</w:t>
            </w:r>
          </w:p>
        </w:tc>
        <w:tc>
          <w:tcPr>
            <w:tcW w:type="dxa" w:w="1440"/>
            <w:shd w:fill="C6EFCE" w:val="clear"/>
          </w:tcPr>
          <w:p>
            <w:r>
              <w:rPr>
                <w:sz w:val="17"/>
              </w:rPr>
              <w:t>24,163</w:t>
            </w:r>
          </w:p>
        </w:tc>
        <w:tc>
          <w:tcPr>
            <w:tcW w:type="dxa" w:w="1440"/>
            <w:shd w:fill="C6EFCE" w:val="clear"/>
          </w:tcPr>
          <w:p>
            <w:r>
              <w:rPr>
                <w:b/>
                <w:sz w:val="17"/>
              </w:rPr>
              <w:t>26,037</w:t>
            </w:r>
          </w:p>
        </w:tc>
        <w:tc>
          <w:tcPr>
            <w:tcW w:type="dxa" w:w="1440"/>
            <w:shd w:fill="C6EFCE" w:val="clear"/>
          </w:tcPr>
          <w:p>
            <w:r>
              <w:rPr>
                <w:sz w:val="17"/>
              </w:rPr>
              <w:t>27,910</w:t>
            </w:r>
          </w:p>
        </w:tc>
        <w:tc>
          <w:tcPr>
            <w:tcW w:type="dxa" w:w="1440"/>
            <w:shd w:fill="C6EFCE" w:val="clear"/>
          </w:tcPr>
          <w:p>
            <w:r>
              <w:rPr>
                <w:b/>
                <w:color w:val="008000"/>
                <w:sz w:val="17"/>
              </w:rPr>
              <w:t>+4.1%</w:t>
            </w:r>
          </w:p>
        </w:tc>
      </w:tr>
      <w:tr>
        <w:tc>
          <w:tcPr>
            <w:tcW w:type="dxa" w:w="1440"/>
            <w:shd w:fill="C6EFCE" w:val="clear"/>
          </w:tcPr>
          <w:p>
            <w:r>
              <w:rPr>
                <w:sz w:val="17"/>
              </w:rPr>
              <w:t>J+5  ⭐</w:t>
            </w:r>
          </w:p>
        </w:tc>
        <w:tc>
          <w:tcPr>
            <w:tcW w:type="dxa" w:w="1440"/>
            <w:shd w:fill="C6EFCE" w:val="clear"/>
          </w:tcPr>
          <w:p>
            <w:r>
              <w:rPr>
                <w:sz w:val="17"/>
              </w:rPr>
              <w:t>2026-08-17</w:t>
            </w:r>
          </w:p>
        </w:tc>
        <w:tc>
          <w:tcPr>
            <w:tcW w:type="dxa" w:w="1440"/>
            <w:shd w:fill="C6EFCE" w:val="clear"/>
          </w:tcPr>
          <w:p>
            <w:r>
              <w:rPr>
                <w:sz w:val="17"/>
              </w:rPr>
              <w:t>24,153</w:t>
            </w:r>
          </w:p>
        </w:tc>
        <w:tc>
          <w:tcPr>
            <w:tcW w:type="dxa" w:w="1440"/>
            <w:shd w:fill="C6EFCE" w:val="clear"/>
          </w:tcPr>
          <w:p>
            <w:r>
              <w:rPr>
                <w:b/>
                <w:sz w:val="17"/>
              </w:rPr>
              <w:t>26,265</w:t>
            </w:r>
          </w:p>
        </w:tc>
        <w:tc>
          <w:tcPr>
            <w:tcW w:type="dxa" w:w="1440"/>
            <w:shd w:fill="C6EFCE" w:val="clear"/>
          </w:tcPr>
          <w:p>
            <w:r>
              <w:rPr>
                <w:sz w:val="17"/>
              </w:rPr>
              <w:t>28,378</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2026-08-18</w:t>
            </w:r>
          </w:p>
        </w:tc>
        <w:tc>
          <w:tcPr>
            <w:tcW w:type="dxa" w:w="1440"/>
            <w:shd w:fill="C6EFCE" w:val="clear"/>
          </w:tcPr>
          <w:p>
            <w:r>
              <w:rPr>
                <w:sz w:val="17"/>
              </w:rPr>
              <w:t>24,169</w:t>
            </w:r>
          </w:p>
        </w:tc>
        <w:tc>
          <w:tcPr>
            <w:tcW w:type="dxa" w:w="1440"/>
            <w:shd w:fill="C6EFCE" w:val="clear"/>
          </w:tcPr>
          <w:p>
            <w:r>
              <w:rPr>
                <w:b/>
                <w:sz w:val="17"/>
              </w:rPr>
              <w:t>26,504</w:t>
            </w:r>
          </w:p>
        </w:tc>
        <w:tc>
          <w:tcPr>
            <w:tcW w:type="dxa" w:w="1440"/>
            <w:shd w:fill="C6EFCE" w:val="clear"/>
          </w:tcPr>
          <w:p>
            <w:r>
              <w:rPr>
                <w:sz w:val="17"/>
              </w:rPr>
              <w:t>28,839</w:t>
            </w:r>
          </w:p>
        </w:tc>
        <w:tc>
          <w:tcPr>
            <w:tcW w:type="dxa" w:w="1440"/>
            <w:shd w:fill="C6EFCE" w:val="clear"/>
          </w:tcPr>
          <w:p>
            <w:r>
              <w:rPr>
                <w:b/>
                <w:color w:val="008000"/>
                <w:sz w:val="17"/>
              </w:rPr>
              <w:t>+6.0%</w:t>
            </w:r>
          </w:p>
        </w:tc>
      </w:tr>
      <w:tr>
        <w:tc>
          <w:tcPr>
            <w:tcW w:type="dxa" w:w="1440"/>
            <w:shd w:fill="C6EFCE" w:val="clear"/>
          </w:tcPr>
          <w:p>
            <w:r>
              <w:rPr>
                <w:sz w:val="17"/>
              </w:rPr>
              <w:t>J+7  ⭐</w:t>
            </w:r>
          </w:p>
        </w:tc>
        <w:tc>
          <w:tcPr>
            <w:tcW w:type="dxa" w:w="1440"/>
            <w:shd w:fill="C6EFCE" w:val="clear"/>
          </w:tcPr>
          <w:p>
            <w:r>
              <w:rPr>
                <w:sz w:val="17"/>
              </w:rPr>
              <w:t>2026-08-19</w:t>
            </w:r>
          </w:p>
        </w:tc>
        <w:tc>
          <w:tcPr>
            <w:tcW w:type="dxa" w:w="1440"/>
            <w:shd w:fill="C6EFCE" w:val="clear"/>
          </w:tcPr>
          <w:p>
            <w:r>
              <w:rPr>
                <w:sz w:val="17"/>
              </w:rPr>
              <w:t>24,190</w:t>
            </w:r>
          </w:p>
        </w:tc>
        <w:tc>
          <w:tcPr>
            <w:tcW w:type="dxa" w:w="1440"/>
            <w:shd w:fill="C6EFCE" w:val="clear"/>
          </w:tcPr>
          <w:p>
            <w:r>
              <w:rPr>
                <w:b/>
                <w:sz w:val="17"/>
              </w:rPr>
              <w:t>26,735</w:t>
            </w:r>
          </w:p>
        </w:tc>
        <w:tc>
          <w:tcPr>
            <w:tcW w:type="dxa" w:w="1440"/>
            <w:shd w:fill="C6EFCE" w:val="clear"/>
          </w:tcPr>
          <w:p>
            <w:r>
              <w:rPr>
                <w:sz w:val="17"/>
              </w:rPr>
              <w:t>29,279</w:t>
            </w:r>
          </w:p>
        </w:tc>
        <w:tc>
          <w:tcPr>
            <w:tcW w:type="dxa" w:w="1440"/>
            <w:shd w:fill="C6EFCE" w:val="clear"/>
          </w:tcPr>
          <w:p>
            <w:r>
              <w:rPr>
                <w:b/>
                <w:color w:val="008000"/>
                <w:sz w:val="17"/>
              </w:rPr>
              <w:t>+6.9%</w:t>
            </w:r>
          </w:p>
        </w:tc>
      </w:tr>
      <w:tr>
        <w:tc>
          <w:tcPr>
            <w:tcW w:type="dxa" w:w="1440"/>
            <w:shd w:fill="C6EFCE" w:val="clear"/>
          </w:tcPr>
          <w:p>
            <w:r>
              <w:rPr>
                <w:sz w:val="17"/>
              </w:rPr>
              <w:t>J+8  ⭐</w:t>
            </w:r>
          </w:p>
        </w:tc>
        <w:tc>
          <w:tcPr>
            <w:tcW w:type="dxa" w:w="1440"/>
            <w:shd w:fill="C6EFCE" w:val="clear"/>
          </w:tcPr>
          <w:p>
            <w:r>
              <w:rPr>
                <w:sz w:val="17"/>
              </w:rPr>
              <w:t>2026-08-20</w:t>
            </w:r>
          </w:p>
        </w:tc>
        <w:tc>
          <w:tcPr>
            <w:tcW w:type="dxa" w:w="1440"/>
            <w:shd w:fill="C6EFCE" w:val="clear"/>
          </w:tcPr>
          <w:p>
            <w:r>
              <w:rPr>
                <w:sz w:val="17"/>
              </w:rPr>
              <w:t>24,217</w:t>
            </w:r>
          </w:p>
        </w:tc>
        <w:tc>
          <w:tcPr>
            <w:tcW w:type="dxa" w:w="1440"/>
            <w:shd w:fill="C6EFCE" w:val="clear"/>
          </w:tcPr>
          <w:p>
            <w:r>
              <w:rPr>
                <w:b/>
                <w:sz w:val="17"/>
              </w:rPr>
              <w:t>26,960</w:t>
            </w:r>
          </w:p>
        </w:tc>
        <w:tc>
          <w:tcPr>
            <w:tcW w:type="dxa" w:w="1440"/>
            <w:shd w:fill="C6EFCE" w:val="clear"/>
          </w:tcPr>
          <w:p>
            <w:r>
              <w:rPr>
                <w:sz w:val="17"/>
              </w:rPr>
              <w:t>29,703</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2026-08-21</w:t>
            </w:r>
          </w:p>
        </w:tc>
        <w:tc>
          <w:tcPr>
            <w:tcW w:type="dxa" w:w="1440"/>
            <w:shd w:fill="C6EFCE" w:val="clear"/>
          </w:tcPr>
          <w:p>
            <w:r>
              <w:rPr>
                <w:sz w:val="17"/>
              </w:rPr>
              <w:t>24,246</w:t>
            </w:r>
          </w:p>
        </w:tc>
        <w:tc>
          <w:tcPr>
            <w:tcW w:type="dxa" w:w="1440"/>
            <w:shd w:fill="C6EFCE" w:val="clear"/>
          </w:tcPr>
          <w:p>
            <w:r>
              <w:rPr>
                <w:b/>
                <w:sz w:val="17"/>
              </w:rPr>
              <w:t>27,179</w:t>
            </w:r>
          </w:p>
        </w:tc>
        <w:tc>
          <w:tcPr>
            <w:tcW w:type="dxa" w:w="1440"/>
            <w:shd w:fill="C6EFCE" w:val="clear"/>
          </w:tcPr>
          <w:p>
            <w:r>
              <w:rPr>
                <w:sz w:val="17"/>
              </w:rPr>
              <w:t>30,112</w:t>
            </w:r>
          </w:p>
        </w:tc>
        <w:tc>
          <w:tcPr>
            <w:tcW w:type="dxa" w:w="1440"/>
            <w:shd w:fill="C6EFCE" w:val="clear"/>
          </w:tcPr>
          <w:p>
            <w:r>
              <w:rPr>
                <w:b/>
                <w:color w:val="008000"/>
                <w:sz w:val="17"/>
              </w:rPr>
              <w:t>+8.7%</w:t>
            </w:r>
          </w:p>
        </w:tc>
      </w:tr>
      <w:tr>
        <w:tc>
          <w:tcPr>
            <w:tcW w:type="dxa" w:w="1440"/>
            <w:shd w:fill="C6EFCE" w:val="clear"/>
          </w:tcPr>
          <w:p>
            <w:r>
              <w:rPr>
                <w:sz w:val="17"/>
              </w:rPr>
              <w:t>J+10  ⭐</w:t>
            </w:r>
          </w:p>
        </w:tc>
        <w:tc>
          <w:tcPr>
            <w:tcW w:type="dxa" w:w="1440"/>
            <w:shd w:fill="C6EFCE" w:val="clear"/>
          </w:tcPr>
          <w:p>
            <w:r>
              <w:rPr>
                <w:sz w:val="17"/>
              </w:rPr>
              <w:t>2026-08-24</w:t>
            </w:r>
          </w:p>
        </w:tc>
        <w:tc>
          <w:tcPr>
            <w:tcW w:type="dxa" w:w="1440"/>
            <w:shd w:fill="C6EFCE" w:val="clear"/>
          </w:tcPr>
          <w:p>
            <w:r>
              <w:rPr>
                <w:sz w:val="17"/>
              </w:rPr>
              <w:t>24,292</w:t>
            </w:r>
          </w:p>
        </w:tc>
        <w:tc>
          <w:tcPr>
            <w:tcW w:type="dxa" w:w="1440"/>
            <w:shd w:fill="C6EFCE" w:val="clear"/>
          </w:tcPr>
          <w:p>
            <w:r>
              <w:rPr>
                <w:b/>
                <w:sz w:val="17"/>
              </w:rPr>
              <w:t>27,409</w:t>
            </w:r>
          </w:p>
        </w:tc>
        <w:tc>
          <w:tcPr>
            <w:tcW w:type="dxa" w:w="1440"/>
            <w:shd w:fill="C6EFCE" w:val="clear"/>
          </w:tcPr>
          <w:p>
            <w:r>
              <w:rPr>
                <w:sz w:val="17"/>
              </w:rPr>
              <w:t>30,527</w:t>
            </w:r>
          </w:p>
        </w:tc>
        <w:tc>
          <w:tcPr>
            <w:tcW w:type="dxa" w:w="1440"/>
            <w:shd w:fill="C6EFCE" w:val="clear"/>
          </w:tcPr>
          <w:p>
            <w:r>
              <w:rPr>
                <w:b/>
                <w:color w:val="008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448,88 milliards FCFA, ce qui en fait l'une des valeurs les plus significatives de la BRVM, reflétant son statut de leader dans le secteur du tabac en Afrique de l'Ouest. Avec un BPA de 2 014 FCFA, chaque action génère un bénéfice substantiel pour son détenteur. Le PER de 12,4x se situe légèrement au-dessus de la moyenne historique de la BRVM (8-12x), indiquant que les investisseurs acceptent de payer une prime modérée pour la qualité des bénéfices de l'entreprise. Le P/B de 9,90x est particulièrement élevé, signifiant que le marché valorise fortement l'actif net de la société, ce qui reflète une confiance dans sa capacité à générer des rendements supérieurs à son actif comptable. Enfin, l'EV/EBITDA de 9,0x reste dans une fourchette raisonnable (5-10x), suggérant que la valeur totale de l'entreprise par rapport à sa capacité opérationnelle demeure attractive malgré les autres ratios exigeants.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 enregistré une progression remarquable de +17,37%, avec une dernière séance en légère hausse de +0,08% à 25 000 FCFA. Le titre a évolué dans une fourchette de 19 705 FCFA (plus bas) à 25 000 FCFA (plus haut), démontrant une dynamique haussière soutenue. La moyenne du cours sur la période s'établit à 22 138 FCFA, légèrement supérieure à la médiane de 21 860 FCFA, ce qui indique une distribution asymétrique positive (skewness de 0,588) avec davantage de journées sous la moyenne. L'écart-type de 1 364 FCFA, représentant un coefficient de variation de 6,2%, témoigne d'une dispersion modérée des prix autour de la moyenne. Le kurtosis de -0,710 (mésokurtique) suggère une distribution proche de la normale, sans risque excessif de mouvements extrêmes. La volatilité annualisée de 28,5% classe le titre dans la catégorie des valeurs à volatilité élevée, ce qui implique des fluctuations de prix potentiellement importantes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25 000 FCFA se positionne nettement au-dessus de la MM20 (23 664,75 FCFA) et de la MM50 (23 179,3 FCFA), confirmant une tendance haussière solide. L'écart positif entre le prix et les moyennes mobiles indique un momentum positif, justifiant la décision d'achat. La configuration des moyennes mobiles, avec la MM20 au-dessus de la MM50, suggère une dynamique de court terme supérieure à la tendance de moyen terme, un signal classique de poursuite haussière.</w:t>
      </w:r>
    </w:p>
    <w:p>
      <w:pPr>
        <w:spacing w:after="120" w:line="276" w:lineRule="auto"/>
      </w:pPr>
      <w:r>
        <w:t>**Bandes de Bollinger** : Le prix évolue à 25 000 FCFA, très proche de la borne supérieure (25 159,536 FCFA), ce qui indique une pression acheteuse intense. La largeur des bandes reflète une volatilité accrue, mais le fait que le prix ne dépasse pas la borne suggère une consolidation potentielle. La décision "Neutre" est justifiée car le titre approche une zone de résistance technique, et un éventuel dépassement de la borne supérieure pourrait signaler une poursuite du mouvement haussier.</w:t>
      </w:r>
    </w:p>
    <w:p>
      <w:pPr>
        <w:spacing w:after="120" w:line="276" w:lineRule="auto"/>
      </w:pPr>
      <w:r>
        <w:t>**MACD** : La valeur du MACD (373,783) est nettement supérieure à son signal (216,039), confirmant un momentum haussier robuste. La divergence positive entre le MACD et son signal indique que la dynamique d'achat s'intensifie, justifiant la décision d'achat. Cette configuration technique suggère que la tendance haussière pourrait se poursuivre à court terme.</w:t>
      </w:r>
    </w:p>
    <w:p>
      <w:pPr>
        <w:spacing w:after="120" w:line="276" w:lineRule="auto"/>
      </w:pPr>
      <w:r>
        <w:t>**RSI** : Le RSI s'établit à 79,223, dépassant largement le seuil de surachat de 70. Cette valeur indique que le titre est actuellement en zone de surachat, ce qui pourrait précéder une correction technique. La décision "Vente" est justifiée par ce niveau extrême, signalant que les acheteurs sont potentiellement épuisés et qu'un repli est probable à court terme.</w:t>
      </w:r>
    </w:p>
    <w:p>
      <w:pPr>
        <w:spacing w:after="120" w:line="276" w:lineRule="auto"/>
      </w:pPr>
      <w:r>
        <w:t>**Stochastique** : Le %K (100,0) et le %D (99,667) sont tous deux à des niveaux extrêmement élevés, confirmant la zone de surachat. La proximité de ces valeurs avec 100 indique que le titre est fortement suracheté, avec un risque élevé de retournement baissier. La décision "Vente" est justifiée par cette configuration, qui suggère que le mouvement haussier pourrait être proche de son terme.</w:t>
      </w:r>
    </w:p>
    <w:p>
      <w:pPr>
        <w:spacing w:after="120" w:line="276" w:lineRule="auto"/>
      </w:pPr>
      <w:r>
        <w:t>**Conclusion technique** : Les indicateurs de tendance (MM, MACD) sont positifs et confirment une dynamique haussière, mais les oscillateurs (RSI, Stochastique) signalent une condition de surachat extrême. Cette divergence entre les indicateurs de tendance et de momentum suggère qu'une consolidation ou correction pourrait survenir à court terme, bien que la tendance de fond demeure haussière.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les données structurées de STBC révèlent un chiffre d'affaires de 268,537 milliards FCFA, en croissance de 25,3% par rapport à 2024, démontrant une dynamique commerciale exceptionnelle. Le résultat net s'établit à 36,158 milliards FCFA, en baisse par rapport aux 44,2 milliards de 2024, avec une marge nette de 13,46%. La rentabilité des fonds propres (ROE) atteint un niveau remarquable de 79,75%, tandis que le ROA s'élève à 48,09%, témoignant d'une utilisation très efficace des actifs. La structure financière est saine avec une autonomie financière de 60,3%, une trésorerie nette de 30,763 milliards FCFA et une dette financière quasi inexistante (1,4 million FCFA). Le BFR de 5,639 milliards FCFA est positif mais maîtrisé, avec un délai clients de 42,57 jours et une durée de stockage de 5,73 jours. Les rapports trimestriels 2025 montrent une progression continue : le T1 affiche un CA de 61,4 milliards (+34,7%), le S1 atteint 130,96 milliards (+41,8%), mais le T4 subit une dégradation avec un résultat net en baisse de 74% sous l'effet de la hausse des droits d'accises (de 49% à 70%). Le rapport annuel 2025 (daté du 31 décembre 2025) confirme la baisse de rentabilité avec une marge nette passant de 20,4% à 13,6%, mais le dividende proposé reste attractif à 1 940 FCFA par action. Pour 2026, le rapport T1 2026 (daté du 31 mars 2026) indique un CA de 68,8 milliards (+12%) avec des volumes en hausse de 10%, mais un résultat net stable à 9,3 milliards (-1%). On estime que l'exercice 2026 devrait confirmer la stabilisation de la rentabilité, avec une pression fiscale persistante mais une croissance soutenue des volumes.</w:t>
      </w:r>
    </w:p>
    <w:p>
      <w:pPr>
        <w:spacing w:after="120" w:line="276" w:lineRule="auto" w:before="240"/>
      </w:pPr>
      <w:r>
        <w:rPr>
          <w:b/>
          <w:color w:val="003366"/>
          <w:sz w:val="24"/>
        </w:rPr>
        <w:t>**PARTIE 4 : CONCLUSION D'INVESTISSEMENT**</w:t>
      </w:r>
    </w:p>
    <w:p>
      <w:pPr>
        <w:spacing w:after="120" w:line="276" w:lineRule="auto"/>
      </w:pPr>
      <w:r>
        <w:t>La valorisation de STBC avec un PER de 12,4x et un EV/EBITDA de 9,0x reste raisonnable, mais le P/B de 9,90x indique une prime significative par rapport à la valeur comptable. Le comportement du cours sur 100 jours (+17,37%) démontre une tendance haussière solide, bien que la volatilité de 28,5% et les statistiques de distribution suggèrent des fluctuations notables. Les signaux techniques sont mitigés : les indicateurs de tendance (MM, MACD) sont positifs, mais le RSI à 79,2 et le Stochastique à 100 signalent un surachat extrême, suggérant un risque de correction à court terme. Les fondamentaux demeurent solides avec une croissance du CA de 25,3% en 2025, un ROE exceptionnel de 79,75%, et une structure financière saine sans dette, malgré une baisse de rentabilité due à la pression fiscale. Les prédictions IA pour les 10 prochains jours (25 338 à 26 265 FCFA) confirment la poursuite de la tendance haussière, mais cette trajectoire pourrait être contrariée par les signaux de surachat technique. La convergence entre les fondamentaux solides et la tendance haussière, malgré les signaux techniques de surachat, justifie une recommandation **CONSERVER** avec un niveau de confiance **Moyen** et un risque global **Moyen**. L'horizon d'investissement optimal serait le **moyen terme (3-12 mois)**, permettant d'absorber une éventuelle correction technique tout en bénéficiant de la solidité fondamentale de l'entreprise et de sa politique de dividende attractive.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188.57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8,948 titres</w:t>
            </w:r>
          </w:p>
        </w:tc>
        <w:tc>
          <w:tcPr>
            <w:tcW w:type="dxa" w:w="2268"/>
            <w:shd w:fill="FFF2CC" w:val="clear"/>
          </w:tcPr>
          <w:p>
            <w:r>
              <w:rPr>
                <w:b/>
                <w:color w:val="503200"/>
                <w:sz w:val="16"/>
              </w:rPr>
              <w:t xml:space="preserve">Cours actuel : </w:t>
            </w:r>
            <w:r>
              <w:rPr>
                <w:color w:val="000000"/>
                <w:sz w:val="17"/>
              </w:rPr>
              <w:t>2,995 FCFA</w:t>
            </w:r>
          </w:p>
          <w:p>
            <w:r>
              <w:rPr>
                <w:b/>
                <w:color w:val="503200"/>
                <w:sz w:val="16"/>
              </w:rPr>
              <w:t xml:space="preserve">Var. 100 jours : </w:t>
            </w:r>
            <w:r>
              <w:rPr>
                <w:b/>
                <w:color w:val="007800"/>
                <w:sz w:val="17"/>
              </w:rPr>
              <w:t>+6.96%</w:t>
            </w:r>
          </w:p>
          <w:p>
            <w:r>
              <w:rPr>
                <w:b/>
                <w:color w:val="503200"/>
                <w:sz w:val="16"/>
              </w:rPr>
              <w:t xml:space="preserve">Plus haut 100j : </w:t>
            </w:r>
            <w:r>
              <w:rPr>
                <w:color w:val="000000"/>
                <w:sz w:val="17"/>
              </w:rPr>
              <w:t>3,060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3.30% (Faible) — μ=2,850 FCFA, σ=94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β=-0.0913 (Contre-cyclique) — Cov=-0.000003, Var(idx)=0.000036, ρ=-0.021,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8,948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2026-08-11</w:t>
            </w:r>
          </w:p>
        </w:tc>
        <w:tc>
          <w:tcPr>
            <w:tcW w:type="dxa" w:w="1440"/>
            <w:shd w:fill="FAFAFA" w:val="clear"/>
          </w:tcPr>
          <w:p>
            <w:r>
              <w:rPr>
                <w:sz w:val="17"/>
              </w:rPr>
              <w:t>2,800</w:t>
            </w:r>
          </w:p>
        </w:tc>
        <w:tc>
          <w:tcPr>
            <w:tcW w:type="dxa" w:w="1440"/>
            <w:shd w:fill="FAFAFA" w:val="clear"/>
          </w:tcPr>
          <w:p>
            <w:r>
              <w:rPr>
                <w:b/>
                <w:sz w:val="17"/>
              </w:rPr>
              <w:t>2,967</w:t>
            </w:r>
          </w:p>
        </w:tc>
        <w:tc>
          <w:tcPr>
            <w:tcW w:type="dxa" w:w="1440"/>
            <w:shd w:fill="FAFAFA" w:val="clear"/>
          </w:tcPr>
          <w:p>
            <w:r>
              <w:rPr>
                <w:sz w:val="17"/>
              </w:rPr>
              <w:t>3,134</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2026-08-12</w:t>
            </w:r>
          </w:p>
        </w:tc>
        <w:tc>
          <w:tcPr>
            <w:tcW w:type="dxa" w:w="1440"/>
            <w:shd w:fill="FAFAFA" w:val="clear"/>
          </w:tcPr>
          <w:p>
            <w:r>
              <w:rPr>
                <w:sz w:val="17"/>
              </w:rPr>
              <w:t>2,731</w:t>
            </w:r>
          </w:p>
        </w:tc>
        <w:tc>
          <w:tcPr>
            <w:tcW w:type="dxa" w:w="1440"/>
            <w:shd w:fill="FAFAFA" w:val="clear"/>
          </w:tcPr>
          <w:p>
            <w:r>
              <w:rPr>
                <w:b/>
                <w:sz w:val="17"/>
              </w:rPr>
              <w:t>2,968</w:t>
            </w:r>
          </w:p>
        </w:tc>
        <w:tc>
          <w:tcPr>
            <w:tcW w:type="dxa" w:w="1440"/>
            <w:shd w:fill="FAFAFA" w:val="clear"/>
          </w:tcPr>
          <w:p>
            <w:r>
              <w:rPr>
                <w:sz w:val="17"/>
              </w:rPr>
              <w:t>3,204</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2026-08-13</w:t>
            </w:r>
          </w:p>
        </w:tc>
        <w:tc>
          <w:tcPr>
            <w:tcW w:type="dxa" w:w="1440"/>
            <w:shd w:fill="FAFAFA" w:val="clear"/>
          </w:tcPr>
          <w:p>
            <w:r>
              <w:rPr>
                <w:sz w:val="17"/>
              </w:rPr>
              <w:t>2,669</w:t>
            </w:r>
          </w:p>
        </w:tc>
        <w:tc>
          <w:tcPr>
            <w:tcW w:type="dxa" w:w="1440"/>
            <w:shd w:fill="FAFAFA" w:val="clear"/>
          </w:tcPr>
          <w:p>
            <w:r>
              <w:rPr>
                <w:b/>
                <w:sz w:val="17"/>
              </w:rPr>
              <w:t>2,958</w:t>
            </w:r>
          </w:p>
        </w:tc>
        <w:tc>
          <w:tcPr>
            <w:tcW w:type="dxa" w:w="1440"/>
            <w:shd w:fill="FAFAFA" w:val="clear"/>
          </w:tcPr>
          <w:p>
            <w:r>
              <w:rPr>
                <w:sz w:val="17"/>
              </w:rPr>
              <w:t>3,246</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2026-08-14</w:t>
            </w:r>
          </w:p>
        </w:tc>
        <w:tc>
          <w:tcPr>
            <w:tcW w:type="dxa" w:w="1440"/>
            <w:shd w:fill="FAFAFA" w:val="clear"/>
          </w:tcPr>
          <w:p>
            <w:r>
              <w:rPr>
                <w:sz w:val="17"/>
              </w:rPr>
              <w:t>2,618</w:t>
            </w:r>
          </w:p>
        </w:tc>
        <w:tc>
          <w:tcPr>
            <w:tcW w:type="dxa" w:w="1440"/>
            <w:shd w:fill="FAFAFA" w:val="clear"/>
          </w:tcPr>
          <w:p>
            <w:r>
              <w:rPr>
                <w:b/>
                <w:sz w:val="17"/>
              </w:rPr>
              <w:t>2,950</w:t>
            </w:r>
          </w:p>
        </w:tc>
        <w:tc>
          <w:tcPr>
            <w:tcW w:type="dxa" w:w="1440"/>
            <w:shd w:fill="FAFAFA" w:val="clear"/>
          </w:tcPr>
          <w:p>
            <w:r>
              <w:rPr>
                <w:sz w:val="17"/>
              </w:rPr>
              <w:t>3,282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2026-08-17</w:t>
            </w:r>
          </w:p>
        </w:tc>
        <w:tc>
          <w:tcPr>
            <w:tcW w:type="dxa" w:w="1440"/>
            <w:shd w:fill="FAFAFA" w:val="clear"/>
          </w:tcPr>
          <w:p>
            <w:r>
              <w:rPr>
                <w:sz w:val="17"/>
              </w:rPr>
              <w:t>2,573</w:t>
            </w:r>
          </w:p>
        </w:tc>
        <w:tc>
          <w:tcPr>
            <w:tcW w:type="dxa" w:w="1440"/>
            <w:shd w:fill="FAFAFA" w:val="clear"/>
          </w:tcPr>
          <w:p>
            <w:r>
              <w:rPr>
                <w:b/>
                <w:sz w:val="17"/>
              </w:rPr>
              <w:t>2,943</w:t>
            </w:r>
          </w:p>
        </w:tc>
        <w:tc>
          <w:tcPr>
            <w:tcW w:type="dxa" w:w="1440"/>
            <w:shd w:fill="FAFAFA" w:val="clear"/>
          </w:tcPr>
          <w:p>
            <w:r>
              <w:rPr>
                <w:sz w:val="17"/>
              </w:rPr>
              <w:t>3,314</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2026-08-18</w:t>
            </w:r>
          </w:p>
        </w:tc>
        <w:tc>
          <w:tcPr>
            <w:tcW w:type="dxa" w:w="1440"/>
            <w:shd w:fill="FAFAFA" w:val="clear"/>
          </w:tcPr>
          <w:p>
            <w:r>
              <w:rPr>
                <w:sz w:val="17"/>
              </w:rPr>
              <w:t>2,532</w:t>
            </w:r>
          </w:p>
        </w:tc>
        <w:tc>
          <w:tcPr>
            <w:tcW w:type="dxa" w:w="1440"/>
            <w:shd w:fill="FAFAFA" w:val="clear"/>
          </w:tcPr>
          <w:p>
            <w:r>
              <w:rPr>
                <w:b/>
                <w:sz w:val="17"/>
              </w:rPr>
              <w:t>2,937</w:t>
            </w:r>
          </w:p>
        </w:tc>
        <w:tc>
          <w:tcPr>
            <w:tcW w:type="dxa" w:w="1440"/>
            <w:shd w:fill="FAFAFA" w:val="clear"/>
          </w:tcPr>
          <w:p>
            <w:r>
              <w:rPr>
                <w:sz w:val="17"/>
              </w:rPr>
              <w:t>3,343</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2,495</w:t>
            </w:r>
          </w:p>
        </w:tc>
        <w:tc>
          <w:tcPr>
            <w:tcW w:type="dxa" w:w="1440"/>
            <w:shd w:fill="FFDCE0" w:val="clear"/>
          </w:tcPr>
          <w:p>
            <w:r>
              <w:rPr>
                <w:b/>
                <w:sz w:val="17"/>
              </w:rPr>
              <w:t>2,932</w:t>
            </w:r>
          </w:p>
        </w:tc>
        <w:tc>
          <w:tcPr>
            <w:tcW w:type="dxa" w:w="1440"/>
            <w:shd w:fill="FFDCE0" w:val="clear"/>
          </w:tcPr>
          <w:p>
            <w:r>
              <w:rPr>
                <w:sz w:val="17"/>
              </w:rPr>
              <w:t>3,369</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2,460</w:t>
            </w:r>
          </w:p>
        </w:tc>
        <w:tc>
          <w:tcPr>
            <w:tcW w:type="dxa" w:w="1440"/>
            <w:shd w:fill="FFDCE0" w:val="clear"/>
          </w:tcPr>
          <w:p>
            <w:r>
              <w:rPr>
                <w:b/>
                <w:sz w:val="17"/>
              </w:rPr>
              <w:t>2,926</w:t>
            </w:r>
          </w:p>
        </w:tc>
        <w:tc>
          <w:tcPr>
            <w:tcW w:type="dxa" w:w="1440"/>
            <w:shd w:fill="FFDCE0" w:val="clear"/>
          </w:tcPr>
          <w:p>
            <w:r>
              <w:rPr>
                <w:sz w:val="17"/>
              </w:rPr>
              <w:t>3,392</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2,427</w:t>
            </w:r>
          </w:p>
        </w:tc>
        <w:tc>
          <w:tcPr>
            <w:tcW w:type="dxa" w:w="1440"/>
            <w:shd w:fill="FFDCE0" w:val="clear"/>
          </w:tcPr>
          <w:p>
            <w:r>
              <w:rPr>
                <w:b/>
                <w:sz w:val="17"/>
              </w:rPr>
              <w:t>2,921</w:t>
            </w:r>
          </w:p>
        </w:tc>
        <w:tc>
          <w:tcPr>
            <w:tcW w:type="dxa" w:w="1440"/>
            <w:shd w:fill="FFDCE0" w:val="clear"/>
          </w:tcPr>
          <w:p>
            <w:r>
              <w:rPr>
                <w:sz w:val="17"/>
              </w:rPr>
              <w:t>3,414</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2,396</w:t>
            </w:r>
          </w:p>
        </w:tc>
        <w:tc>
          <w:tcPr>
            <w:tcW w:type="dxa" w:w="1440"/>
            <w:shd w:fill="FFDCE0" w:val="clear"/>
          </w:tcPr>
          <w:p>
            <w:r>
              <w:rPr>
                <w:b/>
                <w:sz w:val="17"/>
              </w:rPr>
              <w:t>2,915</w:t>
            </w:r>
          </w:p>
        </w:tc>
        <w:tc>
          <w:tcPr>
            <w:tcW w:type="dxa" w:w="1440"/>
            <w:shd w:fill="FFDCE0" w:val="clear"/>
          </w:tcPr>
          <w:p>
            <w:r>
              <w:rPr>
                <w:sz w:val="17"/>
              </w:rPr>
              <w:t>3,435</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188,57 milliards FCFA, ce qui positionne le titre parmi les valeurs moyennes à grandes capitalisations de la BRVM, lui conférant une liquidité et une visibilité notables. Avec un BPA de 144 FCFA, le titre se négocie à un PER de 20,8x, nettement supérieur à la moyenne historique de la BRVM (8-12x), indiquant que les investisseurs paient une prime substantielle pour les bénéfices actuels, probablement en anticipant une croissance future. Le P/B de 5,21x confirme cette valorisation exigeante, le marché valorisant le titre plus de cinq fois sa valeur comptable, ce qui reflète une forte confiance dans la marque et les actifs immatériels. Enfin, l'EV/EBITDA de 10,9x, bien que dans la fourchette haute (10-15x), reste plus mesuré et suggère que la valeur d'entreprise par rapport à la capacité opérationnelle, bien que premium, n'est pas totalement déconnectée des fondamentaux.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+6,96%, avec une accélération notable lors de la dernière séance (+6,77% en J-1), portant le cours à 2 995 FCFA. Le titre a évolué dans un range de 2 650 à 3 060 FCFA, démontrant une tendance globalement haussière sur la période. La moyenne (2 850 FCFA) et la médiane (2 862 FCFA) sont très proches, indiquant une distribution symétrique du cours, ce que confirme le skewness de -0,153. L'écart-type de 95 FCFA, avec un coefficient de variation de seulement 3,3%, révèle une dispersion très faible autour de la moyenne, témoignant d'une stabilité relative du cours. Le kurtosis de -0,696 (mésokurtique) suggère une absence de risques extrêmes de pics ou de krachs soudains. Cependant, la volatilité annualisée de 41,3% est élevée (&gt;30%), signalant des fluctuations potentielles importantes à long terme, malgré une stabilité apparente à court terme.</w:t>
      </w:r>
    </w:p>
    <w:p>
      <w:pPr>
        <w:spacing w:after="120" w:line="276" w:lineRule="auto" w:before="240"/>
      </w:pPr>
      <w:r>
        <w:rPr>
          <w:b/>
          <w:color w:val="003366"/>
          <w:sz w:val="24"/>
        </w:rPr>
        <w:t>**PARTIE 2 : ANALYSE TECHNIQUE DÉTAILLÉE**</w:t>
      </w:r>
    </w:p>
    <w:p>
      <w:pPr>
        <w:spacing w:after="120" w:line="276" w:lineRule="auto"/>
      </w:pPr>
      <w:r>
        <w:t>**Moyennes Mobiles** : Le cours actuel (2 995 FCFA) se situe au-dessus de la MM20 (2 932 FCFA) et de la MM50 (2 896 FCFA), avec une MM20 supérieure à la MM50, configurant un croisement haussier. Cette structure indique une dynamique positive à court et moyen terme, justifiant la décision d'achat.</w:t>
      </w:r>
    </w:p>
    <w:p>
      <w:pPr>
        <w:spacing w:after="120" w:line="276" w:lineRule="auto"/>
      </w:pPr>
      <w:r>
        <w:t>**Bandes de Bollinger** : Le cours à 2 995 FCFA se positionne dans la partie supérieure des bandes (borne supérieure à 3 079,48 FCFA, borne inférieure à 2 784,52 FCFA), sans toutefois la toucher. Cette position suggère une pression acheteuse modérée, mais sans surachat extrême, d'où la décision neutre.</w:t>
      </w:r>
    </w:p>
    <w:p>
      <w:pPr>
        <w:spacing w:after="120" w:line="276" w:lineRule="auto"/>
      </w:pPr>
      <w:r>
        <w:t>**MACD** : La valeur du MACD (11,246) est inférieure à son signal (15,014), indiquant un momentum baissier à court terme. Cette divergence négative, bien que les deux lignes restent au-dessus de zéro, signale un essoufflement possible de la tendance haussière, justifiant la décision de vente.</w:t>
      </w:r>
    </w:p>
    <w:p>
      <w:pPr>
        <w:spacing w:after="120" w:line="276" w:lineRule="auto"/>
      </w:pPr>
      <w:r>
        <w:t>**RSI** : À 55,357, le RSI se situe en zone neutre (30-70), indiquant un équilibre entre pression acheteuse et vendeuse. Le titre n'est ni suracheté ni survendu, laissant place à une évolution directionnelle, d'où la décision neutre.</w:t>
      </w:r>
    </w:p>
    <w:p>
      <w:pPr>
        <w:spacing w:after="120" w:line="276" w:lineRule="auto"/>
      </w:pPr>
      <w:r>
        <w:t>**Stochastique** : Le %K (97,826) est très élevé et nettement supérieur au %D (68,116), signalant une condition de surachat extrême. Ce niveau suggère un risque élevé de correction technique à très court terme, justifiant la décision de vente.</w:t>
      </w:r>
    </w:p>
    <w:p>
      <w:pPr>
        <w:spacing w:after="120" w:line="276" w:lineRule="auto"/>
      </w:pPr>
      <w:r>
        <w:t>**Conclusion technique** : Les indicateurs sont mitigés : les moyennes mobiles sont haussières, mais le MACD et le stochastique signalent un essoufflement et un surachat imminent. Le RSI neutre et les bandes de Bollinger sans pression extrême tempèrent ce signal. Globalement, la tendance de fond reste positive, mais un repli technique à court terme est probable avant une reprise.</w:t>
      </w:r>
    </w:p>
    <w:p>
      <w:pPr>
        <w:spacing w:after="120" w:line="276" w:lineRule="auto" w:before="240"/>
      </w:pPr>
      <w:r>
        <w:rPr>
          <w:b/>
          <w:color w:val="003366"/>
          <w:sz w:val="24"/>
        </w:rPr>
        <w:t>**PARTIE 3 : ANALYSE FONDAMENTALE (SECTION CRITIQUE)**</w:t>
      </w:r>
    </w:p>
    <w:p>
      <w:pPr>
        <w:spacing w:after="120" w:line="276" w:lineRule="auto"/>
      </w:pPr>
      <w:r>
        <w:t>En 2025, TTLC a réalisé un chiffre d'affaires de 588,709 milliards FCFA, en baisse de 5,2% par rapport à 2024 (621,042 milliards FCFA), mais avec une amélioration notable de la rentabilité opérationnelle : le résultat d'exploitation a bondi de 18% à 12,329 milliards FCFA et l'EBE de 12% à 22,347 milliards FCFA, démontrant une meilleure maîtrise des marges. Le résultat net s'établit à 9,087 milliards FCFA (-3%), avec un ROE excellent de 25,1% et un ROA de 4,8%. En tant qu'entreprise de distribution, le BFR négatif de -9,662 milliards FCFA est un point très favorable, indiquant que TTLC finance son exploitation grâce aux délais fournisseurs (49,72 jours) et une rotation rapide des stocks (13,8 jours). Cependant, la trésorerie nette est fortement négative (-21,926 milliards FCFA) et le taux de distribution de dividende dépasse 100% du résultat net (10 milliards FCFA proposés), ce qui pèse sur la liquidité. Sur la base du rapport T1 2026 (publié en 2026), le chiffre d'affaires progresse de 4,3% à 154,392 milliards FCFA et le résultat net de 5,5% à 2,329 milliards FCFA, laissant présager une année 2026 en amélioration. La recommandation fondamentale est de conserver, la société étant solide et rentable, mais avec des signaux de prudence sur la trésorerie et la soutenabilité du dividende.</w:t>
      </w:r>
    </w:p>
    <w:p>
      <w:pPr>
        <w:spacing w:after="120" w:line="276" w:lineRule="auto" w:before="240"/>
      </w:pPr>
      <w:r>
        <w:rPr>
          <w:b/>
          <w:color w:val="003366"/>
          <w:sz w:val="24"/>
        </w:rPr>
        <w:t>**PARTIE 4 : CONCLUSION D'INVESTISSEMENT**</w:t>
      </w:r>
    </w:p>
    <w:p>
      <w:pPr>
        <w:spacing w:after="120" w:line="276" w:lineRule="auto"/>
      </w:pPr>
      <w:r>
        <w:t>La valorisation de TTLC est exigeante (PER 20,8x, P/B 5,21x), indiquant une surévaluation relative par rapport au marché BRVM, mais justifiée par un ROE de 25,1% et une position de leader. Le comportement du cours sur 100 jours est haussier (+6,96%) avec une volatilité annualisée élevée (41,3%), mais une distribution statistique stable (kurtosis et skewness proches de zéro). Les signaux techniques sont mitigés : les moyennes mobiles sont haussières, mais le MACD et le stochastique suggèrent un repli imminent. Les fondamentaux, bien qu'en légère baisse en 2025, montrent une amélioration opérationnelle et une reprise au T1 2026 (CA +4,3%, RN +5,5%). Les prédictions IA (2 967 à 2 943 FCFA sur J+1 à J+10) confirment le scénario technique d'une consolidation à court terme. En synthèse, la convergence entre la surévaluation relative, les signaux techniques de surachat et la prédiction IA de repli plaide pour une recommandation **CONSERVER**. Le niveau de confiance est **Moyen** (divergence entre fondamentaux solides et valorisation élevée), le risque global est **Moyen** (volatilité élevée et trésorerie négative), et l'horizon d'investissement optimal est le **moyen terme (3-12 mois)**, en attendant une meilleure valorisation ou une confirmation de la croissance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117.28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2,815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+10.94%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10.75% (Moyenne) — μ=3,436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β=1.4230 (Agressif) — Cov=0.000052, Var(idx)=0.000036, ρ=0.269,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5477"/>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2026-08-11</w:t>
            </w:r>
          </w:p>
        </w:tc>
        <w:tc>
          <w:tcPr>
            <w:tcW w:type="dxa" w:w="1440"/>
            <w:shd w:fill="FFDCE0" w:val="clear"/>
          </w:tcPr>
          <w:p>
            <w:r>
              <w:rPr>
                <w:sz w:val="17"/>
              </w:rPr>
              <w:t>3,262</w:t>
            </w:r>
          </w:p>
        </w:tc>
        <w:tc>
          <w:tcPr>
            <w:tcW w:type="dxa" w:w="1440"/>
            <w:shd w:fill="FFDCE0" w:val="clear"/>
          </w:tcPr>
          <w:p>
            <w:r>
              <w:rPr>
                <w:b/>
                <w:sz w:val="17"/>
              </w:rPr>
              <w:t>3,475</w:t>
            </w:r>
          </w:p>
        </w:tc>
        <w:tc>
          <w:tcPr>
            <w:tcW w:type="dxa" w:w="1440"/>
            <w:shd w:fill="FFDCE0" w:val="clear"/>
          </w:tcPr>
          <w:p>
            <w:r>
              <w:rPr>
                <w:sz w:val="17"/>
              </w:rPr>
              <w:t>3,688</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2026-08-12</w:t>
            </w:r>
          </w:p>
        </w:tc>
        <w:tc>
          <w:tcPr>
            <w:tcW w:type="dxa" w:w="1440"/>
            <w:shd w:fill="FFDCE0" w:val="clear"/>
          </w:tcPr>
          <w:p>
            <w:r>
              <w:rPr>
                <w:sz w:val="17"/>
              </w:rPr>
              <w:t>3,129</w:t>
            </w:r>
          </w:p>
        </w:tc>
        <w:tc>
          <w:tcPr>
            <w:tcW w:type="dxa" w:w="1440"/>
            <w:shd w:fill="FFDCE0" w:val="clear"/>
          </w:tcPr>
          <w:p>
            <w:r>
              <w:rPr>
                <w:b/>
                <w:sz w:val="17"/>
              </w:rPr>
              <w:t>3,427</w:t>
            </w:r>
          </w:p>
        </w:tc>
        <w:tc>
          <w:tcPr>
            <w:tcW w:type="dxa" w:w="1440"/>
            <w:shd w:fill="FFDCE0" w:val="clear"/>
          </w:tcPr>
          <w:p>
            <w:r>
              <w:rPr>
                <w:sz w:val="17"/>
              </w:rPr>
              <w:t>3,724</w:t>
            </w:r>
          </w:p>
        </w:tc>
        <w:tc>
          <w:tcPr>
            <w:tcW w:type="dxa" w:w="1440"/>
            <w:shd w:fill="FFDCE0" w:val="clear"/>
          </w:tcPr>
          <w:p>
            <w:r>
              <w:rPr>
                <w:b/>
                <w:color w:val="C00000"/>
                <w:sz w:val="17"/>
              </w:rPr>
              <w:t>-4.8%</w:t>
            </w:r>
          </w:p>
        </w:tc>
      </w:tr>
      <w:tr>
        <w:tc>
          <w:tcPr>
            <w:tcW w:type="dxa" w:w="1440"/>
            <w:shd w:fill="FFDCE0" w:val="clear"/>
          </w:tcPr>
          <w:p>
            <w:r>
              <w:rPr>
                <w:sz w:val="17"/>
              </w:rPr>
              <w:t>J+3  ⭐</w:t>
            </w:r>
          </w:p>
        </w:tc>
        <w:tc>
          <w:tcPr>
            <w:tcW w:type="dxa" w:w="1440"/>
            <w:shd w:fill="FFDCE0" w:val="clear"/>
          </w:tcPr>
          <w:p>
            <w:r>
              <w:rPr>
                <w:sz w:val="17"/>
              </w:rPr>
              <w:t>2026-08-13</w:t>
            </w:r>
          </w:p>
        </w:tc>
        <w:tc>
          <w:tcPr>
            <w:tcW w:type="dxa" w:w="1440"/>
            <w:shd w:fill="FFDCE0" w:val="clear"/>
          </w:tcPr>
          <w:p>
            <w:r>
              <w:rPr>
                <w:sz w:val="17"/>
              </w:rPr>
              <w:t>3,024</w:t>
            </w:r>
          </w:p>
        </w:tc>
        <w:tc>
          <w:tcPr>
            <w:tcW w:type="dxa" w:w="1440"/>
            <w:shd w:fill="FFDCE0" w:val="clear"/>
          </w:tcPr>
          <w:p>
            <w:r>
              <w:rPr>
                <w:b/>
                <w:sz w:val="17"/>
              </w:rPr>
              <w:t>3,383</w:t>
            </w:r>
          </w:p>
        </w:tc>
        <w:tc>
          <w:tcPr>
            <w:tcW w:type="dxa" w:w="1440"/>
            <w:shd w:fill="FFDCE0" w:val="clear"/>
          </w:tcPr>
          <w:p>
            <w:r>
              <w:rPr>
                <w:sz w:val="17"/>
              </w:rPr>
              <w:t>3,743</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2,934</w:t>
            </w:r>
          </w:p>
        </w:tc>
        <w:tc>
          <w:tcPr>
            <w:tcW w:type="dxa" w:w="1440"/>
            <w:shd w:fill="FFDCE0" w:val="clear"/>
          </w:tcPr>
          <w:p>
            <w:r>
              <w:rPr>
                <w:b/>
                <w:sz w:val="17"/>
              </w:rPr>
              <w:t>3,345</w:t>
            </w:r>
          </w:p>
        </w:tc>
        <w:tc>
          <w:tcPr>
            <w:tcW w:type="dxa" w:w="1440"/>
            <w:shd w:fill="FFDCE0" w:val="clear"/>
          </w:tcPr>
          <w:p>
            <w:r>
              <w:rPr>
                <w:sz w:val="17"/>
              </w:rPr>
              <w:t>3,756</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2,856</w:t>
            </w:r>
          </w:p>
        </w:tc>
        <w:tc>
          <w:tcPr>
            <w:tcW w:type="dxa" w:w="1440"/>
            <w:shd w:fill="FFDCE0" w:val="clear"/>
          </w:tcPr>
          <w:p>
            <w:r>
              <w:rPr>
                <w:b/>
                <w:sz w:val="17"/>
              </w:rPr>
              <w:t>3,311</w:t>
            </w:r>
          </w:p>
        </w:tc>
        <w:tc>
          <w:tcPr>
            <w:tcW w:type="dxa" w:w="1440"/>
            <w:shd w:fill="FFDCE0" w:val="clear"/>
          </w:tcPr>
          <w:p>
            <w:r>
              <w:rPr>
                <w:sz w:val="17"/>
              </w:rPr>
              <w:t>3,765</w:t>
            </w:r>
          </w:p>
        </w:tc>
        <w:tc>
          <w:tcPr>
            <w:tcW w:type="dxa" w:w="1440"/>
            <w:shd w:fill="FFDCE0" w:val="clear"/>
          </w:tcPr>
          <w:p>
            <w:r>
              <w:rPr>
                <w:b/>
                <w:color w:val="C00000"/>
                <w:sz w:val="17"/>
              </w:rPr>
              <w:t>-8.0%</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2,786</w:t>
            </w:r>
          </w:p>
        </w:tc>
        <w:tc>
          <w:tcPr>
            <w:tcW w:type="dxa" w:w="1440"/>
            <w:shd w:fill="FFDCE0" w:val="clear"/>
          </w:tcPr>
          <w:p>
            <w:r>
              <w:rPr>
                <w:b/>
                <w:sz w:val="17"/>
              </w:rPr>
              <w:t>3,279</w:t>
            </w:r>
          </w:p>
        </w:tc>
        <w:tc>
          <w:tcPr>
            <w:tcW w:type="dxa" w:w="1440"/>
            <w:shd w:fill="FFDCE0" w:val="clear"/>
          </w:tcPr>
          <w:p>
            <w:r>
              <w:rPr>
                <w:sz w:val="17"/>
              </w:rPr>
              <w:t>3,772</w:t>
            </w:r>
          </w:p>
        </w:tc>
        <w:tc>
          <w:tcPr>
            <w:tcW w:type="dxa" w:w="1440"/>
            <w:shd w:fill="FFDCE0" w:val="clear"/>
          </w:tcPr>
          <w:p>
            <w:r>
              <w:rPr>
                <w:b/>
                <w:color w:val="C00000"/>
                <w:sz w:val="17"/>
              </w:rPr>
              <w:t>-8.9%</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2,721</w:t>
            </w:r>
          </w:p>
        </w:tc>
        <w:tc>
          <w:tcPr>
            <w:tcW w:type="dxa" w:w="1440"/>
            <w:shd w:fill="FFDCE0" w:val="clear"/>
          </w:tcPr>
          <w:p>
            <w:r>
              <w:rPr>
                <w:b/>
                <w:sz w:val="17"/>
              </w:rPr>
              <w:t>3,248</w:t>
            </w:r>
          </w:p>
        </w:tc>
        <w:tc>
          <w:tcPr>
            <w:tcW w:type="dxa" w:w="1440"/>
            <w:shd w:fill="FFDCE0" w:val="clear"/>
          </w:tcPr>
          <w:p>
            <w:r>
              <w:rPr>
                <w:sz w:val="17"/>
              </w:rPr>
              <w:t>3,776</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2,661</w:t>
            </w:r>
          </w:p>
        </w:tc>
        <w:tc>
          <w:tcPr>
            <w:tcW w:type="dxa" w:w="1440"/>
            <w:shd w:fill="FFDCE0" w:val="clear"/>
          </w:tcPr>
          <w:p>
            <w:r>
              <w:rPr>
                <w:b/>
                <w:sz w:val="17"/>
              </w:rPr>
              <w:t>3,220</w:t>
            </w:r>
          </w:p>
        </w:tc>
        <w:tc>
          <w:tcPr>
            <w:tcW w:type="dxa" w:w="1440"/>
            <w:shd w:fill="FFDCE0" w:val="clear"/>
          </w:tcPr>
          <w:p>
            <w:r>
              <w:rPr>
                <w:sz w:val="17"/>
              </w:rPr>
              <w:t>3,779</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2,605</w:t>
            </w:r>
          </w:p>
        </w:tc>
        <w:tc>
          <w:tcPr>
            <w:tcW w:type="dxa" w:w="1440"/>
            <w:shd w:fill="FFDCE0" w:val="clear"/>
          </w:tcPr>
          <w:p>
            <w:r>
              <w:rPr>
                <w:b/>
                <w:sz w:val="17"/>
              </w:rPr>
              <w:t>3,193</w:t>
            </w:r>
          </w:p>
        </w:tc>
        <w:tc>
          <w:tcPr>
            <w:tcW w:type="dxa" w:w="1440"/>
            <w:shd w:fill="FFDCE0" w:val="clear"/>
          </w:tcPr>
          <w:p>
            <w:r>
              <w:rPr>
                <w:sz w:val="17"/>
              </w:rPr>
              <w:t>3,781</w:t>
            </w:r>
          </w:p>
        </w:tc>
        <w:tc>
          <w:tcPr>
            <w:tcW w:type="dxa" w:w="1440"/>
            <w:shd w:fill="FFDCE0" w:val="clear"/>
          </w:tcPr>
          <w:p>
            <w:r>
              <w:rPr>
                <w:b/>
                <w:color w:val="C00000"/>
                <w:sz w:val="17"/>
              </w:rPr>
              <w:t>-11.3%</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2,553</w:t>
            </w:r>
          </w:p>
        </w:tc>
        <w:tc>
          <w:tcPr>
            <w:tcW w:type="dxa" w:w="1440"/>
            <w:shd w:fill="FFDCE0" w:val="clear"/>
          </w:tcPr>
          <w:p>
            <w:r>
              <w:rPr>
                <w:b/>
                <w:sz w:val="17"/>
              </w:rPr>
              <w:t>3,168</w:t>
            </w:r>
          </w:p>
        </w:tc>
        <w:tc>
          <w:tcPr>
            <w:tcW w:type="dxa" w:w="1440"/>
            <w:shd w:fill="FFDCE0" w:val="clear"/>
          </w:tcPr>
          <w:p>
            <w:r>
              <w:rPr>
                <w:sz w:val="17"/>
              </w:rPr>
              <w:t>3,783</w:t>
            </w:r>
          </w:p>
        </w:tc>
        <w:tc>
          <w:tcPr>
            <w:tcW w:type="dxa" w:w="1440"/>
            <w:shd w:fill="FFDCE0" w:val="clear"/>
          </w:tcPr>
          <w:p>
            <w:r>
              <w:rPr>
                <w:b/>
                <w:color w:val="C00000"/>
                <w:sz w:val="17"/>
              </w:rPr>
              <w:t>-12.0%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117,28 milliards FCFA, ce qui la positionne parmi les valeurs moyennes à grandes capitalisations de la BRVM, reflétant la présence du groupe TotalEnergies dans l'économie sénégalaise. Avec un BPA de 208 FCFA, le titre se négocie à un PER de 17,3x, nettement supérieur à la moyenne historique de la place (~8-12x), indiquant que les investisseurs acceptent de payer une prime pour la solidité de la marque et sa position dominante. Le P/B de 4,15x confirme cette valorisation exigeante, le marché valorisant près de quatre fois les capitaux propres comptables. Enfin, l'EV/EBITDA de 7,3x, dans la fourchette raisonnable de 5 à 10x, tempère cette lecture en montrant que la valeur d'entreprise reste cohérente avec la capacité bénéficiaire opérationnelle. Globalement, la valorisation reflète une prime de qualité qui devra être justifiée par la croissance future.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de +10,94%, avec une dernière séance particulièrement dynamique en hausse de +2,86% à 3 600 FCFA. Le titre a évolué dans une fourchette large de 2 845 à 4 500 FCFA, illustrant une volatilité marquée. La moyenne (3 436 FCFA) est légèrement supérieure à la médiane (3 365 FCFA), et le mode à 3 250 FCFA indique une asymétrie positive (skewness de 0,939), signifiant que le cours a passé plus de temps sous sa moyenne avec des pics occasionnels à la hausse. L'écart-type de 371 FCFA (CV de 10,8%) révèle une dispersion modérée, tandis que le kurtosis de 0,374, proche d'une distribution normale, suggère l'absence de mouvements extrêmes fréquents. La volatilité annualisée de 50,7% classe le titre comme très volatil, ce qui implique un risque élevé mais aussi un potentiel de rendement significatif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3 600 FCFA se situe sous la MM20 (3 785,5 FCFA) et la MM50 (3 715,6 FCFA), indiquant une faiblesse relative à court et moyen terme. Cependant, la décision globale reste "Achat", suggérant que la tendance de fond demeure positive malgré le repli récent. La configuration en pente descendante des moyennes mobiles appelle à la prudence.</w:t>
      </w:r>
    </w:p>
    <w:p>
      <w:pPr>
        <w:spacing w:after="120" w:line="276" w:lineRule="auto"/>
      </w:pPr>
      <w:r>
        <w:t>**Bandes de Bollinger** : Le prix évolue dans la partie inférieure de l'enveloppe, entre la borne basse à 3 287 FCFA et la borne supérieure à 4 284 FCFA. La position actuelle à 3 600 FCFA, proche de la moyenne de l'indicateur, indique une volatilité modérée sans pression directionnelle forte. La décision "Neutre" est cohérente avec cette configuration, le marché semblant chercher une direction.</w:t>
      </w:r>
    </w:p>
    <w:p>
      <w:pPr>
        <w:spacing w:after="120" w:line="276" w:lineRule="auto"/>
      </w:pPr>
      <w:r>
        <w:t>**MACD** : La valeur négative de -67,884 avec un signal à -29,4 montre un momentum baissier persistant. La divergence négative entre le MACD et son signal suggère que la pression vendeuse reste dominante à moyen terme. La décision "Vente" reflète cette dynamique défavorable, même si l'écart se réduit progressivement, ce qui pourrait annoncer un retournement.</w:t>
      </w:r>
    </w:p>
    <w:p>
      <w:pPr>
        <w:spacing w:after="120" w:line="276" w:lineRule="auto"/>
      </w:pPr>
      <w:r>
        <w:t>**RSI** : À 39,13, l'indicateur se situe dans la zone neutre (30-70), sans signal extrême de surachat ou de survente. Cette valeur indique une faiblesse relative mais non excessive, laissant la possibilité d'un rebond technique. La décision "Neutre" est justifiée par l'absence de conditions de marché extrêmes.</w:t>
      </w:r>
    </w:p>
    <w:p>
      <w:pPr>
        <w:spacing w:after="120" w:line="276" w:lineRule="auto"/>
      </w:pPr>
      <w:r>
        <w:t>**Stochastique** : Avec %K à 33,33 et %D à 19,87, l'indicateur montre une dynamique positive naissante, le %K étant au-dessus du %D. Cette configuration suggère un potentiel de rebond à court terme, bien que les niveaux restent modestes. La décision "Neutre" reflète l'incertitude persistante sur la tendance.</w:t>
      </w:r>
    </w:p>
    <w:p>
      <w:pPr>
        <w:spacing w:after="120" w:line="276" w:lineRule="auto"/>
      </w:pPr>
      <w:r>
        <w:t>**Conclusion technique** : Les indicateurs sont mitigés, avec un MACD vendeur mais un RSI et un Stochastique neutres, et des moyennes mobiles globalement positives. Cette divergence suggère une phase de consolidation avec un biais baissier à court terme, mais un potentiel de reprise si le cours parvient à se maintenir au-dessus de 3 500 FCFA.</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avec un résultat net de 6,779 milliards FCFA, en repli de 5,1%. La marge nette s'établit à 1,49%, typique du secteur de distribution pétrolière, mais le ROE de 24% est excellent, démontrant une utilisation efficace des capitaux propres (28,239 milliards FCFA). Le ROA de 3,95% reste modéré, reflétant la lourdeur du bilan (171,778 milliards FCFA). Le BFR négatif de -36,899 milliards FCFA est un point très positif, indiquant que l'entreprise finance son exploitation grâce aux délais fournisseurs (97,76 jours) supérieurs aux délais clients (47,43 jours). Les rapports trimestriels 2025 confirment la stratégie de recentrage : au T1 2025, le CA a baissé de 13% (arrêt du fuel lourd), mais au T1 2026, malgré une baisse de 10% du CA due à la révision des prix à la pompe, le résultat net a progressé de +5% grâce à l'amélioration des marges sur les lubrifiants. On estime que l'exercice 2026 pourrait voir une stabilisation du résultat net autour de 6,5-7 milliards FCFA, porté par la diversification vers le GPL et l'export. Les fondamentaux restent solides avec une trésorerie nette positive de 13,941 milliards FCFA et une capacité de remboursement de moins d'un an.</w:t>
      </w:r>
    </w:p>
    <w:p>
      <w:pPr>
        <w:spacing w:after="120" w:line="276" w:lineRule="auto" w:before="240"/>
      </w:pPr>
      <w:r>
        <w:rPr>
          <w:b/>
          <w:color w:val="003366"/>
          <w:sz w:val="24"/>
        </w:rPr>
        <w:t>**PARTIE 4 : CONCLUSION D'INVESTISSEMENT**</w:t>
      </w:r>
    </w:p>
    <w:p>
      <w:pPr>
        <w:spacing w:after="120" w:line="276" w:lineRule="auto"/>
      </w:pPr>
      <w:r>
        <w:t>La valorisation de TTLS (PER 17,3x, P/B 4,15x) apparaît exigeante par rapport au marché, mais elle est compensée par un EV/EBITDA raisonnable et un ROE de 24% qui justifie une prime. Le comportement du cours sur 100 jours montre une tendance haussière de fond (+10,94%) malgré une volatilité élevée (50,7%), avec une asymétrie positive qui suggère un potentiel de hausse. Les signaux techniques sont mitigés, avec un MACD vendeur mais des moyennes mobiles globalement positives et un Stochastique en amélioration, indiquant une phase de consolidation. Les fondamentaux sont solides, avec une entreprise leader sur son marché, une trésorerie abondante et une stratégie de recentrage qui commence à porter ses fruits (hausse du résultat net au T1 2026 malgré la baisse du CA). Les prédictions IA sur 10 jours (3 475 à 3 311 FCFA) suggèrent une légère correction à court terme, cohérente avec les signaux techniques baissiers. En synthèse, la convergence entre la solidité fondamentale, la tendance de fond haussière et la valorisation certes élevée mais justifiée conduit à une recommandation **CONSERVER** pour les investisseurs existants, avec un niveau de confiance **Moyen** et un risque global **Élevé** en raison de la volatilité. L'horizon d'investissement optimal serait le **moyen terme (3-12 mois)**, en attendant que la stratégie de diversification vers les segments à plus forte valeur ajoutée (lubrifiants, GPL, export) se traduise par une amélioration visible du chiffre d'affaires et des marges.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501.37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 titres</w:t>
            </w:r>
          </w:p>
        </w:tc>
        <w:tc>
          <w:tcPr>
            <w:tcW w:type="dxa" w:w="2268"/>
            <w:shd w:fill="FFF2CC" w:val="clear"/>
          </w:tcPr>
          <w:p>
            <w:r>
              <w:rPr>
                <w:b/>
                <w:color w:val="503200"/>
                <w:sz w:val="16"/>
              </w:rPr>
              <w:t xml:space="preserve">Cours actuel : </w:t>
            </w:r>
            <w:r>
              <w:rPr>
                <w:color w:val="000000"/>
                <w:sz w:val="17"/>
              </w:rPr>
              <w:t>54,595 FCFA</w:t>
            </w:r>
          </w:p>
          <w:p>
            <w:r>
              <w:rPr>
                <w:b/>
                <w:color w:val="503200"/>
                <w:sz w:val="16"/>
              </w:rPr>
              <w:t xml:space="preserve">Var. 100 jours : </w:t>
            </w:r>
            <w:r>
              <w:rPr>
                <w:b/>
                <w:color w:val="B40000"/>
                <w:sz w:val="17"/>
              </w:rPr>
              <w:t>-24.17%</w:t>
            </w:r>
          </w:p>
          <w:p>
            <w:r>
              <w:rPr>
                <w:b/>
                <w:color w:val="503200"/>
                <w:sz w:val="16"/>
              </w:rPr>
              <w:t xml:space="preserve">Plus haut 100j : </w:t>
            </w:r>
            <w:r>
              <w:rPr>
                <w:color w:val="000000"/>
                <w:sz w:val="17"/>
              </w:rPr>
              <w:t>72,000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μ=57,435 FCFA, σ=4,566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β=2.0712 (Très agressif) — Cov=0.000075, Var(idx)=0.000036, ρ=0.289,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28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σ_j=4.29%/j (Modérée) — Vol. annualisée≈68.1%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53/100  (Moyen)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2026-08-11</w:t>
            </w:r>
          </w:p>
        </w:tc>
        <w:tc>
          <w:tcPr>
            <w:tcW w:type="dxa" w:w="1440"/>
            <w:shd w:fill="C6EFCE" w:val="clear"/>
          </w:tcPr>
          <w:p>
            <w:r>
              <w:rPr>
                <w:sz w:val="17"/>
              </w:rPr>
              <w:t>52,366</w:t>
            </w:r>
          </w:p>
        </w:tc>
        <w:tc>
          <w:tcPr>
            <w:tcW w:type="dxa" w:w="1440"/>
            <w:shd w:fill="C6EFCE" w:val="clear"/>
          </w:tcPr>
          <w:p>
            <w:r>
              <w:rPr>
                <w:b/>
                <w:sz w:val="17"/>
              </w:rPr>
              <w:t>55,733</w:t>
            </w:r>
          </w:p>
        </w:tc>
        <w:tc>
          <w:tcPr>
            <w:tcW w:type="dxa" w:w="1440"/>
            <w:shd w:fill="C6EFCE" w:val="clear"/>
          </w:tcPr>
          <w:p>
            <w:r>
              <w:rPr>
                <w:sz w:val="17"/>
              </w:rPr>
              <w:t>59,099</w:t>
            </w:r>
          </w:p>
        </w:tc>
        <w:tc>
          <w:tcPr>
            <w:tcW w:type="dxa" w:w="1440"/>
            <w:shd w:fill="C6EFCE" w:val="clear"/>
          </w:tcPr>
          <w:p>
            <w:r>
              <w:rPr>
                <w:b/>
                <w:color w:val="008000"/>
                <w:sz w:val="17"/>
              </w:rPr>
              <w:t>+2.1%</w:t>
            </w:r>
          </w:p>
        </w:tc>
      </w:tr>
      <w:tr>
        <w:tc>
          <w:tcPr>
            <w:tcW w:type="dxa" w:w="1440"/>
            <w:shd w:fill="C6EFCE" w:val="clear"/>
          </w:tcPr>
          <w:p>
            <w:r>
              <w:rPr>
                <w:sz w:val="17"/>
              </w:rPr>
              <w:t>J+2  ⭐</w:t>
            </w:r>
          </w:p>
        </w:tc>
        <w:tc>
          <w:tcPr>
            <w:tcW w:type="dxa" w:w="1440"/>
            <w:shd w:fill="C6EFCE" w:val="clear"/>
          </w:tcPr>
          <w:p>
            <w:r>
              <w:rPr>
                <w:sz w:val="17"/>
              </w:rPr>
              <w:t>2026-08-12</w:t>
            </w:r>
          </w:p>
        </w:tc>
        <w:tc>
          <w:tcPr>
            <w:tcW w:type="dxa" w:w="1440"/>
            <w:shd w:fill="C6EFCE" w:val="clear"/>
          </w:tcPr>
          <w:p>
            <w:r>
              <w:rPr>
                <w:sz w:val="17"/>
              </w:rPr>
              <w:t>51,479</w:t>
            </w:r>
          </w:p>
        </w:tc>
        <w:tc>
          <w:tcPr>
            <w:tcW w:type="dxa" w:w="1440"/>
            <w:shd w:fill="C6EFCE" w:val="clear"/>
          </w:tcPr>
          <w:p>
            <w:r>
              <w:rPr>
                <w:b/>
                <w:sz w:val="17"/>
              </w:rPr>
              <w:t>56,287</w:t>
            </w:r>
          </w:p>
        </w:tc>
        <w:tc>
          <w:tcPr>
            <w:tcW w:type="dxa" w:w="1440"/>
            <w:shd w:fill="C6EFCE" w:val="clear"/>
          </w:tcPr>
          <w:p>
            <w:r>
              <w:rPr>
                <w:sz w:val="17"/>
              </w:rPr>
              <w:t>61,096</w:t>
            </w:r>
          </w:p>
        </w:tc>
        <w:tc>
          <w:tcPr>
            <w:tcW w:type="dxa" w:w="1440"/>
            <w:shd w:fill="C6EFCE" w:val="clear"/>
          </w:tcPr>
          <w:p>
            <w:r>
              <w:rPr>
                <w:b/>
                <w:color w:val="008000"/>
                <w:sz w:val="17"/>
              </w:rPr>
              <w:t>+3.1%</w:t>
            </w:r>
          </w:p>
        </w:tc>
      </w:tr>
      <w:tr>
        <w:tc>
          <w:tcPr>
            <w:tcW w:type="dxa" w:w="1440"/>
            <w:shd w:fill="C6EFCE" w:val="clear"/>
          </w:tcPr>
          <w:p>
            <w:r>
              <w:rPr>
                <w:sz w:val="17"/>
              </w:rPr>
              <w:t>J+3  ⭐</w:t>
            </w:r>
          </w:p>
        </w:tc>
        <w:tc>
          <w:tcPr>
            <w:tcW w:type="dxa" w:w="1440"/>
            <w:shd w:fill="C6EFCE" w:val="clear"/>
          </w:tcPr>
          <w:p>
            <w:r>
              <w:rPr>
                <w:sz w:val="17"/>
              </w:rPr>
              <w:t>2026-08-13</w:t>
            </w:r>
          </w:p>
        </w:tc>
        <w:tc>
          <w:tcPr>
            <w:tcW w:type="dxa" w:w="1440"/>
            <w:shd w:fill="C6EFCE" w:val="clear"/>
          </w:tcPr>
          <w:p>
            <w:r>
              <w:rPr>
                <w:sz w:val="17"/>
              </w:rPr>
              <w:t>50,949</w:t>
            </w:r>
          </w:p>
        </w:tc>
        <w:tc>
          <w:tcPr>
            <w:tcW w:type="dxa" w:w="1440"/>
            <w:shd w:fill="C6EFCE" w:val="clear"/>
          </w:tcPr>
          <w:p>
            <w:r>
              <w:rPr>
                <w:b/>
                <w:sz w:val="17"/>
              </w:rPr>
              <w:t>56,902</w:t>
            </w:r>
          </w:p>
        </w:tc>
        <w:tc>
          <w:tcPr>
            <w:tcW w:type="dxa" w:w="1440"/>
            <w:shd w:fill="C6EFCE" w:val="clear"/>
          </w:tcPr>
          <w:p>
            <w:r>
              <w:rPr>
                <w:sz w:val="17"/>
              </w:rPr>
              <w:t>62,856</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2026-08-14</w:t>
            </w:r>
          </w:p>
        </w:tc>
        <w:tc>
          <w:tcPr>
            <w:tcW w:type="dxa" w:w="1440"/>
            <w:shd w:fill="C6EFCE" w:val="clear"/>
          </w:tcPr>
          <w:p>
            <w:r>
              <w:rPr>
                <w:sz w:val="17"/>
              </w:rPr>
              <w:t>50,585</w:t>
            </w:r>
          </w:p>
        </w:tc>
        <w:tc>
          <w:tcPr>
            <w:tcW w:type="dxa" w:w="1440"/>
            <w:shd w:fill="C6EFCE" w:val="clear"/>
          </w:tcPr>
          <w:p>
            <w:r>
              <w:rPr>
                <w:b/>
                <w:sz w:val="17"/>
              </w:rPr>
              <w:t>57,536</w:t>
            </w:r>
          </w:p>
        </w:tc>
        <w:tc>
          <w:tcPr>
            <w:tcW w:type="dxa" w:w="1440"/>
            <w:shd w:fill="C6EFCE" w:val="clear"/>
          </w:tcPr>
          <w:p>
            <w:r>
              <w:rPr>
                <w:sz w:val="17"/>
              </w:rPr>
              <w:t>64,487</w:t>
            </w:r>
          </w:p>
        </w:tc>
        <w:tc>
          <w:tcPr>
            <w:tcW w:type="dxa" w:w="1440"/>
            <w:shd w:fill="C6EFCE" w:val="clear"/>
          </w:tcPr>
          <w:p>
            <w:r>
              <w:rPr>
                <w:b/>
                <w:color w:val="008000"/>
                <w:sz w:val="17"/>
              </w:rPr>
              <w:t>+5.4%</w:t>
            </w:r>
          </w:p>
        </w:tc>
      </w:tr>
      <w:tr>
        <w:tc>
          <w:tcPr>
            <w:tcW w:type="dxa" w:w="1440"/>
            <w:shd w:fill="C6EFCE" w:val="clear"/>
          </w:tcPr>
          <w:p>
            <w:r>
              <w:rPr>
                <w:sz w:val="17"/>
              </w:rPr>
              <w:t>J+5  ⭐</w:t>
            </w:r>
          </w:p>
        </w:tc>
        <w:tc>
          <w:tcPr>
            <w:tcW w:type="dxa" w:w="1440"/>
            <w:shd w:fill="C6EFCE" w:val="clear"/>
          </w:tcPr>
          <w:p>
            <w:r>
              <w:rPr>
                <w:sz w:val="17"/>
              </w:rPr>
              <w:t>2026-08-17</w:t>
            </w:r>
          </w:p>
        </w:tc>
        <w:tc>
          <w:tcPr>
            <w:tcW w:type="dxa" w:w="1440"/>
            <w:shd w:fill="C6EFCE" w:val="clear"/>
          </w:tcPr>
          <w:p>
            <w:r>
              <w:rPr>
                <w:sz w:val="17"/>
              </w:rPr>
              <w:t>50,319</w:t>
            </w:r>
          </w:p>
        </w:tc>
        <w:tc>
          <w:tcPr>
            <w:tcW w:type="dxa" w:w="1440"/>
            <w:shd w:fill="C6EFCE" w:val="clear"/>
          </w:tcPr>
          <w:p>
            <w:r>
              <w:rPr>
                <w:b/>
                <w:sz w:val="17"/>
              </w:rPr>
              <w:t>58,177</w:t>
            </w:r>
          </w:p>
        </w:tc>
        <w:tc>
          <w:tcPr>
            <w:tcW w:type="dxa" w:w="1440"/>
            <w:shd w:fill="C6EFCE" w:val="clear"/>
          </w:tcPr>
          <w:p>
            <w:r>
              <w:rPr>
                <w:sz w:val="17"/>
              </w:rPr>
              <w:t>66,035</w:t>
            </w:r>
          </w:p>
        </w:tc>
        <w:tc>
          <w:tcPr>
            <w:tcW w:type="dxa" w:w="1440"/>
            <w:shd w:fill="C6EFCE" w:val="clear"/>
          </w:tcPr>
          <w:p>
            <w:r>
              <w:rPr>
                <w:b/>
                <w:color w:val="008000"/>
                <w:sz w:val="17"/>
              </w:rPr>
              <w:t>+6.6%</w:t>
            </w:r>
          </w:p>
        </w:tc>
      </w:tr>
      <w:tr>
        <w:tc>
          <w:tcPr>
            <w:tcW w:type="dxa" w:w="1440"/>
            <w:shd w:fill="C6EFCE" w:val="clear"/>
          </w:tcPr>
          <w:p>
            <w:r>
              <w:rPr>
                <w:sz w:val="17"/>
              </w:rPr>
              <w:t>J+6  ⭐</w:t>
            </w:r>
          </w:p>
        </w:tc>
        <w:tc>
          <w:tcPr>
            <w:tcW w:type="dxa" w:w="1440"/>
            <w:shd w:fill="C6EFCE" w:val="clear"/>
          </w:tcPr>
          <w:p>
            <w:r>
              <w:rPr>
                <w:sz w:val="17"/>
              </w:rPr>
              <w:t>2026-08-18</w:t>
            </w:r>
          </w:p>
        </w:tc>
        <w:tc>
          <w:tcPr>
            <w:tcW w:type="dxa" w:w="1440"/>
            <w:shd w:fill="C6EFCE" w:val="clear"/>
          </w:tcPr>
          <w:p>
            <w:r>
              <w:rPr>
                <w:sz w:val="17"/>
              </w:rPr>
              <w:t>50,120</w:t>
            </w:r>
          </w:p>
        </w:tc>
        <w:tc>
          <w:tcPr>
            <w:tcW w:type="dxa" w:w="1440"/>
            <w:shd w:fill="C6EFCE" w:val="clear"/>
          </w:tcPr>
          <w:p>
            <w:r>
              <w:rPr>
                <w:b/>
                <w:sz w:val="17"/>
              </w:rPr>
              <w:t>58,824</w:t>
            </w:r>
          </w:p>
        </w:tc>
        <w:tc>
          <w:tcPr>
            <w:tcW w:type="dxa" w:w="1440"/>
            <w:shd w:fill="C6EFCE" w:val="clear"/>
          </w:tcPr>
          <w:p>
            <w:r>
              <w:rPr>
                <w:sz w:val="17"/>
              </w:rPr>
              <w:t>67,528</w:t>
            </w:r>
          </w:p>
        </w:tc>
        <w:tc>
          <w:tcPr>
            <w:tcW w:type="dxa" w:w="1440"/>
            <w:shd w:fill="C6EFCE" w:val="clear"/>
          </w:tcPr>
          <w:p>
            <w:r>
              <w:rPr>
                <w:b/>
                <w:color w:val="008000"/>
                <w:sz w:val="17"/>
              </w:rPr>
              <w:t>+7.7%</w:t>
            </w:r>
          </w:p>
        </w:tc>
      </w:tr>
      <w:tr>
        <w:tc>
          <w:tcPr>
            <w:tcW w:type="dxa" w:w="1440"/>
            <w:shd w:fill="C6EFCE" w:val="clear"/>
          </w:tcPr>
          <w:p>
            <w:r>
              <w:rPr>
                <w:sz w:val="17"/>
              </w:rPr>
              <w:t>J+7  ⭐</w:t>
            </w:r>
          </w:p>
        </w:tc>
        <w:tc>
          <w:tcPr>
            <w:tcW w:type="dxa" w:w="1440"/>
            <w:shd w:fill="C6EFCE" w:val="clear"/>
          </w:tcPr>
          <w:p>
            <w:r>
              <w:rPr>
                <w:sz w:val="17"/>
              </w:rPr>
              <w:t>2026-08-19</w:t>
            </w:r>
          </w:p>
        </w:tc>
        <w:tc>
          <w:tcPr>
            <w:tcW w:type="dxa" w:w="1440"/>
            <w:shd w:fill="C6EFCE" w:val="clear"/>
          </w:tcPr>
          <w:p>
            <w:r>
              <w:rPr>
                <w:sz w:val="17"/>
              </w:rPr>
              <w:t>49,969</w:t>
            </w:r>
          </w:p>
        </w:tc>
        <w:tc>
          <w:tcPr>
            <w:tcW w:type="dxa" w:w="1440"/>
            <w:shd w:fill="C6EFCE" w:val="clear"/>
          </w:tcPr>
          <w:p>
            <w:r>
              <w:rPr>
                <w:b/>
                <w:sz w:val="17"/>
              </w:rPr>
              <w:t>59,474</w:t>
            </w:r>
          </w:p>
        </w:tc>
        <w:tc>
          <w:tcPr>
            <w:tcW w:type="dxa" w:w="1440"/>
            <w:shd w:fill="C6EFCE" w:val="clear"/>
          </w:tcPr>
          <w:p>
            <w:r>
              <w:rPr>
                <w:sz w:val="17"/>
              </w:rPr>
              <w:t>68,980</w:t>
            </w:r>
          </w:p>
        </w:tc>
        <w:tc>
          <w:tcPr>
            <w:tcW w:type="dxa" w:w="1440"/>
            <w:shd w:fill="C6EFCE" w:val="clear"/>
          </w:tcPr>
          <w:p>
            <w:r>
              <w:rPr>
                <w:b/>
                <w:color w:val="008000"/>
                <w:sz w:val="17"/>
              </w:rPr>
              <w:t>+8.9%</w:t>
            </w:r>
          </w:p>
        </w:tc>
      </w:tr>
      <w:tr>
        <w:tc>
          <w:tcPr>
            <w:tcW w:type="dxa" w:w="1440"/>
            <w:shd w:fill="C6EFCE" w:val="clear"/>
          </w:tcPr>
          <w:p>
            <w:r>
              <w:rPr>
                <w:sz w:val="17"/>
              </w:rPr>
              <w:t>J+8  ⭐</w:t>
            </w:r>
          </w:p>
        </w:tc>
        <w:tc>
          <w:tcPr>
            <w:tcW w:type="dxa" w:w="1440"/>
            <w:shd w:fill="C6EFCE" w:val="clear"/>
          </w:tcPr>
          <w:p>
            <w:r>
              <w:rPr>
                <w:sz w:val="17"/>
              </w:rPr>
              <w:t>2026-08-20</w:t>
            </w:r>
          </w:p>
        </w:tc>
        <w:tc>
          <w:tcPr>
            <w:tcW w:type="dxa" w:w="1440"/>
            <w:shd w:fill="C6EFCE" w:val="clear"/>
          </w:tcPr>
          <w:p>
            <w:r>
              <w:rPr>
                <w:sz w:val="17"/>
              </w:rPr>
              <w:t>49,855</w:t>
            </w:r>
          </w:p>
        </w:tc>
        <w:tc>
          <w:tcPr>
            <w:tcW w:type="dxa" w:w="1440"/>
            <w:shd w:fill="C6EFCE" w:val="clear"/>
          </w:tcPr>
          <w:p>
            <w:r>
              <w:rPr>
                <w:b/>
                <w:sz w:val="17"/>
              </w:rPr>
              <w:t>60,128</w:t>
            </w:r>
          </w:p>
        </w:tc>
        <w:tc>
          <w:tcPr>
            <w:tcW w:type="dxa" w:w="1440"/>
            <w:shd w:fill="C6EFCE" w:val="clear"/>
          </w:tcPr>
          <w:p>
            <w:r>
              <w:rPr>
                <w:sz w:val="17"/>
              </w:rPr>
              <w:t>70,401</w:t>
            </w:r>
          </w:p>
        </w:tc>
        <w:tc>
          <w:tcPr>
            <w:tcW w:type="dxa" w:w="1440"/>
            <w:shd w:fill="C6EFCE" w:val="clear"/>
          </w:tcPr>
          <w:p>
            <w:r>
              <w:rPr>
                <w:b/>
                <w:color w:val="008000"/>
                <w:sz w:val="17"/>
              </w:rPr>
              <w:t>+10.1%</w:t>
            </w:r>
          </w:p>
        </w:tc>
      </w:tr>
      <w:tr>
        <w:tc>
          <w:tcPr>
            <w:tcW w:type="dxa" w:w="1440"/>
            <w:shd w:fill="C6EFCE" w:val="clear"/>
          </w:tcPr>
          <w:p>
            <w:r>
              <w:rPr>
                <w:sz w:val="17"/>
              </w:rPr>
              <w:t>J+9  ⭐</w:t>
            </w:r>
          </w:p>
        </w:tc>
        <w:tc>
          <w:tcPr>
            <w:tcW w:type="dxa" w:w="1440"/>
            <w:shd w:fill="C6EFCE" w:val="clear"/>
          </w:tcPr>
          <w:p>
            <w:r>
              <w:rPr>
                <w:sz w:val="17"/>
              </w:rPr>
              <w:t>2026-08-21</w:t>
            </w:r>
          </w:p>
        </w:tc>
        <w:tc>
          <w:tcPr>
            <w:tcW w:type="dxa" w:w="1440"/>
            <w:shd w:fill="C6EFCE" w:val="clear"/>
          </w:tcPr>
          <w:p>
            <w:r>
              <w:rPr>
                <w:sz w:val="17"/>
              </w:rPr>
              <w:t>49,768</w:t>
            </w:r>
          </w:p>
        </w:tc>
        <w:tc>
          <w:tcPr>
            <w:tcW w:type="dxa" w:w="1440"/>
            <w:shd w:fill="C6EFCE" w:val="clear"/>
          </w:tcPr>
          <w:p>
            <w:r>
              <w:rPr>
                <w:b/>
                <w:sz w:val="17"/>
              </w:rPr>
              <w:t>60,783</w:t>
            </w:r>
          </w:p>
        </w:tc>
        <w:tc>
          <w:tcPr>
            <w:tcW w:type="dxa" w:w="1440"/>
            <w:shd w:fill="C6EFCE" w:val="clear"/>
          </w:tcPr>
          <w:p>
            <w:r>
              <w:rPr>
                <w:sz w:val="17"/>
              </w:rPr>
              <w:t>71,798</w:t>
            </w:r>
          </w:p>
        </w:tc>
        <w:tc>
          <w:tcPr>
            <w:tcW w:type="dxa" w:w="1440"/>
            <w:shd w:fill="C6EFCE" w:val="clear"/>
          </w:tcPr>
          <w:p>
            <w:r>
              <w:rPr>
                <w:b/>
                <w:color w:val="008000"/>
                <w:sz w:val="17"/>
              </w:rPr>
              <w:t>+11.3%</w:t>
            </w:r>
          </w:p>
        </w:tc>
      </w:tr>
      <w:tr>
        <w:tc>
          <w:tcPr>
            <w:tcW w:type="dxa" w:w="1440"/>
            <w:shd w:fill="C6EFCE" w:val="clear"/>
          </w:tcPr>
          <w:p>
            <w:r>
              <w:rPr>
                <w:sz w:val="17"/>
              </w:rPr>
              <w:t>J+10  ⭐</w:t>
            </w:r>
          </w:p>
        </w:tc>
        <w:tc>
          <w:tcPr>
            <w:tcW w:type="dxa" w:w="1440"/>
            <w:shd w:fill="C6EFCE" w:val="clear"/>
          </w:tcPr>
          <w:p>
            <w:r>
              <w:rPr>
                <w:sz w:val="17"/>
              </w:rPr>
              <w:t>2026-08-24</w:t>
            </w:r>
          </w:p>
        </w:tc>
        <w:tc>
          <w:tcPr>
            <w:tcW w:type="dxa" w:w="1440"/>
            <w:shd w:fill="C6EFCE" w:val="clear"/>
          </w:tcPr>
          <w:p>
            <w:r>
              <w:rPr>
                <w:sz w:val="17"/>
              </w:rPr>
              <w:t>49,704</w:t>
            </w:r>
          </w:p>
        </w:tc>
        <w:tc>
          <w:tcPr>
            <w:tcW w:type="dxa" w:w="1440"/>
            <w:shd w:fill="C6EFCE" w:val="clear"/>
          </w:tcPr>
          <w:p>
            <w:r>
              <w:rPr>
                <w:b/>
                <w:sz w:val="17"/>
              </w:rPr>
              <w:t>61,441</w:t>
            </w:r>
          </w:p>
        </w:tc>
        <w:tc>
          <w:tcPr>
            <w:tcW w:type="dxa" w:w="1440"/>
            <w:shd w:fill="C6EFCE" w:val="clear"/>
          </w:tcPr>
          <w:p>
            <w:r>
              <w:rPr>
                <w:sz w:val="17"/>
              </w:rPr>
              <w:t>73,177</w:t>
            </w:r>
          </w:p>
        </w:tc>
        <w:tc>
          <w:tcPr>
            <w:tcW w:type="dxa" w:w="1440"/>
            <w:shd w:fill="C6EFCE" w:val="clear"/>
          </w:tcPr>
          <w:p>
            <w:r>
              <w:rPr>
                <w:b/>
                <w:color w:val="008000"/>
                <w:sz w:val="17"/>
              </w:rPr>
              <w:t>+12.5%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**Marché :** BRVM | **Date de l'analyse :** 2026-03-15</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**501,37 milliards FCFA**, ce qui en fait l'une des valeurs les plus significatives de la cote de la BRVM, reflétant la confiance des investisseurs dans la filiale ivoirienne du géant mondial des biens de consommation. Le ratio PER n'est pas calculable en raison de l'absence de données financières structurées récentes dans la base, mais sur la base du bénéfice net de 640 millions FCFA en 2023, le PER implicite serait extrêmement élevé (supérieur à 700x), ce qui indique que le marché valorise principalement des actifs et des perspectives de redressement plutôt que les bénéfices courants. De même, le P/B et l'EV/EBITDA ne peuvent être calculés précisément, mais la situation de capitaux propres négatifs (-10,6 milliards FCFA en 2023) suggère que le ratio P/B est théoriquement négatif, une situation atypique qui traduit une décote profonde sur les actifs nets. Le marché semble donc anticiper une restructuration réussie et un retour à une rentabilité normale, justifiant une valorisation qui dépasse largement les fondamentaux comptables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 enregistré une **baisse significative de -24,17%**, passant d'un sommet de 72 000 FCFA à un plus bas de 49 630 FCFA, avec un cours actuel de 54 595 FCFA, soit une variation nulle lors de la dernière séance. La moyenne du cours sur la période (57 435 FCFA) est légèrement supérieure à la médiane (57 000 FCFA), et le mode (58 000 FCFA) est proche de ces valeurs, indiquant une distribution relativement symétrique mais avec un skewness positif de 1,068, signifiant que les journées sous la moyenne sont plus fréquentes que celles au-dessus, ce qui confirme la tendance baissière dominante. L'écart-type de 4 589 FCFA (coefficient de variation de 8%) révèle une dispersion modérée autour de la moyenne, mais le kurtosis excédentaire de 1,577 (leptokurtique) signale un risque de mouvements extrêmes et de pics de volatilité plus fréquents que dans une distribution normale. La **volatilité annualisée de 68,1%** est extrêmement élevée, classant UNLC parmi les titres les plus risqués de la BRVM, avec des fluctuations de cours potentiellement brutales dans les deux sens.</w:t>
      </w:r>
    </w:p>
    <w:p>
      <w:pPr>
        <w:spacing w:after="120" w:line="276" w:lineRule="auto"/>
      </w:pPr>
      <w:r>
        <w:t>---</w:t>
      </w:r>
    </w:p>
    <w:p>
      <w:pPr>
        <w:spacing w:after="120" w:line="276" w:lineRule="auto"/>
      </w:pPr>
      <w:r>
        <w:t>### PARTIE 2 : ANALYSE TECHNIQUE DÉTAILLÉE</w:t>
      </w:r>
    </w:p>
    <w:p>
      <w:pPr>
        <w:spacing w:after="120" w:line="276" w:lineRule="auto"/>
      </w:pPr>
      <w:r>
        <w:t>**Moyennes Mobiles :** La MM20 (53 128 FCFA) est inférieure à la MM50 (54 888 FCFA), et le cours actuel (54 595 FCFA) se situe entre les deux, mais au-dessus de la MM20 et en dessous de la MM50. Cette configuration, avec une MM20 sous la MM50, signale une tendance baissière à moyen terme, justifiant la décision de **Vente** malgré un léger rebond récent au-dessus de la MM20.</w:t>
      </w:r>
    </w:p>
    <w:p>
      <w:pPr>
        <w:spacing w:after="120" w:line="276" w:lineRule="auto"/>
      </w:pPr>
      <w:r>
        <w:t>**Bandes de Bollinger :** Le cours (54 595 FCFA) se positionne dans la moitié supérieure du canal formé par les bornes (inférieure à 49 866 FCFA, supérieure à 56 389 FCFA), indiquant une pression acheteuse modérée après un creux récent. La largeur des bandes reflète la volatilité élevée du titre, et la décision **Neutre** est cohérente avec un cours qui n'a pas encore franchi de niveau décisif.</w:t>
      </w:r>
    </w:p>
    <w:p>
      <w:pPr>
        <w:spacing w:after="120" w:line="276" w:lineRule="auto"/>
      </w:pPr>
      <w:r>
        <w:t>**MACD :** La valeur MACD (-158,5) est nettement supérieure au signal (-574,4), formant un croisement haussier qui indique un momentum positif en train de se construire. Cette divergence positive, bien que les deux lignes restent en territoire négatif, suggère que la pression vendeuse s'atténue, justifiant la décision d'**Achat** à court terme.</w:t>
      </w:r>
    </w:p>
    <w:p>
      <w:pPr>
        <w:spacing w:after="120" w:line="276" w:lineRule="auto"/>
      </w:pPr>
      <w:r>
        <w:t>**RSI :** À 57,39, le RSI se situe dans la zone neutre (30-70), sans signal de surachat ni de survente. Cette valeur indique un équilibre relatif entre acheteurs et vendeurs, avec une légère inclination haussière, mais sans dynamique suffisante pour déclencher un signal fort, d'où la décision **Neutre**.</w:t>
      </w:r>
    </w:p>
    <w:p>
      <w:pPr>
        <w:spacing w:after="120" w:line="276" w:lineRule="auto"/>
      </w:pPr>
      <w:r>
        <w:t>**Stochastique :** Le %K et le %D sont tous deux à 76,19, proches de la zone de surachat (au-dessus de 80). Cette configuration suggère que le rebond récent pourrait être proche de son terme, mais sans croisement baissier, la décision reste **Neutre**, avec un risque de retournement si les niveaux actuels se maintiennent.</w:t>
      </w:r>
    </w:p>
    <w:p>
      <w:pPr>
        <w:spacing w:after="120" w:line="276" w:lineRule="auto"/>
      </w:pPr>
      <w:r>
        <w:t>**Conclusion technique :** Les indicateurs sont mitigés : les moyennes mobiles signalent une tendance baissière, tandis que le MACD et le RSI montrent des signes de stabilisation et de momentum haussier naissant. Le stochastique en zone de surachat et les bandes de Bollinger neutres suggèrent une phase de consolidation. Globalement, le titre semble en phase de transition, avec un biais légèrement haussier à court terme mais une tendance de fond encore baissière.</w:t>
      </w:r>
    </w:p>
    <w:p>
      <w:pPr>
        <w:spacing w:after="120" w:line="276" w:lineRule="auto"/>
      </w:pPr>
      <w:r>
        <w:t>---</w:t>
      </w:r>
    </w:p>
    <w:p>
      <w:pPr>
        <w:spacing w:after="120" w:line="276" w:lineRule="auto"/>
      </w:pPr>
      <w:r>
        <w:t>### PARTIE 3 : ANALYSE FONDAMENTALE (SECTION CRITIQUE)</w:t>
      </w:r>
    </w:p>
    <w:p>
      <w:pPr>
        <w:spacing w:after="120" w:line="276" w:lineRule="auto"/>
      </w:pPr>
      <w:r>
        <w:t>Les états financiers annuels disponibles montrent une trajectoire erratique pour UNLC. En **2021**, la société a réalisé un chiffre d'affaires de 24,3 milliards FCFA avec un bénéfice net de 6,09 milliards FCFA (marge nette de 25%), un redressement spectaculaire après la perte de 2020. Cependant, en **2022**, le CA est resté stable à 24,3 milliards FCFA mais le résultat net a plongé à **-6,38 milliards FCFA** (marge nette de -26,2%), en raison de charges exceptionnelles et de dépréciations massives. En **2023**, le CA est resté identique à 24,3 milliards FCFA, mais le résultat net est redevenu positif à **640 millions FCFA** (marge nette de 2,63%), avec un résultat d'exploitation de +3,34 milliards FCFA, montrant une amélioration opérationnelle nette. La structure financière reste fragile avec des **capitaux propres négatifs de -10,66 milliards FCFA** en 2023 et des dettes financières de 4,38 milliards FCFA, bien que la trésorerie passive de 14,87 milliards FCFA offre une certaine marge de manœuvre. Le rapport de 2023 (daté du 31/12/2023) souligne l'absence de dividende, une politique de rétention des bénéfices pour reconstituer les capitaux propres, et une dépendance au marché ivoirien avec une concurrence accrue de Nestlé et P&amp;G. Les rapports de 2022 (datés du 31/12/2022) confirment la crise de rentabilité de cette année-là, avec une perte massive et des coûts structurels élevés. Aucun rapport trimestriel récent n'étant disponible, on estime que l'exercice 2024-2025 pourrait montrer une poursuite de l'amélioration opérationnelle si la société maintient sa discipline de coûts, mais la croissance du CA reste un défi majeur, la stagnation à 24,3 milliards FCFA sur trois ans étant préoccupante.</w:t>
      </w:r>
    </w:p>
    <w:p>
      <w:pPr>
        <w:spacing w:after="120" w:line="276" w:lineRule="auto"/>
      </w:pPr>
      <w:r>
        <w:t>---</w:t>
      </w:r>
    </w:p>
    <w:p>
      <w:pPr>
        <w:spacing w:after="120" w:line="276" w:lineRule="auto"/>
      </w:pPr>
      <w:r>
        <w:t>### PARTIE 4 : CONCLUSION D'INVESTISSEMENT</w:t>
      </w:r>
    </w:p>
    <w:p>
      <w:pPr>
        <w:spacing w:after="120" w:line="276" w:lineRule="auto"/>
      </w:pPr>
      <w:r>
        <w:t>La valorisation d'UNLC est extrêmement tendue, avec un PER implicite très élevé et des capitaux propres négatifs, indiquant que le marché paie pour un scénario de redressement plutôt que pour les bénéfices actuels. Le comportement du cours sur 100 jours est préoccupant avec une baisse de 24,17%, une volatilité annualisée de 68,1% et un skewness positif qui suggère des journées sous la moyenne fréquentes, bien que le kurtosis leptokurtique signale un risque de mouvements extrêmes. Les signaux techniques sont mitigés : les moyennes mobiles restent vendeuses, mais le MACD et le RSI montrent des signes de stabilisation, tandis que le stochastique approche la zone de surachat. Les fondamentaux, bien qu'améliorés en 2023 par rapport à 2022, restent fragiles avec une marge nette de seulement 2,63%, des capitaux propres négatifs et une stagnation du chiffre d'affaires. Les prédictions IA pour les 10 prochains jours (55 733 à 58 177 FCFA) suggèrent une poursuite du rebond technique, mais cette trajectoire haussière contraste avec la faiblesse des fondamentaux et la tendance baissière de fond. **Recommandation finale : CONSERVER** — la convergence entre le rebond technique et les prédictions IA est positive à court terme, mais la divergence avec les fondamentaux et la valorisation exige une prudence maximale. **Niveau de confiance : Faible** | **Risque global : Élevé** | **Horizon optimal : Court terme (&lt;3 mois)** pour profiter du rebond technique, avec un stop-loss strict sous 50 000 FCFA.</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12,220 titres</w:t>
            </w:r>
          </w:p>
        </w:tc>
        <w:tc>
          <w:tcPr>
            <w:tcW w:type="dxa" w:w="2268"/>
            <w:shd w:fill="FFF2CC" w:val="clear"/>
          </w:tcPr>
          <w:p>
            <w:r>
              <w:rPr>
                <w:b/>
                <w:color w:val="503200"/>
                <w:sz w:val="16"/>
              </w:rPr>
              <w:t xml:space="preserve">Cours actuel : </w:t>
            </w:r>
            <w:r>
              <w:rPr>
                <w:color w:val="000000"/>
                <w:sz w:val="17"/>
              </w:rPr>
              <w:t>1,935 FCFA</w:t>
            </w:r>
          </w:p>
          <w:p>
            <w:r>
              <w:rPr>
                <w:b/>
                <w:color w:val="503200"/>
                <w:sz w:val="16"/>
              </w:rPr>
              <w:t xml:space="preserve">Var. 100 jours : </w:t>
            </w:r>
            <w:r>
              <w:rPr>
                <w:b/>
                <w:color w:val="B40000"/>
                <w:sz w:val="17"/>
              </w:rPr>
              <w:t>-3.25%</w:t>
            </w:r>
          </w:p>
          <w:p>
            <w:r>
              <w:rPr>
                <w:b/>
                <w:color w:val="503200"/>
                <w:sz w:val="16"/>
              </w:rPr>
              <w:t xml:space="preserve">Plus haut 100j : </w:t>
            </w:r>
            <w:r>
              <w:rPr>
                <w:color w:val="000000"/>
                <w:sz w:val="17"/>
              </w:rPr>
              <w:t>2,095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18.0/100 → Faible</w:t>
      </w:r>
    </w:p>
    <w:p>
      <w:pPr>
        <w:spacing w:before="40" w:after="80"/>
      </w:pPr>
      <w:r>
        <w:rPr>
          <w:rFonts w:ascii="Courier New" w:hAnsi="Courier New"/>
          <w:color w:val="006400"/>
          <w:sz w:val="18"/>
        </w:rPr>
        <w:t>███░░░░░░░░░░░░░░░░░  18.0/100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8.92% (Moyenne) — μ=1,866 FCFA, σ=166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β=-0.8064 (Contre-cyclique) — Cov=-0.000029, Var(idx)=0.000036, ρ=-0.157,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12,220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591812"/>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591812"/>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2026-08-11</w:t>
            </w:r>
          </w:p>
        </w:tc>
        <w:tc>
          <w:tcPr>
            <w:tcW w:type="dxa" w:w="1440"/>
            <w:shd w:fill="FFDCE0" w:val="clear"/>
          </w:tcPr>
          <w:p>
            <w:r>
              <w:rPr>
                <w:sz w:val="17"/>
              </w:rPr>
              <w:t>1,751</w:t>
            </w:r>
          </w:p>
        </w:tc>
        <w:tc>
          <w:tcPr>
            <w:tcW w:type="dxa" w:w="1440"/>
            <w:shd w:fill="FFDCE0" w:val="clear"/>
          </w:tcPr>
          <w:p>
            <w:r>
              <w:rPr>
                <w:b/>
                <w:sz w:val="17"/>
              </w:rPr>
              <w:t>1,892</w:t>
            </w:r>
          </w:p>
        </w:tc>
        <w:tc>
          <w:tcPr>
            <w:tcW w:type="dxa" w:w="1440"/>
            <w:shd w:fill="FFDCE0" w:val="clear"/>
          </w:tcPr>
          <w:p>
            <w:r>
              <w:rPr>
                <w:sz w:val="17"/>
              </w:rPr>
              <w:t>2,034</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2026-08-12</w:t>
            </w:r>
          </w:p>
        </w:tc>
        <w:tc>
          <w:tcPr>
            <w:tcW w:type="dxa" w:w="1440"/>
            <w:shd w:fill="FFDCE0" w:val="clear"/>
          </w:tcPr>
          <w:p>
            <w:r>
              <w:rPr>
                <w:sz w:val="17"/>
              </w:rPr>
              <w:t>1,683</w:t>
            </w:r>
          </w:p>
        </w:tc>
        <w:tc>
          <w:tcPr>
            <w:tcW w:type="dxa" w:w="1440"/>
            <w:shd w:fill="FFDCE0" w:val="clear"/>
          </w:tcPr>
          <w:p>
            <w:r>
              <w:rPr>
                <w:b/>
                <w:sz w:val="17"/>
              </w:rPr>
              <w:t>1,887</w:t>
            </w:r>
          </w:p>
        </w:tc>
        <w:tc>
          <w:tcPr>
            <w:tcW w:type="dxa" w:w="1440"/>
            <w:shd w:fill="FFDCE0" w:val="clear"/>
          </w:tcPr>
          <w:p>
            <w:r>
              <w:rPr>
                <w:sz w:val="17"/>
              </w:rPr>
              <w:t>2,090</w:t>
            </w:r>
          </w:p>
        </w:tc>
        <w:tc>
          <w:tcPr>
            <w:tcW w:type="dxa" w:w="1440"/>
            <w:shd w:fill="FFDCE0" w:val="clear"/>
          </w:tcPr>
          <w:p>
            <w:r>
              <w:rPr>
                <w:b/>
                <w:color w:val="C00000"/>
                <w:sz w:val="17"/>
              </w:rPr>
              <w:t>-2.5%</w:t>
            </w:r>
          </w:p>
        </w:tc>
      </w:tr>
      <w:tr>
        <w:tc>
          <w:tcPr>
            <w:tcW w:type="dxa" w:w="1440"/>
            <w:shd w:fill="FFDCE0" w:val="clear"/>
          </w:tcPr>
          <w:p>
            <w:r>
              <w:rPr>
                <w:sz w:val="17"/>
              </w:rPr>
              <w:t>J+3  Moyenne</w:t>
            </w:r>
          </w:p>
        </w:tc>
        <w:tc>
          <w:tcPr>
            <w:tcW w:type="dxa" w:w="1440"/>
            <w:shd w:fill="FFDCE0" w:val="clear"/>
          </w:tcPr>
          <w:p>
            <w:r>
              <w:rPr>
                <w:sz w:val="17"/>
              </w:rPr>
              <w:t>2026-08-13</w:t>
            </w:r>
          </w:p>
        </w:tc>
        <w:tc>
          <w:tcPr>
            <w:tcW w:type="dxa" w:w="1440"/>
            <w:shd w:fill="FFDCE0" w:val="clear"/>
          </w:tcPr>
          <w:p>
            <w:r>
              <w:rPr>
                <w:sz w:val="17"/>
              </w:rPr>
              <w:t>1,630</w:t>
            </w:r>
          </w:p>
        </w:tc>
        <w:tc>
          <w:tcPr>
            <w:tcW w:type="dxa" w:w="1440"/>
            <w:shd w:fill="FFDCE0" w:val="clear"/>
          </w:tcPr>
          <w:p>
            <w:r>
              <w:rPr>
                <w:b/>
                <w:sz w:val="17"/>
              </w:rPr>
              <w:t>1,877</w:t>
            </w:r>
          </w:p>
        </w:tc>
        <w:tc>
          <w:tcPr>
            <w:tcW w:type="dxa" w:w="1440"/>
            <w:shd w:fill="FFDCE0" w:val="clear"/>
          </w:tcPr>
          <w:p>
            <w:r>
              <w:rPr>
                <w:sz w:val="17"/>
              </w:rPr>
              <w:t>2,125</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2026-08-14</w:t>
            </w:r>
          </w:p>
        </w:tc>
        <w:tc>
          <w:tcPr>
            <w:tcW w:type="dxa" w:w="1440"/>
            <w:shd w:fill="FFDCE0" w:val="clear"/>
          </w:tcPr>
          <w:p>
            <w:r>
              <w:rPr>
                <w:sz w:val="17"/>
              </w:rPr>
              <w:t>1,583</w:t>
            </w:r>
          </w:p>
        </w:tc>
        <w:tc>
          <w:tcPr>
            <w:tcW w:type="dxa" w:w="1440"/>
            <w:shd w:fill="FFDCE0" w:val="clear"/>
          </w:tcPr>
          <w:p>
            <w:r>
              <w:rPr>
                <w:b/>
                <w:sz w:val="17"/>
              </w:rPr>
              <w:t>1,867</w:t>
            </w:r>
          </w:p>
        </w:tc>
        <w:tc>
          <w:tcPr>
            <w:tcW w:type="dxa" w:w="1440"/>
            <w:shd w:fill="FFDCE0" w:val="clear"/>
          </w:tcPr>
          <w:p>
            <w:r>
              <w:rPr>
                <w:sz w:val="17"/>
              </w:rPr>
              <w:t>2,152</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2026-08-17</w:t>
            </w:r>
          </w:p>
        </w:tc>
        <w:tc>
          <w:tcPr>
            <w:tcW w:type="dxa" w:w="1440"/>
            <w:shd w:fill="FFDCE0" w:val="clear"/>
          </w:tcPr>
          <w:p>
            <w:r>
              <w:rPr>
                <w:sz w:val="17"/>
              </w:rPr>
              <w:t>1,542</w:t>
            </w:r>
          </w:p>
        </w:tc>
        <w:tc>
          <w:tcPr>
            <w:tcW w:type="dxa" w:w="1440"/>
            <w:shd w:fill="FFDCE0" w:val="clear"/>
          </w:tcPr>
          <w:p>
            <w:r>
              <w:rPr>
                <w:b/>
                <w:sz w:val="17"/>
              </w:rPr>
              <w:t>1,858</w:t>
            </w:r>
          </w:p>
        </w:tc>
        <w:tc>
          <w:tcPr>
            <w:tcW w:type="dxa" w:w="1440"/>
            <w:shd w:fill="FFDCE0" w:val="clear"/>
          </w:tcPr>
          <w:p>
            <w:r>
              <w:rPr>
                <w:sz w:val="17"/>
              </w:rPr>
              <w:t>2,174</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2026-08-18</w:t>
            </w:r>
          </w:p>
        </w:tc>
        <w:tc>
          <w:tcPr>
            <w:tcW w:type="dxa" w:w="1440"/>
            <w:shd w:fill="FFDCE0" w:val="clear"/>
          </w:tcPr>
          <w:p>
            <w:r>
              <w:rPr>
                <w:sz w:val="17"/>
              </w:rPr>
              <w:t>1,504</w:t>
            </w:r>
          </w:p>
        </w:tc>
        <w:tc>
          <w:tcPr>
            <w:tcW w:type="dxa" w:w="1440"/>
            <w:shd w:fill="FFDCE0" w:val="clear"/>
          </w:tcPr>
          <w:p>
            <w:r>
              <w:rPr>
                <w:b/>
                <w:sz w:val="17"/>
              </w:rPr>
              <w:t>1,849</w:t>
            </w:r>
          </w:p>
        </w:tc>
        <w:tc>
          <w:tcPr>
            <w:tcW w:type="dxa" w:w="1440"/>
            <w:shd w:fill="FFDCE0" w:val="clear"/>
          </w:tcPr>
          <w:p>
            <w:r>
              <w:rPr>
                <w:sz w:val="17"/>
              </w:rPr>
              <w:t>2,194</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2026-08-19</w:t>
            </w:r>
          </w:p>
        </w:tc>
        <w:tc>
          <w:tcPr>
            <w:tcW w:type="dxa" w:w="1440"/>
            <w:shd w:fill="FFDCE0" w:val="clear"/>
          </w:tcPr>
          <w:p>
            <w:r>
              <w:rPr>
                <w:sz w:val="17"/>
              </w:rPr>
              <w:t>1,469</w:t>
            </w:r>
          </w:p>
        </w:tc>
        <w:tc>
          <w:tcPr>
            <w:tcW w:type="dxa" w:w="1440"/>
            <w:shd w:fill="FFDCE0" w:val="clear"/>
          </w:tcPr>
          <w:p>
            <w:r>
              <w:rPr>
                <w:b/>
                <w:sz w:val="17"/>
              </w:rPr>
              <w:t>1,840</w:t>
            </w:r>
          </w:p>
        </w:tc>
        <w:tc>
          <w:tcPr>
            <w:tcW w:type="dxa" w:w="1440"/>
            <w:shd w:fill="FFDCE0" w:val="clear"/>
          </w:tcPr>
          <w:p>
            <w:r>
              <w:rPr>
                <w:sz w:val="17"/>
              </w:rPr>
              <w:t>2,210</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2026-08-20</w:t>
            </w:r>
          </w:p>
        </w:tc>
        <w:tc>
          <w:tcPr>
            <w:tcW w:type="dxa" w:w="1440"/>
            <w:shd w:fill="FFDCE0" w:val="clear"/>
          </w:tcPr>
          <w:p>
            <w:r>
              <w:rPr>
                <w:sz w:val="17"/>
              </w:rPr>
              <w:t>1,436</w:t>
            </w:r>
          </w:p>
        </w:tc>
        <w:tc>
          <w:tcPr>
            <w:tcW w:type="dxa" w:w="1440"/>
            <w:shd w:fill="FFDCE0" w:val="clear"/>
          </w:tcPr>
          <w:p>
            <w:r>
              <w:rPr>
                <w:b/>
                <w:sz w:val="17"/>
              </w:rPr>
              <w:t>1,831</w:t>
            </w:r>
          </w:p>
        </w:tc>
        <w:tc>
          <w:tcPr>
            <w:tcW w:type="dxa" w:w="1440"/>
            <w:shd w:fill="FFDCE0" w:val="clear"/>
          </w:tcPr>
          <w:p>
            <w:r>
              <w:rPr>
                <w:sz w:val="17"/>
              </w:rPr>
              <w:t>2,225</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2026-08-21</w:t>
            </w:r>
          </w:p>
        </w:tc>
        <w:tc>
          <w:tcPr>
            <w:tcW w:type="dxa" w:w="1440"/>
            <w:shd w:fill="FFDCE0" w:val="clear"/>
          </w:tcPr>
          <w:p>
            <w:r>
              <w:rPr>
                <w:sz w:val="17"/>
              </w:rPr>
              <w:t>1,406</w:t>
            </w:r>
          </w:p>
        </w:tc>
        <w:tc>
          <w:tcPr>
            <w:tcW w:type="dxa" w:w="1440"/>
            <w:shd w:fill="FFDCE0" w:val="clear"/>
          </w:tcPr>
          <w:p>
            <w:r>
              <w:rPr>
                <w:b/>
                <w:sz w:val="17"/>
              </w:rPr>
              <w:t>1,822</w:t>
            </w:r>
          </w:p>
        </w:tc>
        <w:tc>
          <w:tcPr>
            <w:tcW w:type="dxa" w:w="1440"/>
            <w:shd w:fill="FFDCE0" w:val="clear"/>
          </w:tcPr>
          <w:p>
            <w:r>
              <w:rPr>
                <w:sz w:val="17"/>
              </w:rPr>
              <w:t>2,238</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2026-08-24</w:t>
            </w:r>
          </w:p>
        </w:tc>
        <w:tc>
          <w:tcPr>
            <w:tcW w:type="dxa" w:w="1440"/>
            <w:shd w:fill="FFDCE0" w:val="clear"/>
          </w:tcPr>
          <w:p>
            <w:r>
              <w:rPr>
                <w:sz w:val="17"/>
              </w:rPr>
              <w:t>1,376</w:t>
            </w:r>
          </w:p>
        </w:tc>
        <w:tc>
          <w:tcPr>
            <w:tcW w:type="dxa" w:w="1440"/>
            <w:shd w:fill="FFDCE0" w:val="clear"/>
          </w:tcPr>
          <w:p>
            <w:r>
              <w:rPr>
                <w:b/>
                <w:sz w:val="17"/>
              </w:rPr>
              <w:t>1,813</w:t>
            </w:r>
          </w:p>
        </w:tc>
        <w:tc>
          <w:tcPr>
            <w:tcW w:type="dxa" w:w="1440"/>
            <w:shd w:fill="FFDCE0" w:val="clear"/>
          </w:tcPr>
          <w:p>
            <w:r>
              <w:rPr>
                <w:sz w:val="17"/>
              </w:rPr>
              <w:t>2,249</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40,15 milliards FCFA, un niveau intermédiaire sur la BRVM, reflétant un profil de moyenne capitalisation. Le BPA est négatif à -105 FCFA, traduisant une perte nette sur l'exercice 2024, ce qui rend le PER non significatif (-18,3x). Les investisseurs ne peuvent donc pas évaluer le titre sur la base des bénéfices actuels. En revanche, le P/B de 2,58x indique que le marché valorise l'actif net comptable avec une prime substantielle de 158%, signe que les investisseurs anticipent un retour à la rentabilité. Le ratio EV/EBITDA n'est pas calculable en raison d'un EBITDA négatif, ce qui confirme la situation de transition financière de la société. Cette valorisation repose donc essentiellement sur des anticipations de redressement plutôt que sur des performances passées.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variation totale de -3,25%, avec une dernière séance en hausse de +1,84% à 1 935 FCFA. Le titre a évolué dans une fourchette large de 1 250 à 2 095 FCFA, démontrant une forte amplitude de trading. La moyenne du cours (1 866 FCFA) est inférieure à la médiane (1 900 FCFA), indiquant une distribution asymétrique avec des épisodes de baisse marqués. L'écart-type de 167 FCFA (CV=9,0%) révèle une dispersion modérée autour de la moyenne. Le kurtosis excédentaire de 3,521 signale un risque de mouvements extrêmes, tandis que le skewness de -1,793 confirme une asymétrie négative avec des journées de forte baisse plus fréquentes que les fortes hausses. La volatilité annualisée de 48,5% classe le titre comme très volatil, bien au-dessus du seuil de 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(1 935 FCFA) se positionne au-dessus de la MM20 (1 838,75 FCFA) et de la MM50 (1 809,7 FCFA), confirmant une dynamique haussière à court et moyen terme. L'écart positif entre le cours et les moyennes suggère un momentum favorable, justifiant la décision d'achat.</w:t>
      </w:r>
    </w:p>
    <w:p>
      <w:pPr>
        <w:spacing w:after="120" w:line="276" w:lineRule="auto"/>
      </w:pPr>
      <w:r>
        <w:t>**Bandes de Bollinger** : Le prix se situe à 1 935 FCFA, entre la borne inférieure (1 564,43 FCFA) et la borne supérieure (2 113,07 FCFA), proche du milieu de la bande. Cette position neutre indique une volatilité modérée sans signal directionnel fort, d'où la décision neutre.</w:t>
      </w:r>
    </w:p>
    <w:p>
      <w:pPr>
        <w:spacing w:after="120" w:line="276" w:lineRule="auto"/>
      </w:pPr>
      <w:r>
        <w:t>**MACD** : La valeur du MACD (50,842) est supérieure au signal (42,225), avec un écart positif de 8,6 points. Cette configuration haussière indique un momentum positif en cours de formation, justifiant la décision d'achat.</w:t>
      </w:r>
    </w:p>
    <w:p>
      <w:pPr>
        <w:spacing w:after="120" w:line="276" w:lineRule="auto"/>
      </w:pPr>
      <w:r>
        <w:t>**RSI** : Le RSI à 57,47 se situe dans la zone neutre (30-70), sans signal de surachat ni de survente. Cette valeur reflète un équilibre entre pression acheteuse et vendeuse, d'où la décision neutre.</w:t>
      </w:r>
    </w:p>
    <w:p>
      <w:pPr>
        <w:spacing w:after="120" w:line="276" w:lineRule="auto"/>
      </w:pPr>
      <w:r>
        <w:t>**Stochastique** : Le %K (75,0) est supérieur au %D (57,143), indiquant une dynamique haussière récente. Cependant, le %K approche la zone de surachat (au-delà de 80), ce qui pourrait signaler un essoufflement prochain, justifiant la décision neutre.</w:t>
      </w:r>
    </w:p>
    <w:p>
      <w:pPr>
        <w:spacing w:after="120" w:line="276" w:lineRule="auto"/>
      </w:pPr>
      <w:r>
        <w:t>**Conclusion technique** : Les indicateurs techniques sont globalement positifs avec des signaux d'achat sur les moyennes mobiles et le MACD, mais neutres sur les oscillateurs (RSI, Stochastique) et les bandes de Bollinger. Cette configuration suggère une tendance haussière modérée sans excès, avec un risque de consolidation à court terme.</w:t>
      </w:r>
    </w:p>
    <w:p>
      <w:pPr>
        <w:spacing w:after="120" w:line="276" w:lineRule="auto" w:before="240"/>
      </w:pPr>
      <w:r>
        <w:rPr>
          <w:b/>
          <w:color w:val="003366"/>
          <w:sz w:val="24"/>
        </w:rPr>
        <w:t>**PARTIE 3 : ANALYSE FONDAMENTALE (SECTION CRITIQUE)**</w:t>
      </w:r>
    </w:p>
    <w:p>
      <w:pPr>
        <w:spacing w:after="120" w:line="276" w:lineRule="auto"/>
      </w:pPr>
      <w:r>
        <w:t>En 2024, UNXC a réalisé un chiffre d'affaires de 27,333 milliards FCFA, en croissance de 15,4% par rapport à 2023, mais avec un résultat net déficitaire de -2,189 milliards FCFA, soit une marge nette de -8,0%. Le ROE s'établit à -14,04% et le ROA à -6,39%, traduisant une rentabilité négative des capitaux propres et des actifs. Le BFR est positif à 2,149 milliards FCFA, avec un délai clients de 51 jours et un délai fournisseurs de 268 jours, indiquant une gestion de trésorerie tendue. Les rapports trimestriels 2025 montrent une amélioration spectaculaire : le S1 2025 affiche un résultat net de +8,217 milliards FCFA, mais exclusivement grâce à la cession-bail du terrain (produit exceptionnel de 9,994 milliards FCFA). Le résultat des activités ordinaires reste déficitaire à -314 millions FCFA. Le rapport S1 2026 confirme le redressement opérationnel avec un résultat d'exploitation positif de 771 millions FCFA et un résultat net de 771 millions FCFA, contre 8,2 milliards au S1 2025 (hors exceptionnel). Le CA semestriel 2026 s'établit à 15,752 milliards FCFA (+0,3%). On estime que l'exercice 2026 devrait confirmer cette tendance avec une rentabilité opérationnelle positive, soutenue par l'amélioration de la performance industrielle et la maîtrise des coûts.</w:t>
      </w:r>
    </w:p>
    <w:p>
      <w:pPr>
        <w:spacing w:after="120" w:line="276" w:lineRule="auto" w:before="240"/>
      </w:pPr>
      <w:r>
        <w:rPr>
          <w:b/>
          <w:color w:val="003366"/>
          <w:sz w:val="24"/>
        </w:rPr>
        <w:t>**PARTIE 4 : CONCLUSION D'INVESTISSEMENT**</w:t>
      </w:r>
    </w:p>
    <w:p>
      <w:pPr>
        <w:spacing w:after="120" w:line="276" w:lineRule="auto"/>
      </w:pPr>
      <w:r>
        <w:t>La valorisation actuelle d'UNXC (P/B de 2,58x) intègre une prime de croissance qui semble justifiée par le redressement opérationnel amorcé. Le comportement du cours sur 100 jours montre une volatilité élevée (48,5%) avec une tendance légèrement baissière (-3,25%), mais les statistiques révèlent un potentiel de rebond. Les signaux techniques sont globalement positifs (MM, MACD en achat), bien que les oscillateurs neutres appellent à la prudence. Les fondamentaux confirment une amélioration nette : passage d'un résultat d'exploitation négatif en 2024 à positif au S1 2026, avec une dette fournisseurs réduite de 14,9 à 5,0 milliards FCFA. Les prédictions IA (J+1 à J+10) indiquent une trajectoire baissière de 1 892 à 1 858 FCFA, contredisant les signaux techniques haussiers. Cette divergence suggère une possible consolidation à court terme. La recommandation finale est **CONSERVER** avec un niveau de confiance **Moyen** et un risque global **Élevé**. L'horizon d'investissement optimal est le **moyen terme (3-12 mois)**, en attendant la confirmation d'une rentabilité opérationnelle durable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