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05/09/2026 à 08:24</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NEUTRE / STABLE ➡️</w:t>
      </w:r>
    </w:p>
    <w:p>
      <w:pPr>
        <w:spacing w:before="20" w:after="20"/>
        <w:ind w:left="360" w:right="360"/>
        <w:shd w:val="clear" w:color="auto" w:fill="EBF5FB"/>
      </w:pPr>
      <w:r>
        <w:rPr>
          <w:b/>
          <w:sz w:val="19"/>
        </w:rPr>
        <w:t xml:space="preserve">Signaux :  </w:t>
      </w:r>
      <w:r>
        <w:rPr>
          <w:color w:val="0050A0"/>
          <w:sz w:val="19"/>
        </w:rPr>
        <w:t>42 ACHAT  |  5 NEUTRE  |  0 VENTE  (sur 47 sociétés)</w:t>
      </w:r>
    </w:p>
    <w:p>
      <w:pPr>
        <w:spacing w:before="20" w:after="20"/>
        <w:ind w:left="360" w:right="360"/>
        <w:shd w:val="clear" w:color="auto" w:fill="EBF5FB"/>
      </w:pPr>
      <w:r>
        <w:rPr>
          <w:b/>
          <w:sz w:val="19"/>
        </w:rPr>
        <w:t xml:space="preserve">Top opportunité :  </w:t>
      </w:r>
      <w:r>
        <w:rPr>
          <w:color w:val="008000"/>
          <w:sz w:val="19"/>
        </w:rPr>
        <w:t>SIVC  (score 79/100)</w:t>
      </w:r>
    </w:p>
    <w:p>
      <w:pPr>
        <w:spacing w:before="20" w:after="20"/>
        <w:ind w:left="360" w:right="360"/>
        <w:shd w:val="clear" w:color="auto" w:fill="EBF5FB"/>
      </w:pPr>
      <w:r>
        <w:rPr>
          <w:b/>
          <w:sz w:val="19"/>
        </w:rPr>
        <w:t xml:space="preserve">Secteur surperformant :  </w:t>
      </w:r>
      <w:r>
        <w:rPr>
          <w:color w:val="008000"/>
          <w:sz w:val="19"/>
        </w:rPr>
        <w:t>SERVICES PUBLICS  (+98.0%)</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15 sociétés — vérifier avant d'investir</w:t>
      </w:r>
    </w:p>
    <w:p>
      <w:pPr>
        <w:spacing w:before="20" w:after="20"/>
        <w:ind w:left="360" w:right="360"/>
        <w:shd w:val="clear" w:color="auto" w:fill="EBF5FB"/>
      </w:pPr>
      <w:r>
        <w:rPr>
          <w:b/>
          <w:sz w:val="19"/>
        </w:rPr>
        <w:t xml:space="preserve">⚠️ Liquidité réduite :  </w:t>
      </w:r>
      <w:r>
        <w:rPr>
          <w:color w:val="C00000"/>
          <w:sz w:val="19"/>
        </w:rPr>
        <w:t>8 titres à faible liquidité — risque de sortie</w:t>
      </w:r>
    </w:p>
    <w:p/>
    <w:p>
      <w:r>
        <w:br w:type="page"/>
      </w:r>
    </w:p>
    <w:p>
      <w:pPr>
        <w:pStyle w:val="Heading1"/>
      </w:pPr>
      <w:r>
        <w:t>SYNTHÈSE GÉNÉRALE</w:t>
      </w:r>
    </w:p>
    <w:p>
      <w:pPr>
        <w:spacing w:after="240"/>
      </w:pPr>
      <w:r>
        <w:t xml:space="preserve">Ce rapport présente une analyse détaillée de 47 sociétés cotées à la Bourse Régionale des Valeurs Mobilières (BRVM). </w:t>
      </w:r>
      <w:r>
        <w:t xml:space="preserve">L'indice BRVM Composite s'établit à 548.60 points </w:t>
      </w:r>
      <w:r>
        <w:rPr>
          <w:color w:val="008000"/>
        </w:rPr>
        <w:t>(+0.45%)</w:t>
      </w:r>
      <w:r>
        <w:t xml:space="preserve"> sur la séance. </w:t>
      </w:r>
      <w:r>
        <w:t>La capitalisation globale du marché atteint 2 115,475 milliards FCFA.</w:t>
      </w:r>
    </w:p>
    <w:p/>
    <w:p>
      <w:pPr>
        <w:pStyle w:val="Heading3"/>
      </w:pPr>
      <w:r>
        <w:t>📊 Évolution de l'indice BRVM Composite (100 derniers jours)</w:t>
      </w:r>
    </w:p>
    <w:p>
      <w:r>
        <w:rPr>
          <w:b/>
        </w:rPr>
        <w:t xml:space="preserve">BRVM Composite — </w:t>
      </w:r>
      <w:r>
        <w:t xml:space="preserve">Sur les 100 derniers jours de cotation (2026-04-10 au 2026-09-04), l'indice BRVM Composite a évolué de </w:t>
      </w:r>
      <w:r>
        <w:rPr>
          <w:b/>
          <w:color w:val="008000"/>
        </w:rPr>
        <w:t>+35.00%</w:t>
      </w:r>
      <w:r>
        <w:t>, passant de 406.38 pts à 548.60 pts. Le plus haut atteint est 548.60 pts et le plus bas 397.33 pts. Sur l'ensemble de la période, la moyenne de l'indice s'établit à 454.23 pts, la médiane à 445.94 pts et le mode à 397.33 pts</w:t>
      </w:r>
      <w:r>
        <w:t xml:space="preserve"> (asymétrie positive — plus de jours sous la moyenne). </w:t>
      </w:r>
      <w:r>
        <w:t xml:space="preserve">L'écart-type de 42.37 pts (CV=9.3%) traduit une modérée dispersion des cotations. Le kurtosis de -0.85 indique une distribution distribution normale.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C00000"/>
        </w:rPr>
        <w:t>-86.50%</w:t>
      </w:r>
      <w:r>
        <w:t xml:space="preserve"> sur la période, passant de 15 668,243 Mds FCFA à 2 115,475 Mds FCFA. Le pic de capitalisation observé est de 19 886,911 Mds FCFA et le plancher de 2 003,618 Mds FCFA. La moyenne de la capitalisation sur la période s'établit à 15 471,736 Mds FCFA, la médiane à 16 816,942 Mds FCFA et le mode à 2 003,618 Mds FCFA</w:t>
      </w:r>
      <w:r>
        <w:t xml:space="preserve"> (asymétrie négative). </w:t>
      </w:r>
      <w:r>
        <w:t>L'écart-type de 4 895,846 Mds FCFA (CV=31.6%) reflète une forte variabilité de la valorisation du marché. Le kurtosis de 3.40 indique une distribution leptokurtique — risque de pics de valorisation.</w:t>
      </w:r>
      <w:r>
        <w:t xml:space="preserve"> La contraction de la capitalisation traduit une sortie de capitaux et une pression baissière structurelle.</w:t>
      </w:r>
    </w:p>
    <w:p>
      <w:pPr>
        <w:jc w:val="center"/>
      </w:pPr>
      <w:r>
        <w:drawing>
          <wp:inline xmlns:a="http://schemas.openxmlformats.org/drawingml/2006/main" xmlns:pic="http://schemas.openxmlformats.org/drawingml/2006/picture">
            <wp:extent cx="5943600" cy="195840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58409"/>
                    </a:xfrm>
                    <a:prstGeom prst="rect"/>
                  </pic:spPr>
                </pic:pic>
              </a:graphicData>
            </a:graphic>
          </wp:inline>
        </w:drawing>
      </w:r>
    </w:p>
    <w:p/>
    <w:p>
      <w:pPr>
        <w:pStyle w:val="Heading2"/>
      </w:pPr>
      <w:r>
        <w:t>📈 TOP 10 DES OPPORTUNITÉS D'ACHAT</w:t>
      </w:r>
    </w:p>
    <w:p>
      <w:pPr>
        <w:pStyle w:val="ListNumber"/>
      </w:pPr>
      <w:r>
        <w:rPr>
          <w:b/>
        </w:rPr>
        <w:t>BICC - BICI CI - Banque internationale pour le commerce et l'industrie de la Côte d'Ivoire</w:t>
      </w:r>
      <w:r>
        <w:t xml:space="preserve"> | Prix: 33005 FCFA | </w:t>
      </w:r>
      <w:r>
        <w:rPr>
          <w:b/>
          <w:color w:val="008000"/>
        </w:rPr>
        <w:t>ACHAT FORT</w:t>
      </w:r>
      <w:r>
        <w:t xml:space="preserve"> | Confiance: Faible | Risque: Moyen</w:t>
      </w:r>
    </w:p>
    <w:p>
      <w:pPr>
        <w:pStyle w:val="ListNumber"/>
      </w:pPr>
      <w:r>
        <w:rPr>
          <w:b/>
        </w:rPr>
        <w:t>ABJC - ABJC - SERVAIR ABIDJAN CI</w:t>
      </w:r>
      <w:r>
        <w:t xml:space="preserve"> | Prix: 3900 FCFA | </w:t>
      </w:r>
      <w:r>
        <w:rPr>
          <w:b/>
          <w:color w:val="008000"/>
        </w:rPr>
        <w:t>ACHAT</w:t>
      </w:r>
      <w:r>
        <w:t xml:space="preserve"> | Confiance: Moyen | Risque: Moyen</w:t>
      </w:r>
    </w:p>
    <w:p>
      <w:pPr>
        <w:pStyle w:val="ListNumber"/>
      </w:pPr>
      <w:r>
        <w:rPr>
          <w:b/>
        </w:rPr>
        <w:t>BNBC - BNBC - BERNABE CI</w:t>
      </w:r>
      <w:r>
        <w:t xml:space="preserve"> | Prix: 2175 FCFA | </w:t>
      </w:r>
      <w:r>
        <w:rPr>
          <w:b/>
          <w:color w:val="008000"/>
        </w:rPr>
        <w:t>ACHAT</w:t>
      </w:r>
      <w:r>
        <w:t xml:space="preserve"> | Confiance: Élevée | Risque: Faible</w:t>
      </w:r>
    </w:p>
    <w:p>
      <w:pPr>
        <w:pStyle w:val="ListNumber"/>
      </w:pPr>
      <w:r>
        <w:rPr>
          <w:b/>
        </w:rPr>
        <w:t>BOAB - BANK OF AFRICA BENIN</w:t>
      </w:r>
      <w:r>
        <w:t xml:space="preserve"> | Prix: 10300 FCFA | </w:t>
      </w:r>
      <w:r>
        <w:rPr>
          <w:b/>
          <w:color w:val="008000"/>
        </w:rPr>
        <w:t>ACHAT</w:t>
      </w:r>
      <w:r>
        <w:t xml:space="preserve"> | Confiance: Moyen | Risque: Moyen</w:t>
      </w:r>
    </w:p>
    <w:p>
      <w:pPr>
        <w:pStyle w:val="ListNumber"/>
      </w:pPr>
      <w:r>
        <w:rPr>
          <w:b/>
        </w:rPr>
        <w:t>BOABF - BANK OF AFRICA BURKINA FASO</w:t>
      </w:r>
      <w:r>
        <w:t xml:space="preserve"> | Prix: 8880 FCFA | </w:t>
      </w:r>
      <w:r>
        <w:rPr>
          <w:b/>
          <w:color w:val="008000"/>
        </w:rPr>
        <w:t>ACHAT</w:t>
      </w:r>
      <w:r>
        <w:t xml:space="preserve"> | Confiance: Moyen | Risque: Moyen</w:t>
      </w:r>
    </w:p>
    <w:p>
      <w:pPr>
        <w:pStyle w:val="ListNumber"/>
      </w:pPr>
      <w:r>
        <w:rPr>
          <w:b/>
        </w:rPr>
        <w:t>BOAC - BANK OF AFRICA COTE D'IVOIRE</w:t>
      </w:r>
      <w:r>
        <w:t xml:space="preserve"> | Prix: 12500 FCFA | </w:t>
      </w:r>
      <w:r>
        <w:rPr>
          <w:b/>
          <w:color w:val="008000"/>
        </w:rPr>
        <w:t>ACHAT</w:t>
      </w:r>
      <w:r>
        <w:t xml:space="preserve"> | Confiance: Élevée | Risque: Moyen</w:t>
      </w:r>
    </w:p>
    <w:p>
      <w:pPr>
        <w:pStyle w:val="ListNumber"/>
      </w:pPr>
      <w:r>
        <w:rPr>
          <w:b/>
        </w:rPr>
        <w:t>BOAM - BANK OF AFRICA MALI</w:t>
      </w:r>
      <w:r>
        <w:t xml:space="preserve"> | Prix: 6400 FCFA | </w:t>
      </w:r>
      <w:r>
        <w:rPr>
          <w:b/>
          <w:color w:val="008000"/>
        </w:rPr>
        <w:t>ACHAT</w:t>
      </w:r>
      <w:r>
        <w:t xml:space="preserve"> | Confiance: Moyen | Risque: Faible</w:t>
      </w:r>
    </w:p>
    <w:p>
      <w:pPr>
        <w:pStyle w:val="ListNumber"/>
      </w:pPr>
      <w:r>
        <w:rPr>
          <w:b/>
        </w:rPr>
        <w:t>BOAN - BANK OF AFRICA NIGER</w:t>
      </w:r>
      <w:r>
        <w:t xml:space="preserve"> | Prix: 5450 FCFA | </w:t>
      </w:r>
      <w:r>
        <w:rPr>
          <w:b/>
          <w:color w:val="008000"/>
        </w:rPr>
        <w:t>ACHAT</w:t>
      </w:r>
      <w:r>
        <w:t xml:space="preserve"> | Confiance: Moyen | Risque: Moyen</w:t>
      </w:r>
    </w:p>
    <w:p>
      <w:pPr>
        <w:pStyle w:val="ListNumber"/>
      </w:pPr>
      <w:r>
        <w:rPr>
          <w:b/>
        </w:rPr>
        <w:t>BOAS - BANK OF AFRICA SENEGAL</w:t>
      </w:r>
      <w:r>
        <w:t xml:space="preserve"> | Prix: 8240 FCFA | </w:t>
      </w:r>
      <w:r>
        <w:rPr>
          <w:b/>
          <w:color w:val="008000"/>
        </w:rPr>
        <w:t>ACHAT</w:t>
      </w:r>
      <w:r>
        <w:t xml:space="preserve"> | Confiance: Élevée | Risque: Faible</w:t>
      </w:r>
    </w:p>
    <w:p>
      <w:pPr>
        <w:pStyle w:val="ListNumber"/>
      </w:pPr>
      <w:r>
        <w:rPr>
          <w:b/>
        </w:rPr>
        <w:t>CABC - CABC - SICABLE COTE D'IVOIRE</w:t>
      </w:r>
      <w:r>
        <w:t xml:space="preserve"> | Prix: 3540 FCFA | </w:t>
      </w:r>
      <w:r>
        <w:rPr>
          <w:b/>
          <w:color w:val="008000"/>
        </w:rPr>
        <w:t>ACHAT</w:t>
      </w:r>
      <w:r>
        <w:t xml:space="preserve"> | Confiance: Moyen | Risque: Faible</w:t>
      </w:r>
    </w:p>
    <w:p/>
    <w:p>
      <w:pPr>
        <w:pStyle w:val="Heading2"/>
      </w:pPr>
      <w:r>
        <w:t>📉 TOP 10 DES ACTIONS À ÉVITER</w:t>
      </w:r>
    </w:p>
    <w:p>
      <w:r>
        <w:t>Ces actions présentent des signaux de vente ou de dégradation fondamentale. Il est conseillé de les céder immédiatement ou d'éviter d'y investir.</w:t>
      </w:r>
    </w:p>
    <w:p>
      <w:pPr>
        <w:pStyle w:val="ListNumber"/>
      </w:pPr>
      <w:r>
        <w:rPr>
          <w:b/>
        </w:rPr>
        <w:t>CIEC - CIEC - Compagnie Ivoirienne d'Electricité</w:t>
      </w:r>
      <w:r>
        <w:t xml:space="preserve"> | Prix: 6700 FCFA | </w:t>
      </w:r>
      <w:r>
        <w:rPr>
          <w:b/>
          <w:color w:val="C00000"/>
        </w:rPr>
        <w:t>CONSERVER ⚠️</w:t>
      </w:r>
      <w:r>
        <w:t xml:space="preserve"> | Confiance: Moyen | Risque: Moyen</w:t>
      </w:r>
    </w:p>
    <w:p>
      <w:pPr>
        <w:pStyle w:val="ListNumber"/>
      </w:pPr>
      <w:r>
        <w:rPr>
          <w:b/>
        </w:rPr>
        <w:t>BICB - BIIC BN - Banque internationale pour le commerce du benin</w:t>
      </w:r>
      <w:r>
        <w:t xml:space="preserve"> | Prix: 10400 FCFA | </w:t>
      </w:r>
      <w:r>
        <w:rPr>
          <w:b/>
          <w:color w:val="C00000"/>
        </w:rPr>
        <w:t>CONSERVER ⚠️</w:t>
      </w:r>
      <w:r>
        <w:t xml:space="preserve"> | Confiance: Moyen | Risque: Moyen</w:t>
      </w:r>
    </w:p>
    <w:p>
      <w:pPr>
        <w:pStyle w:val="ListNumber"/>
      </w:pPr>
      <w:r>
        <w:rPr>
          <w:b/>
        </w:rPr>
        <w:t>STBC - STBC - SITAB COTE D'IVOIRE</w:t>
      </w:r>
      <w:r>
        <w:t xml:space="preserve"> | Prix: 22100 FCFA | </w:t>
      </w:r>
      <w:r>
        <w:rPr>
          <w:b/>
          <w:color w:val="C00000"/>
        </w:rPr>
        <w:t>CONSERVER</w:t>
      </w:r>
      <w:r>
        <w:t xml:space="preserve"> | Confiance: Moyen | Risque: Faible</w:t>
      </w:r>
    </w:p>
    <w:p>
      <w:pPr>
        <w:pStyle w:val="ListNumber"/>
      </w:pPr>
      <w:r>
        <w:rPr>
          <w:b/>
        </w:rPr>
        <w:t>ONTBF - ONTBF - ONATEL BURKINA FASO</w:t>
      </w:r>
      <w:r>
        <w:t xml:space="preserve"> | Prix: 2920 FCFA | </w:t>
      </w:r>
      <w:r>
        <w:rPr>
          <w:b/>
          <w:color w:val="C00000"/>
        </w:rPr>
        <w:t>CONSERVER ⚠️</w:t>
      </w:r>
      <w:r>
        <w:t xml:space="preserve"> | Confiance: Moyen | Risque: Faible</w:t>
      </w:r>
    </w:p>
    <w:p>
      <w:pPr>
        <w:pStyle w:val="ListNumber"/>
      </w:pPr>
      <w:r>
        <w:rPr>
          <w:b/>
        </w:rPr>
        <w:t>LNBB - LNBB - LOTERIE NATIONALE DU BENIN</w:t>
      </w:r>
      <w:r>
        <w:t xml:space="preserve"> | Prix: 4050 FCFA | </w:t>
      </w:r>
      <w:r>
        <w:rPr>
          <w:b/>
          <w:color w:val="C00000"/>
        </w:rPr>
        <w:t>CONSERVER</w:t>
      </w:r>
      <w:r>
        <w:t xml:space="preserve"> | Confiance: Moyen | Risque: Faible</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97.95%</w:t>
      </w:r>
      <w:r>
        <w:t xml:space="preserve">  |  </w:t>
      </w:r>
      <w:r>
        <w:rPr>
          <w:b/>
        </w:rPr>
        <w:t xml:space="preserve">vs BRVM Composite: </w:t>
      </w:r>
      <w:r>
        <w:rPr>
          <w:b/>
          <w:color w:val="008000"/>
        </w:rPr>
        <w:t>+62.96%  🟢 Surperformance</w:t>
      </w:r>
      <w:r>
        <w:br/>
      </w:r>
      <w:r>
        <w:rPr>
          <w:b/>
        </w:rPr>
        <w:t xml:space="preserve">Sentiment général: </w:t>
      </w:r>
      <w:r>
        <w:t xml:space="preserve">CONSERVER ⚠️  |  </w:t>
      </w:r>
      <w:r>
        <w:rPr>
          <w:b/>
        </w:rPr>
        <w:t xml:space="preserve">Risque moyen: </w:t>
      </w:r>
      <w:r>
        <w:t xml:space="preserve">Moyen  |  </w:t>
      </w:r>
      <w:r>
        <w:rPr>
          <w:b/>
        </w:rPr>
        <w:t xml:space="preserve">Prix moyen: </w:t>
      </w:r>
      <w:r>
        <w:t>10100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47.18%</w:t>
      </w:r>
      <w:r>
        <w:t xml:space="preserve">  |  </w:t>
      </w:r>
      <w:r>
        <w:rPr>
          <w:b/>
        </w:rPr>
        <w:t xml:space="preserve">vs BRVM Composite: </w:t>
      </w:r>
      <w:r>
        <w:rPr>
          <w:b/>
          <w:color w:val="008000"/>
        </w:rPr>
        <w:t>+12.18%  🟢 Surperformance</w:t>
      </w:r>
      <w:r>
        <w:br/>
      </w:r>
      <w:r>
        <w:rPr>
          <w:b/>
        </w:rPr>
        <w:t xml:space="preserve">Sentiment général: </w:t>
      </w:r>
      <w:r>
        <w:t xml:space="preserve">ACHAT  |  </w:t>
      </w:r>
      <w:r>
        <w:rPr>
          <w:b/>
        </w:rPr>
        <w:t xml:space="preserve">Risque moyen: </w:t>
      </w:r>
      <w:r>
        <w:t xml:space="preserve">Moyen  |  </w:t>
      </w:r>
      <w:r>
        <w:rPr>
          <w:b/>
        </w:rPr>
        <w:t xml:space="preserve">Prix moyen: </w:t>
      </w:r>
      <w:r>
        <w:t>14167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29.00%</w:t>
      </w:r>
      <w:r>
        <w:t xml:space="preserve">  |  </w:t>
      </w:r>
      <w:r>
        <w:rPr>
          <w:b/>
        </w:rPr>
        <w:t xml:space="preserve">vs BRVM Composite: </w:t>
      </w:r>
      <w:r>
        <w:rPr>
          <w:b/>
          <w:color w:val="C00000"/>
        </w:rPr>
        <w:t>-5.99%  🔴 Sous-performance</w:t>
      </w:r>
      <w:r>
        <w:br/>
      </w:r>
      <w:r>
        <w:rPr>
          <w:b/>
        </w:rPr>
        <w:t xml:space="preserve">Sentiment général: </w:t>
      </w:r>
      <w:r>
        <w:t xml:space="preserve">ACHAT  |  </w:t>
      </w:r>
      <w:r>
        <w:rPr>
          <w:b/>
        </w:rPr>
        <w:t xml:space="preserve">Risque moyen: </w:t>
      </w:r>
      <w:r>
        <w:t xml:space="preserve">Moyen  |  </w:t>
      </w:r>
      <w:r>
        <w:rPr>
          <w:b/>
        </w:rPr>
        <w:t xml:space="preserve">Prix moyen: </w:t>
      </w:r>
      <w:r>
        <w:t>18929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26.89%</w:t>
      </w:r>
      <w:r>
        <w:t xml:space="preserve">  |  </w:t>
      </w:r>
      <w:r>
        <w:rPr>
          <w:b/>
        </w:rPr>
        <w:t xml:space="preserve">vs BRVM Composite: </w:t>
      </w:r>
      <w:r>
        <w:rPr>
          <w:b/>
          <w:color w:val="C00000"/>
        </w:rPr>
        <w:t>-8.10%  🔴 Sous-performance</w:t>
      </w:r>
      <w:r>
        <w:br/>
      </w:r>
      <w:r>
        <w:rPr>
          <w:b/>
        </w:rPr>
        <w:t xml:space="preserve">Sentiment général: </w:t>
      </w:r>
      <w:r>
        <w:t xml:space="preserve">ACHAT  |  </w:t>
      </w:r>
      <w:r>
        <w:rPr>
          <w:b/>
        </w:rPr>
        <w:t xml:space="preserve">Risque moyen: </w:t>
      </w:r>
      <w:r>
        <w:t xml:space="preserve">Moyen  |  </w:t>
      </w:r>
      <w:r>
        <w:rPr>
          <w:b/>
        </w:rPr>
        <w:t xml:space="preserve">Prix moyen: </w:t>
      </w:r>
      <w:r>
        <w:t>3089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26.12%</w:t>
      </w:r>
      <w:r>
        <w:t xml:space="preserve">  |  </w:t>
      </w:r>
      <w:r>
        <w:rPr>
          <w:b/>
        </w:rPr>
        <w:t xml:space="preserve">vs BRVM Composite: </w:t>
      </w:r>
      <w:r>
        <w:rPr>
          <w:b/>
          <w:color w:val="C00000"/>
        </w:rPr>
        <w:t>-8.88%  🔴 Sous-performance</w:t>
      </w:r>
      <w:r>
        <w:br/>
      </w:r>
      <w:r>
        <w:rPr>
          <w:b/>
        </w:rPr>
        <w:t xml:space="preserve">Sentiment général: </w:t>
      </w:r>
      <w:r>
        <w:t xml:space="preserve">ACHAT  |  </w:t>
      </w:r>
      <w:r>
        <w:rPr>
          <w:b/>
        </w:rPr>
        <w:t xml:space="preserve">Risque moyen: </w:t>
      </w:r>
      <w:r>
        <w:t xml:space="preserve">Moyen  |  </w:t>
      </w:r>
      <w:r>
        <w:rPr>
          <w:b/>
        </w:rPr>
        <w:t xml:space="preserve">Prix moyen: </w:t>
      </w:r>
      <w:r>
        <w:t>20810 FCFA</w:t>
        <w:br/>
      </w:r>
      <w:r>
        <w:rPr>
          <w:b/>
        </w:rPr>
        <w:br/>
        <w:t xml:space="preserve">Sociétés: </w:t>
      </w:r>
      <w:r>
        <w:t>ONTBF (ONTBF - ONATEL BURKINA FASO), ORAC (ORAC - ORANGE COTE D'IVOIRE), SNTS (SNTS - SONATEL SN)</w:t>
      </w:r>
    </w:p>
    <w:p/>
    <w:p>
      <w:pPr>
        <w:pStyle w:val="Heading3"/>
      </w:pPr>
      <w:r>
        <w:t>Secteur: ENERGIE</w:t>
      </w:r>
    </w:p>
    <w:p>
      <w:r>
        <w:rPr>
          <w:b/>
        </w:rPr>
        <w:t xml:space="preserve">Nombre de sociétés: </w:t>
      </w:r>
      <w:r>
        <w:t xml:space="preserve">4  |  </w:t>
      </w:r>
      <w:r>
        <w:rPr>
          <w:b/>
        </w:rPr>
        <w:t xml:space="preserve">Performance moyenne (100j): </w:t>
      </w:r>
      <w:r>
        <w:rPr>
          <w:color w:val="008000"/>
        </w:rPr>
        <w:t>25.63%</w:t>
      </w:r>
      <w:r>
        <w:t xml:space="preserve">  |  </w:t>
      </w:r>
      <w:r>
        <w:rPr>
          <w:b/>
        </w:rPr>
        <w:t xml:space="preserve">vs BRVM Composite: </w:t>
      </w:r>
      <w:r>
        <w:rPr>
          <w:b/>
          <w:color w:val="C00000"/>
        </w:rPr>
        <w:t>-9.37%  🔴 Sous-performance</w:t>
      </w:r>
      <w:r>
        <w:br/>
      </w:r>
      <w:r>
        <w:rPr>
          <w:b/>
        </w:rPr>
        <w:t xml:space="preserve">Sentiment général: </w:t>
      </w:r>
      <w:r>
        <w:t xml:space="preserve">ACHAT  |  </w:t>
      </w:r>
      <w:r>
        <w:rPr>
          <w:b/>
        </w:rPr>
        <w:t xml:space="preserve">Risque moyen: </w:t>
      </w:r>
      <w:r>
        <w:t xml:space="preserve">Moyen  |  </w:t>
      </w:r>
      <w:r>
        <w:rPr>
          <w:b/>
        </w:rPr>
        <w:t xml:space="preserve">Prix moyen: </w:t>
      </w:r>
      <w:r>
        <w:t>6778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INDUSTRIELS</w:t>
      </w:r>
    </w:p>
    <w:p>
      <w:r>
        <w:rPr>
          <w:b/>
        </w:rPr>
        <w:t xml:space="preserve">Nombre de sociétés: </w:t>
      </w:r>
      <w:r>
        <w:t xml:space="preserve">6  |  </w:t>
      </w:r>
      <w:r>
        <w:rPr>
          <w:b/>
        </w:rPr>
        <w:t xml:space="preserve">Performance moyenne (100j): </w:t>
      </w:r>
      <w:r>
        <w:rPr>
          <w:color w:val="C00000"/>
        </w:rPr>
        <w:t>-3.72%</w:t>
      </w:r>
      <w:r>
        <w:t xml:space="preserve">  |  </w:t>
      </w:r>
      <w:r>
        <w:rPr>
          <w:b/>
        </w:rPr>
        <w:t xml:space="preserve">vs BRVM Composite: </w:t>
      </w:r>
      <w:r>
        <w:rPr>
          <w:b/>
          <w:color w:val="C00000"/>
        </w:rPr>
        <w:t>-38.71%  🔴 Sous-performance</w:t>
      </w:r>
      <w:r>
        <w:br/>
      </w:r>
      <w:r>
        <w:rPr>
          <w:b/>
        </w:rPr>
        <w:t xml:space="preserve">Sentiment général: </w:t>
      </w:r>
      <w:r>
        <w:t xml:space="preserve">ACHAT  |  </w:t>
      </w:r>
      <w:r>
        <w:rPr>
          <w:b/>
        </w:rPr>
        <w:t xml:space="preserve">Risque moyen: </w:t>
      </w:r>
      <w:r>
        <w:t xml:space="preserve">Moyen  |  </w:t>
      </w:r>
      <w:r>
        <w:rPr>
          <w:b/>
        </w:rPr>
        <w:t xml:space="preserve">Prix moyen: </w:t>
      </w:r>
      <w:r>
        <w:t>2568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BNBC, BOAC, BOAS, CFAC, PALC, SEMC, SICC, SIVC</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ABJC, BOAB, BOABF, BOAM, BOAN, CABC, FTSC, NEIC, NTLC, ORAC, SAFC, SCRC, SDCC, SDSC, SGBC, SIBC, SLBC, SMBC, SNTS, SPHC, STAC, TTLC, TTLS, UNLC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BICC, CBIBF, ECOC, ETIT, NSBC, ORGT, PRSC, SHEC, SOGC, UNXC</w:t>
            </w:r>
          </w:p>
        </w:tc>
        <w:tc>
          <w:tcPr>
            <w:tcW w:type="dxa" w:w="2160"/>
            <w:shd w:fill="FFC7CE" w:val="clear"/>
          </w:tcPr>
          <w:p>
            <w:pPr>
              <w:spacing w:before="40" w:after="40"/>
            </w:pPr>
            <w:r/>
            <w:r>
              <w:rPr>
                <w:b w:val="0"/>
                <w:sz w:val="16"/>
              </w:rPr>
              <w:t>BICB, CIEC, LNBB, ONTBF, STBC</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1407850</w:t>
            </w:r>
          </w:p>
        </w:tc>
        <w:tc>
          <w:tcPr>
            <w:tcW w:type="dxa" w:w="1728"/>
          </w:tcPr>
          <w:p>
            <w:r>
              <w:t>93435592 FCFA</w:t>
            </w:r>
          </w:p>
        </w:tc>
        <w:tc>
          <w:tcPr>
            <w:tcW w:type="dxa" w:w="1728"/>
          </w:tcPr>
          <w:p>
            <w:r>
              <w:t>108.82%</w:t>
            </w:r>
          </w:p>
        </w:tc>
        <w:tc>
          <w:tcPr>
            <w:tcW w:type="dxa" w:w="1728"/>
          </w:tcPr>
          <w:p>
            <w:r>
              <w:t>ACHAT</w:t>
            </w:r>
          </w:p>
        </w:tc>
      </w:tr>
      <w:tr>
        <w:tc>
          <w:tcPr>
            <w:tcW w:type="dxa" w:w="1728"/>
          </w:tcPr>
          <w:p>
            <w:r>
              <w:t>SDSC (SDSC - AFRICA GLOBAL LOGISTICS CI)</w:t>
            </w:r>
          </w:p>
        </w:tc>
        <w:tc>
          <w:tcPr>
            <w:tcW w:type="dxa" w:w="1728"/>
          </w:tcPr>
          <w:p>
            <w:r>
              <w:t>21537</w:t>
            </w:r>
          </w:p>
        </w:tc>
        <w:tc>
          <w:tcPr>
            <w:tcW w:type="dxa" w:w="1728"/>
          </w:tcPr>
          <w:p>
            <w:r>
              <w:t>57680940 FCFA</w:t>
            </w:r>
          </w:p>
        </w:tc>
        <w:tc>
          <w:tcPr>
            <w:tcW w:type="dxa" w:w="1728"/>
          </w:tcPr>
          <w:p>
            <w:r>
              <w:t>69.13%</w:t>
            </w:r>
          </w:p>
        </w:tc>
        <w:tc>
          <w:tcPr>
            <w:tcW w:type="dxa" w:w="1728"/>
          </w:tcPr>
          <w:p>
            <w:r>
              <w:t>ACHAT</w:t>
            </w:r>
          </w:p>
        </w:tc>
      </w:tr>
      <w:tr>
        <w:tc>
          <w:tcPr>
            <w:tcW w:type="dxa" w:w="1728"/>
          </w:tcPr>
          <w:p>
            <w:r>
              <w:t>BICB (BIIC BN - Banque internationale pour le commerce du benin)</w:t>
            </w:r>
          </w:p>
        </w:tc>
        <w:tc>
          <w:tcPr>
            <w:tcW w:type="dxa" w:w="1728"/>
          </w:tcPr>
          <w:p>
            <w:r>
              <w:t>19890</w:t>
            </w:r>
          </w:p>
        </w:tc>
        <w:tc>
          <w:tcPr>
            <w:tcW w:type="dxa" w:w="1728"/>
          </w:tcPr>
          <w:p>
            <w:r>
              <w:t>165698452 FCFA</w:t>
            </w:r>
          </w:p>
        </w:tc>
        <w:tc>
          <w:tcPr>
            <w:tcW w:type="dxa" w:w="1728"/>
          </w:tcPr>
          <w:p>
            <w:r>
              <w:t>101.94%</w:t>
            </w:r>
          </w:p>
        </w:tc>
        <w:tc>
          <w:tcPr>
            <w:tcW w:type="dxa" w:w="1728"/>
          </w:tcPr>
          <w:p>
            <w:r>
              <w:t>CONSERVER ⚠️</w:t>
            </w:r>
          </w:p>
        </w:tc>
      </w:tr>
      <w:tr>
        <w:tc>
          <w:tcPr>
            <w:tcW w:type="dxa" w:w="1728"/>
          </w:tcPr>
          <w:p>
            <w:r>
              <w:t>UNXC (UNXC - UNIWAX COTE D'IVOIRE)</w:t>
            </w:r>
          </w:p>
        </w:tc>
        <w:tc>
          <w:tcPr>
            <w:tcW w:type="dxa" w:w="1728"/>
          </w:tcPr>
          <w:p>
            <w:r>
              <w:t>15645</w:t>
            </w:r>
          </w:p>
        </w:tc>
        <w:tc>
          <w:tcPr>
            <w:tcW w:type="dxa" w:w="1728"/>
          </w:tcPr>
          <w:p>
            <w:r>
              <w:t>35878567 FCFA</w:t>
            </w:r>
          </w:p>
        </w:tc>
        <w:tc>
          <w:tcPr>
            <w:tcW w:type="dxa" w:w="1728"/>
          </w:tcPr>
          <w:p>
            <w:r>
              <w:t>22.70%</w:t>
            </w:r>
          </w:p>
        </w:tc>
        <w:tc>
          <w:tcPr>
            <w:tcW w:type="dxa" w:w="1728"/>
          </w:tcPr>
          <w:p>
            <w:r>
              <w:t>ACHAT</w:t>
            </w:r>
          </w:p>
        </w:tc>
      </w:tr>
      <w:tr>
        <w:tc>
          <w:tcPr>
            <w:tcW w:type="dxa" w:w="1728"/>
          </w:tcPr>
          <w:p>
            <w:r>
              <w:t>BOAS (BANK OF AFRICA SENEGAL)</w:t>
            </w:r>
          </w:p>
        </w:tc>
        <w:tc>
          <w:tcPr>
            <w:tcW w:type="dxa" w:w="1728"/>
          </w:tcPr>
          <w:p>
            <w:r>
              <w:t>14798</w:t>
            </w:r>
          </w:p>
        </w:tc>
        <w:tc>
          <w:tcPr>
            <w:tcW w:type="dxa" w:w="1728"/>
          </w:tcPr>
          <w:p>
            <w:r>
              <w:t>118214848 FCFA</w:t>
            </w:r>
          </w:p>
        </w:tc>
        <w:tc>
          <w:tcPr>
            <w:tcW w:type="dxa" w:w="1728"/>
          </w:tcPr>
          <w:p>
            <w:r>
              <w:t>23.17%</w:t>
            </w:r>
          </w:p>
        </w:tc>
        <w:tc>
          <w:tcPr>
            <w:tcW w:type="dxa" w:w="1728"/>
          </w:tcPr>
          <w:p>
            <w:r>
              <w:t>ACHAT</w:t>
            </w:r>
          </w:p>
        </w:tc>
      </w:tr>
      <w:tr>
        <w:tc>
          <w:tcPr>
            <w:tcW w:type="dxa" w:w="1728"/>
          </w:tcPr>
          <w:p>
            <w:r>
              <w:t>SIBC (SIBC - SOCIETE IVOIRIENNE DE BANQUE)</w:t>
            </w:r>
          </w:p>
        </w:tc>
        <w:tc>
          <w:tcPr>
            <w:tcW w:type="dxa" w:w="1728"/>
          </w:tcPr>
          <w:p>
            <w:r>
              <w:t>14305</w:t>
            </w:r>
          </w:p>
        </w:tc>
        <w:tc>
          <w:tcPr>
            <w:tcW w:type="dxa" w:w="1728"/>
          </w:tcPr>
          <w:p>
            <w:r>
              <w:t>130716582 FCFA</w:t>
            </w:r>
          </w:p>
        </w:tc>
        <w:tc>
          <w:tcPr>
            <w:tcW w:type="dxa" w:w="1728"/>
          </w:tcPr>
          <w:p>
            <w:r>
              <w:t>29.67%</w:t>
            </w:r>
          </w:p>
        </w:tc>
        <w:tc>
          <w:tcPr>
            <w:tcW w:type="dxa" w:w="1728"/>
          </w:tcPr>
          <w:p>
            <w:r>
              <w:t>ACHAT</w:t>
            </w:r>
          </w:p>
        </w:tc>
      </w:tr>
      <w:tr>
        <w:tc>
          <w:tcPr>
            <w:tcW w:type="dxa" w:w="1728"/>
          </w:tcPr>
          <w:p>
            <w:r>
              <w:t>SOGC (SOGC - Société des caoutchoucs de Grand-Béréby)</w:t>
            </w:r>
          </w:p>
        </w:tc>
        <w:tc>
          <w:tcPr>
            <w:tcW w:type="dxa" w:w="1728"/>
          </w:tcPr>
          <w:p>
            <w:r>
              <w:t>11414</w:t>
            </w:r>
          </w:p>
        </w:tc>
        <w:tc>
          <w:tcPr>
            <w:tcW w:type="dxa" w:w="1728"/>
          </w:tcPr>
          <w:p>
            <w:r>
              <w:t>86835098 FCFA</w:t>
            </w:r>
          </w:p>
        </w:tc>
        <w:tc>
          <w:tcPr>
            <w:tcW w:type="dxa" w:w="1728"/>
          </w:tcPr>
          <w:p>
            <w:r>
              <w:t>10.41%</w:t>
            </w:r>
          </w:p>
        </w:tc>
        <w:tc>
          <w:tcPr>
            <w:tcW w:type="dxa" w:w="1728"/>
          </w:tcPr>
          <w:p>
            <w:r>
              <w:t>ACHAT</w:t>
            </w:r>
          </w:p>
        </w:tc>
      </w:tr>
      <w:tr>
        <w:tc>
          <w:tcPr>
            <w:tcW w:type="dxa" w:w="1728"/>
          </w:tcPr>
          <w:p>
            <w:r>
              <w:t>BOABF (BANK OF AFRICA BURKINA FASO)</w:t>
            </w:r>
          </w:p>
        </w:tc>
        <w:tc>
          <w:tcPr>
            <w:tcW w:type="dxa" w:w="1728"/>
          </w:tcPr>
          <w:p>
            <w:r>
              <w:t>10652</w:t>
            </w:r>
          </w:p>
        </w:tc>
        <w:tc>
          <w:tcPr>
            <w:tcW w:type="dxa" w:w="1728"/>
          </w:tcPr>
          <w:p>
            <w:r>
              <w:t>85908472 FCFA</w:t>
            </w:r>
          </w:p>
        </w:tc>
        <w:tc>
          <w:tcPr>
            <w:tcW w:type="dxa" w:w="1728"/>
          </w:tcPr>
          <w:p>
            <w:r>
              <w:t>56.34%</w:t>
            </w:r>
          </w:p>
        </w:tc>
        <w:tc>
          <w:tcPr>
            <w:tcW w:type="dxa" w:w="1728"/>
          </w:tcPr>
          <w:p>
            <w:r>
              <w:t>ACHAT</w:t>
            </w:r>
          </w:p>
        </w:tc>
      </w:tr>
      <w:tr>
        <w:tc>
          <w:tcPr>
            <w:tcW w:type="dxa" w:w="1728"/>
          </w:tcPr>
          <w:p>
            <w:r>
              <w:t>SNTS (SNTS - SONATEL SN)</w:t>
            </w:r>
          </w:p>
        </w:tc>
        <w:tc>
          <w:tcPr>
            <w:tcW w:type="dxa" w:w="1728"/>
          </w:tcPr>
          <w:p>
            <w:r>
              <w:t>10624</w:t>
            </w:r>
          </w:p>
        </w:tc>
        <w:tc>
          <w:tcPr>
            <w:tcW w:type="dxa" w:w="1728"/>
          </w:tcPr>
          <w:p>
            <w:r>
              <w:t>367818551 FCFA</w:t>
            </w:r>
          </w:p>
        </w:tc>
        <w:tc>
          <w:tcPr>
            <w:tcW w:type="dxa" w:w="1728"/>
          </w:tcPr>
          <w:p>
            <w:r>
              <w:t>33.68%</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STBC (STBC - SITAB COTE D'IVOIRE)</w:t>
            </w:r>
          </w:p>
        </w:tc>
        <w:tc>
          <w:tcPr>
            <w:tcW w:type="dxa" w:w="1728"/>
          </w:tcPr>
          <w:p>
            <w:r>
              <w:t>3833</w:t>
            </w:r>
          </w:p>
        </w:tc>
        <w:tc>
          <w:tcPr>
            <w:tcW w:type="dxa" w:w="1728"/>
          </w:tcPr>
          <w:p>
            <w:r>
              <w:t>87928660 FCFA</w:t>
            </w:r>
          </w:p>
        </w:tc>
        <w:tc>
          <w:tcPr>
            <w:tcW w:type="dxa" w:w="1728"/>
          </w:tcPr>
          <w:p>
            <w:r>
              <w:t>4.12%</w:t>
            </w:r>
          </w:p>
        </w:tc>
        <w:tc>
          <w:tcPr>
            <w:tcW w:type="dxa" w:w="1728"/>
          </w:tcPr>
          <w:p>
            <w:r>
              <w:t>CONSERVER</w:t>
            </w:r>
          </w:p>
        </w:tc>
      </w:tr>
      <w:tr>
        <w:tc>
          <w:tcPr>
            <w:tcW w:type="dxa" w:w="1728"/>
          </w:tcPr>
          <w:p>
            <w:r>
              <w:t>FTSC (FTSC - FILTISAC COTE D'IVOIRE)</w:t>
            </w:r>
          </w:p>
        </w:tc>
        <w:tc>
          <w:tcPr>
            <w:tcW w:type="dxa" w:w="1728"/>
          </w:tcPr>
          <w:p>
            <w:r>
              <w:t>3805</w:t>
            </w:r>
          </w:p>
        </w:tc>
        <w:tc>
          <w:tcPr>
            <w:tcW w:type="dxa" w:w="1728"/>
          </w:tcPr>
          <w:p>
            <w:r>
              <w:t>8119827 FCFA</w:t>
            </w:r>
          </w:p>
        </w:tc>
        <w:tc>
          <w:tcPr>
            <w:tcW w:type="dxa" w:w="1728"/>
          </w:tcPr>
          <w:p>
            <w:r>
              <w:t>-6.72%</w:t>
            </w:r>
          </w:p>
        </w:tc>
        <w:tc>
          <w:tcPr>
            <w:tcW w:type="dxa" w:w="1728"/>
          </w:tcPr>
          <w:p>
            <w:r>
              <w:t>ACHAT</w:t>
            </w:r>
          </w:p>
        </w:tc>
      </w:tr>
      <w:tr>
        <w:tc>
          <w:tcPr>
            <w:tcW w:type="dxa" w:w="1728"/>
          </w:tcPr>
          <w:p>
            <w:r>
              <w:t>ORGT (ORGT - ORAGROUP TOGO)</w:t>
            </w:r>
          </w:p>
        </w:tc>
        <w:tc>
          <w:tcPr>
            <w:tcW w:type="dxa" w:w="1728"/>
          </w:tcPr>
          <w:p>
            <w:r>
              <w:t>3618</w:t>
            </w:r>
          </w:p>
        </w:tc>
        <w:tc>
          <w:tcPr>
            <w:tcW w:type="dxa" w:w="1728"/>
          </w:tcPr>
          <w:p>
            <w:r>
              <w:t>11378806 FCFA</w:t>
            </w:r>
          </w:p>
        </w:tc>
        <w:tc>
          <w:tcPr>
            <w:tcW w:type="dxa" w:w="1728"/>
          </w:tcPr>
          <w:p>
            <w:r>
              <w:t>-8.63%</w:t>
            </w:r>
          </w:p>
        </w:tc>
        <w:tc>
          <w:tcPr>
            <w:tcW w:type="dxa" w:w="1728"/>
          </w:tcPr>
          <w:p>
            <w:r>
              <w:t>ACHAT</w:t>
            </w:r>
          </w:p>
        </w:tc>
      </w:tr>
      <w:tr>
        <w:tc>
          <w:tcPr>
            <w:tcW w:type="dxa" w:w="1728"/>
          </w:tcPr>
          <w:p>
            <w:r>
              <w:t>ABJC (ABJC - SERVAIR ABIDJAN CI)</w:t>
            </w:r>
          </w:p>
        </w:tc>
        <w:tc>
          <w:tcPr>
            <w:tcW w:type="dxa" w:w="1728"/>
          </w:tcPr>
          <w:p>
            <w:r>
              <w:t>3566</w:t>
            </w:r>
          </w:p>
        </w:tc>
        <w:tc>
          <w:tcPr>
            <w:tcW w:type="dxa" w:w="1728"/>
          </w:tcPr>
          <w:p>
            <w:r>
              <w:t>12585492 FCFA</w:t>
            </w:r>
          </w:p>
        </w:tc>
        <w:tc>
          <w:tcPr>
            <w:tcW w:type="dxa" w:w="1728"/>
          </w:tcPr>
          <w:p>
            <w:r>
              <w:t>12.39%</w:t>
            </w:r>
          </w:p>
        </w:tc>
        <w:tc>
          <w:tcPr>
            <w:tcW w:type="dxa" w:w="1728"/>
          </w:tcPr>
          <w:p>
            <w:r>
              <w:t>ACHAT</w:t>
            </w:r>
          </w:p>
        </w:tc>
      </w:tr>
      <w:tr>
        <w:tc>
          <w:tcPr>
            <w:tcW w:type="dxa" w:w="1728"/>
          </w:tcPr>
          <w:p>
            <w:r>
              <w:t>CFAC (CFAC - CFAO MOTORS CI)</w:t>
            </w:r>
          </w:p>
        </w:tc>
        <w:tc>
          <w:tcPr>
            <w:tcW w:type="dxa" w:w="1728"/>
          </w:tcPr>
          <w:p>
            <w:r>
              <w:t>3514</w:t>
            </w:r>
          </w:p>
        </w:tc>
        <w:tc>
          <w:tcPr>
            <w:tcW w:type="dxa" w:w="1728"/>
          </w:tcPr>
          <w:p>
            <w:r>
              <w:t>5972164 FCFA</w:t>
            </w:r>
          </w:p>
        </w:tc>
        <w:tc>
          <w:tcPr>
            <w:tcW w:type="dxa" w:w="1728"/>
          </w:tcPr>
          <w:p>
            <w:r>
              <w:t>6.40%</w:t>
            </w:r>
          </w:p>
        </w:tc>
        <w:tc>
          <w:tcPr>
            <w:tcW w:type="dxa" w:w="1728"/>
          </w:tcPr>
          <w:p>
            <w:r>
              <w:t>ACHAT</w:t>
            </w:r>
          </w:p>
        </w:tc>
      </w:tr>
      <w:tr>
        <w:tc>
          <w:tcPr>
            <w:tcW w:type="dxa" w:w="1728"/>
          </w:tcPr>
          <w:p>
            <w:r>
              <w:t>ORAC (ORAC - ORANGE COTE D'IVOIRE)</w:t>
            </w:r>
          </w:p>
        </w:tc>
        <w:tc>
          <w:tcPr>
            <w:tcW w:type="dxa" w:w="1728"/>
          </w:tcPr>
          <w:p>
            <w:r>
              <w:t>2847</w:t>
            </w:r>
          </w:p>
        </w:tc>
        <w:tc>
          <w:tcPr>
            <w:tcW w:type="dxa" w:w="1728"/>
          </w:tcPr>
          <w:p>
            <w:r>
              <w:t>57388430 FCFA</w:t>
            </w:r>
          </w:p>
        </w:tc>
        <w:tc>
          <w:tcPr>
            <w:tcW w:type="dxa" w:w="1728"/>
          </w:tcPr>
          <w:p>
            <w:r>
              <w:t>40.02%</w:t>
            </w:r>
          </w:p>
        </w:tc>
        <w:tc>
          <w:tcPr>
            <w:tcW w:type="dxa" w:w="1728"/>
          </w:tcPr>
          <w:p>
            <w:r>
              <w:t>ACHAT</w:t>
            </w:r>
          </w:p>
        </w:tc>
      </w:tr>
      <w:tr>
        <w:tc>
          <w:tcPr>
            <w:tcW w:type="dxa" w:w="1728"/>
          </w:tcPr>
          <w:p>
            <w:r>
              <w:t>PALC (PALC - PALM COTE D'IVOIRE)</w:t>
            </w:r>
          </w:p>
        </w:tc>
        <w:tc>
          <w:tcPr>
            <w:tcW w:type="dxa" w:w="1728"/>
          </w:tcPr>
          <w:p>
            <w:r>
              <w:t>2841</w:t>
            </w:r>
          </w:p>
        </w:tc>
        <w:tc>
          <w:tcPr>
            <w:tcW w:type="dxa" w:w="1728"/>
          </w:tcPr>
          <w:p>
            <w:r>
              <w:t>26014968 FCFA</w:t>
            </w:r>
          </w:p>
        </w:tc>
        <w:tc>
          <w:tcPr>
            <w:tcW w:type="dxa" w:w="1728"/>
          </w:tcPr>
          <w:p>
            <w:r>
              <w:t>4.65%</w:t>
            </w:r>
          </w:p>
        </w:tc>
        <w:tc>
          <w:tcPr>
            <w:tcW w:type="dxa" w:w="1728"/>
          </w:tcPr>
          <w:p>
            <w:r>
              <w:t>ACHAT</w:t>
            </w:r>
          </w:p>
        </w:tc>
      </w:tr>
      <w:tr>
        <w:tc>
          <w:tcPr>
            <w:tcW w:type="dxa" w:w="1728"/>
          </w:tcPr>
          <w:p>
            <w:r>
              <w:t>CABC (CABC - SICABLE COTE D'IVOIRE)</w:t>
            </w:r>
          </w:p>
        </w:tc>
        <w:tc>
          <w:tcPr>
            <w:tcW w:type="dxa" w:w="1728"/>
          </w:tcPr>
          <w:p>
            <w:r>
              <w:t>2489</w:t>
            </w:r>
          </w:p>
        </w:tc>
        <w:tc>
          <w:tcPr>
            <w:tcW w:type="dxa" w:w="1728"/>
          </w:tcPr>
          <w:p>
            <w:r>
              <w:t>8771696 FCFA</w:t>
            </w:r>
          </w:p>
        </w:tc>
        <w:tc>
          <w:tcPr>
            <w:tcW w:type="dxa" w:w="1728"/>
          </w:tcPr>
          <w:p>
            <w:r>
              <w:t>-18.43%</w:t>
            </w:r>
          </w:p>
        </w:tc>
        <w:tc>
          <w:tcPr>
            <w:tcW w:type="dxa" w:w="1728"/>
          </w:tcPr>
          <w:p>
            <w:r>
              <w:t>ACHAT</w:t>
            </w:r>
          </w:p>
        </w:tc>
      </w:tr>
      <w:tr>
        <w:tc>
          <w:tcPr>
            <w:tcW w:type="dxa" w:w="1728"/>
          </w:tcPr>
          <w:p>
            <w:r>
              <w:t>TTLS (TTLS - TOTAL ENERGIES MARKETING SENEGAL)</w:t>
            </w:r>
          </w:p>
        </w:tc>
        <w:tc>
          <w:tcPr>
            <w:tcW w:type="dxa" w:w="1728"/>
          </w:tcPr>
          <w:p>
            <w:r>
              <w:t>2454</w:t>
            </w:r>
          </w:p>
        </w:tc>
        <w:tc>
          <w:tcPr>
            <w:tcW w:type="dxa" w:w="1728"/>
          </w:tcPr>
          <w:p>
            <w:r>
              <w:t>9193004 FCFA</w:t>
            </w:r>
          </w:p>
        </w:tc>
        <w:tc>
          <w:tcPr>
            <w:tcW w:type="dxa" w:w="1728"/>
          </w:tcPr>
          <w:p>
            <w:r>
              <w:t>21.71%</w:t>
            </w:r>
          </w:p>
        </w:tc>
        <w:tc>
          <w:tcPr>
            <w:tcW w:type="dxa" w:w="1728"/>
          </w:tcPr>
          <w:p>
            <w:r>
              <w:t>ACHAT</w:t>
            </w:r>
          </w:p>
        </w:tc>
      </w:tr>
      <w:tr>
        <w:tc>
          <w:tcPr>
            <w:tcW w:type="dxa" w:w="1728"/>
          </w:tcPr>
          <w:p>
            <w:r>
              <w:t>NEIC (NEIC - NEI-CEDA CI)</w:t>
            </w:r>
          </w:p>
        </w:tc>
        <w:tc>
          <w:tcPr>
            <w:tcW w:type="dxa" w:w="1728"/>
          </w:tcPr>
          <w:p>
            <w:r>
              <w:t>2335</w:t>
            </w:r>
          </w:p>
        </w:tc>
        <w:tc>
          <w:tcPr>
            <w:tcW w:type="dxa" w:w="1728"/>
          </w:tcPr>
          <w:p>
            <w:r>
              <w:t>6251882 FCFA</w:t>
            </w:r>
          </w:p>
        </w:tc>
        <w:tc>
          <w:tcPr>
            <w:tcW w:type="dxa" w:w="1728"/>
          </w:tcPr>
          <w:p>
            <w:r>
              <w:t>118.98%</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ETIT - ETIT - Ecobank Transnational Incorporated Togo</w:t>
      </w:r>
    </w:p>
    <w:p>
      <w:r>
        <w:rPr>
          <w:b/>
        </w:rPr>
        <w:t xml:space="preserve">Score de divergence: </w:t>
      </w:r>
      <w:r>
        <w:t>5/8</w:t>
        <w:br/>
      </w:r>
      <w:r>
        <w:rPr>
          <w:b/>
        </w:rPr>
        <w:t xml:space="preserve">Description: </w:t>
      </w:r>
      <w:r>
        <w:t>Signaux d'achat: MM | Signaux de vente: Bollinger, MACD, Stochastique | Recommandation finale: ACHAT</w:t>
        <w:br/>
      </w:r>
    </w:p>
    <w:p/>
    <w:p>
      <w:pPr>
        <w:pStyle w:val="Heading3"/>
      </w:pPr>
      <w:r>
        <w:t>2. SOGC - SOGC - Société des caoutchoucs de Grand-Béréby</w:t>
      </w:r>
    </w:p>
    <w:p>
      <w:r>
        <w:rPr>
          <w:b/>
        </w:rPr>
        <w:t xml:space="preserve">Score de divergence: </w:t>
      </w:r>
      <w:r>
        <w:t>5/8</w:t>
        <w:br/>
      </w:r>
      <w:r>
        <w:rPr>
          <w:b/>
        </w:rPr>
        <w:t xml:space="preserve">Description: </w:t>
      </w:r>
      <w:r>
        <w:t>Signaux d'achat: MACD | Signaux de vente: MM, RSI, Stochastique | Recommandation finale: ACHAT</w:t>
        <w:br/>
      </w:r>
    </w:p>
    <w:p/>
    <w:p>
      <w:pPr>
        <w:pStyle w:val="Heading3"/>
      </w:pPr>
      <w:r>
        <w:t>3. BICC - BICI CI - Banque internationale pour le commerce et l'industrie de la Côte d'Ivoire</w:t>
      </w:r>
    </w:p>
    <w:p>
      <w:r>
        <w:rPr>
          <w:b/>
        </w:rPr>
        <w:t xml:space="preserve">Score de divergence: </w:t>
      </w:r>
      <w:r>
        <w:t>4/8</w:t>
        <w:br/>
      </w:r>
      <w:r>
        <w:rPr>
          <w:b/>
        </w:rPr>
        <w:t xml:space="preserve">Description: </w:t>
      </w:r>
      <w:r>
        <w:t>Signaux d'achat: MM, MACD | Signaux de vente: Bollinger, RSI, Stochastique | Recommandation finale: ACHAT FORT</w:t>
        <w:br/>
      </w:r>
    </w:p>
    <w:p/>
    <w:p>
      <w:pPr>
        <w:pStyle w:val="Heading3"/>
      </w:pPr>
      <w:r>
        <w:t>4. CBIBF - CBIBF - CORIS BANK INTERNATIONAL BURKINA FASO</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5. ECOC - ECOC - ECOBANK COTE D'IVOIRE</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6. NSBC - NSBC - NSIA BANQUE COTE D'IVOIRE</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7. ORGT - ORGT - ORAGROUP TOGO</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8. PRSC - PRSC - TRACTAFRIC MOTORS CI</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9. SHEC - SHEC - VIVO ENERGY COTE D'IVOIRE</w:t>
      </w:r>
    </w:p>
    <w:p>
      <w:r>
        <w:rPr>
          <w:b/>
        </w:rPr>
        <w:t xml:space="preserve">Score de divergence: </w:t>
      </w:r>
      <w:r>
        <w:t>4/8</w:t>
        <w:br/>
      </w:r>
      <w:r>
        <w:rPr>
          <w:b/>
        </w:rPr>
        <w:t xml:space="preserve">Description: </w:t>
      </w:r>
      <w:r>
        <w:t>Signaux d'achat: MM | Signaux de vente: MACD, RSI | Recommandation finale: ACHAT</w:t>
        <w:br/>
      </w:r>
    </w:p>
    <w:p/>
    <w:p>
      <w:pPr>
        <w:pStyle w:val="Heading3"/>
      </w:pPr>
      <w:r>
        <w:t>10. UNXC - UNXC - UNIWAX COTE D'IVOIRE</w:t>
      </w:r>
    </w:p>
    <w:p>
      <w:r>
        <w:rPr>
          <w:b/>
        </w:rPr>
        <w:t xml:space="preserve">Score de divergence: </w:t>
      </w:r>
      <w:r>
        <w:t>4/8</w:t>
        <w:br/>
      </w:r>
      <w:r>
        <w:rPr>
          <w:b/>
        </w:rPr>
        <w:t xml:space="preserve">Description: </w:t>
      </w:r>
      <w:r>
        <w:t>Signaux d'achat: MM | Signaux de vente: MACD, RSI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18</w:t>
            </w:r>
          </w:p>
        </w:tc>
        <w:tc>
          <w:tcPr>
            <w:tcW w:type="dxa" w:w="2160"/>
          </w:tcPr>
          <w:p>
            <w:r>
              <w:t>0</w:t>
            </w:r>
          </w:p>
        </w:tc>
      </w:tr>
      <w:tr>
        <w:tc>
          <w:tcPr>
            <w:tcW w:type="dxa" w:w="2160"/>
          </w:tcPr>
          <w:p>
            <w:r>
              <w:t>Risque Moyen</w:t>
            </w:r>
          </w:p>
        </w:tc>
        <w:tc>
          <w:tcPr>
            <w:tcW w:type="dxa" w:w="2160"/>
          </w:tcPr>
          <w:p>
            <w:r>
              <w:t>0</w:t>
            </w:r>
          </w:p>
        </w:tc>
        <w:tc>
          <w:tcPr>
            <w:tcW w:type="dxa" w:w="2160"/>
          </w:tcPr>
          <w:p>
            <w:r>
              <w:t>29</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BNBC (BNBC - BERNABE CI)</w:t>
      </w:r>
    </w:p>
    <w:p>
      <w:pPr>
        <w:pStyle w:val="ListBullet"/>
      </w:pPr>
      <w:r>
        <w:t>• BOAM (BANK OF AFRICA MALI)</w:t>
      </w:r>
    </w:p>
    <w:p>
      <w:pPr>
        <w:pStyle w:val="ListBullet"/>
      </w:pPr>
      <w:r>
        <w:t>• BOAS (BANK OF AFRICA SENEGAL)</w:t>
      </w:r>
    </w:p>
    <w:p>
      <w:pPr>
        <w:pStyle w:val="ListBullet"/>
      </w:pPr>
      <w:r>
        <w:t>• CABC (CABC - SICABLE COTE D'IVOIRE)</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ONTBF (ONTBF - ONATEL BURKINA FASO)</w:t>
      </w:r>
    </w:p>
    <w:p>
      <w:pPr>
        <w:pStyle w:val="ListBullet"/>
      </w:pPr>
      <w:r>
        <w:t>• ORGT (ORGT - ORAGROUP TOGO)</w:t>
      </w:r>
    </w:p>
    <w:p>
      <w:pPr>
        <w:pStyle w:val="ListBullet"/>
      </w:pPr>
      <w:r>
        <w:t>• SGBC (SGBC - SOCIETE GENERALE COTE D'IVOIRE)</w:t>
      </w:r>
    </w:p>
    <w:p>
      <w:pPr>
        <w:pStyle w:val="ListBullet"/>
      </w:pPr>
      <w:r>
        <w:t>• SHEC (SHEC - VIVO ENERGY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SOGC (SOGC - Société des caoutchoucs de Grand-Béréby)</w:t>
      </w:r>
    </w:p>
    <w:p>
      <w:pPr>
        <w:pStyle w:val="ListBullet"/>
      </w:pPr>
      <w:r>
        <w:t>• STBC (STBC - SITAB COTE D'IVOIRE)</w:t>
      </w:r>
    </w:p>
    <w:p>
      <w:pPr>
        <w:pStyle w:val="ListBullet"/>
      </w:pPr>
      <w:r>
        <w:t>• TTLS (TTLS - TOTAL ENERGIES MARKETING SENEGAL)</w:t>
      </w:r>
    </w:p>
    <w:p>
      <w:pPr>
        <w:pStyle w:val="ListBullet"/>
      </w:pPr>
      <w:r>
        <w:t>• UNXC (UNXC - UNIWAX COTE D'IVOIRE)</w:t>
      </w:r>
    </w:p>
    <w:p/>
    <w:p>
      <w:pPr>
        <w:pStyle w:val="Heading3"/>
      </w:pPr>
      <w:r>
        <w:t>🟡 Risque Moyen - Moyen Terme</w:t>
      </w:r>
    </w:p>
    <w:p>
      <w:pPr>
        <w:pStyle w:val="ListBullet"/>
      </w:pPr>
      <w:r>
        <w:t>• ABJC (ABJC - SERVAIR ABIDJAN CI)</w:t>
      </w:r>
    </w:p>
    <w:p>
      <w:pPr>
        <w:pStyle w:val="ListBullet"/>
      </w:pPr>
      <w:r>
        <w:t>• BICB (BIIC BN - Banque internationale pour le commerce du benin)</w:t>
      </w:r>
    </w:p>
    <w:p>
      <w:pPr>
        <w:pStyle w:val="ListBullet"/>
      </w:pPr>
      <w:r>
        <w:t>• BICC (BICI CI - Banque internationale pour le commerce et l'industrie de la Côte d'Ivoire)</w:t>
      </w:r>
    </w:p>
    <w:p>
      <w:pPr>
        <w:pStyle w:val="ListBullet"/>
      </w:pPr>
      <w:r>
        <w:t>• BOAB (BANK OF AFRICA BENIN)</w:t>
      </w:r>
    </w:p>
    <w:p>
      <w:pPr>
        <w:pStyle w:val="ListBullet"/>
      </w:pPr>
      <w:r>
        <w:t>• BOABF (BANK OF AFRICA BURKINA FASO)</w:t>
      </w:r>
    </w:p>
    <w:p>
      <w:pPr>
        <w:pStyle w:val="ListBullet"/>
      </w:pPr>
      <w:r>
        <w:t>• BOAC (BANK OF AFRICA COTE D'IVOIRE)</w:t>
      </w:r>
    </w:p>
    <w:p>
      <w:pPr>
        <w:pStyle w:val="ListBullet"/>
      </w:pPr>
      <w:r>
        <w:t>• BOAN (BANK OF AFRICA NIGER)</w:t>
      </w:r>
    </w:p>
    <w:p>
      <w:pPr>
        <w:pStyle w:val="ListBullet"/>
      </w:pPr>
      <w:r>
        <w:t>• CBIBF (CBIBF - CORIS BANK INTERNATIONAL BURKINA FASO)</w:t>
      </w:r>
    </w:p>
    <w:p>
      <w:pPr>
        <w:pStyle w:val="ListBullet"/>
      </w:pPr>
      <w:r>
        <w:t>• CFAC (CFAC - CFAO MOTORS CI)</w:t>
      </w:r>
    </w:p>
    <w:p>
      <w:pPr>
        <w:pStyle w:val="ListBullet"/>
      </w:pPr>
      <w:r>
        <w:t>• CIEC (CIEC - Compagnie Ivoirienne d'Electricité)</w:t>
      </w:r>
    </w:p>
    <w:p>
      <w:pPr>
        <w:pStyle w:val="ListBullet"/>
      </w:pPr>
      <w:r>
        <w:t>• ETIT (ETIT - Ecobank Transnational Incorporated Togo)</w:t>
      </w:r>
    </w:p>
    <w:p>
      <w:pPr>
        <w:pStyle w:val="ListBullet"/>
      </w:pPr>
      <w:r>
        <w:t>• NEIC (NEIC - NEI-CEDA CI)</w:t>
      </w:r>
    </w:p>
    <w:p>
      <w:pPr>
        <w:pStyle w:val="ListBullet"/>
      </w:pPr>
      <w:r>
        <w:t>• NSBC (NSBC - NSIA BANQUE COTE D'IVOIRE)</w:t>
      </w:r>
    </w:p>
    <w:p>
      <w:pPr>
        <w:pStyle w:val="ListBullet"/>
      </w:pPr>
      <w:r>
        <w:t>• NTLC (NTLC - NESTLE COTE D'IVOIRE)</w:t>
      </w:r>
    </w:p>
    <w:p>
      <w:pPr>
        <w:pStyle w:val="ListBullet"/>
      </w:pPr>
      <w:r>
        <w:t>• ORAC (ORAC - ORANGE COTE D'IVOIRE)</w:t>
      </w:r>
    </w:p>
    <w:p>
      <w:pPr>
        <w:pStyle w:val="ListBullet"/>
      </w:pPr>
      <w:r>
        <w:t>• PALC (PALC - PALM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SDCC (SDCC - Société de Distribution d'Eau de Côte d'Ivoire)</w:t>
      </w:r>
    </w:p>
    <w:p>
      <w:pPr>
        <w:pStyle w:val="ListBullet"/>
      </w:pPr>
      <w:r>
        <w:t>• SDSC (SDSC - AFRICA GLOBAL LOGISTICS CI)</w:t>
      </w:r>
    </w:p>
    <w:p>
      <w:pPr>
        <w:pStyle w:val="ListBullet"/>
      </w:pPr>
      <w:r>
        <w:t>• SEMC (SEMC - EVIOSYS PACKAGING SIEM CI)</w:t>
      </w:r>
    </w:p>
    <w:p>
      <w:pPr>
        <w:pStyle w:val="ListBullet"/>
      </w:pPr>
      <w:r>
        <w:t>• SICC (SICC - SICOR COTE D'IVOIRE)</w:t>
      </w:r>
    </w:p>
    <w:p>
      <w:pPr>
        <w:pStyle w:val="ListBullet"/>
      </w:pPr>
      <w:r>
        <w:t>• SMBC (SMBC - Société Multinationale de Bitumes COTE D'IVOIRE)</w:t>
      </w:r>
    </w:p>
    <w:p>
      <w:pPr>
        <w:pStyle w:val="ListBullet"/>
      </w:pPr>
      <w:r>
        <w:t>• SNTS (SNTS - SONATEL SN)</w:t>
      </w:r>
    </w:p>
    <w:p>
      <w:pPr>
        <w:pStyle w:val="ListBullet"/>
      </w:pPr>
      <w:r>
        <w:t>• SPHC (SPHC - Société Africaine de Plantation d'Hévéas de Côte d'Ivoire)</w:t>
      </w:r>
    </w:p>
    <w:p>
      <w:pPr>
        <w:pStyle w:val="ListBullet"/>
      </w:pPr>
      <w:r>
        <w:t>• STAC (STAC - SETAO COTE D'IVOIRE)</w:t>
      </w:r>
    </w:p>
    <w:p>
      <w:pPr>
        <w:pStyle w:val="ListBullet"/>
      </w:pPr>
      <w:r>
        <w:t>• TTLC (TTLC - TOTAL ENERGIES MARKETING COTE D'IVOIRE)</w:t>
      </w:r>
    </w:p>
    <w:p>
      <w:pPr>
        <w:pStyle w:val="ListBullet"/>
      </w:pPr>
      <w:r>
        <w:t>• UNLC (UNLC - UNILEVER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spacing w:before="20" w:after="40"/>
        <w:ind w:left="0"/>
      </w:pPr>
      <w:r>
        <w:rPr>
          <w:sz w:val="18"/>
        </w:rPr>
        <w:t>Les marchés pétroliers restent sous surveillance avec des prix stables, notamment pour le Superéthanol-E85 dont la production locale atténue l'impact des fluctuations du brut. La BCE s'apprête à décider d'une éventuelle hausse de ses taux, ce qui pourrait renforcer l'aversion au risque sur les marchés émergents. L'IFPEN confirme des tendances pétrolières globales sans choc majeur, mais avec une vigilance sur l'offre et la demande.</w:t>
      </w:r>
    </w:p>
    <w:p>
      <w:pPr>
        <w:pStyle w:val="Heading3"/>
      </w:pPr>
      <w:r>
        <w:rPr>
          <w:color w:val="500050"/>
        </w:rPr>
        <w:t>⚡ Impact estimé sur la BRVM</w:t>
      </w:r>
    </w:p>
    <w:p>
      <w:pPr>
        <w:spacing w:before="20" w:after="40"/>
        <w:ind w:left="280"/>
      </w:pPr>
      <w:r>
        <w:rPr>
          <w:i/>
          <w:sz w:val="18"/>
        </w:rPr>
        <w:t>Une hausse des taux BCE renchérirait le coût du capital pour les investisseurs institutionnels, réduisant potentiellement l'appétit pour les actifs risqués comme les actions BRVM. Le secteur ENERGIE (SMBC) reste protégé par la stabilité des prix pétroliers, tandis que les sociétés de CONSOMMATION (BNBC, ABJC, CFAC) bénéficient de coûts de transport maîtrisés.</w:t>
      </w:r>
    </w:p>
    <w:p>
      <w:pPr>
        <w:pStyle w:val="Heading2"/>
      </w:pPr>
      <w:r>
        <w:rPr>
          <w:color w:val="006E32"/>
        </w:rPr>
        <w:t>🌍 Plan Africain</w:t>
      </w:r>
    </w:p>
    <w:p>
      <w:pPr>
        <w:spacing w:before="20" w:after="40"/>
        <w:ind w:left="0"/>
      </w:pPr>
      <w:r>
        <w:rPr>
          <w:sz w:val="18"/>
        </w:rPr>
        <w:t>Goldman Sachs prévoit que l'Afrique du Sud retrouve sa notation « Investment grade » d'ici 2028, signal positif pour la perception du risque africain. Le FMI et le Sénégal ont conclu un accord pour un programme d'aide de 1,9 milliard d'euros (2,2 milliards USD sur 36 mois), renforçant la crédibilité budgétaire de la région.</w:t>
      </w:r>
    </w:p>
    <w:p>
      <w:pPr>
        <w:pStyle w:val="Heading3"/>
      </w:pPr>
      <w:r>
        <w:rPr>
          <w:color w:val="500050"/>
        </w:rPr>
        <w:t>⚡ Impact estimé sur la BRVM</w:t>
      </w:r>
    </w:p>
    <w:p>
      <w:pPr>
        <w:spacing w:before="20" w:after="40"/>
        <w:ind w:left="280"/>
      </w:pPr>
      <w:r>
        <w:rPr>
          <w:i/>
          <w:sz w:val="18"/>
        </w:rPr>
        <w:t>L'amélioration de la notation sud-africaine pourrait attirer davantage de capitaux vers l'Afrique subsaharienne, bénéficiant indirectement à la BRVM. L'accord FMI-Sénégal renforce la stabilité macroéconomique de la zone UEMOA, favorable aux banques cotées comme BOAS, BOAC et ECOC qui opèrent dans la sous-région.</w:t>
      </w:r>
    </w:p>
    <w:p>
      <w:pPr>
        <w:pStyle w:val="Heading2"/>
      </w:pPr>
      <w:r>
        <w:rPr>
          <w:color w:val="145A28"/>
        </w:rPr>
        <w:t>🌍 Plan Afrique de l'Ouest</w:t>
      </w:r>
    </w:p>
    <w:p>
      <w:pPr>
        <w:spacing w:before="20" w:after="40"/>
        <w:ind w:left="0"/>
      </w:pPr>
      <w:r>
        <w:rPr>
          <w:sz w:val="18"/>
        </w:rPr>
        <w:t>Le général sénégalais Birame Diop a officiellement pris la tête de la Commission de la CEDEAO à Abuja, marquant une transition institutionnelle majeure. Cette nomination intervient dans un contexte de recomposition régionale avec les pays de l'AES.</w:t>
      </w:r>
    </w:p>
    <w:p>
      <w:pPr>
        <w:pStyle w:val="Heading3"/>
      </w:pPr>
      <w:r>
        <w:rPr>
          <w:color w:val="500050"/>
        </w:rPr>
        <w:t>⚡ Impact estimé sur la BRVM</w:t>
      </w:r>
    </w:p>
    <w:p>
      <w:pPr>
        <w:spacing w:before="20" w:after="40"/>
        <w:ind w:left="280"/>
      </w:pPr>
      <w:r>
        <w:rPr>
          <w:i/>
          <w:sz w:val="18"/>
        </w:rPr>
        <w:t>La nouvelle gouvernance de la CEDEAO pourrait relancer les initiatives d'intégration économique, favorable aux sociétés panafricaines cotées comme ORGT et CFAC. Les tensions avec l'AES restent un facteur de vigilance pour les entreprises exposées au Mali et au Burkina Faso.</w:t>
      </w:r>
    </w:p>
    <w:p>
      <w:pPr>
        <w:pStyle w:val="Heading2"/>
      </w:pPr>
      <w:r>
        <w:rPr>
          <w:color w:val="8C4600"/>
        </w:rPr>
        <w:t>🏦 Plan UEMOA / Zone Franc</w:t>
      </w:r>
    </w:p>
    <w:p>
      <w:pPr>
        <w:spacing w:before="20" w:after="40"/>
        <w:ind w:left="0"/>
      </w:pPr>
      <w:r>
        <w:rPr>
          <w:sz w:val="18"/>
        </w:rPr>
        <w:t>Données insuffisantes sur les décisions BCEAO, l'inflation zone ou la liquidité bancaire. Aucune actualité spécifique à la politique monétaire de l'UEMOA n'a été collectée pour cette période.</w:t>
      </w:r>
    </w:p>
    <w:p>
      <w:pPr>
        <w:pStyle w:val="Heading3"/>
      </w:pPr>
      <w:r>
        <w:rPr>
          <w:color w:val="500050"/>
        </w:rPr>
        <w:t>⚡ Impact estimé sur la BRVM</w:t>
      </w:r>
    </w:p>
    <w:p>
      <w:pPr>
        <w:spacing w:before="20" w:after="40"/>
        <w:ind w:left="280"/>
      </w:pPr>
      <w:r>
        <w:rPr>
          <w:i/>
          <w:sz w:val="18"/>
        </w:rPr>
        <w:t>Données insuffisantes pour évaluer l'impact direct sur les secteurs bancaires et industriels de la BRVM.</w:t>
      </w:r>
    </w:p>
    <w:p>
      <w:pPr>
        <w:pStyle w:val="Heading2"/>
      </w:pPr>
      <w:r>
        <w:rPr>
          <w:color w:val="003366"/>
        </w:rPr>
        <w:t>📈 Plan BRVM</w:t>
      </w:r>
    </w:p>
    <w:p>
      <w:pPr>
        <w:spacing w:before="20" w:after="40"/>
        <w:ind w:left="0"/>
      </w:pPr>
      <w:r>
        <w:rPr>
          <w:sz w:val="18"/>
        </w:rPr>
        <w:t>Les résultats encourageants des sociétés cotées ivoiriennes à la BRVM ont été soulignés par la presse économique, confirmant la dynamique positive du marché régional. L'indice BRVM Composite se maintient à 548,6 points.</w:t>
      </w:r>
    </w:p>
    <w:p>
      <w:pPr>
        <w:pStyle w:val="Heading3"/>
      </w:pPr>
      <w:r>
        <w:rPr>
          <w:color w:val="500050"/>
        </w:rPr>
        <w:t>⚡ Impact estimé sur la BRVM</w:t>
      </w:r>
    </w:p>
    <w:p>
      <w:pPr>
        <w:spacing w:before="20" w:after="40"/>
        <w:ind w:left="280"/>
      </w:pPr>
      <w:r>
        <w:rPr>
          <w:i/>
          <w:sz w:val="18"/>
        </w:rPr>
        <w:t>La publication de résultats solides renforce la confiance des investisseurs dans les valeurs ivoiriennes comme SIVC, SDSC et PALC. Les perspectives restent favorables pour les sociétés affichant une croissance soutenue de leurs bénéfices.</w:t>
      </w:r>
    </w:p>
    <w:p>
      <w:pPr>
        <w:pStyle w:val="Heading1"/>
      </w:pPr>
      <w:r>
        <w:rPr>
          <w:color w:val="8C0000"/>
        </w:rPr>
        <w:t>🏛️ 2. ACTUALITÉS POLITIQUES &amp; GÉOPOLITIQUES</w:t>
      </w:r>
    </w:p>
    <w:p>
      <w:pPr>
        <w:pStyle w:val="Heading2"/>
      </w:pPr>
      <w:r>
        <w:rPr>
          <w:color w:val="00467F"/>
        </w:rPr>
        <w:t>🌐 Plan Mondial</w:t>
      </w:r>
    </w:p>
    <w:p>
      <w:pPr>
        <w:spacing w:before="20" w:after="40"/>
        <w:ind w:left="0"/>
      </w:pPr>
      <w:r>
        <w:rPr>
          <w:sz w:val="18"/>
        </w:rPr>
        <w:t>Données insuffisantes sur les conflits mondiaux, élections majeures ou sanctions internationales ayant un impact direct sur la BRVM.</w:t>
      </w:r>
    </w:p>
    <w:p>
      <w:pPr>
        <w:pStyle w:val="Heading3"/>
      </w:pPr>
      <w:r>
        <w:rPr>
          <w:color w:val="500050"/>
        </w:rPr>
        <w:t>⚡ Impact estimé sur la BRVM</w:t>
      </w:r>
    </w:p>
    <w:p>
      <w:pPr>
        <w:spacing w:before="20" w:after="40"/>
        <w:ind w:left="280"/>
      </w:pPr>
      <w:r>
        <w:rPr>
          <w:i/>
          <w:sz w:val="18"/>
        </w:rPr>
        <w:t>Données insuffisantes.</w:t>
      </w:r>
    </w:p>
    <w:p>
      <w:pPr>
        <w:pStyle w:val="Heading2"/>
      </w:pPr>
      <w:r>
        <w:rPr>
          <w:color w:val="006E32"/>
        </w:rPr>
        <w:t>🌍 Plan Africain</w:t>
      </w:r>
    </w:p>
    <w:p>
      <w:pPr>
        <w:spacing w:before="20" w:after="40"/>
        <w:ind w:left="0"/>
      </w:pPr>
      <w:r>
        <w:rPr>
          <w:sz w:val="18"/>
        </w:rPr>
        <w:t>La situation politique au Mali demeure préoccupante avec la condamnation de l'ex-colonel Alpha Yaya Sangaré à 20 ans de prison et les proches de l'opposant Mountaga Tall qui réclament une « preuve de vie ». Ces événements soulèvent des questions sur la stabilité politique dans la sous-région.</w:t>
      </w:r>
    </w:p>
    <w:p>
      <w:pPr>
        <w:pStyle w:val="Heading3"/>
      </w:pPr>
      <w:r>
        <w:rPr>
          <w:color w:val="500050"/>
        </w:rPr>
        <w:t>⚡ Impact estimé sur la BRVM</w:t>
      </w:r>
    </w:p>
    <w:p>
      <w:pPr>
        <w:spacing w:before="20" w:after="40"/>
        <w:ind w:left="280"/>
      </w:pPr>
      <w:r>
        <w:rPr>
          <w:i/>
          <w:sz w:val="18"/>
        </w:rPr>
        <w:t>Les tensions politiques maliennes pourraient freiner les flux de capitaux vers les pays de l'UEMOA, affectant la confiance des investisseurs dans les sociétés exposées au Mali comme BOAB et ORGT. La perception du risque pays reste un facteur clé pour les investisseurs régionaux.</w:t>
      </w:r>
    </w:p>
    <w:p>
      <w:pPr>
        <w:pStyle w:val="Heading2"/>
      </w:pPr>
      <w:r>
        <w:rPr>
          <w:color w:val="145A28"/>
        </w:rPr>
        <w:t>🌍 Plan Afrique de l'Ouest</w:t>
      </w:r>
    </w:p>
    <w:p>
      <w:pPr>
        <w:spacing w:before="20" w:after="40"/>
        <w:ind w:left="0"/>
      </w:pPr>
      <w:r>
        <w:rPr>
          <w:sz w:val="18"/>
        </w:rPr>
        <w:t>La transition à la tête de la CEDEAO avec Birame Diop s'inscrit dans un contexte régional complexe marqué par les relations avec les pays de l'AES. La stabilité institutionnelle de la CEDEAO est essentielle pour maintenir un climat d'investissement serein.</w:t>
      </w:r>
    </w:p>
    <w:p>
      <w:pPr>
        <w:pStyle w:val="Heading3"/>
      </w:pPr>
      <w:r>
        <w:rPr>
          <w:color w:val="500050"/>
        </w:rPr>
        <w:t>⚡ Impact estimé sur la BRVM</w:t>
      </w:r>
    </w:p>
    <w:p>
      <w:pPr>
        <w:spacing w:before="20" w:after="40"/>
        <w:ind w:left="280"/>
      </w:pPr>
      <w:r>
        <w:rPr>
          <w:i/>
          <w:sz w:val="18"/>
        </w:rPr>
        <w:t>Une CEDEAO renforcée pourrait sécuriser l'environnement des affaires pour les sociétés cotées opérant dans plusieurs pays membres. Les entreprises comme SNTS et ORAC, présentes dans plusieurs États, bénéficieraient d'une meilleure intégration régionale.</w:t>
      </w:r>
    </w:p>
    <w:p>
      <w:pPr>
        <w:pStyle w:val="Heading2"/>
      </w:pPr>
      <w:r>
        <w:rPr>
          <w:color w:val="8C4600"/>
        </w:rPr>
        <w:t>🏦 Plan UEMOA / Zone Franc</w:t>
      </w:r>
    </w:p>
    <w:p>
      <w:pPr>
        <w:spacing w:before="20" w:after="40"/>
        <w:ind w:left="0"/>
      </w:pPr>
      <w:r>
        <w:rPr>
          <w:sz w:val="18"/>
        </w:rPr>
        <w:t>Le Sénégal se dote d'un Comité national de politique pénale pour réformer son système judiciaire, une initiative qui renforce l'État de droit. La situation politique dans les pays membres reste globalement stable malgré les tensions maliennes.</w:t>
      </w:r>
    </w:p>
    <w:p>
      <w:pPr>
        <w:pStyle w:val="Heading3"/>
      </w:pPr>
      <w:r>
        <w:rPr>
          <w:color w:val="500050"/>
        </w:rPr>
        <w:t>⚡ Impact estimé sur la BRVM</w:t>
      </w:r>
    </w:p>
    <w:p>
      <w:pPr>
        <w:spacing w:before="20" w:after="40"/>
        <w:ind w:left="280"/>
      </w:pPr>
      <w:r>
        <w:rPr>
          <w:i/>
          <w:sz w:val="18"/>
        </w:rPr>
        <w:t>Les réformes judiciaires au Sénégal améliorent le climat des affaires pour les filiales locales des groupes cotés comme ECOC et BOAS. La stabilité politique de la Côte d'Ivoire, principal marché de la BRVM, demeure un pilier de confiance.</w:t>
      </w:r>
    </w:p>
    <w:p>
      <w:pPr>
        <w:pStyle w:val="Heading2"/>
      </w:pPr>
      <w:r>
        <w:rPr>
          <w:color w:val="003366"/>
        </w:rPr>
        <w:t>📈 Plan BRVM</w:t>
      </w:r>
    </w:p>
    <w:p>
      <w:pPr>
        <w:spacing w:before="20" w:after="40"/>
        <w:ind w:left="0"/>
      </w:pPr>
      <w:r>
        <w:rPr>
          <w:sz w:val="18"/>
        </w:rPr>
        <w:t>Données insuffisantes sur les réglementations CREPMF, nouvelles cotations ou gouvernance des sociétés cotées pour cette période.</w:t>
      </w:r>
    </w:p>
    <w:p>
      <w:pPr>
        <w:pStyle w:val="Heading3"/>
      </w:pPr>
      <w:r>
        <w:rPr>
          <w:color w:val="500050"/>
        </w:rPr>
        <w:t>⚡ Impact estimé sur la BRVM</w:t>
      </w:r>
    </w:p>
    <w:p>
      <w:pPr>
        <w:spacing w:before="20" w:after="40"/>
        <w:ind w:left="280"/>
      </w:pPr>
      <w:r>
        <w:rPr>
          <w:i/>
          <w:sz w:val="18"/>
        </w:rPr>
        <w:t>Données insuffisantes.</w:t>
      </w:r>
    </w:p>
    <w:p>
      <w:pPr>
        <w:pStyle w:val="Heading1"/>
      </w:pPr>
      <w:r>
        <w:rPr>
          <w:color w:val="006428"/>
        </w:rPr>
        <w:t>💹 3. ACTUALITÉS FINANCIÈRES &amp; MARCHÉS</w:t>
      </w:r>
    </w:p>
    <w:p>
      <w:pPr>
        <w:pStyle w:val="Heading2"/>
      </w:pPr>
      <w:r>
        <w:rPr>
          <w:color w:val="00467F"/>
        </w:rPr>
        <w:t>🌐 Plan Mondial</w:t>
      </w:r>
    </w:p>
    <w:p>
      <w:pPr>
        <w:spacing w:before="20" w:after="40"/>
        <w:ind w:left="0"/>
      </w:pPr>
      <w:r>
        <w:rPr>
          <w:sz w:val="18"/>
        </w:rPr>
        <w:t>La décision imminente de la BCE sur ses taux d'intérêt constitue l'événement majeur pour les marchés financiers internationaux. Une éventuelle hausse pourrait renforcer le dollar et accroître la pression sur les devises des marchés émergents.</w:t>
      </w:r>
    </w:p>
    <w:p>
      <w:pPr>
        <w:pStyle w:val="Heading3"/>
      </w:pPr>
      <w:r>
        <w:rPr>
          <w:color w:val="500050"/>
        </w:rPr>
        <w:t>⚡ Impact estimé sur la BRVM</w:t>
      </w:r>
    </w:p>
    <w:p>
      <w:pPr>
        <w:spacing w:before="20" w:after="40"/>
        <w:ind w:left="280"/>
      </w:pPr>
      <w:r>
        <w:rPr>
          <w:i/>
          <w:sz w:val="18"/>
        </w:rPr>
        <w:t>Un dollar plus fort pourrait affecter les sociétés BRVM importantes de matières premières ou ayant des dettes en devises. Les valeurs comme SMBC (énergie) et SPHC (consommation de base) sont les plus sensibles aux variations de change.</w:t>
      </w:r>
    </w:p>
    <w:p>
      <w:pPr>
        <w:pStyle w:val="Heading2"/>
      </w:pPr>
      <w:r>
        <w:rPr>
          <w:color w:val="006E32"/>
        </w:rPr>
        <w:t>🌍 Plan Africain</w:t>
      </w:r>
    </w:p>
    <w:p>
      <w:pPr>
        <w:spacing w:before="20" w:after="40"/>
        <w:ind w:left="0"/>
      </w:pPr>
      <w:r>
        <w:rPr>
          <w:sz w:val="18"/>
        </w:rPr>
        <w:t>L'émission de « Diaspora Bonds » par le Burkina Faso, chiffrée à 151,5 milliards FCFA et cotée à la BRVM, constitue une innovation financière majeure pour la région. Cette opération mobilise l'épargne de la diaspora burkinabè pour financer le développement du pays.</w:t>
      </w:r>
    </w:p>
    <w:p>
      <w:pPr>
        <w:pStyle w:val="Heading3"/>
      </w:pPr>
      <w:r>
        <w:rPr>
          <w:color w:val="500050"/>
        </w:rPr>
        <w:t>⚡ Impact estimé sur la BRVM</w:t>
      </w:r>
    </w:p>
    <w:p>
      <w:pPr>
        <w:spacing w:before="20" w:after="40"/>
        <w:ind w:left="280"/>
      </w:pPr>
      <w:r>
        <w:rPr>
          <w:i/>
          <w:sz w:val="18"/>
        </w:rPr>
        <w:t>Cette émission obligataire renforce l'attractivité de la BRVM comme plateforme de financement pour les États de la région. Elle pourrait créer un précédent pour d'autres pays et augmenter la liquidité du marché obligataire régional, au détriment potentiel des actions si les rendements obligataires sont attractifs.</w:t>
      </w:r>
    </w:p>
    <w:p>
      <w:pPr>
        <w:pStyle w:val="Heading2"/>
      </w:pPr>
      <w:r>
        <w:rPr>
          <w:color w:val="145A28"/>
        </w:rPr>
        <w:t>🌍 Plan Afrique de l'Ouest</w:t>
      </w:r>
    </w:p>
    <w:p>
      <w:pPr>
        <w:spacing w:before="20" w:after="40"/>
        <w:ind w:left="0"/>
      </w:pPr>
      <w:r>
        <w:rPr>
          <w:sz w:val="18"/>
        </w:rPr>
        <w:t>Données insuffisantes sur les bourses régionales concurrentes ou les flux de capitaux sous-régionaux spécifiques.</w:t>
      </w:r>
    </w:p>
    <w:p>
      <w:pPr>
        <w:pStyle w:val="Heading3"/>
      </w:pPr>
      <w:r>
        <w:rPr>
          <w:color w:val="500050"/>
        </w:rPr>
        <w:t>⚡ Impact estimé sur la BRVM</w:t>
      </w:r>
    </w:p>
    <w:p>
      <w:pPr>
        <w:spacing w:before="20" w:after="40"/>
        <w:ind w:left="280"/>
      </w:pPr>
      <w:r>
        <w:rPr>
          <w:i/>
          <w:sz w:val="18"/>
        </w:rPr>
        <w:t>Données insuffisantes.</w:t>
      </w:r>
    </w:p>
    <w:p>
      <w:pPr>
        <w:pStyle w:val="Heading2"/>
      </w:pPr>
      <w:r>
        <w:rPr>
          <w:color w:val="8C4600"/>
        </w:rPr>
        <w:t>🏦 Plan UEMOA / Zone Franc</w:t>
      </w:r>
    </w:p>
    <w:p>
      <w:pPr>
        <w:spacing w:before="20" w:after="40"/>
        <w:ind w:left="0"/>
      </w:pPr>
      <w:r>
        <w:rPr>
          <w:sz w:val="18"/>
        </w:rPr>
        <w:t>Le marché des titres publics de l'UEMOA s'enrichit avec l'arrivée des Diaspora Bonds burkinabè, offrant de nouvelles opportunités d'investissement aux acteurs régionaux.</w:t>
      </w:r>
    </w:p>
    <w:p>
      <w:pPr>
        <w:pStyle w:val="Heading3"/>
      </w:pPr>
      <w:r>
        <w:rPr>
          <w:color w:val="500050"/>
        </w:rPr>
        <w:t>⚡ Impact estimé sur la BRVM</w:t>
      </w:r>
    </w:p>
    <w:p>
      <w:pPr>
        <w:spacing w:before="20" w:after="40"/>
        <w:ind w:left="280"/>
      </w:pPr>
      <w:r>
        <w:rPr>
          <w:i/>
          <w:sz w:val="18"/>
        </w:rPr>
        <w:t>Les investisseurs pourraient arbitrer entre ces nouvelles obligations attractives et les actions BRVM. Les banques cotées (BOAS, BOAC, ECOC) pourraient jouer un rôle de placement de ces titres, générant des commissions supplémentaires.</w:t>
      </w:r>
    </w:p>
    <w:p>
      <w:pPr>
        <w:pStyle w:val="Heading2"/>
      </w:pPr>
      <w:r>
        <w:rPr>
          <w:color w:val="003366"/>
        </w:rPr>
        <w:t>📈 Plan BRVM</w:t>
      </w:r>
    </w:p>
    <w:p>
      <w:pPr>
        <w:spacing w:before="20" w:after="40"/>
        <w:ind w:left="0"/>
      </w:pPr>
      <w:r>
        <w:rPr>
          <w:sz w:val="18"/>
        </w:rPr>
        <w:t>L'indice BRVM Composite se maintient à 548,6 points avec des fondamentaux solides confirmés par les résultats encourageants des sociétés cotées ivoiriennes. Le marché obligataire s'étoffe avec la cotation des obligations de la diaspora burkinabè.</w:t>
      </w:r>
    </w:p>
    <w:p>
      <w:pPr>
        <w:pStyle w:val="Heading3"/>
      </w:pPr>
      <w:r>
        <w:rPr>
          <w:color w:val="500050"/>
        </w:rPr>
        <w:t>⚡ Impact estimé sur la BRVM</w:t>
      </w:r>
    </w:p>
    <w:p>
      <w:pPr>
        <w:spacing w:before="20" w:after="40"/>
        <w:ind w:left="280"/>
      </w:pPr>
      <w:r>
        <w:rPr>
          <w:i/>
          <w:sz w:val="18"/>
        </w:rPr>
        <w:t>Les valeurs industrielles comme SIVC et SDSC restent bien positionnées grâce à leurs résultats solides. Les banques (BOAS, BOAC, ECOC, SGBC) bénéficient de la dynamique du marché obligataire régional. Les titres de consommation (BNBC, CFAC, ABJC) demeurent soutenus par la demande intérieure ivoirienne. PALC et SPHC (consommation de base) offrent une stabilité défensive appréciable. NTLC et ORAC (télécoms) restent des valeurs de croissance à surveiller.</w:t>
      </w:r>
    </w:p>
    <w:p>
      <w:pPr>
        <w:pStyle w:val="Heading1"/>
      </w:pPr>
      <w:r>
        <w:rPr>
          <w:color w:val="003366"/>
        </w:rPr>
        <w:t>🎯 SYNTHÈSE &amp; RECOMMANDATION FINALE</w:t>
      </w:r>
    </w:p>
    <w:p>
      <w:pPr>
        <w:spacing w:before="120"/>
      </w:pPr>
      <w:r>
        <w:rPr>
          <w:b/>
          <w:color w:val="008000"/>
          <w:sz w:val="22"/>
        </w:rPr>
        <w:t>**Niveau d'alerte global pour un investisseur BRVM : VERT**</w:t>
      </w:r>
    </w:p>
    <w:p>
      <w:pPr>
        <w:spacing w:before="20" w:after="40"/>
        <w:ind w:left="0"/>
      </w:pPr>
      <w:r>
        <w:rPr>
          <w:sz w:val="18"/>
        </w:rPr>
        <w:t>Le marché BRVM évolue dans un environnement globalement favorable : résultats d'entreprises encourageants, stabilité politique relative en Côte d'Ivoire, innovations financières régionales (Diaspora Bonds) et perspectives positives pour l'Afrique subsaharienne. Les principales sources de vigilance restent la décision de la BCE sur les taux et les tensions politiques au Mali. Recommandation : maintenir une exposition aux valeurs bancaires et industrielles de qualité (BOAS, SIVC, SDSC) tout en surveillant l'évolution des taux internationaux.</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2026-09-01</w:t>
            </w:r>
          </w:p>
        </w:tc>
        <w:tc>
          <w:tcPr>
            <w:tcW w:type="dxa" w:w="1728"/>
          </w:tcPr>
          <w:p>
            <w:r>
              <w:rPr>
                <w:sz w:val="14"/>
              </w:rPr>
              <w:t xml:space="preserve">Prix des carburants : pourquoi le prix du Superéthanol-E85 reste-t-il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2026-09-04</w:t>
            </w:r>
          </w:p>
        </w:tc>
        <w:tc>
          <w:tcPr>
            <w:tcW w:type="dxa" w:w="1728"/>
          </w:tcPr>
          <w:p>
            <w:r>
              <w:rPr>
                <w:sz w:val="14"/>
              </w:rPr>
              <w:t xml:space="preserve">La Banque centrale européenne va-t-elle relever ses taux d'intérêt la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2026-08-31</w:t>
            </w:r>
          </w:p>
        </w:tc>
        <w:tc>
          <w:tcPr>
            <w:tcW w:type="dxa" w:w="1728"/>
          </w:tcPr>
          <w:p>
            <w:r>
              <w:rPr>
                <w:sz w:val="14"/>
              </w:rPr>
              <w:t>IFPEN | Tableau de bord - Marchés pétroliers - ifpenergiesnouvelles.fr</w:t>
            </w:r>
          </w:p>
        </w:tc>
        <w:tc>
          <w:tcPr>
            <w:tcW w:type="dxa" w:w="1728"/>
          </w:tcPr>
          <w:p>
            <w:r>
              <w:rPr>
                <w:sz w:val="14"/>
              </w:rPr>
              <w:t>Neutre</w:t>
            </w:r>
          </w:p>
        </w:tc>
        <w:tc>
          <w:tcPr>
            <w:tcW w:type="dxa" w:w="1728"/>
          </w:tcPr>
          <w:p>
            <w:r>
              <w:rPr>
                <w:sz w:val="14"/>
              </w:rPr>
              <w:t>Neutre</w:t>
            </w:r>
          </w:p>
        </w:tc>
        <w:tc>
          <w:tcPr>
            <w:tcW w:type="dxa" w:w="1728"/>
          </w:tcPr>
          <w:p>
            <w:r>
              <w:rPr>
                <w:sz w:val="14"/>
              </w:rPr>
              <w:t>Google News — géopolitique mon</w:t>
            </w:r>
          </w:p>
        </w:tc>
      </w:tr>
      <w:tr>
        <w:tc>
          <w:tcPr>
            <w:tcW w:type="dxa" w:w="1728"/>
          </w:tcPr>
          <w:p>
            <w:r>
              <w:rPr>
                <w:sz w:val="14"/>
              </w:rPr>
              <w:t>2026-09-03</w:t>
            </w:r>
          </w:p>
        </w:tc>
        <w:tc>
          <w:tcPr>
            <w:tcW w:type="dxa" w:w="1728"/>
          </w:tcPr>
          <w:p>
            <w:r>
              <w:rPr>
                <w:sz w:val="14"/>
              </w:rPr>
              <w:t>Dette, inflation, croissance : la rentrée sans filet de l'économie mon</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récession inflat</w:t>
            </w:r>
          </w:p>
        </w:tc>
      </w:tr>
      <w:tr>
        <w:tc>
          <w:tcPr>
            <w:tcW w:type="dxa" w:w="1728"/>
          </w:tcPr>
          <w:p>
            <w:r>
              <w:rPr>
                <w:sz w:val="14"/>
              </w:rPr>
              <w:t>2026-09-02</w:t>
            </w:r>
          </w:p>
        </w:tc>
        <w:tc>
          <w:tcPr>
            <w:tcW w:type="dxa" w:w="1728"/>
          </w:tcPr>
          <w:p>
            <w:r>
              <w:rPr>
                <w:sz w:val="14"/>
              </w:rPr>
              <w:t>Pétrole, gaz, GNR, céréales, engrais : quelles sont les conséquence de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2026-09-03</w:t>
            </w:r>
          </w:p>
        </w:tc>
        <w:tc>
          <w:tcPr>
            <w:tcW w:type="dxa" w:w="1728"/>
          </w:tcPr>
          <w:p>
            <w:r>
              <w:rPr>
                <w:sz w:val="14"/>
              </w:rPr>
              <w:t>Vers une hausse des taux d’intérêt de la BCE ? - L'Économiste Maghrébi</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BCE taux euro zo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2026-09-02</w:t>
            </w:r>
          </w:p>
        </w:tc>
        <w:tc>
          <w:tcPr>
            <w:tcW w:type="dxa" w:w="1728"/>
          </w:tcPr>
          <w:p>
            <w:r>
              <w:rPr>
                <w:sz w:val="14"/>
              </w:rPr>
              <w:t>Pourquoi Goldman Sachs prévoit que l’Afrique du Sud retrouve sa notati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2026-09-01</w:t>
            </w:r>
          </w:p>
        </w:tc>
        <w:tc>
          <w:tcPr>
            <w:tcW w:type="dxa" w:w="1728"/>
          </w:tcPr>
          <w:p>
            <w:r>
              <w:rPr>
                <w:sz w:val="14"/>
              </w:rPr>
              <w:t>Le FMI et le Sénégal trouvent un accord en vue d’un programme d’aide d</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FMI Banque Mondi</w:t>
            </w:r>
          </w:p>
        </w:tc>
      </w:tr>
      <w:tr>
        <w:tc>
          <w:tcPr>
            <w:tcW w:type="dxa" w:w="1728"/>
          </w:tcPr>
          <w:p>
            <w:r>
              <w:rPr>
                <w:sz w:val="14"/>
              </w:rPr>
              <w:t>2026-09-01</w:t>
            </w:r>
          </w:p>
        </w:tc>
        <w:tc>
          <w:tcPr>
            <w:tcW w:type="dxa" w:w="1728"/>
          </w:tcPr>
          <w:p>
            <w:r>
              <w:rPr>
                <w:sz w:val="14"/>
              </w:rPr>
              <w:t>Sénégal : le Gouvernement et le FMI s’accordent sur un programme de 2,</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2026-09-01</w:t>
            </w:r>
          </w:p>
        </w:tc>
        <w:tc>
          <w:tcPr>
            <w:tcW w:type="dxa" w:w="1728"/>
          </w:tcPr>
          <w:p>
            <w:r>
              <w:rPr>
                <w:sz w:val="14"/>
              </w:rPr>
              <w:t>La Tanzanie ouvre son marché des obligations d'État à tous les investi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2026-08-30</w:t>
            </w:r>
          </w:p>
        </w:tc>
        <w:tc>
          <w:tcPr>
            <w:tcW w:type="dxa" w:w="1728"/>
          </w:tcPr>
          <w:p>
            <w:r>
              <w:rPr>
                <w:sz w:val="14"/>
              </w:rPr>
              <w:t xml:space="preserve">Afrique du Sud : 56 milliards de dollars d'investissement public face </w:t>
            </w:r>
          </w:p>
        </w:tc>
        <w:tc>
          <w:tcPr>
            <w:tcW w:type="dxa" w:w="1728"/>
          </w:tcPr>
          <w:p>
            <w:r>
              <w:rPr>
                <w:sz w:val="14"/>
              </w:rPr>
              <w:t>Neutre</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2026-08-11</w:t>
            </w:r>
          </w:p>
        </w:tc>
        <w:tc>
          <w:tcPr>
            <w:tcW w:type="dxa" w:w="1728"/>
          </w:tcPr>
          <w:p>
            <w:r>
              <w:rPr>
                <w:sz w:val="14"/>
              </w:rPr>
              <w:t>Les secteurs porteurs en Afrique : où investir ? - Bpifrance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2026-09-02</w:t>
            </w:r>
          </w:p>
        </w:tc>
        <w:tc>
          <w:tcPr>
            <w:tcW w:type="dxa" w:w="1728"/>
          </w:tcPr>
          <w:p>
            <w:r>
              <w:rPr>
                <w:sz w:val="14"/>
              </w:rPr>
              <w:t>CEDEAO : Le général sénégalais Birame Diop prend officiellement la têt</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2026-09-03</w:t>
            </w:r>
          </w:p>
        </w:tc>
        <w:tc>
          <w:tcPr>
            <w:tcW w:type="dxa" w:w="1728"/>
          </w:tcPr>
          <w:p>
            <w:r>
              <w:rPr>
                <w:sz w:val="14"/>
              </w:rPr>
              <w:t>E35 : Afrique de l'Ouest : investiture du nouveau Président de la CEDE</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2026-09-02</w:t>
            </w:r>
          </w:p>
        </w:tc>
        <w:tc>
          <w:tcPr>
            <w:tcW w:type="dxa" w:w="1728"/>
          </w:tcPr>
          <w:p>
            <w:r>
              <w:rPr>
                <w:sz w:val="14"/>
              </w:rPr>
              <w:t>Diplomatie – Commission de la Cedeao : Birame Diop prend les commandes</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2026-09-01</w:t>
            </w:r>
          </w:p>
        </w:tc>
        <w:tc>
          <w:tcPr>
            <w:tcW w:type="dxa" w:w="1728"/>
          </w:tcPr>
          <w:p>
            <w:r>
              <w:rPr>
                <w:sz w:val="14"/>
              </w:rPr>
              <w:t>Commission de la CEDEAO: Axes majeurs de la gouvernance que compte imp</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2026-09-02</w:t>
            </w:r>
          </w:p>
        </w:tc>
        <w:tc>
          <w:tcPr>
            <w:tcW w:type="dxa" w:w="1728"/>
          </w:tcPr>
          <w:p>
            <w:r>
              <w:rPr>
                <w:sz w:val="14"/>
              </w:rPr>
              <w:t xml:space="preserve">Afrique – Commission de la CEDEAO : Birame Diop dévoile sa feuille de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2026-09-02</w:t>
            </w:r>
          </w:p>
        </w:tc>
        <w:tc>
          <w:tcPr>
            <w:tcW w:type="dxa" w:w="1728"/>
          </w:tcPr>
          <w:p>
            <w:r>
              <w:rPr>
                <w:sz w:val="14"/>
              </w:rPr>
              <w:t>Qui est Birame Diop, le général sénégalais appelé à diriger la Commiss</w:t>
            </w:r>
          </w:p>
        </w:tc>
        <w:tc>
          <w:tcPr>
            <w:tcW w:type="dxa" w:w="1728"/>
          </w:tcPr>
          <w:p>
            <w:r>
              <w:rPr>
                <w:sz w:val="14"/>
              </w:rPr>
              <w:t>Neutre</w:t>
            </w:r>
          </w:p>
        </w:tc>
        <w:tc>
          <w:tcPr>
            <w:tcW w:type="dxa" w:w="1728"/>
          </w:tcPr>
          <w:p>
            <w:r>
              <w:rPr>
                <w:color w:val="008000"/>
                <w:sz w:val="14"/>
              </w:rPr>
              <w:t>Positif</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2026-09-04</w:t>
            </w:r>
          </w:p>
        </w:tc>
        <w:tc>
          <w:tcPr>
            <w:tcW w:type="dxa" w:w="1728"/>
          </w:tcPr>
          <w:p>
            <w:r>
              <w:rPr>
                <w:sz w:val="14"/>
              </w:rPr>
              <w:t>Mali : L'ex-colonel Alpha Yaya Sangaré condamné à 20 ans de prison - k</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2026-09-04</w:t>
            </w:r>
          </w:p>
        </w:tc>
        <w:tc>
          <w:tcPr>
            <w:tcW w:type="dxa" w:w="1728"/>
          </w:tcPr>
          <w:p>
            <w:r>
              <w:rPr>
                <w:sz w:val="14"/>
              </w:rPr>
              <w:t xml:space="preserve">Au Mali, les proches de Mountaga Tall réclament une « preuve de vie »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2026-09-04</w:t>
            </w:r>
          </w:p>
        </w:tc>
        <w:tc>
          <w:tcPr>
            <w:tcW w:type="dxa" w:w="1728"/>
          </w:tcPr>
          <w:p>
            <w:r>
              <w:rPr>
                <w:sz w:val="14"/>
              </w:rPr>
              <w:t>​Création du Comité national de politique pénale: le Sénégal se dote d</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2026-09-02</w:t>
            </w:r>
          </w:p>
        </w:tc>
        <w:tc>
          <w:tcPr>
            <w:tcW w:type="dxa" w:w="1728"/>
          </w:tcPr>
          <w:p>
            <w:r>
              <w:rPr>
                <w:sz w:val="14"/>
              </w:rPr>
              <w:t>VIDÉO. Économie: accord de principe entre le Sénégal et le FMI - tv5mo</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r>
        <w:tc>
          <w:tcPr>
            <w:tcW w:type="dxa" w:w="1728"/>
          </w:tcPr>
          <w:p>
            <w:r>
              <w:rPr>
                <w:sz w:val="14"/>
              </w:rPr>
              <w:t>2026-09-05</w:t>
            </w:r>
          </w:p>
        </w:tc>
        <w:tc>
          <w:tcPr>
            <w:tcW w:type="dxa" w:w="1728"/>
          </w:tcPr>
          <w:p>
            <w:r>
              <w:rPr>
                <w:sz w:val="14"/>
              </w:rPr>
              <w:t xml:space="preserve">Crise au Niger, accord FMI-Sénégal, bataille électorale au Maroc… Les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2026-09-04</w:t>
            </w:r>
          </w:p>
        </w:tc>
        <w:tc>
          <w:tcPr>
            <w:tcW w:type="dxa" w:w="1728"/>
          </w:tcPr>
          <w:p>
            <w:r>
              <w:rPr>
                <w:sz w:val="14"/>
              </w:rPr>
              <w:t>Burkina Faso : chiffrés à 151,5 milliards FCFA, les « Diaspora Bonds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2026-09-02</w:t>
            </w:r>
          </w:p>
        </w:tc>
        <w:tc>
          <w:tcPr>
            <w:tcW w:type="dxa" w:w="1728"/>
          </w:tcPr>
          <w:p>
            <w:r>
              <w:rPr>
                <w:sz w:val="14"/>
              </w:rPr>
              <w:t>Pourquoi Goldman Sachs prévoit que l’Afrique du Sud retrouve sa notati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2026-09-04</w:t>
            </w:r>
          </w:p>
        </w:tc>
        <w:tc>
          <w:tcPr>
            <w:tcW w:type="dxa" w:w="1728"/>
          </w:tcPr>
          <w:p>
            <w:r>
              <w:rPr>
                <w:sz w:val="14"/>
              </w:rPr>
              <w:t>Mali : L'ex-colonel Alpha Yaya Sangaré condamné à 20 ans de prison - k</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2026-09-04</w:t>
            </w:r>
          </w:p>
        </w:tc>
        <w:tc>
          <w:tcPr>
            <w:tcW w:type="dxa" w:w="1728"/>
          </w:tcPr>
          <w:p>
            <w:r>
              <w:rPr>
                <w:sz w:val="14"/>
              </w:rPr>
              <w:t xml:space="preserve">Au Mali, les proches de Mountaga Tall réclament une « preuve de vie »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2026-09-04</w:t>
            </w:r>
          </w:p>
        </w:tc>
        <w:tc>
          <w:tcPr>
            <w:tcW w:type="dxa" w:w="1728"/>
          </w:tcPr>
          <w:p>
            <w:r>
              <w:rPr>
                <w:sz w:val="14"/>
              </w:rPr>
              <w:t>​Création du Comité national de politique pénale: le Sénégal se dote d</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2026-09-05</w:t>
            </w:r>
          </w:p>
        </w:tc>
        <w:tc>
          <w:tcPr>
            <w:tcW w:type="dxa" w:w="1728"/>
          </w:tcPr>
          <w:p>
            <w:r>
              <w:rPr>
                <w:sz w:val="14"/>
              </w:rPr>
              <w:t xml:space="preserve">Crise au Niger, accord FMI-Sénégal, bataille électorale au Maroc… Les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2026-09-02</w:t>
            </w:r>
          </w:p>
        </w:tc>
        <w:tc>
          <w:tcPr>
            <w:tcW w:type="dxa" w:w="1728"/>
          </w:tcPr>
          <w:p>
            <w:r>
              <w:rPr>
                <w:sz w:val="14"/>
              </w:rPr>
              <w:t>Pourquoi Goldman Sachs prévoit que l’Afrique du Sud retrouve sa notati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2026-09-04</w:t>
            </w:r>
          </w:p>
        </w:tc>
        <w:tc>
          <w:tcPr>
            <w:tcW w:type="dxa" w:w="1728"/>
          </w:tcPr>
          <w:p>
            <w:r>
              <w:rPr>
                <w:sz w:val="14"/>
              </w:rPr>
              <w:t>Mali : L'ex-colonel Alpha Yaya Sangaré condamné à 20 ans de prison - k</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2026-09-04</w:t>
            </w:r>
          </w:p>
        </w:tc>
        <w:tc>
          <w:tcPr>
            <w:tcW w:type="dxa" w:w="1728"/>
          </w:tcPr>
          <w:p>
            <w:r>
              <w:rPr>
                <w:sz w:val="14"/>
              </w:rPr>
              <w:t xml:space="preserve">Au Mali, les proches de Mountaga Tall réclament une « preuve de vie »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2026-09-04</w:t>
            </w:r>
          </w:p>
        </w:tc>
        <w:tc>
          <w:tcPr>
            <w:tcW w:type="dxa" w:w="1728"/>
          </w:tcPr>
          <w:p>
            <w:r>
              <w:rPr>
                <w:sz w:val="14"/>
              </w:rPr>
              <w:t>​Création du Comité national de politique pénale: le Sénégal se dote d</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2026-09-05</w:t>
            </w:r>
          </w:p>
        </w:tc>
        <w:tc>
          <w:tcPr>
            <w:tcW w:type="dxa" w:w="1728"/>
          </w:tcPr>
          <w:p>
            <w:r>
              <w:rPr>
                <w:sz w:val="14"/>
              </w:rPr>
              <w:t xml:space="preserve">Crise au Niger, accord FMI-Sénégal, bataille électorale au Maroc… Les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2026-09-02</w:t>
            </w:r>
          </w:p>
        </w:tc>
        <w:tc>
          <w:tcPr>
            <w:tcW w:type="dxa" w:w="1728"/>
          </w:tcPr>
          <w:p>
            <w:r>
              <w:rPr>
                <w:sz w:val="14"/>
              </w:rPr>
              <w:t>Pourquoi Goldman Sachs prévoit que l’Afrique du Sud retrouve sa notati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2026-09-04</w:t>
            </w:r>
          </w:p>
        </w:tc>
        <w:tc>
          <w:tcPr>
            <w:tcW w:type="dxa" w:w="1728"/>
          </w:tcPr>
          <w:p>
            <w:r>
              <w:rPr>
                <w:sz w:val="14"/>
              </w:rPr>
              <w:t>Mali : L'ex-colonel Alpha Yaya Sangaré condamné à 20 ans de prison - k</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2026-09-04</w:t>
            </w:r>
          </w:p>
        </w:tc>
        <w:tc>
          <w:tcPr>
            <w:tcW w:type="dxa" w:w="1728"/>
          </w:tcPr>
          <w:p>
            <w:r>
              <w:rPr>
                <w:sz w:val="14"/>
              </w:rPr>
              <w:t xml:space="preserve">Au Mali, les proches de Mountaga Tall réclament une « preuve de vie »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2026-09-04</w:t>
            </w:r>
          </w:p>
        </w:tc>
        <w:tc>
          <w:tcPr>
            <w:tcW w:type="dxa" w:w="1728"/>
          </w:tcPr>
          <w:p>
            <w:r>
              <w:rPr>
                <w:sz w:val="14"/>
              </w:rPr>
              <w:t>​Création du Comité national de politique pénale: le Sénégal se dote d</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2026-09-05</w:t>
            </w:r>
          </w:p>
        </w:tc>
        <w:tc>
          <w:tcPr>
            <w:tcW w:type="dxa" w:w="1728"/>
          </w:tcPr>
          <w:p>
            <w:r>
              <w:rPr>
                <w:sz w:val="14"/>
              </w:rPr>
              <w:t xml:space="preserve">Crise au Niger, accord FMI-Sénégal, bataille électorale au Maroc… Les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2026-09-02</w:t>
            </w:r>
          </w:p>
        </w:tc>
        <w:tc>
          <w:tcPr>
            <w:tcW w:type="dxa" w:w="1728"/>
          </w:tcPr>
          <w:p>
            <w:r>
              <w:rPr>
                <w:sz w:val="14"/>
              </w:rPr>
              <w:t>Pourquoi Goldman Sachs prévoit que l’Afrique du Sud retrouve sa notati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2026-09-04</w:t>
            </w:r>
          </w:p>
        </w:tc>
        <w:tc>
          <w:tcPr>
            <w:tcW w:type="dxa" w:w="1728"/>
          </w:tcPr>
          <w:p>
            <w:r>
              <w:rPr>
                <w:sz w:val="14"/>
              </w:rPr>
              <w:t>Mali : L'ex-colonel Alpha Yaya Sangaré condamné à 20 ans de prison - k</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2026-09-04</w:t>
            </w:r>
          </w:p>
        </w:tc>
        <w:tc>
          <w:tcPr>
            <w:tcW w:type="dxa" w:w="1728"/>
          </w:tcPr>
          <w:p>
            <w:r>
              <w:rPr>
                <w:sz w:val="14"/>
              </w:rPr>
              <w:t xml:space="preserve">Au Mali, les proches de Mountaga Tall réclament une « preuve de vie »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2026-09-04</w:t>
            </w:r>
          </w:p>
        </w:tc>
        <w:tc>
          <w:tcPr>
            <w:tcW w:type="dxa" w:w="1728"/>
          </w:tcPr>
          <w:p>
            <w:r>
              <w:rPr>
                <w:sz w:val="14"/>
              </w:rPr>
              <w:t>​Création du Comité national de politique pénale: le Sénégal se dote d</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2026-09-02</w:t>
            </w:r>
          </w:p>
        </w:tc>
        <w:tc>
          <w:tcPr>
            <w:tcW w:type="dxa" w:w="1728"/>
          </w:tcPr>
          <w:p>
            <w:r>
              <w:rPr>
                <w:sz w:val="14"/>
              </w:rPr>
              <w:t>VIDÉO. Économie: accord de principe entre le Sénégal et le FMI - tv5mo</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2026-09-02</w:t>
            </w:r>
          </w:p>
        </w:tc>
        <w:tc>
          <w:tcPr>
            <w:tcW w:type="dxa" w:w="1728"/>
          </w:tcPr>
          <w:p>
            <w:r>
              <w:rPr>
                <w:sz w:val="14"/>
              </w:rPr>
              <w:t>Pourquoi Goldman Sachs prévoit que l’Afrique du Sud retrouve sa notati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2026-09-04</w:t>
            </w:r>
          </w:p>
        </w:tc>
        <w:tc>
          <w:tcPr>
            <w:tcW w:type="dxa" w:w="1728"/>
          </w:tcPr>
          <w:p>
            <w:r>
              <w:rPr>
                <w:sz w:val="14"/>
              </w:rPr>
              <w:t>Mali : L'ex-colonel Alpha Yaya Sangaré condamné à 20 ans de prison - k</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2026-09-04</w:t>
            </w:r>
          </w:p>
        </w:tc>
        <w:tc>
          <w:tcPr>
            <w:tcW w:type="dxa" w:w="1728"/>
          </w:tcPr>
          <w:p>
            <w:r>
              <w:rPr>
                <w:sz w:val="14"/>
              </w:rPr>
              <w:t xml:space="preserve">Au Mali, les proches de Mountaga Tall réclament une « preuve de vie »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2026-09-04</w:t>
            </w:r>
          </w:p>
        </w:tc>
        <w:tc>
          <w:tcPr>
            <w:tcW w:type="dxa" w:w="1728"/>
          </w:tcPr>
          <w:p>
            <w:r>
              <w:rPr>
                <w:sz w:val="14"/>
              </w:rPr>
              <w:t>​Création du Comité national de politique pénale: le Sénégal se dote d</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2026-09-05</w:t>
            </w:r>
          </w:p>
        </w:tc>
        <w:tc>
          <w:tcPr>
            <w:tcW w:type="dxa" w:w="1728"/>
          </w:tcPr>
          <w:p>
            <w:r>
              <w:rPr>
                <w:sz w:val="14"/>
              </w:rPr>
              <w:t xml:space="preserve">Crise au Niger, accord FMI-Sénégal, bataille électorale au Maroc… Les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2026-09-04</w:t>
            </w:r>
          </w:p>
        </w:tc>
        <w:tc>
          <w:tcPr>
            <w:tcW w:type="dxa" w:w="1728"/>
          </w:tcPr>
          <w:p>
            <w:r>
              <w:rPr>
                <w:sz w:val="14"/>
              </w:rPr>
              <w:t>Mali : L'ex-colonel Alpha Yaya Sangaré condamné à 20 ans de prison - k</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2026-09-04</w:t>
            </w:r>
          </w:p>
        </w:tc>
        <w:tc>
          <w:tcPr>
            <w:tcW w:type="dxa" w:w="1728"/>
          </w:tcPr>
          <w:p>
            <w:r>
              <w:rPr>
                <w:sz w:val="14"/>
              </w:rPr>
              <w:t>​Création du Comité national de politique pénale: le Sénégal se dote d</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2026-09-04</w:t>
            </w:r>
          </w:p>
        </w:tc>
        <w:tc>
          <w:tcPr>
            <w:tcW w:type="dxa" w:w="1728"/>
          </w:tcPr>
          <w:p>
            <w:r>
              <w:rPr>
                <w:sz w:val="14"/>
              </w:rPr>
              <w:t>Burkina Faso : chiffrés à 151,5 milliards FCFA, les « Diaspora Bonds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2026-09-02</w:t>
            </w:r>
          </w:p>
        </w:tc>
        <w:tc>
          <w:tcPr>
            <w:tcW w:type="dxa" w:w="1728"/>
          </w:tcPr>
          <w:p>
            <w:r>
              <w:rPr>
                <w:sz w:val="14"/>
              </w:rPr>
              <w:t>Afrique de l'Ouest: BRVM - Fortes hausses des indices phares de la bou</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2026-09-01</w:t>
            </w:r>
          </w:p>
        </w:tc>
        <w:tc>
          <w:tcPr>
            <w:tcW w:type="dxa" w:w="1728"/>
          </w:tcPr>
          <w:p>
            <w:r>
              <w:rPr>
                <w:sz w:val="14"/>
              </w:rPr>
              <w:t xml:space="preserve">Prix des carburants : pourquoi le prix du Superéthanol-E85 reste-t-il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2026-09-02</w:t>
            </w:r>
          </w:p>
        </w:tc>
        <w:tc>
          <w:tcPr>
            <w:tcW w:type="dxa" w:w="1728"/>
          </w:tcPr>
          <w:p>
            <w:r>
              <w:rPr>
                <w:sz w:val="14"/>
              </w:rPr>
              <w:t>Pourquoi Goldman Sachs prévoit que l’Afrique du Sud retrouve sa notati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2026-09-04</w:t>
            </w:r>
          </w:p>
        </w:tc>
        <w:tc>
          <w:tcPr>
            <w:tcW w:type="dxa" w:w="1728"/>
          </w:tcPr>
          <w:p>
            <w:r>
              <w:rPr>
                <w:sz w:val="14"/>
              </w:rPr>
              <w:t>Mali : L'ex-colonel Alpha Yaya Sangaré condamné à 20 ans de prison - k</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2026-09-04</w:t>
            </w:r>
          </w:p>
        </w:tc>
        <w:tc>
          <w:tcPr>
            <w:tcW w:type="dxa" w:w="1728"/>
          </w:tcPr>
          <w:p>
            <w:r>
              <w:rPr>
                <w:sz w:val="14"/>
              </w:rPr>
              <w:t xml:space="preserve">Au Mali, les proches de Mountaga Tall réclament une « preuve de vie »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2026-09-04</w:t>
            </w:r>
          </w:p>
        </w:tc>
        <w:tc>
          <w:tcPr>
            <w:tcW w:type="dxa" w:w="1728"/>
          </w:tcPr>
          <w:p>
            <w:r>
              <w:rPr>
                <w:sz w:val="14"/>
              </w:rPr>
              <w:t>​Création du Comité national de politique pénale: le Sénégal se dote d</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2026-09-05</w:t>
            </w:r>
          </w:p>
        </w:tc>
        <w:tc>
          <w:tcPr>
            <w:tcW w:type="dxa" w:w="1728"/>
          </w:tcPr>
          <w:p>
            <w:r>
              <w:rPr>
                <w:sz w:val="14"/>
              </w:rPr>
              <w:t xml:space="preserve">Crise au Niger, accord FMI-Sénégal, bataille électorale au Maroc… Les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2026-09-04</w:t>
            </w:r>
          </w:p>
        </w:tc>
        <w:tc>
          <w:tcPr>
            <w:tcW w:type="dxa" w:w="1728"/>
          </w:tcPr>
          <w:p>
            <w:r>
              <w:rPr>
                <w:sz w:val="14"/>
              </w:rPr>
              <w:t>Mali : L'ex-colonel Alpha Yaya Sangaré condamné à 20 ans de prison - k</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2026-09-04</w:t>
            </w:r>
          </w:p>
        </w:tc>
        <w:tc>
          <w:tcPr>
            <w:tcW w:type="dxa" w:w="1728"/>
          </w:tcPr>
          <w:p>
            <w:r>
              <w:rPr>
                <w:sz w:val="14"/>
              </w:rPr>
              <w:t>​Création du Comité national de politique pénale: le Sénégal se dote d</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2026-09-04</w:t>
            </w:r>
          </w:p>
        </w:tc>
        <w:tc>
          <w:tcPr>
            <w:tcW w:type="dxa" w:w="1728"/>
          </w:tcPr>
          <w:p>
            <w:r>
              <w:rPr>
                <w:sz w:val="14"/>
              </w:rPr>
              <w:t>Burkina Faso : chiffrés à 151,5 milliards FCFA, les « Diaspora Bonds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2026-09-02</w:t>
            </w:r>
          </w:p>
        </w:tc>
        <w:tc>
          <w:tcPr>
            <w:tcW w:type="dxa" w:w="1728"/>
          </w:tcPr>
          <w:p>
            <w:r>
              <w:rPr>
                <w:sz w:val="14"/>
              </w:rPr>
              <w:t>Afrique de l'Ouest: BRVM - Fortes hausses des indices phares de la bou</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2026-09-04</w:t>
            </w:r>
          </w:p>
        </w:tc>
        <w:tc>
          <w:tcPr>
            <w:tcW w:type="dxa" w:w="1728"/>
          </w:tcPr>
          <w:p>
            <w:r>
              <w:rPr>
                <w:sz w:val="14"/>
              </w:rPr>
              <w:t xml:space="preserve">La Banque centrale européenne va-t-elle relever ses taux d'intérêt la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2026-09-04</w:t>
            </w:r>
          </w:p>
        </w:tc>
        <w:tc>
          <w:tcPr>
            <w:tcW w:type="dxa" w:w="1728"/>
          </w:tcPr>
          <w:p>
            <w:r>
              <w:rPr>
                <w:sz w:val="14"/>
              </w:rPr>
              <w:t>Mali : L'ex-colonel Alpha Yaya Sangaré condamné à 20 ans de prison - k</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2026-09-04</w:t>
            </w:r>
          </w:p>
        </w:tc>
        <w:tc>
          <w:tcPr>
            <w:tcW w:type="dxa" w:w="1728"/>
          </w:tcPr>
          <w:p>
            <w:r>
              <w:rPr>
                <w:sz w:val="14"/>
              </w:rPr>
              <w:t xml:space="preserve">Au Mali, les proches de Mountaga Tall réclament une « preuve de vie »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2026-09-04</w:t>
            </w:r>
          </w:p>
        </w:tc>
        <w:tc>
          <w:tcPr>
            <w:tcW w:type="dxa" w:w="1728"/>
          </w:tcPr>
          <w:p>
            <w:r>
              <w:rPr>
                <w:sz w:val="14"/>
              </w:rPr>
              <w:t>​Création du Comité national de politique pénale: le Sénégal se dote d</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2026-09-02</w:t>
            </w:r>
          </w:p>
        </w:tc>
        <w:tc>
          <w:tcPr>
            <w:tcW w:type="dxa" w:w="1728"/>
          </w:tcPr>
          <w:p>
            <w:r>
              <w:rPr>
                <w:sz w:val="14"/>
              </w:rPr>
              <w:t>VIDÉO. Économie: accord de principe entre le Sénégal et le FMI - tv5mo</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r>
        <w:tc>
          <w:tcPr>
            <w:tcW w:type="dxa" w:w="1728"/>
          </w:tcPr>
          <w:p>
            <w:r>
              <w:rPr>
                <w:sz w:val="14"/>
              </w:rPr>
              <w:t>2026-09-05</w:t>
            </w:r>
          </w:p>
        </w:tc>
        <w:tc>
          <w:tcPr>
            <w:tcW w:type="dxa" w:w="1728"/>
          </w:tcPr>
          <w:p>
            <w:r>
              <w:rPr>
                <w:sz w:val="14"/>
              </w:rPr>
              <w:t xml:space="preserve">Crise au Niger, accord FMI-Sénégal, bataille électorale au Maroc… Les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2026-09-04</w:t>
            </w:r>
          </w:p>
        </w:tc>
        <w:tc>
          <w:tcPr>
            <w:tcW w:type="dxa" w:w="1728"/>
          </w:tcPr>
          <w:p>
            <w:r>
              <w:rPr>
                <w:sz w:val="14"/>
              </w:rPr>
              <w:t>Mali : L'ex-colonel Alpha Yaya Sangaré condamné à 20 ans de prison - k</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2026-09-04</w:t>
            </w:r>
          </w:p>
        </w:tc>
        <w:tc>
          <w:tcPr>
            <w:tcW w:type="dxa" w:w="1728"/>
          </w:tcPr>
          <w:p>
            <w:r>
              <w:rPr>
                <w:sz w:val="14"/>
              </w:rPr>
              <w:t>​Création du Comité national de politique pénale: le Sénégal se dote d</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2026-09-04</w:t>
            </w:r>
          </w:p>
        </w:tc>
        <w:tc>
          <w:tcPr>
            <w:tcW w:type="dxa" w:w="1728"/>
          </w:tcPr>
          <w:p>
            <w:r>
              <w:rPr>
                <w:sz w:val="14"/>
              </w:rPr>
              <w:t>Burkina Faso : chiffrés à 151,5 milliards FCFA, les « Diaspora Bonds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2026-09-02</w:t>
            </w:r>
          </w:p>
        </w:tc>
        <w:tc>
          <w:tcPr>
            <w:tcW w:type="dxa" w:w="1728"/>
          </w:tcPr>
          <w:p>
            <w:r>
              <w:rPr>
                <w:sz w:val="14"/>
              </w:rPr>
              <w:t>Afrique de l'Ouest: BRVM - Fortes hausses des indices phares de la bou</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2026-09-04</w:t>
            </w:r>
          </w:p>
        </w:tc>
        <w:tc>
          <w:tcPr>
            <w:tcW w:type="dxa" w:w="1728"/>
          </w:tcPr>
          <w:p>
            <w:r>
              <w:rPr>
                <w:sz w:val="14"/>
              </w:rPr>
              <w:t xml:space="preserve">La Banque centrale européenne va-t-elle relever ses taux d'intérêt la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politique  (8 alerte(s))</w:t>
      </w:r>
    </w:p>
    <w:p>
      <w:pPr>
        <w:spacing w:before="40" w:after="40"/>
        <w:ind w:left="360"/>
      </w:pPr>
      <w:r>
        <w:rPr>
          <w:color w:val="646464"/>
          <w:sz w:val="17"/>
        </w:rPr>
        <w:t xml:space="preserve">[05/09/2026] ⚪  </w:t>
      </w:r>
      <w:r>
        <w:rPr>
          <w:b/>
          <w:color w:val="505050"/>
          <w:sz w:val="18"/>
        </w:rPr>
        <w:t>Crise au Niger, accord FMI-Sénégal, bataille électorale au Maroc… Les 5 infos qu’il ne fallait pas manquer - Jeune Afriq</w:t>
      </w:r>
      <w:r>
        <w:rPr>
          <w:color w:val="787878"/>
          <w:sz w:val="15"/>
        </w:rPr>
        <w:t xml:space="preserve">  [politique]</w:t>
      </w:r>
      <w:r>
        <w:rPr>
          <w:color w:val="B47800"/>
          <w:sz w:val="16"/>
        </w:rPr>
        <w:t xml:space="preserve">  ★ 50/10</w:t>
      </w:r>
    </w:p>
    <w:p>
      <w:pPr>
        <w:spacing w:before="0" w:after="20"/>
        <w:ind w:left="600"/>
      </w:pPr>
      <w:r>
        <w:rPr>
          <w:color w:val="323232"/>
          <w:sz w:val="17"/>
        </w:rPr>
        <w:t>L'article de Jeune Afrique couvre plusieurs événements majeurs en Afrique, notamment la crise politique au Niger, un accord entre le FMI et le Sénégal, et une bataille électorale au Maroc. Ces sujets sont traités sous l'angle politique et économique, avec des implications potentielles pour la zone UEMOA. La situation au Niger pourrait affecter la s</w:t>
      </w:r>
    </w:p>
    <w:p>
      <w:pPr>
        <w:spacing w:before="0" w:after="40"/>
        <w:ind w:left="600"/>
      </w:pPr>
      <w:r>
        <w:rPr>
          <w:color w:val="00643C"/>
          <w:sz w:val="16"/>
        </w:rPr>
        <w:t>Points clés : Crise politique au Niger avec des répercussions régionales possibles.  •  Accord entre le FMI et le Sénégal, indiquant un soutien financier international.  •  Bataille électorale au Maroc, bien que hors UEMOA, elle influence la perception de l'Afrique du Nord.</w:t>
      </w:r>
    </w:p>
    <w:p>
      <w:pPr>
        <w:spacing w:before="0" w:after="60"/>
        <w:ind w:left="600"/>
      </w:pPr>
      <w:r>
        <w:rPr>
          <w:color w:val="0064B4"/>
          <w:sz w:val="15"/>
        </w:rPr>
        <w:t>Source : https://news.google.com/rss/articles/CBMi5AFBVV95cUxNaERJeTVYc19PcjNFemhoLWdzRGF</w:t>
      </w:r>
    </w:p>
    <w:p>
      <w:pPr>
        <w:spacing w:before="40" w:after="40"/>
        <w:ind w:left="360"/>
      </w:pPr>
      <w:r>
        <w:rPr>
          <w:color w:val="646464"/>
          <w:sz w:val="17"/>
        </w:rPr>
        <w:t xml:space="preserve">[04/09/2026] 🔴  </w:t>
      </w:r>
      <w:r>
        <w:rPr>
          <w:b/>
          <w:color w:val="C00000"/>
          <w:sz w:val="18"/>
        </w:rPr>
        <w:t>Au Mali, les proches de Mountaga Tall réclament une « preuve de vie » - Jeune Afrique</w:t>
      </w:r>
      <w:r>
        <w:rPr>
          <w:color w:val="787878"/>
          <w:sz w:val="15"/>
        </w:rPr>
        <w:t xml:space="preserve">  [politique]</w:t>
      </w:r>
      <w:r>
        <w:rPr>
          <w:color w:val="B47800"/>
          <w:sz w:val="16"/>
        </w:rPr>
        <w:t xml:space="preserve">  ★ 50/10</w:t>
      </w:r>
    </w:p>
    <w:p>
      <w:pPr>
        <w:spacing w:before="0" w:after="20"/>
        <w:ind w:left="600"/>
      </w:pPr>
      <w:r>
        <w:rPr>
          <w:color w:val="323232"/>
          <w:sz w:val="17"/>
        </w:rPr>
        <w:t>L'article rapporte que les proches de l'opposant malien Mountaga Tall réclament une preuve de vie après son arrestation. Cette situation soulève des inquiétudes sur la stabilité politique au Mali, un pays membre de l'UEMOA. Les tensions politiques pourraient affecter la confiance des investisseurs dans la région.</w:t>
      </w:r>
    </w:p>
    <w:p>
      <w:pPr>
        <w:spacing w:before="0" w:after="40"/>
        <w:ind w:left="600"/>
      </w:pPr>
      <w:r>
        <w:rPr>
          <w:color w:val="00643C"/>
          <w:sz w:val="16"/>
        </w:rPr>
        <w:t>Points clés : Réclamation d'une preuve de vie pour Mountaga Tall  •  Inquiétudes sur la stabilité politique au Mali</w:t>
      </w:r>
    </w:p>
    <w:p>
      <w:pPr>
        <w:spacing w:before="0" w:after="60"/>
        <w:ind w:left="600"/>
      </w:pPr>
      <w:r>
        <w:rPr>
          <w:color w:val="0064B4"/>
          <w:sz w:val="15"/>
        </w:rPr>
        <w:t>Source : https://news.google.com/rss/articles/CBMisgFBVV95cUxNZ3lLWXZTdkp2aW1tM1FtSHQxTkp</w:t>
      </w:r>
    </w:p>
    <w:p>
      <w:pPr>
        <w:spacing w:before="40" w:after="40"/>
        <w:ind w:left="360"/>
      </w:pPr>
      <w:r>
        <w:rPr>
          <w:color w:val="646464"/>
          <w:sz w:val="17"/>
        </w:rPr>
        <w:t xml:space="preserve">[04/09/2026] ⚪  </w:t>
      </w:r>
      <w:r>
        <w:rPr>
          <w:b/>
          <w:color w:val="505050"/>
          <w:sz w:val="18"/>
        </w:rPr>
        <w:t>​Création du Comité national de politique pénale: le Sénégal se dote d'un nouvel organe de réforme judiciaire - pressafr</w:t>
      </w:r>
      <w:r>
        <w:rPr>
          <w:color w:val="787878"/>
          <w:sz w:val="15"/>
        </w:rPr>
        <w:t xml:space="preserve">  [politique]</w:t>
      </w:r>
      <w:r>
        <w:rPr>
          <w:color w:val="B47800"/>
          <w:sz w:val="16"/>
        </w:rPr>
        <w:t xml:space="preserve">  ★ 50/10</w:t>
      </w:r>
    </w:p>
    <w:p>
      <w:pPr>
        <w:spacing w:before="0" w:after="20"/>
        <w:ind w:left="600"/>
      </w:pPr>
      <w:r>
        <w:rPr>
          <w:color w:val="323232"/>
          <w:sz w:val="17"/>
        </w:rPr>
        <w:t>Le Sénégal a annoncé la création d'un Comité national de politique pénale, un nouvel organe dédié à la réforme judiciaire. Cette initiative vise à harmoniser et améliorer l'efficacité du système pénal sénégalais. Elle s'inscrit dans un contexte plus large de modernisation des institutions dans la zone UEMOA. L'impact direct sur les marchés financie</w:t>
      </w:r>
    </w:p>
    <w:p>
      <w:pPr>
        <w:spacing w:before="0" w:after="40"/>
        <w:ind w:left="600"/>
      </w:pPr>
      <w:r>
        <w:rPr>
          <w:color w:val="00643C"/>
          <w:sz w:val="16"/>
        </w:rPr>
        <w:t>Points clés : Création d'un nouvel organe de réforme judiciaire au Sénégal.  •  Objectif d'harmonisation et d'amélioration de la politique pénale.  •  Initiative dans le cadre de la modernisation institutionnelle en zone UEMOA.</w:t>
      </w:r>
    </w:p>
    <w:p>
      <w:pPr>
        <w:spacing w:before="0" w:after="60"/>
        <w:ind w:left="600"/>
      </w:pPr>
      <w:r>
        <w:rPr>
          <w:color w:val="0064B4"/>
          <w:sz w:val="15"/>
        </w:rPr>
        <w:t>Source : https://news.google.com/rss/articles/CBMi7AFBVV95cUxORW9fRkNULU5Rb1FYSzdzNDNpS29</w:t>
      </w:r>
    </w:p>
    <w:p>
      <w:pPr>
        <w:spacing w:before="40" w:after="40"/>
        <w:ind w:left="360"/>
      </w:pPr>
      <w:r>
        <w:rPr>
          <w:color w:val="646464"/>
          <w:sz w:val="17"/>
        </w:rPr>
        <w:t xml:space="preserve">[04/09/2026] ⚪  </w:t>
      </w:r>
      <w:r>
        <w:rPr>
          <w:b/>
          <w:color w:val="505050"/>
          <w:sz w:val="18"/>
        </w:rPr>
        <w:t>Mali : L'ex-colonel Alpha Yaya Sangaré condamné à 20 ans de prison - koaci.com</w:t>
      </w:r>
      <w:r>
        <w:rPr>
          <w:color w:val="787878"/>
          <w:sz w:val="15"/>
        </w:rPr>
        <w:t xml:space="preserve">  [politique]</w:t>
      </w:r>
      <w:r>
        <w:rPr>
          <w:color w:val="B47800"/>
          <w:sz w:val="16"/>
        </w:rPr>
        <w:t xml:space="preserve">  ★ 50/10</w:t>
      </w:r>
    </w:p>
    <w:p>
      <w:pPr>
        <w:spacing w:before="0" w:after="20"/>
        <w:ind w:left="600"/>
      </w:pPr>
      <w:r>
        <w:rPr>
          <w:color w:val="323232"/>
          <w:sz w:val="17"/>
        </w:rPr>
        <w:t>L'ex-colonel malien Alpha Yaya Sangaré a été condamné à 20 ans de prison, selon une information rapportée par Koaci. Cette décision judiciaire s'inscrit dans un contexte politique tendu au Mali, pays membre de l'UEMOA. L'actualité politique malienne peut avoir des répercussions sur la stabilité régionale, mais cet événement spécifique ne semble pas</w:t>
      </w:r>
    </w:p>
    <w:p>
      <w:pPr>
        <w:spacing w:before="0" w:after="40"/>
        <w:ind w:left="600"/>
      </w:pPr>
      <w:r>
        <w:rPr>
          <w:color w:val="00643C"/>
          <w:sz w:val="16"/>
        </w:rPr>
        <w:t>Points clés : Condamnation de l'ex-colonel Alpha Yaya Sangaré à 20 ans de prison au Mali.  •  Événement politique national, sans lien direct avec les entreprises cotées à la BRVM.  •  La stabilité politique au Mali est un facteur à surveiller pour l'économie de l'UEMOA.</w:t>
      </w:r>
    </w:p>
    <w:p>
      <w:pPr>
        <w:spacing w:before="0" w:after="60"/>
        <w:ind w:left="600"/>
      </w:pPr>
      <w:r>
        <w:rPr>
          <w:color w:val="0064B4"/>
          <w:sz w:val="15"/>
        </w:rPr>
        <w:t>Source : https://news.google.com/rss/articles/CBMiywFBVV95cUxNT2NiNjYwLUdCbTdDZjZuNGlfRmZ</w:t>
      </w:r>
    </w:p>
    <w:p>
      <w:pPr>
        <w:spacing w:before="40" w:after="40"/>
        <w:ind w:left="360"/>
      </w:pPr>
      <w:r>
        <w:rPr>
          <w:color w:val="646464"/>
          <w:sz w:val="17"/>
        </w:rPr>
        <w:t xml:space="preserve">[04/09/2026] 🔴  </w:t>
      </w:r>
      <w:r>
        <w:rPr>
          <w:b/>
          <w:color w:val="C00000"/>
          <w:sz w:val="18"/>
        </w:rPr>
        <w:t>Mali: les proches de Mountaga Tall veulent une preuve de vie quatre mois après son enlèvement par la Sécurité d'État - R</w:t>
      </w:r>
      <w:r>
        <w:rPr>
          <w:color w:val="787878"/>
          <w:sz w:val="15"/>
        </w:rPr>
        <w:t xml:space="preserve">  [politique]</w:t>
      </w:r>
      <w:r>
        <w:rPr>
          <w:color w:val="B47800"/>
          <w:sz w:val="16"/>
        </w:rPr>
        <w:t xml:space="preserve">  ★ 50/10</w:t>
      </w:r>
    </w:p>
    <w:p>
      <w:pPr>
        <w:spacing w:before="0" w:after="20"/>
        <w:ind w:left="600"/>
      </w:pPr>
      <w:r>
        <w:rPr>
          <w:color w:val="323232"/>
          <w:sz w:val="17"/>
        </w:rPr>
        <w:t>Quatre mois après l'enlèvement de Mountaga Tall par la Sécurité d'État malienne, ses proches réclament une preuve de vie. Cette situation soulève des inquiétudes sur la stabilité politique et le respect des droits de l'homme au Mali. L'événement est rapporté par RFI et s'inscrit dans un contexte régional ouest-africain déjà tendu.</w:t>
      </w:r>
    </w:p>
    <w:p>
      <w:pPr>
        <w:spacing w:before="0" w:after="40"/>
        <w:ind w:left="600"/>
      </w:pPr>
      <w:r>
        <w:rPr>
          <w:color w:val="00643C"/>
          <w:sz w:val="16"/>
        </w:rPr>
        <w:t>Points clés : Enlèvement de Mountaga Tall par la Sécurité d'État malienne  •  Demande de preuve de vie par les proches après 4 mois  •  Préoccupations sur la gouvernance et les droits humains au Mali</w:t>
      </w:r>
    </w:p>
    <w:p>
      <w:pPr>
        <w:spacing w:before="0" w:after="60"/>
        <w:ind w:left="600"/>
      </w:pPr>
      <w:r>
        <w:rPr>
          <w:color w:val="0064B4"/>
          <w:sz w:val="15"/>
        </w:rPr>
        <w:t>Source : https://news.google.com/rss/articles/CBMiiwJBVV95cUxPY0d5RV9pZ29yZ0N5QTQzbEhJeWY</w:t>
      </w:r>
    </w:p>
    <w:p>
      <w:pPr>
        <w:spacing w:before="120" w:after="40"/>
      </w:pPr>
      <w:r>
        <w:rPr>
          <w:b/>
          <w:color w:val="00467F"/>
          <w:sz w:val="20"/>
        </w:rPr>
        <w:t>🔑 marche_financier  (4 alerte(s))</w:t>
      </w:r>
    </w:p>
    <w:p>
      <w:pPr>
        <w:spacing w:before="40" w:after="40"/>
        <w:ind w:left="360"/>
      </w:pPr>
      <w:r>
        <w:rPr>
          <w:color w:val="646464"/>
          <w:sz w:val="17"/>
        </w:rPr>
        <w:t xml:space="preserve">[04/09/2026] 🟢  </w:t>
      </w:r>
      <w:r>
        <w:rPr>
          <w:b/>
          <w:color w:val="008000"/>
          <w:sz w:val="18"/>
        </w:rPr>
        <w:t>Burkina Faso : chiffrés à 151,5 milliards FCFA, les « Diaspora Bonds » accèdent à la BRVM - Zoom Eco</w:t>
      </w:r>
      <w:r>
        <w:rPr>
          <w:color w:val="787878"/>
          <w:sz w:val="15"/>
        </w:rPr>
        <w:t xml:space="preserve">  [marche_financier]</w:t>
      </w:r>
      <w:r>
        <w:rPr>
          <w:color w:val="B47800"/>
          <w:sz w:val="16"/>
        </w:rPr>
        <w:t xml:space="preserve">  ★ 50/10</w:t>
      </w:r>
    </w:p>
    <w:p>
      <w:pPr>
        <w:spacing w:before="0" w:after="20"/>
        <w:ind w:left="600"/>
      </w:pPr>
      <w:r>
        <w:rPr>
          <w:color w:val="323232"/>
          <w:sz w:val="17"/>
        </w:rPr>
        <w:t>Le Burkina Faso a émis des obligations de la diaspora (Diaspora Bonds) d'un montant de 151,5 milliards FCFA, qui sont désormais cotées à la BRVM. Cette opération vise à mobiliser l'épargne des Burkinabè de l'étranger pour financer des projets de développement. L'accès à la BRVM permet de diversifier les sources de financement et d'élargir la base d</w:t>
      </w:r>
    </w:p>
    <w:p>
      <w:pPr>
        <w:spacing w:before="0" w:after="40"/>
        <w:ind w:left="600"/>
      </w:pPr>
      <w:r>
        <w:rPr>
          <w:color w:val="00643C"/>
          <w:sz w:val="16"/>
        </w:rPr>
        <w:t>Points clés : Montant de 151,5 milliards FCFA levé via les Diaspora Bonds.  •  Cotation de ces obligations à la BRVM, élargissant l'accès aux investisseurs régionaux.  •  Objectif de financement de projets de développement au Burkina Faso.</w:t>
      </w:r>
    </w:p>
    <w:p>
      <w:pPr>
        <w:spacing w:before="0" w:after="60"/>
        <w:ind w:left="600"/>
      </w:pPr>
      <w:r>
        <w:rPr>
          <w:color w:val="0064B4"/>
          <w:sz w:val="15"/>
        </w:rPr>
        <w:t>Source : https://news.google.com/rss/articles/CBMisAFBVV95cUxPWndfWXg2N1pQLVFxTUF0MldSR3Z</w:t>
      </w:r>
    </w:p>
    <w:p>
      <w:pPr>
        <w:spacing w:before="40" w:after="40"/>
        <w:ind w:left="360"/>
      </w:pPr>
      <w:r>
        <w:rPr>
          <w:color w:val="646464"/>
          <w:sz w:val="17"/>
        </w:rPr>
        <w:t xml:space="preserve">[03/09/2026] 🟢  </w:t>
      </w:r>
      <w:r>
        <w:rPr>
          <w:b/>
          <w:color w:val="008000"/>
          <w:sz w:val="18"/>
        </w:rPr>
        <w:t>Bourse: le Trésor public burkinabè lève 151,5 milliards de FCFA à travers « Diaspora Bonds » - Abidjan.net News</w:t>
      </w:r>
      <w:r>
        <w:rPr>
          <w:color w:val="787878"/>
          <w:sz w:val="15"/>
        </w:rPr>
        <w:t xml:space="preserve">  [marche_financier]</w:t>
      </w:r>
      <w:r>
        <w:rPr>
          <w:color w:val="B47800"/>
          <w:sz w:val="16"/>
        </w:rPr>
        <w:t xml:space="preserve">  ★ 50/10</w:t>
      </w:r>
    </w:p>
    <w:p>
      <w:pPr>
        <w:spacing w:before="0" w:after="20"/>
        <w:ind w:left="600"/>
      </w:pPr>
      <w:r>
        <w:rPr>
          <w:color w:val="323232"/>
          <w:sz w:val="17"/>
        </w:rPr>
        <w:t>Le Trésor public burkinabè a levé 151,5 milliards de FCFA sur le marché financier de l'UEMOA via l'émission d'obligations destinées à la diaspora. Cette opération témoigne de la confiance des investisseurs dans les titres publics de la zone. Elle renforce la liquidité et l'attractivité du marché régional, tout en offrant une source de financement a</w:t>
      </w:r>
    </w:p>
    <w:p>
      <w:pPr>
        <w:spacing w:before="0" w:after="40"/>
        <w:ind w:left="600"/>
      </w:pPr>
      <w:r>
        <w:rPr>
          <w:color w:val="00643C"/>
          <w:sz w:val="16"/>
        </w:rPr>
        <w:t>Points clés : Levée de 151,5 milliards de FCFA par le Burkina Faso via des 'Diaspora Bonds'.  •  Opération réalisée sur le marché financier de l'UEMOA, démontrant la capacité d'absorption du marché.  •  Succès de l'émission, indiquant une demande soutenue pour les titres publics de la zone.</w:t>
      </w:r>
    </w:p>
    <w:p>
      <w:pPr>
        <w:spacing w:before="0" w:after="60"/>
        <w:ind w:left="600"/>
      </w:pPr>
      <w:r>
        <w:rPr>
          <w:color w:val="0064B4"/>
          <w:sz w:val="15"/>
        </w:rPr>
        <w:t>Source : https://news.google.com/rss/articles/CBMixgFBVV95cUxPenBfMXlnRkJQeThVZjdhWFR6NUk</w:t>
      </w:r>
    </w:p>
    <w:p>
      <w:pPr>
        <w:spacing w:before="40" w:after="40"/>
        <w:ind w:left="360"/>
      </w:pPr>
      <w:r>
        <w:rPr>
          <w:color w:val="646464"/>
          <w:sz w:val="17"/>
        </w:rPr>
        <w:t xml:space="preserve">[03/09/2026] 🟢  </w:t>
      </w:r>
      <w:r>
        <w:rPr>
          <w:b/>
          <w:color w:val="008000"/>
          <w:sz w:val="18"/>
        </w:rPr>
        <w:t>Bourse/Emprunts obligataires : Le Burkina Faso lève plus de 150 milliards de Fcfa sur le marché financier régional - Fra</w:t>
      </w:r>
      <w:r>
        <w:rPr>
          <w:color w:val="787878"/>
          <w:sz w:val="15"/>
        </w:rPr>
        <w:t xml:space="preserve">  [marche_financier]</w:t>
      </w:r>
      <w:r>
        <w:rPr>
          <w:color w:val="B47800"/>
          <w:sz w:val="16"/>
        </w:rPr>
        <w:t xml:space="preserve">  ★ 50/10</w:t>
      </w:r>
    </w:p>
    <w:p>
      <w:pPr>
        <w:spacing w:before="0" w:after="20"/>
        <w:ind w:left="600"/>
      </w:pPr>
      <w:r>
        <w:rPr>
          <w:color w:val="323232"/>
          <w:sz w:val="17"/>
        </w:rPr>
        <w:t xml:space="preserve">Le Burkina Faso a levé plus de 150 milliards de Fcfa sur le marché financier régional de l'UEMOA à travers des emprunts obligataires. Cette opération témoigne de la capacité du pays à mobiliser des ressources sur le marché de la BRVM. Elle reflète une certaine confiance des investisseurs envers les titres publics burkinabè. L'opération contribue à </w:t>
      </w:r>
    </w:p>
    <w:p>
      <w:pPr>
        <w:spacing w:before="0" w:after="40"/>
        <w:ind w:left="600"/>
      </w:pPr>
      <w:r>
        <w:rPr>
          <w:color w:val="00643C"/>
          <w:sz w:val="16"/>
        </w:rPr>
        <w:t>Points clés : Levée de plus de 150 milliards de Fcfa par le Burkina Faso  •  Opération réalisée sur le marché financier régional de l'UEMOA  •  Confiance des investisseurs envers les titres publics</w:t>
      </w:r>
    </w:p>
    <w:p>
      <w:pPr>
        <w:spacing w:before="0" w:after="60"/>
        <w:ind w:left="600"/>
      </w:pPr>
      <w:r>
        <w:rPr>
          <w:color w:val="0064B4"/>
          <w:sz w:val="15"/>
        </w:rPr>
        <w:t>Source : https://news.google.com/rss/articles/CBMi8wFBVV95cUxPUXFoUk1JdVUzNWJrYXBVNlAtUXV</w:t>
      </w:r>
    </w:p>
    <w:p>
      <w:pPr>
        <w:spacing w:before="40" w:after="40"/>
        <w:ind w:left="360"/>
      </w:pPr>
      <w:r>
        <w:rPr>
          <w:color w:val="646464"/>
          <w:sz w:val="17"/>
        </w:rPr>
        <w:t xml:space="preserve">[03/09/2026] 🟢  </w:t>
      </w:r>
      <w:r>
        <w:rPr>
          <w:b/>
          <w:color w:val="008000"/>
          <w:sz w:val="18"/>
        </w:rPr>
        <w:t>Burkina Faso/BRVM : Le Groupe Vista fait coter les 151,5 milliards FCFA des Diaspora Bonds - Sika Finance</w:t>
      </w:r>
      <w:r>
        <w:rPr>
          <w:color w:val="787878"/>
          <w:sz w:val="15"/>
        </w:rPr>
        <w:t xml:space="preserve">  [marche_financier]</w:t>
      </w:r>
      <w:r>
        <w:rPr>
          <w:color w:val="B47800"/>
          <w:sz w:val="16"/>
        </w:rPr>
        <w:t xml:space="preserve">  ★ 50/10</w:t>
      </w:r>
    </w:p>
    <w:p>
      <w:pPr>
        <w:spacing w:before="0" w:after="20"/>
        <w:ind w:left="600"/>
      </w:pPr>
      <w:r>
        <w:rPr>
          <w:color w:val="323232"/>
          <w:sz w:val="17"/>
        </w:rPr>
        <w:t>Le Groupe Vista, émetteur des Diaspora Bonds du Burkina Faso, a procédé à la cotation de ces obligations d'un montant total de 151,5 milliards FCFA sur la BRVM. Cette opération vise à offrir une liquidité accrue aux investisseurs et à renforcer la présence du Burkina Faso sur le marché financier régional. La cotation permet aux détenteurs de ces ti</w:t>
      </w:r>
    </w:p>
    <w:p>
      <w:pPr>
        <w:spacing w:before="0" w:after="40"/>
        <w:ind w:left="600"/>
      </w:pPr>
      <w:r>
        <w:rPr>
          <w:color w:val="00643C"/>
          <w:sz w:val="16"/>
        </w:rPr>
        <w:t>Points clés : Cotation de 151,5 milliards FCFA de Diaspora Bonds du Burkina Faso sur la BRVM.  •  Objectif : améliorer la liquidité et la transparence du marché obligataire burkinabè.  •  Renforcement de l'intégration financière régionale au sein de l'UEMOA.</w:t>
      </w:r>
    </w:p>
    <w:p>
      <w:pPr>
        <w:spacing w:before="0" w:after="60"/>
        <w:ind w:left="600"/>
      </w:pPr>
      <w:r>
        <w:rPr>
          <w:color w:val="0064B4"/>
          <w:sz w:val="15"/>
        </w:rPr>
        <w:t>Source : https://news.google.com/rss/articles/CBMiygFBVV95cUxPdVZhVTB3Uk9KN3Y2Y24tM2M4Wi1</w:t>
      </w:r>
    </w:p>
    <w:p>
      <w:pPr>
        <w:spacing w:before="120" w:after="40"/>
      </w:pPr>
      <w:r>
        <w:rPr>
          <w:b/>
          <w:color w:val="00467F"/>
          <w:sz w:val="20"/>
        </w:rPr>
        <w:t>🔑 politique_monetaire  (3 alerte(s))</w:t>
      </w:r>
    </w:p>
    <w:p>
      <w:pPr>
        <w:spacing w:before="40" w:after="40"/>
        <w:ind w:left="360"/>
      </w:pPr>
      <w:r>
        <w:rPr>
          <w:color w:val="646464"/>
          <w:sz w:val="17"/>
        </w:rPr>
        <w:t xml:space="preserve">[04/09/2026] ⚪  </w:t>
      </w:r>
      <w:r>
        <w:rPr>
          <w:b/>
          <w:color w:val="505050"/>
          <w:sz w:val="18"/>
        </w:rPr>
        <w:t xml:space="preserve">La Banque centrale européenne va-t-elle relever ses taux d'intérêt la semaine prochaine, et cette fois pour la dernière </w:t>
      </w:r>
      <w:r>
        <w:rPr>
          <w:color w:val="787878"/>
          <w:sz w:val="15"/>
        </w:rPr>
        <w:t xml:space="preserve">  [politique_monetaire]</w:t>
      </w:r>
      <w:r>
        <w:rPr>
          <w:color w:val="B47800"/>
          <w:sz w:val="16"/>
        </w:rPr>
        <w:t xml:space="preserve">  ★ 50/10</w:t>
      </w:r>
    </w:p>
    <w:p>
      <w:pPr>
        <w:spacing w:before="0" w:after="20"/>
        <w:ind w:left="600"/>
      </w:pPr>
      <w:r>
        <w:rPr>
          <w:color w:val="323232"/>
          <w:sz w:val="17"/>
        </w:rPr>
        <w:t>La Banque centrale européenne (BCE) se réunit la semaine prochaine pour décider d'une éventuelle hausse de ses taux d'intérêt, qui pourrait être la dernière du cycle actuel. Cette décision intervient dans un contexte de ralentissement économique et de baisse de l'inflation dans la zone euro. Les marchés anticipent une pause ou une hausse modérée, m</w:t>
      </w:r>
    </w:p>
    <w:p>
      <w:pPr>
        <w:spacing w:before="0" w:after="40"/>
        <w:ind w:left="600"/>
      </w:pPr>
      <w:r>
        <w:rPr>
          <w:color w:val="00643C"/>
          <w:sz w:val="16"/>
        </w:rPr>
        <w:t>Points clés : La BCE pourrait relever ses taux pour la dernière fois la semaine prochaine.  •  La décision dépendra des données d'inflation et de croissance économique.</w:t>
      </w:r>
    </w:p>
    <w:p>
      <w:pPr>
        <w:spacing w:before="0" w:after="60"/>
        <w:ind w:left="600"/>
      </w:pPr>
      <w:r>
        <w:rPr>
          <w:color w:val="0064B4"/>
          <w:sz w:val="15"/>
        </w:rPr>
        <w:t>Source : https://news.google.com/rss/articles/CBMikAFBVV95cUxQQzhaUEk1WnotT1h1SlM2VXpxMjY</w:t>
      </w:r>
    </w:p>
    <w:p>
      <w:pPr>
        <w:spacing w:before="40" w:after="40"/>
        <w:ind w:left="360"/>
      </w:pPr>
      <w:r>
        <w:rPr>
          <w:color w:val="646464"/>
          <w:sz w:val="17"/>
        </w:rPr>
        <w:t xml:space="preserve">[03/09/2026] ⚪  </w:t>
      </w:r>
      <w:r>
        <w:rPr>
          <w:b/>
          <w:color w:val="505050"/>
          <w:sz w:val="18"/>
        </w:rPr>
        <w:t>Une BCE vigilante - Boursorama</w:t>
      </w:r>
      <w:r>
        <w:rPr>
          <w:color w:val="787878"/>
          <w:sz w:val="15"/>
        </w:rPr>
        <w:t xml:space="preserve">  [politique_monetaire]</w:t>
      </w:r>
      <w:r>
        <w:rPr>
          <w:color w:val="B47800"/>
          <w:sz w:val="16"/>
        </w:rPr>
        <w:t xml:space="preserve">  ★ 50/10</w:t>
      </w:r>
    </w:p>
    <w:p>
      <w:pPr>
        <w:spacing w:before="0" w:after="20"/>
        <w:ind w:left="600"/>
      </w:pPr>
      <w:r>
        <w:rPr>
          <w:color w:val="323232"/>
          <w:sz w:val="17"/>
        </w:rPr>
        <w:t>La Banque centrale européenne (BCE) maintient une position de vigilance face aux incertitudes économiques et aux pressions inflationnistes. Elle surveille de près l'évolution des taux d'intérêt et des conditions de financement. Cette prudence vise à assurer la stabilité des prix tout en soutenant la croissance. Les marchés financiers suivent attent</w:t>
      </w:r>
    </w:p>
    <w:p>
      <w:pPr>
        <w:spacing w:before="0" w:after="40"/>
        <w:ind w:left="600"/>
      </w:pPr>
      <w:r>
        <w:rPr>
          <w:color w:val="00643C"/>
          <w:sz w:val="16"/>
        </w:rPr>
        <w:t>Points clés : La BCE reste vigilante sur l'inflation et les perspectives économiques.  •  Les décisions de politique monétaire de la BCE influencent les marchés financiers mondiaux.</w:t>
      </w:r>
    </w:p>
    <w:p>
      <w:pPr>
        <w:spacing w:before="0" w:after="60"/>
        <w:ind w:left="600"/>
      </w:pPr>
      <w:r>
        <w:rPr>
          <w:color w:val="0064B4"/>
          <w:sz w:val="15"/>
        </w:rPr>
        <w:t>Source : https://news.google.com/rss/articles/CBMioAFBVV95cUxNQnJsTFFDZFFOTUJHTV9aTzkwWkh</w:t>
      </w:r>
    </w:p>
    <w:p>
      <w:pPr>
        <w:spacing w:before="40" w:after="40"/>
        <w:ind w:left="360"/>
      </w:pPr>
      <w:r>
        <w:rPr>
          <w:color w:val="646464"/>
          <w:sz w:val="17"/>
        </w:rPr>
        <w:t xml:space="preserve">[03/09/2026] ⚪  </w:t>
      </w:r>
      <w:r>
        <w:rPr>
          <w:b/>
          <w:color w:val="505050"/>
          <w:sz w:val="18"/>
        </w:rPr>
        <w:t>Vers une hausse des taux d’intérêt de la BCE ? - L'Économiste Maghrébin</w:t>
      </w:r>
      <w:r>
        <w:rPr>
          <w:color w:val="787878"/>
          <w:sz w:val="15"/>
        </w:rPr>
        <w:t xml:space="preserve">  [politique_monetaire]</w:t>
      </w:r>
      <w:r>
        <w:rPr>
          <w:color w:val="B47800"/>
          <w:sz w:val="16"/>
        </w:rPr>
        <w:t xml:space="preserve">  ★ 50/10</w:t>
      </w:r>
    </w:p>
    <w:p>
      <w:pPr>
        <w:spacing w:before="0" w:after="20"/>
        <w:ind w:left="600"/>
      </w:pPr>
      <w:r>
        <w:rPr>
          <w:color w:val="323232"/>
          <w:sz w:val="17"/>
        </w:rPr>
        <w:t>L'article évoque une possible hausse des taux d'intérêt de la Banque centrale européenne (BCE), ce qui pourrait resserrer les conditions financières mondiales. Cette perspective intervient dans un contexte de lutte contre l'inflation, mais pourrait freiner la croissance économique en zone euro. Pour la BRVM, une telle décision pourrait entraîner un</w:t>
      </w:r>
    </w:p>
    <w:p>
      <w:pPr>
        <w:spacing w:before="0" w:after="40"/>
        <w:ind w:left="600"/>
      </w:pPr>
      <w:r>
        <w:rPr>
          <w:color w:val="00643C"/>
          <w:sz w:val="16"/>
        </w:rPr>
        <w:t>Points clés : La BCE envisage de relever ses taux directeurs pour contrer l'inflation.  •  Une hausse des taux européens pourrait renforcer l'euro et attirer les investisseurs internationaux.  •  Les marchés émergents, dont la BRVM, pourraient subir des sorties de capitaux.</w:t>
      </w:r>
    </w:p>
    <w:p>
      <w:pPr>
        <w:spacing w:before="0" w:after="60"/>
        <w:ind w:left="600"/>
      </w:pPr>
      <w:r>
        <w:rPr>
          <w:color w:val="0064B4"/>
          <w:sz w:val="15"/>
        </w:rPr>
        <w:t>Source : https://news.google.com/rss/articles/CBMilwFBVV95cUxPZExsMF8yYWlXbGpKVlpyZFRaXzR</w:t>
      </w:r>
    </w:p>
    <w:p>
      <w:pPr>
        <w:spacing w:before="120" w:after="40"/>
      </w:pPr>
      <w:r>
        <w:rPr>
          <w:b/>
          <w:color w:val="00467F"/>
          <w:sz w:val="20"/>
        </w:rPr>
        <w:t>🔑 matieres_premieres  (3 alerte(s))</w:t>
      </w:r>
    </w:p>
    <w:p>
      <w:pPr>
        <w:spacing w:before="40" w:after="40"/>
        <w:ind w:left="360"/>
      </w:pPr>
      <w:r>
        <w:rPr>
          <w:color w:val="646464"/>
          <w:sz w:val="17"/>
        </w:rPr>
        <w:t xml:space="preserve">[04/09/2026] ⚪  </w:t>
      </w:r>
      <w:r>
        <w:rPr>
          <w:b/>
          <w:color w:val="505050"/>
          <w:sz w:val="18"/>
        </w:rPr>
        <w:t>Cacao : le producteur camerounais gagne deux fois plus que son homologue ivoirien - Actu Cameroun</w:t>
      </w:r>
      <w:r>
        <w:rPr>
          <w:color w:val="787878"/>
          <w:sz w:val="15"/>
        </w:rPr>
        <w:t xml:space="preserve">  [matieres_premieres]</w:t>
      </w:r>
      <w:r>
        <w:rPr>
          <w:color w:val="B47800"/>
          <w:sz w:val="16"/>
        </w:rPr>
        <w:t xml:space="preserve">  ★ 50/10</w:t>
      </w:r>
    </w:p>
    <w:p>
      <w:pPr>
        <w:spacing w:before="0" w:after="20"/>
        <w:ind w:left="600"/>
      </w:pPr>
      <w:r>
        <w:rPr>
          <w:color w:val="323232"/>
          <w:sz w:val="17"/>
        </w:rPr>
        <w:t>L'article compare les revenus des producteurs de cacao au Cameroun et en Côte d'Ivoire, indiquant que les producteurs camerounais gagnent deux fois plus que leurs homologues ivoiriens. Cette différence s'explique par les politiques de prix et les structures de marché distinctes entre les deux pays. La nouvelle met en lumière les disparités régional</w:t>
      </w:r>
    </w:p>
    <w:p>
      <w:pPr>
        <w:spacing w:before="0" w:after="40"/>
        <w:ind w:left="600"/>
      </w:pPr>
      <w:r>
        <w:rPr>
          <w:color w:val="00643C"/>
          <w:sz w:val="16"/>
        </w:rPr>
        <w:t>Points clés : Les producteurs camerounais de cacao perçoivent des revenus nettement supérieurs à ceux de la Côte d'Ivoire.  •  Cette disparité reflète des différences dans les mécanismes de fixation des prix et les réformes sectorielles.  •  La compétitivité du Cameroun dans la filière cacao pourrait influencer les dynamiques commerciales en Afrique de l'Ouest.</w:t>
      </w:r>
    </w:p>
    <w:p>
      <w:pPr>
        <w:spacing w:before="0" w:after="60"/>
        <w:ind w:left="600"/>
      </w:pPr>
      <w:r>
        <w:rPr>
          <w:color w:val="0064B4"/>
          <w:sz w:val="15"/>
        </w:rPr>
        <w:t>Source : https://news.google.com/rss/articles/CBMitwFBVV95cUxNTDY5VEJxbDFEZy1YR05xZEhyMTh</w:t>
      </w:r>
    </w:p>
    <w:p>
      <w:pPr>
        <w:spacing w:before="40" w:after="40"/>
        <w:ind w:left="360"/>
      </w:pPr>
      <w:r>
        <w:rPr>
          <w:color w:val="646464"/>
          <w:sz w:val="17"/>
        </w:rPr>
        <w:t xml:space="preserve">[03/09/2026] ⚪  </w:t>
      </w:r>
      <w:r>
        <w:rPr>
          <w:b/>
          <w:color w:val="505050"/>
          <w:sz w:val="18"/>
        </w:rPr>
        <w:t>Côte d’Ivoire: le prix du kilo de cacao pour la campagne 2026-2027 divise les représentants de producteurs - pressafrik.</w:t>
      </w:r>
      <w:r>
        <w:rPr>
          <w:color w:val="787878"/>
          <w:sz w:val="15"/>
        </w:rPr>
        <w:t xml:space="preserve">  [matieres_premieres]</w:t>
      </w:r>
      <w:r>
        <w:rPr>
          <w:color w:val="B47800"/>
          <w:sz w:val="16"/>
        </w:rPr>
        <w:t xml:space="preserve">  ★ 50/10</w:t>
      </w:r>
    </w:p>
    <w:p>
      <w:pPr>
        <w:spacing w:before="0" w:after="20"/>
        <w:ind w:left="600"/>
      </w:pPr>
      <w:r>
        <w:rPr>
          <w:color w:val="323232"/>
          <w:sz w:val="17"/>
        </w:rPr>
        <w:t xml:space="preserve">La fixation du prix du kilo de cacao pour la campagne 2026-2027 en Côte d'Ivoire suscite des divergences parmi les représentants de producteurs. Cette discorde pourrait affecter la stabilité de la filière cacaoyère, un pilier économique du pays. Les négociations en cours reflètent des intérêts divergents entre les parties prenantes. L'issue de ces </w:t>
      </w:r>
    </w:p>
    <w:p>
      <w:pPr>
        <w:spacing w:before="0" w:after="40"/>
        <w:ind w:left="600"/>
      </w:pPr>
      <w:r>
        <w:rPr>
          <w:color w:val="00643C"/>
          <w:sz w:val="16"/>
        </w:rPr>
        <w:t>Points clés : Désaccord entre les représentants de producteurs sur le prix du cacao pour 2026-2027.  •  La Côte d'Ivoire est un acteur majeur du marché mondial du cacao, ce qui rend cette décision stratégique.  •  Les négociations pourraient influencer la production et les exportations futures.</w:t>
      </w:r>
    </w:p>
    <w:p>
      <w:pPr>
        <w:spacing w:before="0" w:after="60"/>
        <w:ind w:left="600"/>
      </w:pPr>
      <w:r>
        <w:rPr>
          <w:color w:val="0064B4"/>
          <w:sz w:val="15"/>
        </w:rPr>
        <w:t>Source : https://news.google.com/rss/articles/CBMi3gFBVV95cUxQaUlObnFyZHZ3bHhLY1hrVlh5M3R</w:t>
      </w:r>
    </w:p>
    <w:p>
      <w:pPr>
        <w:spacing w:before="40" w:after="40"/>
        <w:ind w:left="360"/>
      </w:pPr>
      <w:r>
        <w:rPr>
          <w:color w:val="646464"/>
          <w:sz w:val="17"/>
        </w:rPr>
        <w:t xml:space="preserve">[03/09/2026] ⚪  </w:t>
      </w:r>
      <w:r>
        <w:rPr>
          <w:b/>
          <w:color w:val="505050"/>
          <w:sz w:val="18"/>
        </w:rPr>
        <w:t>Côte d’Ivoire: le prix du kilo de cacao pour la campagne 2026-2027 divise les représentants de producteurs - RFI</w:t>
      </w:r>
      <w:r>
        <w:rPr>
          <w:color w:val="787878"/>
          <w:sz w:val="15"/>
        </w:rPr>
        <w:t xml:space="preserve">  [matieres_premieres]</w:t>
      </w:r>
      <w:r>
        <w:rPr>
          <w:color w:val="B47800"/>
          <w:sz w:val="16"/>
        </w:rPr>
        <w:t xml:space="preserve">  ★ 50/10</w:t>
      </w:r>
    </w:p>
    <w:p>
      <w:pPr>
        <w:spacing w:before="0" w:after="20"/>
        <w:ind w:left="600"/>
      </w:pPr>
      <w:r>
        <w:rPr>
          <w:color w:val="323232"/>
          <w:sz w:val="17"/>
        </w:rPr>
        <w:t>La fixation du prix du kilo de cacao pour la campagne 2026-2027 en Côte d'Ivoire suscite des divergences parmi les représentants de producteurs. Les discussions portent sur le niveau du prix plancher, certains le jugeant insuffisant face aux coûts de production, tandis que d'autres estiment qu'il protège les revenus. Cette incertitude pourrait affe</w:t>
      </w:r>
    </w:p>
    <w:p>
      <w:pPr>
        <w:spacing w:before="0" w:after="40"/>
        <w:ind w:left="600"/>
      </w:pPr>
      <w:r>
        <w:rPr>
          <w:color w:val="00643C"/>
          <w:sz w:val="16"/>
        </w:rPr>
        <w:t>Points clés : Désaccord entre les représentants des producteurs sur le prix du cacao pour 2026-2027.  •  Le prix plancher proposé est perçu comme trop bas par certains, mais comme un filet de sécurité par d'autres.  •  La décision finale impactera les revenus des producteurs et la compétitivité de la filière.</w:t>
      </w:r>
    </w:p>
    <w:p>
      <w:pPr>
        <w:spacing w:before="0" w:after="60"/>
        <w:ind w:left="600"/>
      </w:pPr>
      <w:r>
        <w:rPr>
          <w:color w:val="0064B4"/>
          <w:sz w:val="15"/>
        </w:rPr>
        <w:t>Source : https://news.google.com/rss/articles/CBMi6gFBVV95cUxNd29Ka0hlZE95OEx4YUNxanItUXp</w:t>
      </w:r>
    </w:p>
    <w:p>
      <w:pPr>
        <w:spacing w:before="120" w:after="40"/>
      </w:pPr>
      <w:r>
        <w:rPr>
          <w:b/>
          <w:color w:val="00467F"/>
          <w:sz w:val="20"/>
        </w:rPr>
        <w:t>🔑 économique  (2 alerte(s))</w:t>
      </w:r>
    </w:p>
    <w:p>
      <w:pPr>
        <w:spacing w:before="40" w:after="40"/>
        <w:ind w:left="360"/>
      </w:pPr>
      <w:r>
        <w:rPr>
          <w:color w:val="646464"/>
          <w:sz w:val="17"/>
        </w:rPr>
        <w:t xml:space="preserve">[03/09/2026] 🔴  </w:t>
      </w:r>
      <w:r>
        <w:rPr>
          <w:b/>
          <w:color w:val="C00000"/>
          <w:sz w:val="18"/>
        </w:rPr>
        <w:t>Dette, inflation, croissance : la rentrée sans filet de l'économie mondiale ? - Les Echos</w:t>
      </w:r>
      <w:r>
        <w:rPr>
          <w:color w:val="787878"/>
          <w:sz w:val="15"/>
        </w:rPr>
        <w:t xml:space="preserve">  [économique]</w:t>
      </w:r>
      <w:r>
        <w:rPr>
          <w:color w:val="B47800"/>
          <w:sz w:val="16"/>
        </w:rPr>
        <w:t xml:space="preserve">  ★ 50/10</w:t>
      </w:r>
    </w:p>
    <w:p>
      <w:pPr>
        <w:spacing w:before="0" w:after="20"/>
        <w:ind w:left="600"/>
      </w:pPr>
      <w:r>
        <w:rPr>
          <w:color w:val="323232"/>
          <w:sz w:val="17"/>
        </w:rPr>
        <w:t>L'article des Echos aborde les risques économiques mondiaux pour la rentrée, notamment l'endettement élevé, une inflation persistante et une croissance atone. Il souligne l'absence de marges de manœuvre budgétaires et monétaires pour faire face à de nouveaux chocs. Cette situation pourrait fragiliser les marchés émergents et les économies dépendant</w:t>
      </w:r>
    </w:p>
    <w:p>
      <w:pPr>
        <w:spacing w:before="0" w:after="40"/>
        <w:ind w:left="600"/>
      </w:pPr>
      <w:r>
        <w:rPr>
          <w:color w:val="00643C"/>
          <w:sz w:val="16"/>
        </w:rPr>
        <w:t>Points clés : Niveaux de dette publique et privée historiquement élevés dans les pays développés.  •  Inflation encore supérieure aux cibles des banques centrales, limitant les baisses de taux.  •  Croissance mondiale faible, avec des risques de récession dans certaines zones.  •  Réduction des capacités de stimulation budgétaire et monétaire en cas de crise.</w:t>
      </w:r>
    </w:p>
    <w:p>
      <w:pPr>
        <w:spacing w:before="0" w:after="60"/>
        <w:ind w:left="600"/>
      </w:pPr>
      <w:r>
        <w:rPr>
          <w:color w:val="0064B4"/>
          <w:sz w:val="15"/>
        </w:rPr>
        <w:t>Source : https://news.google.com/rss/articles/CBMiygFBVV95cUxPRnRidWpFLTJCSHZyS3c5S2xCcE8</w:t>
      </w:r>
    </w:p>
    <w:p>
      <w:pPr>
        <w:spacing w:before="40" w:after="40"/>
        <w:ind w:left="360"/>
      </w:pPr>
      <w:r>
        <w:rPr>
          <w:color w:val="646464"/>
          <w:sz w:val="17"/>
        </w:rPr>
        <w:t xml:space="preserve">[03/09/2026] ⚪  </w:t>
      </w:r>
      <w:r>
        <w:rPr>
          <w:b/>
          <w:color w:val="505050"/>
          <w:sz w:val="18"/>
        </w:rPr>
        <w:t>E35 : Afrique de l'Ouest : investiture du nouveau Président de la CEDEAO - Programme TV Ouest-France</w:t>
      </w:r>
      <w:r>
        <w:rPr>
          <w:color w:val="787878"/>
          <w:sz w:val="15"/>
        </w:rPr>
        <w:t xml:space="preserve">  [économique]</w:t>
      </w:r>
      <w:r>
        <w:rPr>
          <w:color w:val="B47800"/>
          <w:sz w:val="16"/>
        </w:rPr>
        <w:t xml:space="preserve">  ★ 50/10</w:t>
      </w:r>
    </w:p>
    <w:p>
      <w:pPr>
        <w:spacing w:before="0" w:after="20"/>
        <w:ind w:left="600"/>
      </w:pPr>
      <w:r>
        <w:rPr>
          <w:color w:val="323232"/>
          <w:sz w:val="17"/>
        </w:rPr>
        <w:t xml:space="preserve">L'article annonce l'investiture du nouveau président de la CEDEAO en Afrique de l'Ouest, un événement institutionnel majeur pour la région. Cette transition de leadership pourrait influencer la stabilité politique et les politiques économiques régionales. L'impact sur les marchés financiers, notamment la BRVM, dépendra des orientations économiques </w:t>
      </w:r>
    </w:p>
    <w:p>
      <w:pPr>
        <w:spacing w:before="0" w:after="40"/>
        <w:ind w:left="600"/>
      </w:pPr>
      <w:r>
        <w:rPr>
          <w:color w:val="00643C"/>
          <w:sz w:val="16"/>
        </w:rPr>
        <w:t>Points clés : Investiture du nouveau président de la CEDEAO, événement politique régional clé.  •  Potentiel impact sur la coopération économique et l'intégration régionale en Afrique de l'Ouest.</w:t>
      </w:r>
    </w:p>
    <w:p>
      <w:pPr>
        <w:spacing w:before="0" w:after="60"/>
        <w:ind w:left="600"/>
      </w:pPr>
      <w:r>
        <w:rPr>
          <w:color w:val="0064B4"/>
          <w:sz w:val="15"/>
        </w:rPr>
        <w:t>Source : https://news.google.com/rss/articles/CBMi5AFBVV95cUxNZm1CYldxQWdMSUtNVUtNcDRMQ1F</w:t>
      </w:r>
    </w:p>
    <w:p>
      <w:r>
        <w:br w:type="page"/>
      </w:r>
    </w:p>
    <w:p>
      <w:pPr>
        <w:pStyle w:val="Heading1"/>
      </w:pPr>
      <w:r>
        <w:t>🏆 CLASSEMENT DES SOCIÉTÉS — SCORE COMPOSITE /100</w:t>
      </w:r>
    </w:p>
    <w:p>
      <w:r>
        <w:t>Les 47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SIVC</w:t>
            </w:r>
          </w:p>
        </w:tc>
        <w:tc>
          <w:tcPr>
            <w:tcW w:type="dxa" w:w="1080"/>
            <w:shd w:fill="C6EFCE" w:val="clear"/>
          </w:tcPr>
          <w:p>
            <w:r>
              <w:rPr>
                <w:sz w:val="16"/>
              </w:rPr>
              <w:t>INDUSTRIELS</w:t>
            </w:r>
          </w:p>
        </w:tc>
        <w:tc>
          <w:tcPr>
            <w:tcW w:type="dxa" w:w="1080"/>
            <w:shd w:fill="C6EFCE" w:val="clear"/>
          </w:tcPr>
          <w:p>
            <w:r>
              <w:rPr>
                <w:sz w:val="16"/>
              </w:rPr>
              <w:t>2,330</w:t>
            </w:r>
          </w:p>
        </w:tc>
        <w:tc>
          <w:tcPr>
            <w:tcW w:type="dxa" w:w="1080"/>
            <w:shd w:fill="C6EFCE" w:val="clear"/>
          </w:tcPr>
          <w:p>
            <w:r>
              <w:rPr>
                <w:b/>
                <w:sz w:val="16"/>
              </w:rPr>
              <w:t>79/100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8,240</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BOAC</w:t>
            </w:r>
          </w:p>
        </w:tc>
        <w:tc>
          <w:tcPr>
            <w:tcW w:type="dxa" w:w="1080"/>
            <w:shd w:fill="C6EFCE" w:val="clear"/>
          </w:tcPr>
          <w:p>
            <w:r>
              <w:rPr>
                <w:sz w:val="16"/>
              </w:rPr>
              <w:t>SERVICES FINANCIER</w:t>
            </w:r>
          </w:p>
        </w:tc>
        <w:tc>
          <w:tcPr>
            <w:tcW w:type="dxa" w:w="1080"/>
            <w:shd w:fill="C6EFCE" w:val="clear"/>
          </w:tcPr>
          <w:p>
            <w:r>
              <w:rPr>
                <w:sz w:val="16"/>
              </w:rPr>
              <w:t>12,500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38,500</w:t>
            </w:r>
          </w:p>
        </w:tc>
        <w:tc>
          <w:tcPr>
            <w:tcW w:type="dxa" w:w="1080"/>
            <w:shd w:fill="C6EFCE" w:val="clear"/>
          </w:tcPr>
          <w:p>
            <w:r>
              <w:rPr>
                <w:b/>
                <w:sz w:val="16"/>
              </w:rPr>
              <w:t>74/100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BNBC</w:t>
            </w:r>
          </w:p>
        </w:tc>
        <w:tc>
          <w:tcPr>
            <w:tcW w:type="dxa" w:w="1080"/>
            <w:shd w:fill="C6EFCE" w:val="clear"/>
          </w:tcPr>
          <w:p>
            <w:r>
              <w:rPr>
                <w:sz w:val="16"/>
              </w:rPr>
              <w:t>CONSOMMATION DISCR</w:t>
            </w:r>
          </w:p>
        </w:tc>
        <w:tc>
          <w:tcPr>
            <w:tcW w:type="dxa" w:w="1080"/>
            <w:shd w:fill="C6EFCE" w:val="clear"/>
          </w:tcPr>
          <w:p>
            <w:r>
              <w:rPr>
                <w:sz w:val="16"/>
              </w:rPr>
              <w:t>2,175</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ECOC</w:t>
            </w:r>
          </w:p>
        </w:tc>
        <w:tc>
          <w:tcPr>
            <w:tcW w:type="dxa" w:w="1080"/>
            <w:shd w:fill="C6EFCE" w:val="clear"/>
          </w:tcPr>
          <w:p>
            <w:r>
              <w:rPr>
                <w:sz w:val="16"/>
              </w:rPr>
              <w:t>SERVICES FINANCIER</w:t>
            </w:r>
          </w:p>
        </w:tc>
        <w:tc>
          <w:tcPr>
            <w:tcW w:type="dxa" w:w="1080"/>
            <w:shd w:fill="C6EFCE" w:val="clear"/>
          </w:tcPr>
          <w:p>
            <w:r>
              <w:rPr>
                <w:sz w:val="16"/>
              </w:rPr>
              <w:t>17,725</w:t>
            </w:r>
          </w:p>
        </w:tc>
        <w:tc>
          <w:tcPr>
            <w:tcW w:type="dxa" w:w="1080"/>
            <w:shd w:fill="C6EFCE" w:val="clear"/>
          </w:tcPr>
          <w:p>
            <w:r>
              <w:rPr>
                <w:b/>
                <w:sz w:val="16"/>
              </w:rPr>
              <w:t>73/100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SDSC</w:t>
            </w:r>
          </w:p>
        </w:tc>
        <w:tc>
          <w:tcPr>
            <w:tcW w:type="dxa" w:w="1080"/>
            <w:shd w:fill="C6EFCE" w:val="clear"/>
          </w:tcPr>
          <w:p>
            <w:r>
              <w:rPr>
                <w:sz w:val="16"/>
              </w:rPr>
              <w:t>INDUSTRIELS</w:t>
            </w:r>
          </w:p>
        </w:tc>
        <w:tc>
          <w:tcPr>
            <w:tcW w:type="dxa" w:w="1080"/>
            <w:shd w:fill="C6EFCE" w:val="clear"/>
          </w:tcPr>
          <w:p>
            <w:r>
              <w:rPr>
                <w:sz w:val="16"/>
              </w:rPr>
              <w:t>3,205</w:t>
            </w:r>
          </w:p>
        </w:tc>
        <w:tc>
          <w:tcPr>
            <w:tcW w:type="dxa" w:w="1080"/>
            <w:shd w:fill="C6EFCE" w:val="clear"/>
          </w:tcPr>
          <w:p>
            <w:r>
              <w:rPr>
                <w:b/>
                <w:sz w:val="16"/>
              </w:rPr>
              <w:t>73/100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ABJC</w:t>
            </w:r>
          </w:p>
        </w:tc>
        <w:tc>
          <w:tcPr>
            <w:tcW w:type="dxa" w:w="1080"/>
            <w:shd w:fill="C6EFCE" w:val="clear"/>
          </w:tcPr>
          <w:p>
            <w:r>
              <w:rPr>
                <w:sz w:val="16"/>
              </w:rPr>
              <w:t>CONSOMMATION DISCR</w:t>
            </w:r>
          </w:p>
        </w:tc>
        <w:tc>
          <w:tcPr>
            <w:tcW w:type="dxa" w:w="1080"/>
            <w:shd w:fill="C6EFCE" w:val="clear"/>
          </w:tcPr>
          <w:p>
            <w:r>
              <w:rPr>
                <w:sz w:val="16"/>
              </w:rPr>
              <w:t>3,900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BOAB</w:t>
            </w:r>
          </w:p>
        </w:tc>
        <w:tc>
          <w:tcPr>
            <w:tcW w:type="dxa" w:w="1080"/>
            <w:shd w:fill="C6EFCE" w:val="clear"/>
          </w:tcPr>
          <w:p>
            <w:r>
              <w:rPr>
                <w:sz w:val="16"/>
              </w:rPr>
              <w:t>SERVICES FINANCIER</w:t>
            </w:r>
          </w:p>
        </w:tc>
        <w:tc>
          <w:tcPr>
            <w:tcW w:type="dxa" w:w="1080"/>
            <w:shd w:fill="C6EFCE" w:val="clear"/>
          </w:tcPr>
          <w:p>
            <w:r>
              <w:rPr>
                <w:sz w:val="16"/>
              </w:rPr>
              <w:t>10,300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CFAC</w:t>
            </w:r>
          </w:p>
        </w:tc>
        <w:tc>
          <w:tcPr>
            <w:tcW w:type="dxa" w:w="1080"/>
            <w:shd w:fill="C6EFCE" w:val="clear"/>
          </w:tcPr>
          <w:p>
            <w:r>
              <w:rPr>
                <w:sz w:val="16"/>
              </w:rPr>
              <w:t>CONSOMMATION DISCR</w:t>
            </w:r>
          </w:p>
        </w:tc>
        <w:tc>
          <w:tcPr>
            <w:tcW w:type="dxa" w:w="1080"/>
            <w:shd w:fill="C6EFCE" w:val="clear"/>
          </w:tcPr>
          <w:p>
            <w:r>
              <w:rPr>
                <w:sz w:val="16"/>
              </w:rPr>
              <w:t>1,745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ORGT</w:t>
            </w:r>
          </w:p>
        </w:tc>
        <w:tc>
          <w:tcPr>
            <w:tcW w:type="dxa" w:w="1080"/>
            <w:shd w:fill="C6EFCE" w:val="clear"/>
          </w:tcPr>
          <w:p>
            <w:r>
              <w:rPr>
                <w:sz w:val="16"/>
              </w:rPr>
              <w:t>SERVICES FINANCIER</w:t>
            </w:r>
          </w:p>
        </w:tc>
        <w:tc>
          <w:tcPr>
            <w:tcW w:type="dxa" w:w="1080"/>
            <w:shd w:fill="C6EFCE" w:val="clear"/>
          </w:tcPr>
          <w:p>
            <w:r>
              <w:rPr>
                <w:sz w:val="16"/>
              </w:rPr>
              <w:t>3,335</w:t>
            </w:r>
          </w:p>
        </w:tc>
        <w:tc>
          <w:tcPr>
            <w:tcW w:type="dxa" w:w="1080"/>
            <w:shd w:fill="C6EFCE" w:val="clear"/>
          </w:tcPr>
          <w:p>
            <w:r>
              <w:rPr>
                <w:b/>
                <w:sz w:val="16"/>
              </w:rPr>
              <w:t>72/100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PALC</w:t>
            </w:r>
          </w:p>
        </w:tc>
        <w:tc>
          <w:tcPr>
            <w:tcW w:type="dxa" w:w="1080"/>
            <w:shd w:fill="C6EFCE" w:val="clear"/>
          </w:tcPr>
          <w:p>
            <w:r>
              <w:rPr>
                <w:sz w:val="16"/>
              </w:rPr>
              <w:t>CONSOMMATION DE BA</w:t>
            </w:r>
          </w:p>
        </w:tc>
        <w:tc>
          <w:tcPr>
            <w:tcW w:type="dxa" w:w="1080"/>
            <w:shd w:fill="C6EFCE" w:val="clear"/>
          </w:tcPr>
          <w:p>
            <w:r>
              <w:rPr>
                <w:sz w:val="16"/>
              </w:rPr>
              <w:t>9,000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SMBC</w:t>
            </w:r>
          </w:p>
        </w:tc>
        <w:tc>
          <w:tcPr>
            <w:tcW w:type="dxa" w:w="1080"/>
            <w:shd w:fill="C6EFCE" w:val="clear"/>
          </w:tcPr>
          <w:p>
            <w:r>
              <w:rPr>
                <w:sz w:val="16"/>
              </w:rPr>
              <w:t>ENERGIE</w:t>
            </w:r>
          </w:p>
        </w:tc>
        <w:tc>
          <w:tcPr>
            <w:tcW w:type="dxa" w:w="1080"/>
            <w:shd w:fill="C6EFCE" w:val="clear"/>
          </w:tcPr>
          <w:p>
            <w:r>
              <w:rPr>
                <w:sz w:val="16"/>
              </w:rPr>
              <w:t>17,500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SPHC</w:t>
            </w:r>
          </w:p>
        </w:tc>
        <w:tc>
          <w:tcPr>
            <w:tcW w:type="dxa" w:w="1080"/>
            <w:shd w:fill="C6EFCE" w:val="clear"/>
          </w:tcPr>
          <w:p>
            <w:r>
              <w:rPr>
                <w:sz w:val="16"/>
              </w:rPr>
              <w:t>CONSOMMATION DE BA</w:t>
            </w:r>
          </w:p>
        </w:tc>
        <w:tc>
          <w:tcPr>
            <w:tcW w:type="dxa" w:w="1080"/>
            <w:shd w:fill="C6EFCE" w:val="clear"/>
          </w:tcPr>
          <w:p>
            <w:r>
              <w:rPr>
                <w:sz w:val="16"/>
              </w:rPr>
              <w:t>10,015</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ORAC</w:t>
            </w:r>
          </w:p>
        </w:tc>
        <w:tc>
          <w:tcPr>
            <w:tcW w:type="dxa" w:w="1080"/>
            <w:shd w:fill="C6EFCE" w:val="clear"/>
          </w:tcPr>
          <w:p>
            <w:r>
              <w:rPr>
                <w:sz w:val="16"/>
              </w:rPr>
              <w:t>TELECOMMUNICATIONS</w:t>
            </w:r>
          </w:p>
        </w:tc>
        <w:tc>
          <w:tcPr>
            <w:tcW w:type="dxa" w:w="1080"/>
            <w:shd w:fill="C6EFCE" w:val="clear"/>
          </w:tcPr>
          <w:p>
            <w:r>
              <w:rPr>
                <w:sz w:val="16"/>
              </w:rPr>
              <w:t>21,010</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BICC</w:t>
            </w:r>
          </w:p>
        </w:tc>
        <w:tc>
          <w:tcPr>
            <w:tcW w:type="dxa" w:w="1080"/>
            <w:shd w:fill="C6EFCE" w:val="clear"/>
          </w:tcPr>
          <w:p>
            <w:r>
              <w:rPr>
                <w:sz w:val="16"/>
              </w:rPr>
              <w:t>SERVICES FINANCIER</w:t>
            </w:r>
          </w:p>
        </w:tc>
        <w:tc>
          <w:tcPr>
            <w:tcW w:type="dxa" w:w="1080"/>
            <w:shd w:fill="C6EFCE" w:val="clear"/>
          </w:tcPr>
          <w:p>
            <w:r>
              <w:rPr>
                <w:sz w:val="16"/>
              </w:rPr>
              <w:t>33,005</w:t>
            </w:r>
          </w:p>
        </w:tc>
        <w:tc>
          <w:tcPr>
            <w:tcW w:type="dxa" w:w="1080"/>
            <w:shd w:fill="C6EFCE" w:val="clear"/>
          </w:tcPr>
          <w:p>
            <w:r>
              <w:rPr>
                <w:b/>
                <w:sz w:val="16"/>
              </w:rPr>
              <w:t>70/100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C6EFCE" w:val="clear"/>
          </w:tcPr>
          <w:p>
            <w:r>
              <w:rPr>
                <w:sz w:val="16"/>
              </w:rPr>
              <w:t>17</w:t>
            </w:r>
          </w:p>
        </w:tc>
        <w:tc>
          <w:tcPr>
            <w:tcW w:type="dxa" w:w="1080"/>
            <w:shd w:fill="C6EFCE" w:val="clear"/>
          </w:tcPr>
          <w:p>
            <w:r>
              <w:rPr>
                <w:sz w:val="16"/>
              </w:rPr>
              <w:t>BOABF</w:t>
            </w:r>
          </w:p>
        </w:tc>
        <w:tc>
          <w:tcPr>
            <w:tcW w:type="dxa" w:w="1080"/>
            <w:shd w:fill="C6EFCE" w:val="clear"/>
          </w:tcPr>
          <w:p>
            <w:r>
              <w:rPr>
                <w:sz w:val="16"/>
              </w:rPr>
              <w:t>SERVICES FINANCIER</w:t>
            </w:r>
          </w:p>
        </w:tc>
        <w:tc>
          <w:tcPr>
            <w:tcW w:type="dxa" w:w="1080"/>
            <w:shd w:fill="C6EFCE" w:val="clear"/>
          </w:tcPr>
          <w:p>
            <w:r>
              <w:rPr>
                <w:sz w:val="16"/>
              </w:rPr>
              <w:t>8,880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18</w:t>
            </w:r>
          </w:p>
        </w:tc>
        <w:tc>
          <w:tcPr>
            <w:tcW w:type="dxa" w:w="1080"/>
            <w:shd w:fill="C6EFCE" w:val="clear"/>
          </w:tcPr>
          <w:p>
            <w:r>
              <w:rPr>
                <w:sz w:val="16"/>
              </w:rPr>
              <w:t>CBIBF</w:t>
            </w:r>
          </w:p>
        </w:tc>
        <w:tc>
          <w:tcPr>
            <w:tcW w:type="dxa" w:w="1080"/>
            <w:shd w:fill="C6EFCE" w:val="clear"/>
          </w:tcPr>
          <w:p>
            <w:r>
              <w:rPr>
                <w:sz w:val="16"/>
              </w:rPr>
              <w:t>SERVICES FINANCIER</w:t>
            </w:r>
          </w:p>
        </w:tc>
        <w:tc>
          <w:tcPr>
            <w:tcW w:type="dxa" w:w="1080"/>
            <w:shd w:fill="C6EFCE" w:val="clear"/>
          </w:tcPr>
          <w:p>
            <w:r>
              <w:rPr>
                <w:sz w:val="16"/>
              </w:rPr>
              <w:t>33,450</w:t>
            </w:r>
          </w:p>
        </w:tc>
        <w:tc>
          <w:tcPr>
            <w:tcW w:type="dxa" w:w="1080"/>
            <w:shd w:fill="C6EFCE" w:val="clear"/>
          </w:tcPr>
          <w:p>
            <w:r>
              <w:rPr>
                <w:b/>
                <w:sz w:val="16"/>
              </w:rPr>
              <w:t>70/100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19</w:t>
            </w:r>
          </w:p>
        </w:tc>
        <w:tc>
          <w:tcPr>
            <w:tcW w:type="dxa" w:w="1080"/>
            <w:shd w:fill="C6EFCE" w:val="clear"/>
          </w:tcPr>
          <w:p>
            <w:r>
              <w:rPr>
                <w:sz w:val="16"/>
              </w:rPr>
              <w:t>SDCC</w:t>
            </w:r>
          </w:p>
        </w:tc>
        <w:tc>
          <w:tcPr>
            <w:tcW w:type="dxa" w:w="1080"/>
            <w:shd w:fill="C6EFCE" w:val="clear"/>
          </w:tcPr>
          <w:p>
            <w:r>
              <w:rPr>
                <w:sz w:val="16"/>
              </w:rPr>
              <w:t>SERVICES PUBLICS</w:t>
            </w:r>
          </w:p>
        </w:tc>
        <w:tc>
          <w:tcPr>
            <w:tcW w:type="dxa" w:w="1080"/>
            <w:shd w:fill="C6EFCE" w:val="clear"/>
          </w:tcPr>
          <w:p>
            <w:r>
              <w:rPr>
                <w:sz w:val="16"/>
              </w:rPr>
              <w:t>13,500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20</w:t>
            </w:r>
          </w:p>
        </w:tc>
        <w:tc>
          <w:tcPr>
            <w:tcW w:type="dxa" w:w="1080"/>
            <w:shd w:fill="C6EFCE" w:val="clear"/>
          </w:tcPr>
          <w:p>
            <w:r>
              <w:rPr>
                <w:sz w:val="16"/>
              </w:rPr>
              <w:t>SIBC</w:t>
            </w:r>
          </w:p>
        </w:tc>
        <w:tc>
          <w:tcPr>
            <w:tcW w:type="dxa" w:w="1080"/>
            <w:shd w:fill="C6EFCE" w:val="clear"/>
          </w:tcPr>
          <w:p>
            <w:r>
              <w:rPr>
                <w:sz w:val="16"/>
              </w:rPr>
              <w:t>SERVICES FINANCIER</w:t>
            </w:r>
          </w:p>
        </w:tc>
        <w:tc>
          <w:tcPr>
            <w:tcW w:type="dxa" w:w="1080"/>
            <w:shd w:fill="C6EFCE" w:val="clear"/>
          </w:tcPr>
          <w:p>
            <w:r>
              <w:rPr>
                <w:sz w:val="16"/>
              </w:rPr>
              <w:t>9,200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21</w:t>
            </w:r>
          </w:p>
        </w:tc>
        <w:tc>
          <w:tcPr>
            <w:tcW w:type="dxa" w:w="1080"/>
            <w:shd w:fill="C6EFCE" w:val="clear"/>
          </w:tcPr>
          <w:p>
            <w:r>
              <w:rPr>
                <w:sz w:val="16"/>
              </w:rPr>
              <w:t>UNXC</w:t>
            </w:r>
          </w:p>
        </w:tc>
        <w:tc>
          <w:tcPr>
            <w:tcW w:type="dxa" w:w="1080"/>
            <w:shd w:fill="C6EFCE" w:val="clear"/>
          </w:tcPr>
          <w:p>
            <w:r>
              <w:rPr>
                <w:sz w:val="16"/>
              </w:rPr>
              <w:t>CONSOMMATION DISCR</w:t>
            </w:r>
          </w:p>
        </w:tc>
        <w:tc>
          <w:tcPr>
            <w:tcW w:type="dxa" w:w="1080"/>
            <w:shd w:fill="C6EFCE" w:val="clear"/>
          </w:tcPr>
          <w:p>
            <w:r>
              <w:rPr>
                <w:sz w:val="16"/>
              </w:rPr>
              <w:t>2,405</w:t>
            </w:r>
          </w:p>
        </w:tc>
        <w:tc>
          <w:tcPr>
            <w:tcW w:type="dxa" w:w="1080"/>
            <w:shd w:fill="C6EFCE" w:val="clear"/>
          </w:tcPr>
          <w:p>
            <w:r>
              <w:rPr>
                <w:b/>
                <w:sz w:val="16"/>
              </w:rPr>
              <w:t>70/100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22</w:t>
            </w:r>
          </w:p>
        </w:tc>
        <w:tc>
          <w:tcPr>
            <w:tcW w:type="dxa" w:w="1080"/>
            <w:shd w:fill="EBF5FB" w:val="clear"/>
          </w:tcPr>
          <w:p>
            <w:r>
              <w:rPr>
                <w:sz w:val="16"/>
              </w:rPr>
              <w:t>NEIC</w:t>
            </w:r>
          </w:p>
        </w:tc>
        <w:tc>
          <w:tcPr>
            <w:tcW w:type="dxa" w:w="1080"/>
            <w:shd w:fill="EBF5FB" w:val="clear"/>
          </w:tcPr>
          <w:p>
            <w:r>
              <w:rPr>
                <w:sz w:val="16"/>
              </w:rPr>
              <w:t>CONSOMMATION DISCR</w:t>
            </w:r>
          </w:p>
        </w:tc>
        <w:tc>
          <w:tcPr>
            <w:tcW w:type="dxa" w:w="1080"/>
            <w:shd w:fill="EBF5FB" w:val="clear"/>
          </w:tcPr>
          <w:p>
            <w:r>
              <w:rPr>
                <w:sz w:val="16"/>
              </w:rPr>
              <w:t>3,000</w:t>
            </w:r>
          </w:p>
        </w:tc>
        <w:tc>
          <w:tcPr>
            <w:tcW w:type="dxa" w:w="1080"/>
            <w:shd w:fill="EBF5FB" w:val="clear"/>
          </w:tcPr>
          <w:p>
            <w:r>
              <w:rPr>
                <w:b/>
                <w:sz w:val="16"/>
              </w:rPr>
              <w:t>69/100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23</w:t>
            </w:r>
          </w:p>
        </w:tc>
        <w:tc>
          <w:tcPr>
            <w:tcW w:type="dxa" w:w="1080"/>
            <w:shd w:fill="EBF5FB" w:val="clear"/>
          </w:tcPr>
          <w:p>
            <w:r>
              <w:rPr>
                <w:sz w:val="16"/>
              </w:rPr>
              <w:t>BOAN</w:t>
            </w:r>
          </w:p>
        </w:tc>
        <w:tc>
          <w:tcPr>
            <w:tcW w:type="dxa" w:w="1080"/>
            <w:shd w:fill="EBF5FB" w:val="clear"/>
          </w:tcPr>
          <w:p>
            <w:r>
              <w:rPr>
                <w:sz w:val="16"/>
              </w:rPr>
              <w:t>SERVICES FINANCIER</w:t>
            </w:r>
          </w:p>
        </w:tc>
        <w:tc>
          <w:tcPr>
            <w:tcW w:type="dxa" w:w="1080"/>
            <w:shd w:fill="EBF5FB" w:val="clear"/>
          </w:tcPr>
          <w:p>
            <w:r>
              <w:rPr>
                <w:sz w:val="16"/>
              </w:rPr>
              <w:t>5,450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24</w:t>
            </w:r>
          </w:p>
        </w:tc>
        <w:tc>
          <w:tcPr>
            <w:tcW w:type="dxa" w:w="1080"/>
            <w:shd w:fill="EBF5FB" w:val="clear"/>
          </w:tcPr>
          <w:p>
            <w:r>
              <w:rPr>
                <w:sz w:val="16"/>
              </w:rPr>
              <w:t>SCRC</w:t>
            </w:r>
          </w:p>
        </w:tc>
        <w:tc>
          <w:tcPr>
            <w:tcW w:type="dxa" w:w="1080"/>
            <w:shd w:fill="EBF5FB" w:val="clear"/>
          </w:tcPr>
          <w:p>
            <w:r>
              <w:rPr>
                <w:sz w:val="16"/>
              </w:rPr>
              <w:t>CONSOMMATION DE BA</w:t>
            </w:r>
          </w:p>
        </w:tc>
        <w:tc>
          <w:tcPr>
            <w:tcW w:type="dxa" w:w="1080"/>
            <w:shd w:fill="EBF5FB" w:val="clear"/>
          </w:tcPr>
          <w:p>
            <w:r>
              <w:rPr>
                <w:sz w:val="16"/>
              </w:rPr>
              <w:t>3,565</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25</w:t>
            </w:r>
          </w:p>
        </w:tc>
        <w:tc>
          <w:tcPr>
            <w:tcW w:type="dxa" w:w="1080"/>
            <w:shd w:fill="EBF5FB" w:val="clear"/>
          </w:tcPr>
          <w:p>
            <w:r>
              <w:rPr>
                <w:sz w:val="16"/>
              </w:rPr>
              <w:t>SLBC</w:t>
            </w:r>
          </w:p>
        </w:tc>
        <w:tc>
          <w:tcPr>
            <w:tcW w:type="dxa" w:w="1080"/>
            <w:shd w:fill="EBF5FB" w:val="clear"/>
          </w:tcPr>
          <w:p>
            <w:r>
              <w:rPr>
                <w:sz w:val="16"/>
              </w:rPr>
              <w:t>CONSOMMATION DE BA</w:t>
            </w:r>
          </w:p>
        </w:tc>
        <w:tc>
          <w:tcPr>
            <w:tcW w:type="dxa" w:w="1080"/>
            <w:shd w:fill="EBF5FB" w:val="clear"/>
          </w:tcPr>
          <w:p>
            <w:r>
              <w:rPr>
                <w:sz w:val="16"/>
              </w:rPr>
              <w:t>37,250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BOAM</w:t>
            </w:r>
          </w:p>
        </w:tc>
        <w:tc>
          <w:tcPr>
            <w:tcW w:type="dxa" w:w="1080"/>
            <w:shd w:fill="EBF5FB" w:val="clear"/>
          </w:tcPr>
          <w:p>
            <w:r>
              <w:rPr>
                <w:sz w:val="16"/>
              </w:rPr>
              <w:t>SERVICES FINANCIER</w:t>
            </w:r>
          </w:p>
        </w:tc>
        <w:tc>
          <w:tcPr>
            <w:tcW w:type="dxa" w:w="1080"/>
            <w:shd w:fill="EBF5FB" w:val="clear"/>
          </w:tcPr>
          <w:p>
            <w:r>
              <w:rPr>
                <w:sz w:val="16"/>
              </w:rPr>
              <w:t>6,400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FTSC</w:t>
            </w:r>
          </w:p>
        </w:tc>
        <w:tc>
          <w:tcPr>
            <w:tcW w:type="dxa" w:w="1080"/>
            <w:shd w:fill="EBF5FB" w:val="clear"/>
          </w:tcPr>
          <w:p>
            <w:r>
              <w:rPr>
                <w:sz w:val="16"/>
              </w:rPr>
              <w:t>INDUSTRIELS</w:t>
            </w:r>
          </w:p>
        </w:tc>
        <w:tc>
          <w:tcPr>
            <w:tcW w:type="dxa" w:w="1080"/>
            <w:shd w:fill="EBF5FB" w:val="clear"/>
          </w:tcPr>
          <w:p>
            <w:r>
              <w:rPr>
                <w:sz w:val="16"/>
              </w:rPr>
              <w:t>2,150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8,800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TTLS</w:t>
            </w:r>
          </w:p>
        </w:tc>
        <w:tc>
          <w:tcPr>
            <w:tcW w:type="dxa" w:w="1080"/>
            <w:shd w:fill="EBF5FB" w:val="clear"/>
          </w:tcPr>
          <w:p>
            <w:r>
              <w:rPr>
                <w:sz w:val="16"/>
              </w:rPr>
              <w:t>ENERGIE</w:t>
            </w:r>
          </w:p>
        </w:tc>
        <w:tc>
          <w:tcPr>
            <w:tcW w:type="dxa" w:w="1080"/>
            <w:shd w:fill="EBF5FB" w:val="clear"/>
          </w:tcPr>
          <w:p>
            <w:r>
              <w:rPr>
                <w:sz w:val="16"/>
              </w:rPr>
              <w:t>3,840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CABC</w:t>
            </w:r>
          </w:p>
        </w:tc>
        <w:tc>
          <w:tcPr>
            <w:tcW w:type="dxa" w:w="1080"/>
            <w:shd w:fill="EBF5FB" w:val="clear"/>
          </w:tcPr>
          <w:p>
            <w:r>
              <w:rPr>
                <w:sz w:val="16"/>
              </w:rPr>
              <w:t>INDUSTRIELS</w:t>
            </w:r>
          </w:p>
        </w:tc>
        <w:tc>
          <w:tcPr>
            <w:tcW w:type="dxa" w:w="1080"/>
            <w:shd w:fill="EBF5FB" w:val="clear"/>
          </w:tcPr>
          <w:p>
            <w:r>
              <w:rPr>
                <w:sz w:val="16"/>
              </w:rPr>
              <w:t>3,540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ETIT</w:t>
            </w:r>
          </w:p>
        </w:tc>
        <w:tc>
          <w:tcPr>
            <w:tcW w:type="dxa" w:w="1080"/>
            <w:shd w:fill="EBF5FB" w:val="clear"/>
          </w:tcPr>
          <w:p>
            <w:r>
              <w:rPr>
                <w:sz w:val="16"/>
              </w:rPr>
              <w:t>SERVICES FINANCIER</w:t>
            </w:r>
          </w:p>
        </w:tc>
        <w:tc>
          <w:tcPr>
            <w:tcW w:type="dxa" w:w="1080"/>
            <w:shd w:fill="EBF5FB" w:val="clear"/>
          </w:tcPr>
          <w:p>
            <w:r>
              <w:rPr>
                <w:sz w:val="16"/>
              </w:rPr>
              <w:t>71</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NTLC</w:t>
            </w:r>
          </w:p>
        </w:tc>
        <w:tc>
          <w:tcPr>
            <w:tcW w:type="dxa" w:w="1080"/>
            <w:shd w:fill="EBF5FB" w:val="clear"/>
          </w:tcPr>
          <w:p>
            <w:r>
              <w:rPr>
                <w:sz w:val="16"/>
              </w:rPr>
              <w:t>CONSOMMATION DE BA</w:t>
            </w:r>
          </w:p>
        </w:tc>
        <w:tc>
          <w:tcPr>
            <w:tcW w:type="dxa" w:w="1080"/>
            <w:shd w:fill="EBF5FB" w:val="clear"/>
          </w:tcPr>
          <w:p>
            <w:r>
              <w:rPr>
                <w:sz w:val="16"/>
              </w:rPr>
              <w:t>16,900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1,580</w:t>
            </w:r>
          </w:p>
        </w:tc>
        <w:tc>
          <w:tcPr>
            <w:tcW w:type="dxa" w:w="1080"/>
            <w:shd w:fill="EBF5FB" w:val="clear"/>
          </w:tcPr>
          <w:p>
            <w:r>
              <w:rPr>
                <w:b/>
                <w:sz w:val="16"/>
              </w:rPr>
              <w:t>66/100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SHEC</w:t>
            </w:r>
          </w:p>
        </w:tc>
        <w:tc>
          <w:tcPr>
            <w:tcW w:type="dxa" w:w="1080"/>
            <w:shd w:fill="EBF5FB" w:val="clear"/>
          </w:tcPr>
          <w:p>
            <w:r>
              <w:rPr>
                <w:sz w:val="16"/>
              </w:rPr>
              <w:t>ENERGIE</w:t>
            </w:r>
          </w:p>
        </w:tc>
        <w:tc>
          <w:tcPr>
            <w:tcW w:type="dxa" w:w="1080"/>
            <w:shd w:fill="EBF5FB" w:val="clear"/>
          </w:tcPr>
          <w:p>
            <w:r>
              <w:rPr>
                <w:sz w:val="16"/>
              </w:rPr>
              <w:t>2,400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STAC</w:t>
            </w:r>
          </w:p>
        </w:tc>
        <w:tc>
          <w:tcPr>
            <w:tcW w:type="dxa" w:w="1080"/>
            <w:shd w:fill="EBF5FB" w:val="clear"/>
          </w:tcPr>
          <w:p>
            <w:r>
              <w:rPr>
                <w:sz w:val="16"/>
              </w:rPr>
              <w:t>INDUSTRIELS</w:t>
            </w:r>
          </w:p>
        </w:tc>
        <w:tc>
          <w:tcPr>
            <w:tcW w:type="dxa" w:w="1080"/>
            <w:shd w:fill="EBF5FB" w:val="clear"/>
          </w:tcPr>
          <w:p>
            <w:r>
              <w:rPr>
                <w:sz w:val="16"/>
              </w:rPr>
              <w:t>2,605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TTLC</w:t>
            </w:r>
          </w:p>
        </w:tc>
        <w:tc>
          <w:tcPr>
            <w:tcW w:type="dxa" w:w="1080"/>
            <w:shd w:fill="EBF5FB" w:val="clear"/>
          </w:tcPr>
          <w:p>
            <w:r>
              <w:rPr>
                <w:sz w:val="16"/>
              </w:rPr>
              <w:t>ENERGIE</w:t>
            </w:r>
          </w:p>
        </w:tc>
        <w:tc>
          <w:tcPr>
            <w:tcW w:type="dxa" w:w="1080"/>
            <w:shd w:fill="EBF5FB" w:val="clear"/>
          </w:tcPr>
          <w:p>
            <w:r>
              <w:rPr>
                <w:sz w:val="16"/>
              </w:rPr>
              <w:t>3,370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NSBC</w:t>
            </w:r>
          </w:p>
        </w:tc>
        <w:tc>
          <w:tcPr>
            <w:tcW w:type="dxa" w:w="1080"/>
            <w:shd w:fill="EBF5FB" w:val="clear"/>
          </w:tcPr>
          <w:p>
            <w:r>
              <w:rPr>
                <w:sz w:val="16"/>
              </w:rPr>
              <w:t>SERVICES FINANCIER</w:t>
            </w:r>
          </w:p>
        </w:tc>
        <w:tc>
          <w:tcPr>
            <w:tcW w:type="dxa" w:w="1080"/>
            <w:shd w:fill="EBF5FB" w:val="clear"/>
          </w:tcPr>
          <w:p>
            <w:r>
              <w:rPr>
                <w:sz w:val="16"/>
              </w:rPr>
              <w:t>23,150</w:t>
            </w:r>
          </w:p>
        </w:tc>
        <w:tc>
          <w:tcPr>
            <w:tcW w:type="dxa" w:w="1080"/>
            <w:shd w:fill="EBF5FB" w:val="clear"/>
          </w:tcPr>
          <w:p>
            <w:r>
              <w:rPr>
                <w:b/>
                <w:sz w:val="16"/>
              </w:rPr>
              <w:t>64/100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SAFC</w:t>
            </w:r>
          </w:p>
        </w:tc>
        <w:tc>
          <w:tcPr>
            <w:tcW w:type="dxa" w:w="1080"/>
            <w:shd w:fill="EBF5FB" w:val="clear"/>
          </w:tcPr>
          <w:p>
            <w:r>
              <w:rPr>
                <w:sz w:val="16"/>
              </w:rPr>
              <w:t>SERVICES FINANCIER</w:t>
            </w:r>
          </w:p>
        </w:tc>
        <w:tc>
          <w:tcPr>
            <w:tcW w:type="dxa" w:w="1080"/>
            <w:shd w:fill="EBF5FB" w:val="clear"/>
          </w:tcPr>
          <w:p>
            <w:r>
              <w:rPr>
                <w:sz w:val="16"/>
              </w:rPr>
              <w:t>6,070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8,385</w:t>
            </w:r>
          </w:p>
        </w:tc>
        <w:tc>
          <w:tcPr>
            <w:tcW w:type="dxa" w:w="1080"/>
            <w:shd w:fill="EBF5FB" w:val="clear"/>
          </w:tcPr>
          <w:p>
            <w:r>
              <w:rPr>
                <w:b/>
                <w:sz w:val="16"/>
              </w:rPr>
              <w:t>64/100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BICB</w:t>
            </w:r>
          </w:p>
        </w:tc>
        <w:tc>
          <w:tcPr>
            <w:tcW w:type="dxa" w:w="1080"/>
            <w:shd w:fill="EBF5FB" w:val="clear"/>
          </w:tcPr>
          <w:p>
            <w:r>
              <w:rPr>
                <w:sz w:val="16"/>
              </w:rPr>
              <w:t>SERVICES FINANCIER</w:t>
            </w:r>
          </w:p>
        </w:tc>
        <w:tc>
          <w:tcPr>
            <w:tcW w:type="dxa" w:w="1080"/>
            <w:shd w:fill="EBF5FB" w:val="clear"/>
          </w:tcPr>
          <w:p>
            <w:r>
              <w:rPr>
                <w:sz w:val="16"/>
              </w:rPr>
              <w:t>10,400</w:t>
            </w:r>
          </w:p>
        </w:tc>
        <w:tc>
          <w:tcPr>
            <w:tcW w:type="dxa" w:w="1080"/>
            <w:shd w:fill="EBF5FB" w:val="clear"/>
          </w:tcPr>
          <w:p>
            <w:r>
              <w:rPr>
                <w:b/>
                <w:sz w:val="16"/>
              </w:rPr>
              <w:t>62/100  (Bon)</w:t>
            </w:r>
          </w:p>
        </w:tc>
        <w:tc>
          <w:tcPr>
            <w:tcW w:type="dxa" w:w="1080"/>
            <w:shd w:fill="EBF5FB" w:val="clear"/>
          </w:tcPr>
          <w:p>
            <w:r>
              <w:rPr>
                <w:sz w:val="16"/>
              </w:rPr>
              <w:t>VENTE</w:t>
            </w:r>
          </w:p>
        </w:tc>
        <w:tc>
          <w:tcPr>
            <w:tcW w:type="dxa" w:w="1080"/>
            <w:shd w:fill="EBF5FB" w:val="clear"/>
          </w:tcPr>
          <w:p>
            <w:r>
              <w:rPr>
                <w:sz w:val="16"/>
              </w:rPr>
              <w:t>NEUTRE</w:t>
            </w:r>
          </w:p>
        </w:tc>
        <w:tc>
          <w:tcPr>
            <w:tcW w:type="dxa" w:w="1080"/>
            <w:shd w:fill="EBF5FB" w:val="clear"/>
          </w:tcPr>
          <w:p>
            <w:r>
              <w:rPr>
                <w:sz w:val="16"/>
              </w:rPr>
              <w:t>CONSERVER ⚠️</w:t>
            </w:r>
          </w:p>
        </w:tc>
      </w:tr>
      <w:tr>
        <w:tc>
          <w:tcPr>
            <w:tcW w:type="dxa" w:w="1080"/>
            <w:shd w:fill="EBF5FB" w:val="clear"/>
          </w:tcPr>
          <w:p>
            <w:r>
              <w:rPr>
                <w:sz w:val="16"/>
              </w:rPr>
              <w:t>41</w:t>
            </w:r>
          </w:p>
        </w:tc>
        <w:tc>
          <w:tcPr>
            <w:tcW w:type="dxa" w:w="1080"/>
            <w:shd w:fill="EBF5FB" w:val="clear"/>
          </w:tcPr>
          <w:p>
            <w:r>
              <w:rPr>
                <w:sz w:val="16"/>
              </w:rPr>
              <w:t>SGBC</w:t>
            </w:r>
          </w:p>
        </w:tc>
        <w:tc>
          <w:tcPr>
            <w:tcW w:type="dxa" w:w="1080"/>
            <w:shd w:fill="EBF5FB" w:val="clear"/>
          </w:tcPr>
          <w:p>
            <w:r>
              <w:rPr>
                <w:sz w:val="16"/>
              </w:rPr>
              <w:t>SERVICES FINANCIER</w:t>
            </w:r>
          </w:p>
        </w:tc>
        <w:tc>
          <w:tcPr>
            <w:tcW w:type="dxa" w:w="1080"/>
            <w:shd w:fill="EBF5FB" w:val="clear"/>
          </w:tcPr>
          <w:p>
            <w:r>
              <w:rPr>
                <w:sz w:val="16"/>
              </w:rPr>
              <w:t>38,500</w:t>
            </w:r>
          </w:p>
        </w:tc>
        <w:tc>
          <w:tcPr>
            <w:tcW w:type="dxa" w:w="1080"/>
            <w:shd w:fill="EBF5FB" w:val="clear"/>
          </w:tcPr>
          <w:p>
            <w:r>
              <w:rPr>
                <w:b/>
                <w:sz w:val="16"/>
              </w:rPr>
              <w:t>62/100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4,350</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ONTBF</w:t>
            </w:r>
          </w:p>
        </w:tc>
        <w:tc>
          <w:tcPr>
            <w:tcW w:type="dxa" w:w="1080"/>
            <w:shd w:fill="EBF5FB" w:val="clear"/>
          </w:tcPr>
          <w:p>
            <w:r>
              <w:rPr>
                <w:sz w:val="16"/>
              </w:rPr>
              <w:t>TELECOMMUNICATIONS</w:t>
            </w:r>
          </w:p>
        </w:tc>
        <w:tc>
          <w:tcPr>
            <w:tcW w:type="dxa" w:w="1080"/>
            <w:shd w:fill="EBF5FB" w:val="clear"/>
          </w:tcPr>
          <w:p>
            <w:r>
              <w:rPr>
                <w:sz w:val="16"/>
              </w:rPr>
              <w:t>2,920</w:t>
            </w:r>
          </w:p>
        </w:tc>
        <w:tc>
          <w:tcPr>
            <w:tcW w:type="dxa" w:w="1080"/>
            <w:shd w:fill="EBF5FB" w:val="clear"/>
          </w:tcPr>
          <w:p>
            <w:r>
              <w:rPr>
                <w:b/>
                <w:sz w:val="16"/>
              </w:rPr>
              <w:t>56/100  (Bon)</w:t>
            </w:r>
          </w:p>
        </w:tc>
        <w:tc>
          <w:tcPr>
            <w:tcW w:type="dxa" w:w="1080"/>
            <w:shd w:fill="EBF5FB" w:val="clear"/>
          </w:tcPr>
          <w:p>
            <w:r>
              <w:rPr>
                <w:sz w:val="16"/>
              </w:rPr>
              <w:t>VENTE</w:t>
            </w:r>
          </w:p>
        </w:tc>
        <w:tc>
          <w:tcPr>
            <w:tcW w:type="dxa" w:w="1080"/>
            <w:shd w:fill="EBF5FB" w:val="clear"/>
          </w:tcPr>
          <w:p>
            <w:r>
              <w:rPr>
                <w:sz w:val="16"/>
              </w:rPr>
              <w:t>NEUTRE</w:t>
            </w:r>
          </w:p>
        </w:tc>
        <w:tc>
          <w:tcPr>
            <w:tcW w:type="dxa" w:w="1080"/>
            <w:shd w:fill="EBF5FB" w:val="clear"/>
          </w:tcPr>
          <w:p>
            <w:r>
              <w:rPr>
                <w:sz w:val="16"/>
              </w:rPr>
              <w:t>CONSERVER ⚠️</w:t>
            </w:r>
          </w:p>
        </w:tc>
      </w:tr>
      <w:tr>
        <w:tc>
          <w:tcPr>
            <w:tcW w:type="dxa" w:w="1080"/>
            <w:shd w:fill="EBF5FB" w:val="clear"/>
          </w:tcPr>
          <w:p>
            <w:r>
              <w:rPr>
                <w:sz w:val="16"/>
              </w:rPr>
              <w:t>44</w:t>
            </w:r>
          </w:p>
        </w:tc>
        <w:tc>
          <w:tcPr>
            <w:tcW w:type="dxa" w:w="1080"/>
            <w:shd w:fill="EBF5FB" w:val="clear"/>
          </w:tcPr>
          <w:p>
            <w:r>
              <w:rPr>
                <w:sz w:val="16"/>
              </w:rPr>
              <w:t>UNLC</w:t>
            </w:r>
          </w:p>
        </w:tc>
        <w:tc>
          <w:tcPr>
            <w:tcW w:type="dxa" w:w="1080"/>
            <w:shd w:fill="EBF5FB" w:val="clear"/>
          </w:tcPr>
          <w:p>
            <w:r>
              <w:rPr>
                <w:sz w:val="16"/>
              </w:rPr>
              <w:t>CONSOMMATION DE BA</w:t>
            </w:r>
          </w:p>
        </w:tc>
        <w:tc>
          <w:tcPr>
            <w:tcW w:type="dxa" w:w="1080"/>
            <w:shd w:fill="EBF5FB" w:val="clear"/>
          </w:tcPr>
          <w:p>
            <w:r>
              <w:rPr>
                <w:sz w:val="16"/>
              </w:rPr>
              <w:t>54,350</w:t>
            </w:r>
          </w:p>
        </w:tc>
        <w:tc>
          <w:tcPr>
            <w:tcW w:type="dxa" w:w="1080"/>
            <w:shd w:fill="EBF5FB" w:val="clear"/>
          </w:tcPr>
          <w:p>
            <w:r>
              <w:rPr>
                <w:b/>
                <w:sz w:val="16"/>
              </w:rPr>
              <w:t>55/100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FEFEFE" w:val="clear"/>
          </w:tcPr>
          <w:p>
            <w:r>
              <w:rPr>
                <w:sz w:val="16"/>
              </w:rPr>
              <w:t>45</w:t>
            </w:r>
          </w:p>
        </w:tc>
        <w:tc>
          <w:tcPr>
            <w:tcW w:type="dxa" w:w="1080"/>
            <w:shd w:fill="FEFEFE" w:val="clear"/>
          </w:tcPr>
          <w:p>
            <w:r>
              <w:rPr>
                <w:sz w:val="16"/>
              </w:rPr>
              <w:t>CIEC</w:t>
            </w:r>
          </w:p>
        </w:tc>
        <w:tc>
          <w:tcPr>
            <w:tcW w:type="dxa" w:w="1080"/>
            <w:shd w:fill="FEFEFE" w:val="clear"/>
          </w:tcPr>
          <w:p>
            <w:r>
              <w:rPr>
                <w:sz w:val="16"/>
              </w:rPr>
              <w:t>SERVICES PUBLICS</w:t>
            </w:r>
          </w:p>
        </w:tc>
        <w:tc>
          <w:tcPr>
            <w:tcW w:type="dxa" w:w="1080"/>
            <w:shd w:fill="FEFEFE" w:val="clear"/>
          </w:tcPr>
          <w:p>
            <w:r>
              <w:rPr>
                <w:sz w:val="16"/>
              </w:rPr>
              <w:t>6,700</w:t>
            </w:r>
          </w:p>
        </w:tc>
        <w:tc>
          <w:tcPr>
            <w:tcW w:type="dxa" w:w="1080"/>
            <w:shd w:fill="FEFEFE" w:val="clear"/>
          </w:tcPr>
          <w:p>
            <w:r>
              <w:rPr>
                <w:b/>
                <w:sz w:val="16"/>
              </w:rPr>
              <w:t>52/100  (Moyen)</w:t>
            </w:r>
          </w:p>
        </w:tc>
        <w:tc>
          <w:tcPr>
            <w:tcW w:type="dxa" w:w="1080"/>
            <w:shd w:fill="FEFEFE" w:val="clear"/>
          </w:tcPr>
          <w:p>
            <w:r>
              <w:rPr>
                <w:sz w:val="16"/>
              </w:rPr>
              <w:t>VENTE</w:t>
            </w:r>
          </w:p>
        </w:tc>
        <w:tc>
          <w:tcPr>
            <w:tcW w:type="dxa" w:w="1080"/>
            <w:shd w:fill="FEFEFE" w:val="clear"/>
          </w:tcPr>
          <w:p>
            <w:r>
              <w:rPr>
                <w:sz w:val="16"/>
              </w:rPr>
              <w:t>NEUTRE</w:t>
            </w:r>
          </w:p>
        </w:tc>
        <w:tc>
          <w:tcPr>
            <w:tcW w:type="dxa" w:w="1080"/>
            <w:shd w:fill="FEFEFE" w:val="clear"/>
          </w:tcPr>
          <w:p>
            <w:r>
              <w:rPr>
                <w:sz w:val="16"/>
              </w:rPr>
              <w:t>CONSERVER ⚠️</w:t>
            </w:r>
          </w:p>
        </w:tc>
      </w:tr>
      <w:tr>
        <w:tc>
          <w:tcPr>
            <w:tcW w:type="dxa" w:w="1080"/>
            <w:shd w:fill="FEFEFE" w:val="clear"/>
          </w:tcPr>
          <w:p>
            <w:r>
              <w:rPr>
                <w:sz w:val="16"/>
              </w:rPr>
              <w:t>46</w:t>
            </w:r>
          </w:p>
        </w:tc>
        <w:tc>
          <w:tcPr>
            <w:tcW w:type="dxa" w:w="1080"/>
            <w:shd w:fill="FEFEFE" w:val="clear"/>
          </w:tcPr>
          <w:p>
            <w:r>
              <w:rPr>
                <w:sz w:val="16"/>
              </w:rPr>
              <w:t>LNBB</w:t>
            </w:r>
          </w:p>
        </w:tc>
        <w:tc>
          <w:tcPr>
            <w:tcW w:type="dxa" w:w="1080"/>
            <w:shd w:fill="FEFEFE" w:val="clear"/>
          </w:tcPr>
          <w:p>
            <w:r>
              <w:rPr>
                <w:sz w:val="16"/>
              </w:rPr>
              <w:t>CONSOMMATION DISCR</w:t>
            </w:r>
          </w:p>
        </w:tc>
        <w:tc>
          <w:tcPr>
            <w:tcW w:type="dxa" w:w="1080"/>
            <w:shd w:fill="FEFEFE" w:val="clear"/>
          </w:tcPr>
          <w:p>
            <w:r>
              <w:rPr>
                <w:sz w:val="16"/>
              </w:rPr>
              <w:t>4,050</w:t>
            </w:r>
          </w:p>
        </w:tc>
        <w:tc>
          <w:tcPr>
            <w:tcW w:type="dxa" w:w="1080"/>
            <w:shd w:fill="FEFEFE" w:val="clear"/>
          </w:tcPr>
          <w:p>
            <w:r>
              <w:rPr>
                <w:b/>
                <w:sz w:val="16"/>
              </w:rPr>
              <w:t>50/100  (Moyen)</w:t>
            </w:r>
          </w:p>
        </w:tc>
        <w:tc>
          <w:tcPr>
            <w:tcW w:type="dxa" w:w="1080"/>
            <w:shd w:fill="FEFEFE" w:val="clear"/>
          </w:tcPr>
          <w:p>
            <w:r>
              <w:rPr>
                <w:sz w:val="16"/>
              </w:rPr>
              <w:t>VENTE</w:t>
            </w:r>
          </w:p>
        </w:tc>
        <w:tc>
          <w:tcPr>
            <w:tcW w:type="dxa" w:w="1080"/>
            <w:shd w:fill="FEFEFE" w:val="clear"/>
          </w:tcPr>
          <w:p>
            <w:r>
              <w:rPr>
                <w:sz w:val="16"/>
              </w:rPr>
              <w:t>NEUTRE</w:t>
            </w:r>
          </w:p>
        </w:tc>
        <w:tc>
          <w:tcPr>
            <w:tcW w:type="dxa" w:w="1080"/>
            <w:shd w:fill="FEFEFE" w:val="clear"/>
          </w:tcPr>
          <w:p>
            <w:r>
              <w:rPr>
                <w:sz w:val="16"/>
              </w:rPr>
              <w:t>CONSERVER</w:t>
            </w:r>
          </w:p>
        </w:tc>
      </w:tr>
      <w:tr>
        <w:tc>
          <w:tcPr>
            <w:tcW w:type="dxa" w:w="1080"/>
            <w:shd w:fill="FEFEFE" w:val="clear"/>
          </w:tcPr>
          <w:p>
            <w:r>
              <w:rPr>
                <w:sz w:val="16"/>
              </w:rPr>
              <w:t>47</w:t>
            </w:r>
          </w:p>
        </w:tc>
        <w:tc>
          <w:tcPr>
            <w:tcW w:type="dxa" w:w="1080"/>
            <w:shd w:fill="FEFEFE" w:val="clear"/>
          </w:tcPr>
          <w:p>
            <w:r>
              <w:rPr>
                <w:sz w:val="16"/>
              </w:rPr>
              <w:t>STBC</w:t>
            </w:r>
          </w:p>
        </w:tc>
        <w:tc>
          <w:tcPr>
            <w:tcW w:type="dxa" w:w="1080"/>
            <w:shd w:fill="FEFEFE" w:val="clear"/>
          </w:tcPr>
          <w:p>
            <w:r>
              <w:rPr>
                <w:sz w:val="16"/>
              </w:rPr>
              <w:t>CONSOMMATION DE BA</w:t>
            </w:r>
          </w:p>
        </w:tc>
        <w:tc>
          <w:tcPr>
            <w:tcW w:type="dxa" w:w="1080"/>
            <w:shd w:fill="FEFEFE" w:val="clear"/>
          </w:tcPr>
          <w:p>
            <w:r>
              <w:rPr>
                <w:sz w:val="16"/>
              </w:rPr>
              <w:t>22,100</w:t>
            </w:r>
          </w:p>
        </w:tc>
        <w:tc>
          <w:tcPr>
            <w:tcW w:type="dxa" w:w="1080"/>
            <w:shd w:fill="FEFEFE" w:val="clear"/>
          </w:tcPr>
          <w:p>
            <w:r>
              <w:rPr>
                <w:b/>
                <w:sz w:val="16"/>
              </w:rPr>
              <w:t>49/100  (Moyen)</w:t>
            </w:r>
          </w:p>
        </w:tc>
        <w:tc>
          <w:tcPr>
            <w:tcW w:type="dxa" w:w="1080"/>
            <w:shd w:fill="FEFEFE" w:val="clear"/>
          </w:tcPr>
          <w:p>
            <w:r>
              <w:rPr>
                <w:sz w:val="16"/>
              </w:rPr>
              <w:t>VENTE</w:t>
            </w:r>
          </w:p>
        </w:tc>
        <w:tc>
          <w:tcPr>
            <w:tcW w:type="dxa" w:w="1080"/>
            <w:shd w:fill="FEFEFE" w:val="clear"/>
          </w:tcPr>
          <w:p>
            <w:r>
              <w:rPr>
                <w:sz w:val="16"/>
              </w:rPr>
              <w:t>NEUTRE</w:t>
            </w:r>
          </w:p>
        </w:tc>
        <w:tc>
          <w:tcPr>
            <w:tcW w:type="dxa" w:w="1080"/>
            <w:shd w:fill="FEFEFE" w:val="clear"/>
          </w:tcPr>
          <w:p>
            <w:r>
              <w:rPr>
                <w:sz w:val="16"/>
              </w:rPr>
              <w:t>CONSERVER</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SIVC</w:t>
            </w:r>
          </w:p>
        </w:tc>
        <w:tc>
          <w:tcPr>
            <w:tcW w:type="dxa" w:w="1728"/>
            <w:shd w:fill="DEEAF1" w:val="clear"/>
          </w:tcPr>
          <w:p>
            <w:r>
              <w:rPr>
                <w:sz w:val="17"/>
              </w:rPr>
              <w:t>SIVC - ERIUM CI (Ex AIR LIQU</w:t>
            </w:r>
          </w:p>
        </w:tc>
        <w:tc>
          <w:tcPr>
            <w:tcW w:type="dxa" w:w="1728"/>
            <w:shd w:fill="DEEAF1" w:val="clear"/>
          </w:tcPr>
          <w:p>
            <w:r>
              <w:rPr>
                <w:sz w:val="17"/>
              </w:rPr>
              <w:t>2,330</w:t>
            </w:r>
          </w:p>
        </w:tc>
        <w:tc>
          <w:tcPr>
            <w:tcW w:type="dxa" w:w="1728"/>
            <w:shd w:fill="DEEAF1" w:val="clear"/>
          </w:tcPr>
          <w:p>
            <w:r>
              <w:rPr>
                <w:sz w:val="17"/>
              </w:rPr>
              <w:t>79/100</w:t>
            </w:r>
          </w:p>
        </w:tc>
        <w:tc>
          <w:tcPr>
            <w:tcW w:type="dxa" w:w="1728"/>
            <w:shd w:fill="DEEAF1" w:val="clear"/>
          </w:tcPr>
          <w:p>
            <w:r>
              <w:rPr>
                <w:sz w:val="17"/>
              </w:rPr>
              <w:t>10.6%</w:t>
            </w:r>
          </w:p>
        </w:tc>
      </w:tr>
      <w:tr>
        <w:tc>
          <w:tcPr>
            <w:tcW w:type="dxa" w:w="1728"/>
            <w:shd w:fill="DEEAF1" w:val="clear"/>
          </w:tcPr>
          <w:p>
            <w:r>
              <w:rPr>
                <w:sz w:val="17"/>
              </w:rPr>
              <w:t>BOAS</w:t>
            </w:r>
          </w:p>
        </w:tc>
        <w:tc>
          <w:tcPr>
            <w:tcW w:type="dxa" w:w="1728"/>
            <w:shd w:fill="DEEAF1" w:val="clear"/>
          </w:tcPr>
          <w:p>
            <w:r>
              <w:rPr>
                <w:sz w:val="17"/>
              </w:rPr>
              <w:t>BANK OF AFRICA SENEGAL</w:t>
            </w:r>
          </w:p>
        </w:tc>
        <w:tc>
          <w:tcPr>
            <w:tcW w:type="dxa" w:w="1728"/>
            <w:shd w:fill="DEEAF1" w:val="clear"/>
          </w:tcPr>
          <w:p>
            <w:r>
              <w:rPr>
                <w:sz w:val="17"/>
              </w:rPr>
              <w:t>8,240</w:t>
            </w:r>
          </w:p>
        </w:tc>
        <w:tc>
          <w:tcPr>
            <w:tcW w:type="dxa" w:w="1728"/>
            <w:shd w:fill="DEEAF1" w:val="clear"/>
          </w:tcPr>
          <w:p>
            <w:r>
              <w:rPr>
                <w:sz w:val="17"/>
              </w:rPr>
              <w:t>76/100</w:t>
            </w:r>
          </w:p>
        </w:tc>
        <w:tc>
          <w:tcPr>
            <w:tcW w:type="dxa" w:w="1728"/>
            <w:shd w:fill="DEEAF1" w:val="clear"/>
          </w:tcPr>
          <w:p>
            <w:r>
              <w:rPr>
                <w:sz w:val="17"/>
              </w:rPr>
              <w:t>10.6%</w:t>
            </w:r>
          </w:p>
        </w:tc>
      </w:tr>
      <w:tr>
        <w:tc>
          <w:tcPr>
            <w:tcW w:type="dxa" w:w="1728"/>
            <w:shd w:fill="DEEAF1" w:val="clear"/>
          </w:tcPr>
          <w:p>
            <w:r>
              <w:rPr>
                <w:sz w:val="17"/>
              </w:rPr>
              <w:t>BNBC</w:t>
            </w:r>
          </w:p>
        </w:tc>
        <w:tc>
          <w:tcPr>
            <w:tcW w:type="dxa" w:w="1728"/>
            <w:shd w:fill="DEEAF1" w:val="clear"/>
          </w:tcPr>
          <w:p>
            <w:r>
              <w:rPr>
                <w:sz w:val="17"/>
              </w:rPr>
              <w:t>BNBC - BERNABE CI</w:t>
            </w:r>
          </w:p>
        </w:tc>
        <w:tc>
          <w:tcPr>
            <w:tcW w:type="dxa" w:w="1728"/>
            <w:shd w:fill="DEEAF1" w:val="clear"/>
          </w:tcPr>
          <w:p>
            <w:r>
              <w:rPr>
                <w:sz w:val="17"/>
              </w:rPr>
              <w:t>2,175</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ECOC</w:t>
            </w:r>
          </w:p>
        </w:tc>
        <w:tc>
          <w:tcPr>
            <w:tcW w:type="dxa" w:w="1728"/>
            <w:shd w:fill="DEEAF1" w:val="clear"/>
          </w:tcPr>
          <w:p>
            <w:r>
              <w:rPr>
                <w:sz w:val="17"/>
              </w:rPr>
              <w:t>ECOC - ECOBANK COTE D'IVOIRE</w:t>
            </w:r>
          </w:p>
        </w:tc>
        <w:tc>
          <w:tcPr>
            <w:tcW w:type="dxa" w:w="1728"/>
            <w:shd w:fill="DEEAF1" w:val="clear"/>
          </w:tcPr>
          <w:p>
            <w:r>
              <w:rPr>
                <w:sz w:val="17"/>
              </w:rPr>
              <w:t>17,725</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ORGT</w:t>
            </w:r>
          </w:p>
        </w:tc>
        <w:tc>
          <w:tcPr>
            <w:tcW w:type="dxa" w:w="1728"/>
            <w:shd w:fill="DEEAF1" w:val="clear"/>
          </w:tcPr>
          <w:p>
            <w:r>
              <w:rPr>
                <w:sz w:val="17"/>
              </w:rPr>
              <w:t>ORGT - ORAGROUP TOGO</w:t>
            </w:r>
          </w:p>
        </w:tc>
        <w:tc>
          <w:tcPr>
            <w:tcW w:type="dxa" w:w="1728"/>
            <w:shd w:fill="DEEAF1" w:val="clear"/>
          </w:tcPr>
          <w:p>
            <w:r>
              <w:rPr>
                <w:sz w:val="17"/>
              </w:rPr>
              <w:t>3,335</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SIBC</w:t>
            </w:r>
          </w:p>
        </w:tc>
        <w:tc>
          <w:tcPr>
            <w:tcW w:type="dxa" w:w="1728"/>
            <w:shd w:fill="DEEAF1" w:val="clear"/>
          </w:tcPr>
          <w:p>
            <w:r>
              <w:rPr>
                <w:sz w:val="17"/>
              </w:rPr>
              <w:t>SIBC - SOCIETE IVOIRIENNE DE</w:t>
            </w:r>
          </w:p>
        </w:tc>
        <w:tc>
          <w:tcPr>
            <w:tcW w:type="dxa" w:w="1728"/>
            <w:shd w:fill="DEEAF1" w:val="clear"/>
          </w:tcPr>
          <w:p>
            <w:r>
              <w:rPr>
                <w:sz w:val="17"/>
              </w:rPr>
              <w:t>9,200</w:t>
            </w:r>
          </w:p>
        </w:tc>
        <w:tc>
          <w:tcPr>
            <w:tcW w:type="dxa" w:w="1728"/>
            <w:shd w:fill="DEEAF1" w:val="clear"/>
          </w:tcPr>
          <w:p>
            <w:r>
              <w:rPr>
                <w:sz w:val="17"/>
              </w:rPr>
              <w:t>70/100</w:t>
            </w:r>
          </w:p>
        </w:tc>
        <w:tc>
          <w:tcPr>
            <w:tcW w:type="dxa" w:w="1728"/>
            <w:shd w:fill="DEEAF1" w:val="clear"/>
          </w:tcPr>
          <w:p>
            <w:r>
              <w:rPr>
                <w:sz w:val="17"/>
              </w:rPr>
              <w:t>10.6%</w:t>
            </w:r>
          </w:p>
        </w:tc>
      </w:tr>
      <w:tr>
        <w:tc>
          <w:tcPr>
            <w:tcW w:type="dxa" w:w="1728"/>
            <w:shd w:fill="DEEAF1" w:val="clear"/>
          </w:tcPr>
          <w:p>
            <w:r>
              <w:rPr>
                <w:sz w:val="17"/>
              </w:rPr>
              <w:t>UNXC</w:t>
            </w:r>
          </w:p>
        </w:tc>
        <w:tc>
          <w:tcPr>
            <w:tcW w:type="dxa" w:w="1728"/>
            <w:shd w:fill="DEEAF1" w:val="clear"/>
          </w:tcPr>
          <w:p>
            <w:r>
              <w:rPr>
                <w:sz w:val="17"/>
              </w:rPr>
              <w:t>UNXC - UNIWAX COTE D'IVOIRE</w:t>
            </w:r>
          </w:p>
        </w:tc>
        <w:tc>
          <w:tcPr>
            <w:tcW w:type="dxa" w:w="1728"/>
            <w:shd w:fill="DEEAF1" w:val="clear"/>
          </w:tcPr>
          <w:p>
            <w:r>
              <w:rPr>
                <w:sz w:val="17"/>
              </w:rPr>
              <w:t>2,405</w:t>
            </w:r>
          </w:p>
        </w:tc>
        <w:tc>
          <w:tcPr>
            <w:tcW w:type="dxa" w:w="1728"/>
            <w:shd w:fill="DEEAF1" w:val="clear"/>
          </w:tcPr>
          <w:p>
            <w:r>
              <w:rPr>
                <w:sz w:val="17"/>
              </w:rPr>
              <w:t>70/100</w:t>
            </w:r>
          </w:p>
        </w:tc>
        <w:tc>
          <w:tcPr>
            <w:tcW w:type="dxa" w:w="1728"/>
            <w:shd w:fill="DEEAF1" w:val="clear"/>
          </w:tcPr>
          <w:p>
            <w:r>
              <w:rPr>
                <w:sz w:val="17"/>
              </w:rPr>
              <w:t>10.6%</w:t>
            </w:r>
          </w:p>
        </w:tc>
      </w:tr>
      <w:tr>
        <w:tc>
          <w:tcPr>
            <w:tcW w:type="dxa" w:w="1728"/>
            <w:shd w:fill="DEEAF1" w:val="clear"/>
          </w:tcPr>
          <w:p>
            <w:r>
              <w:rPr>
                <w:sz w:val="17"/>
              </w:rPr>
              <w:t>SLBC</w:t>
            </w:r>
          </w:p>
        </w:tc>
        <w:tc>
          <w:tcPr>
            <w:tcW w:type="dxa" w:w="1728"/>
            <w:shd w:fill="DEEAF1" w:val="clear"/>
          </w:tcPr>
          <w:p>
            <w:r>
              <w:rPr>
                <w:sz w:val="17"/>
              </w:rPr>
              <w:t>SLBC - SOLIBRA COTE D'IVOIRE</w:t>
            </w:r>
          </w:p>
        </w:tc>
        <w:tc>
          <w:tcPr>
            <w:tcW w:type="dxa" w:w="1728"/>
            <w:shd w:fill="DEEAF1" w:val="clear"/>
          </w:tcPr>
          <w:p>
            <w:r>
              <w:rPr>
                <w:sz w:val="17"/>
              </w:rPr>
              <w:t>37,250</w:t>
            </w:r>
          </w:p>
        </w:tc>
        <w:tc>
          <w:tcPr>
            <w:tcW w:type="dxa" w:w="1728"/>
            <w:shd w:fill="DEEAF1" w:val="clear"/>
          </w:tcPr>
          <w:p>
            <w:r>
              <w:rPr>
                <w:sz w:val="17"/>
              </w:rPr>
              <w:t>68/100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SIVC</w:t>
            </w:r>
          </w:p>
        </w:tc>
        <w:tc>
          <w:tcPr>
            <w:tcW w:type="dxa" w:w="1728"/>
            <w:shd w:fill="E2EFDA" w:val="clear"/>
          </w:tcPr>
          <w:p>
            <w:r>
              <w:rPr>
                <w:sz w:val="17"/>
              </w:rPr>
              <w:t>SIVC - ERIUM CI (Ex AIR LIQU</w:t>
            </w:r>
          </w:p>
        </w:tc>
        <w:tc>
          <w:tcPr>
            <w:tcW w:type="dxa" w:w="1728"/>
            <w:shd w:fill="E2EFDA" w:val="clear"/>
          </w:tcPr>
          <w:p>
            <w:r>
              <w:rPr>
                <w:sz w:val="17"/>
              </w:rPr>
              <w:t>2,330</w:t>
            </w:r>
          </w:p>
        </w:tc>
        <w:tc>
          <w:tcPr>
            <w:tcW w:type="dxa" w:w="1728"/>
            <w:shd w:fill="E2EFDA" w:val="clear"/>
          </w:tcPr>
          <w:p>
            <w:r>
              <w:rPr>
                <w:sz w:val="17"/>
              </w:rPr>
              <w:t>79/100</w:t>
            </w:r>
          </w:p>
        </w:tc>
        <w:tc>
          <w:tcPr>
            <w:tcW w:type="dxa" w:w="1728"/>
            <w:shd w:fill="E2EFDA" w:val="clear"/>
          </w:tcPr>
          <w:p>
            <w:r>
              <w:rPr>
                <w:sz w:val="17"/>
              </w:rPr>
              <w:t>11.2%</w:t>
            </w:r>
          </w:p>
        </w:tc>
      </w:tr>
      <w:tr>
        <w:tc>
          <w:tcPr>
            <w:tcW w:type="dxa" w:w="1728"/>
            <w:shd w:fill="E2EFDA" w:val="clear"/>
          </w:tcPr>
          <w:p>
            <w:r>
              <w:rPr>
                <w:sz w:val="17"/>
              </w:rPr>
              <w:t>BOAS</w:t>
            </w:r>
          </w:p>
        </w:tc>
        <w:tc>
          <w:tcPr>
            <w:tcW w:type="dxa" w:w="1728"/>
            <w:shd w:fill="E2EFDA" w:val="clear"/>
          </w:tcPr>
          <w:p>
            <w:r>
              <w:rPr>
                <w:sz w:val="17"/>
              </w:rPr>
              <w:t>BANK OF AFRICA SENEGAL</w:t>
            </w:r>
          </w:p>
        </w:tc>
        <w:tc>
          <w:tcPr>
            <w:tcW w:type="dxa" w:w="1728"/>
            <w:shd w:fill="E2EFDA" w:val="clear"/>
          </w:tcPr>
          <w:p>
            <w:r>
              <w:rPr>
                <w:sz w:val="17"/>
              </w:rPr>
              <w:t>8,240</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BOAC</w:t>
            </w:r>
          </w:p>
        </w:tc>
        <w:tc>
          <w:tcPr>
            <w:tcW w:type="dxa" w:w="1728"/>
            <w:shd w:fill="E2EFDA" w:val="clear"/>
          </w:tcPr>
          <w:p>
            <w:r>
              <w:rPr>
                <w:sz w:val="17"/>
              </w:rPr>
              <w:t>BANK OF AFRICA COTE D'IVOIRE</w:t>
            </w:r>
          </w:p>
        </w:tc>
        <w:tc>
          <w:tcPr>
            <w:tcW w:type="dxa" w:w="1728"/>
            <w:shd w:fill="E2EFDA" w:val="clear"/>
          </w:tcPr>
          <w:p>
            <w:r>
              <w:rPr>
                <w:sz w:val="17"/>
              </w:rPr>
              <w:t>12,500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SNTS</w:t>
            </w:r>
          </w:p>
        </w:tc>
        <w:tc>
          <w:tcPr>
            <w:tcW w:type="dxa" w:w="1728"/>
            <w:shd w:fill="E2EFDA" w:val="clear"/>
          </w:tcPr>
          <w:p>
            <w:r>
              <w:rPr>
                <w:sz w:val="17"/>
              </w:rPr>
              <w:t>SNTS - SONATEL SN</w:t>
            </w:r>
          </w:p>
        </w:tc>
        <w:tc>
          <w:tcPr>
            <w:tcW w:type="dxa" w:w="1728"/>
            <w:shd w:fill="E2EFDA" w:val="clear"/>
          </w:tcPr>
          <w:p>
            <w:r>
              <w:rPr>
                <w:sz w:val="17"/>
              </w:rPr>
              <w:t>38,500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BNBC</w:t>
            </w:r>
          </w:p>
        </w:tc>
        <w:tc>
          <w:tcPr>
            <w:tcW w:type="dxa" w:w="1728"/>
            <w:shd w:fill="E2EFDA" w:val="clear"/>
          </w:tcPr>
          <w:p>
            <w:r>
              <w:rPr>
                <w:sz w:val="17"/>
              </w:rPr>
              <w:t>BNBC - BERNABE CI</w:t>
            </w:r>
          </w:p>
        </w:tc>
        <w:tc>
          <w:tcPr>
            <w:tcW w:type="dxa" w:w="1728"/>
            <w:shd w:fill="E2EFDA" w:val="clear"/>
          </w:tcPr>
          <w:p>
            <w:r>
              <w:rPr>
                <w:sz w:val="17"/>
              </w:rPr>
              <w:t>2,175</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ECOC</w:t>
            </w:r>
          </w:p>
        </w:tc>
        <w:tc>
          <w:tcPr>
            <w:tcW w:type="dxa" w:w="1728"/>
            <w:shd w:fill="E2EFDA" w:val="clear"/>
          </w:tcPr>
          <w:p>
            <w:r>
              <w:rPr>
                <w:sz w:val="17"/>
              </w:rPr>
              <w:t>ECOC - ECOBANK COTE D'IVOIRE</w:t>
            </w:r>
          </w:p>
        </w:tc>
        <w:tc>
          <w:tcPr>
            <w:tcW w:type="dxa" w:w="1728"/>
            <w:shd w:fill="E2EFDA" w:val="clear"/>
          </w:tcPr>
          <w:p>
            <w:r>
              <w:rPr>
                <w:sz w:val="17"/>
              </w:rPr>
              <w:t>17,725</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SDSC</w:t>
            </w:r>
          </w:p>
        </w:tc>
        <w:tc>
          <w:tcPr>
            <w:tcW w:type="dxa" w:w="1728"/>
            <w:shd w:fill="E2EFDA" w:val="clear"/>
          </w:tcPr>
          <w:p>
            <w:r>
              <w:rPr>
                <w:sz w:val="17"/>
              </w:rPr>
              <w:t>SDSC - AFRICA GLOBAL LOGISTI</w:t>
            </w:r>
          </w:p>
        </w:tc>
        <w:tc>
          <w:tcPr>
            <w:tcW w:type="dxa" w:w="1728"/>
            <w:shd w:fill="E2EFDA" w:val="clear"/>
          </w:tcPr>
          <w:p>
            <w:r>
              <w:rPr>
                <w:sz w:val="17"/>
              </w:rPr>
              <w:t>3,205</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ABJC</w:t>
            </w:r>
          </w:p>
        </w:tc>
        <w:tc>
          <w:tcPr>
            <w:tcW w:type="dxa" w:w="1728"/>
            <w:shd w:fill="E2EFDA" w:val="clear"/>
          </w:tcPr>
          <w:p>
            <w:r>
              <w:rPr>
                <w:sz w:val="17"/>
              </w:rPr>
              <w:t>ABJC - SERVAIR ABIDJAN CI</w:t>
            </w:r>
          </w:p>
        </w:tc>
        <w:tc>
          <w:tcPr>
            <w:tcW w:type="dxa" w:w="1728"/>
            <w:shd w:fill="E2EFDA" w:val="clear"/>
          </w:tcPr>
          <w:p>
            <w:r>
              <w:rPr>
                <w:sz w:val="17"/>
              </w:rPr>
              <w:t>3,900</w:t>
            </w:r>
          </w:p>
        </w:tc>
        <w:tc>
          <w:tcPr>
            <w:tcW w:type="dxa" w:w="1728"/>
            <w:shd w:fill="E2EFDA" w:val="clear"/>
          </w:tcPr>
          <w:p>
            <w:r>
              <w:rPr>
                <w:sz w:val="17"/>
              </w:rPr>
              <w:t>72/100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SIVC</w:t>
            </w:r>
          </w:p>
        </w:tc>
        <w:tc>
          <w:tcPr>
            <w:tcW w:type="dxa" w:w="1728"/>
            <w:shd w:fill="FCE4D6" w:val="clear"/>
          </w:tcPr>
          <w:p>
            <w:r>
              <w:rPr>
                <w:sz w:val="17"/>
              </w:rPr>
              <w:t>SIVC - ERIUM CI (Ex AIR LIQU</w:t>
            </w:r>
          </w:p>
        </w:tc>
        <w:tc>
          <w:tcPr>
            <w:tcW w:type="dxa" w:w="1728"/>
            <w:shd w:fill="FCE4D6" w:val="clear"/>
          </w:tcPr>
          <w:p>
            <w:r>
              <w:rPr>
                <w:sz w:val="17"/>
              </w:rPr>
              <w:t>2,330</w:t>
            </w:r>
          </w:p>
        </w:tc>
        <w:tc>
          <w:tcPr>
            <w:tcW w:type="dxa" w:w="1728"/>
            <w:shd w:fill="FCE4D6" w:val="clear"/>
          </w:tcPr>
          <w:p>
            <w:r>
              <w:rPr>
                <w:sz w:val="17"/>
              </w:rPr>
              <w:t>79/100</w:t>
            </w:r>
          </w:p>
        </w:tc>
        <w:tc>
          <w:tcPr>
            <w:tcW w:type="dxa" w:w="1728"/>
            <w:shd w:fill="FCE4D6" w:val="clear"/>
          </w:tcPr>
          <w:p>
            <w:r>
              <w:rPr>
                <w:sz w:val="17"/>
              </w:rPr>
              <w:t>11.9%</w:t>
            </w:r>
          </w:p>
        </w:tc>
      </w:tr>
      <w:tr>
        <w:tc>
          <w:tcPr>
            <w:tcW w:type="dxa" w:w="1728"/>
            <w:shd w:fill="FCE4D6" w:val="clear"/>
          </w:tcPr>
          <w:p>
            <w:r>
              <w:rPr>
                <w:sz w:val="17"/>
              </w:rPr>
              <w:t>BOAS</w:t>
            </w:r>
          </w:p>
        </w:tc>
        <w:tc>
          <w:tcPr>
            <w:tcW w:type="dxa" w:w="1728"/>
            <w:shd w:fill="FCE4D6" w:val="clear"/>
          </w:tcPr>
          <w:p>
            <w:r>
              <w:rPr>
                <w:sz w:val="17"/>
              </w:rPr>
              <w:t>BANK OF AFRICA SENEGAL</w:t>
            </w:r>
          </w:p>
        </w:tc>
        <w:tc>
          <w:tcPr>
            <w:tcW w:type="dxa" w:w="1728"/>
            <w:shd w:fill="FCE4D6" w:val="clear"/>
          </w:tcPr>
          <w:p>
            <w:r>
              <w:rPr>
                <w:sz w:val="17"/>
              </w:rPr>
              <w:t>8,240</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BOAC</w:t>
            </w:r>
          </w:p>
        </w:tc>
        <w:tc>
          <w:tcPr>
            <w:tcW w:type="dxa" w:w="1728"/>
            <w:shd w:fill="FCE4D6" w:val="clear"/>
          </w:tcPr>
          <w:p>
            <w:r>
              <w:rPr>
                <w:sz w:val="17"/>
              </w:rPr>
              <w:t>BANK OF AFRICA COTE D'IVOIRE</w:t>
            </w:r>
          </w:p>
        </w:tc>
        <w:tc>
          <w:tcPr>
            <w:tcW w:type="dxa" w:w="1728"/>
            <w:shd w:fill="FCE4D6" w:val="clear"/>
          </w:tcPr>
          <w:p>
            <w:r>
              <w:rPr>
                <w:sz w:val="17"/>
              </w:rPr>
              <w:t>12,500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SNTS</w:t>
            </w:r>
          </w:p>
        </w:tc>
        <w:tc>
          <w:tcPr>
            <w:tcW w:type="dxa" w:w="1728"/>
            <w:shd w:fill="FCE4D6" w:val="clear"/>
          </w:tcPr>
          <w:p>
            <w:r>
              <w:rPr>
                <w:sz w:val="17"/>
              </w:rPr>
              <w:t>SNTS - SONATEL SN</w:t>
            </w:r>
          </w:p>
        </w:tc>
        <w:tc>
          <w:tcPr>
            <w:tcW w:type="dxa" w:w="1728"/>
            <w:shd w:fill="FCE4D6" w:val="clear"/>
          </w:tcPr>
          <w:p>
            <w:r>
              <w:rPr>
                <w:sz w:val="17"/>
              </w:rPr>
              <w:t>38,500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BNBC</w:t>
            </w:r>
          </w:p>
        </w:tc>
        <w:tc>
          <w:tcPr>
            <w:tcW w:type="dxa" w:w="1728"/>
            <w:shd w:fill="FCE4D6" w:val="clear"/>
          </w:tcPr>
          <w:p>
            <w:r>
              <w:rPr>
                <w:sz w:val="17"/>
              </w:rPr>
              <w:t>BNBC - BERNABE CI</w:t>
            </w:r>
          </w:p>
        </w:tc>
        <w:tc>
          <w:tcPr>
            <w:tcW w:type="dxa" w:w="1728"/>
            <w:shd w:fill="FCE4D6" w:val="clear"/>
          </w:tcPr>
          <w:p>
            <w:r>
              <w:rPr>
                <w:sz w:val="17"/>
              </w:rPr>
              <w:t>2,175</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ECOC</w:t>
            </w:r>
          </w:p>
        </w:tc>
        <w:tc>
          <w:tcPr>
            <w:tcW w:type="dxa" w:w="1728"/>
            <w:shd w:fill="FCE4D6" w:val="clear"/>
          </w:tcPr>
          <w:p>
            <w:r>
              <w:rPr>
                <w:sz w:val="17"/>
              </w:rPr>
              <w:t>ECOC - ECOBANK COTE D'IVOIRE</w:t>
            </w:r>
          </w:p>
        </w:tc>
        <w:tc>
          <w:tcPr>
            <w:tcW w:type="dxa" w:w="1728"/>
            <w:shd w:fill="FCE4D6" w:val="clear"/>
          </w:tcPr>
          <w:p>
            <w:r>
              <w:rPr>
                <w:sz w:val="17"/>
              </w:rPr>
              <w:t>17,725</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SDSC</w:t>
            </w:r>
          </w:p>
        </w:tc>
        <w:tc>
          <w:tcPr>
            <w:tcW w:type="dxa" w:w="1728"/>
            <w:shd w:fill="FCE4D6" w:val="clear"/>
          </w:tcPr>
          <w:p>
            <w:r>
              <w:rPr>
                <w:sz w:val="17"/>
              </w:rPr>
              <w:t>SDSC - AFRICA GLOBAL LOGISTI</w:t>
            </w:r>
          </w:p>
        </w:tc>
        <w:tc>
          <w:tcPr>
            <w:tcW w:type="dxa" w:w="1728"/>
            <w:shd w:fill="FCE4D6" w:val="clear"/>
          </w:tcPr>
          <w:p>
            <w:r>
              <w:rPr>
                <w:sz w:val="17"/>
              </w:rPr>
              <w:t>3,205</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ABJC</w:t>
            </w:r>
          </w:p>
        </w:tc>
        <w:tc>
          <w:tcPr>
            <w:tcW w:type="dxa" w:w="1728"/>
            <w:shd w:fill="FCE4D6" w:val="clear"/>
          </w:tcPr>
          <w:p>
            <w:r>
              <w:rPr>
                <w:sz w:val="17"/>
              </w:rPr>
              <w:t>ABJC - SERVAIR ABIDJAN CI</w:t>
            </w:r>
          </w:p>
        </w:tc>
        <w:tc>
          <w:tcPr>
            <w:tcW w:type="dxa" w:w="1728"/>
            <w:shd w:fill="FCE4D6" w:val="clear"/>
          </w:tcPr>
          <w:p>
            <w:r>
              <w:rPr>
                <w:sz w:val="17"/>
              </w:rPr>
              <w:t>3,900</w:t>
            </w:r>
          </w:p>
        </w:tc>
        <w:tc>
          <w:tcPr>
            <w:tcW w:type="dxa" w:w="1728"/>
            <w:shd w:fill="FCE4D6" w:val="clear"/>
          </w:tcPr>
          <w:p>
            <w:r>
              <w:rPr>
                <w:sz w:val="17"/>
              </w:rPr>
              <w:t>72/100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BICB — BIIC BN - Banque internationale pour le commerce du benin</w:t>
      </w:r>
    </w:p>
    <w:p>
      <w:pPr>
        <w:pStyle w:val="ListBullet"/>
        <w:spacing w:before="20"/>
        <w:ind w:left="400"/>
      </w:pPr>
      <w:r>
        <w:rPr>
          <w:sz w:val="18"/>
        </w:rPr>
        <w:t>🔴 RSI surachat (84.7 &gt; 70) — risque de correction</w:t>
      </w:r>
    </w:p>
    <w:p>
      <w:pPr>
        <w:pStyle w:val="ListBullet"/>
        <w:spacing w:before="20"/>
        <w:ind w:left="400"/>
      </w:pPr>
      <w:r>
        <w:rPr>
          <w:sz w:val="18"/>
        </w:rPr>
        <w:t>⚠️ Cours à 0.0% du plus haut 100j (10,400 FCFA)</w:t>
      </w:r>
    </w:p>
    <w:p>
      <w:pPr>
        <w:pStyle w:val="ListBullet"/>
        <w:spacing w:before="20"/>
        <w:ind w:left="400"/>
      </w:pPr>
      <w:r>
        <w:rPr>
          <w:sz w:val="18"/>
        </w:rPr>
        <w:t>🟠 Divergence tech(VENTE) / fond(NEUTRE) — recommandation ajustée à CONSERVER ⚠️</w:t>
      </w:r>
    </w:p>
    <w:p>
      <w:pPr>
        <w:spacing w:before="120"/>
      </w:pPr>
      <w:r>
        <w:rPr>
          <w:b/>
          <w:color w:val="0050A0"/>
          <w:sz w:val="20"/>
        </w:rPr>
        <w:t>BICC — BICI CI - Banque internationale pour le commerce et l'industrie de la Côte d'Ivoire</w:t>
      </w:r>
    </w:p>
    <w:p>
      <w:pPr>
        <w:pStyle w:val="ListBullet"/>
        <w:spacing w:before="20"/>
        <w:ind w:left="400"/>
      </w:pPr>
      <w:r>
        <w:rPr>
          <w:sz w:val="18"/>
        </w:rPr>
        <w:t>🔴 RSI surachat (83.0 &gt; 70) — risque de correction</w:t>
      </w:r>
    </w:p>
    <w:p>
      <w:pPr>
        <w:pStyle w:val="ListBullet"/>
        <w:spacing w:before="20"/>
        <w:ind w:left="400"/>
      </w:pPr>
      <w:r>
        <w:rPr>
          <w:sz w:val="18"/>
        </w:rPr>
        <w:t>⚠️ Cours à 0.0% du plus haut 100j (33,005 FCFA)</w:t>
      </w:r>
    </w:p>
    <w:p>
      <w:pPr>
        <w:pStyle w:val="ListBullet"/>
        <w:spacing w:before="20"/>
        <w:ind w:left="400"/>
      </w:pPr>
      <w:r>
        <w:rPr>
          <w:sz w:val="18"/>
        </w:rPr>
        <w:t>🟠 Divergence tech(VENTE) / fond(ACHAT) — recommandation ajustée à ACHAT FORT</w:t>
      </w:r>
    </w:p>
    <w:p>
      <w:pPr>
        <w:spacing w:before="120"/>
      </w:pPr>
      <w:r>
        <w:rPr>
          <w:b/>
          <w:color w:val="0050A0"/>
          <w:sz w:val="20"/>
        </w:rPr>
        <w:t>CBIBF — CBIBF - CORIS BANK INTERNATIONAL BURKINA FASO</w:t>
      </w:r>
    </w:p>
    <w:p>
      <w:pPr>
        <w:pStyle w:val="ListBullet"/>
        <w:spacing w:before="20"/>
        <w:ind w:left="400"/>
      </w:pPr>
      <w:r>
        <w:rPr>
          <w:sz w:val="18"/>
        </w:rPr>
        <w:t>🔴 RSI surachat (81.6 &gt; 70) — risque de correction</w:t>
      </w:r>
    </w:p>
    <w:p>
      <w:pPr>
        <w:pStyle w:val="ListBullet"/>
        <w:spacing w:before="20"/>
        <w:ind w:left="400"/>
      </w:pPr>
      <w:r>
        <w:rPr>
          <w:sz w:val="18"/>
        </w:rPr>
        <w:t>⚠️ Cours à 0.0% du plus haut 100j (33,450 FCFA)</w:t>
      </w:r>
    </w:p>
    <w:p>
      <w:pPr>
        <w:pStyle w:val="ListBullet"/>
        <w:spacing w:before="20"/>
        <w:ind w:left="400"/>
      </w:pPr>
      <w:r>
        <w:rPr>
          <w:sz w:val="18"/>
        </w:rPr>
        <w:t>🟠 Divergence tech(VENTE) / fond(ACHAT) — recommandation ajustée à ACHAT</w:t>
      </w:r>
    </w:p>
    <w:p>
      <w:pPr>
        <w:spacing w:before="120"/>
      </w:pPr>
      <w:r>
        <w:rPr>
          <w:b/>
          <w:color w:val="0050A0"/>
          <w:sz w:val="20"/>
        </w:rPr>
        <w:t>ECOC — ECOC - ECOBANK COTE D'IVOIRE</w:t>
      </w:r>
    </w:p>
    <w:p>
      <w:pPr>
        <w:pStyle w:val="ListBullet"/>
        <w:spacing w:before="20"/>
        <w:ind w:left="400"/>
      </w:pPr>
      <w:r>
        <w:rPr>
          <w:sz w:val="18"/>
        </w:rPr>
        <w:t>🔴 RSI surachat (74.3 &gt; 70) — risque de correction</w:t>
      </w:r>
    </w:p>
    <w:p>
      <w:pPr>
        <w:pStyle w:val="ListBullet"/>
        <w:spacing w:before="20"/>
        <w:ind w:left="400"/>
      </w:pPr>
      <w:r>
        <w:rPr>
          <w:sz w:val="18"/>
        </w:rPr>
        <w:t>⚠️ Cours à 0.0% du plus haut 100j (17,725 FCFA)</w:t>
      </w:r>
    </w:p>
    <w:p>
      <w:pPr>
        <w:pStyle w:val="ListBullet"/>
        <w:spacing w:before="20"/>
        <w:ind w:left="400"/>
      </w:pPr>
      <w:r>
        <w:rPr>
          <w:sz w:val="18"/>
        </w:rPr>
        <w:t>🟠 Divergence tech(VENTE) / fond(ACHAT) — recommandation ajustée à ACHAT</w:t>
      </w:r>
    </w:p>
    <w:p>
      <w:pPr>
        <w:spacing w:before="120"/>
      </w:pPr>
      <w:r>
        <w:rPr>
          <w:b/>
          <w:color w:val="0050A0"/>
          <w:sz w:val="20"/>
        </w:rPr>
        <w:t>SOGC — SOGC - Société des caoutchoucs de Grand-Béréby</w:t>
      </w:r>
    </w:p>
    <w:p>
      <w:pPr>
        <w:pStyle w:val="ListBullet"/>
        <w:spacing w:before="20"/>
        <w:ind w:left="400"/>
      </w:pPr>
      <w:r>
        <w:rPr>
          <w:sz w:val="18"/>
        </w:rPr>
        <w:t>🔴 RSI surachat (83.2 &gt; 70) — risque de correction</w:t>
      </w:r>
    </w:p>
    <w:p>
      <w:pPr>
        <w:pStyle w:val="ListBullet"/>
        <w:spacing w:before="20"/>
        <w:ind w:left="400"/>
      </w:pPr>
      <w:r>
        <w:rPr>
          <w:sz w:val="18"/>
        </w:rPr>
        <w:t>⚠️ Cours à 0.8% du plus haut 100j (8,875 FCFA)</w:t>
      </w:r>
    </w:p>
    <w:p>
      <w:pPr>
        <w:pStyle w:val="ListBullet"/>
        <w:spacing w:before="20"/>
        <w:ind w:left="400"/>
      </w:pPr>
      <w:r>
        <w:rPr>
          <w:sz w:val="18"/>
        </w:rPr>
        <w:t>🟠 Divergence tech(VENTE) / fond(ACHAT) — recommandation ajustée à ACHAT</w:t>
      </w:r>
    </w:p>
    <w:p>
      <w:pPr>
        <w:spacing w:before="120"/>
      </w:pPr>
      <w:r>
        <w:rPr>
          <w:b/>
          <w:color w:val="0050A0"/>
          <w:sz w:val="20"/>
        </w:rPr>
        <w:t>ABJC — ABJC - SERVAIR ABIDJAN CI</w:t>
      </w:r>
    </w:p>
    <w:p>
      <w:pPr>
        <w:pStyle w:val="ListBullet"/>
        <w:spacing w:before="20"/>
        <w:ind w:left="400"/>
      </w:pPr>
      <w:r>
        <w:rPr>
          <w:sz w:val="18"/>
        </w:rPr>
        <w:t>🔴 RSI surachat (85.1 &gt; 70) — risque de correction</w:t>
      </w:r>
    </w:p>
    <w:p>
      <w:pPr>
        <w:pStyle w:val="ListBullet"/>
        <w:spacing w:before="20"/>
        <w:ind w:left="400"/>
      </w:pPr>
      <w:r>
        <w:rPr>
          <w:sz w:val="18"/>
        </w:rPr>
        <w:t>⚠️ Cours à 1.3% du plus haut 100j (3,950 FCFA)</w:t>
      </w:r>
    </w:p>
    <w:p>
      <w:pPr>
        <w:spacing w:before="120"/>
      </w:pPr>
      <w:r>
        <w:rPr>
          <w:b/>
          <w:color w:val="0050A0"/>
          <w:sz w:val="20"/>
        </w:rPr>
        <w:t>BOAB — BANK OF AFRICA BENIN</w:t>
      </w:r>
    </w:p>
    <w:p>
      <w:pPr>
        <w:pStyle w:val="ListBullet"/>
        <w:spacing w:before="20"/>
        <w:ind w:left="400"/>
      </w:pPr>
      <w:r>
        <w:rPr>
          <w:sz w:val="18"/>
        </w:rPr>
        <w:t>🔴 RSI surachat (76.7 &gt; 70) — risque de correction</w:t>
      </w:r>
    </w:p>
    <w:p>
      <w:pPr>
        <w:pStyle w:val="ListBullet"/>
        <w:spacing w:before="20"/>
        <w:ind w:left="400"/>
      </w:pPr>
      <w:r>
        <w:rPr>
          <w:sz w:val="18"/>
        </w:rPr>
        <w:t>⚠️ Cours à 0.5% du plus haut 100j (10,350 FCFA)</w:t>
      </w:r>
    </w:p>
    <w:p>
      <w:pPr>
        <w:spacing w:before="120"/>
      </w:pPr>
      <w:r>
        <w:rPr>
          <w:b/>
          <w:color w:val="0050A0"/>
          <w:sz w:val="20"/>
        </w:rPr>
        <w:t>BOABF — BANK OF AFRICA BURKINA FASO</w:t>
      </w:r>
    </w:p>
    <w:p>
      <w:pPr>
        <w:pStyle w:val="ListBullet"/>
        <w:spacing w:before="20"/>
        <w:ind w:left="400"/>
      </w:pPr>
      <w:r>
        <w:rPr>
          <w:sz w:val="18"/>
        </w:rPr>
        <w:t>🔴 RSI surachat (83.0 &gt; 70) — risque de correction</w:t>
      </w:r>
    </w:p>
    <w:p>
      <w:pPr>
        <w:pStyle w:val="ListBullet"/>
        <w:spacing w:before="20"/>
        <w:ind w:left="400"/>
      </w:pPr>
      <w:r>
        <w:rPr>
          <w:sz w:val="18"/>
        </w:rPr>
        <w:t>⚠️ Cours à 2.3% du plus haut 100j (9,090 FCFA)</w:t>
      </w:r>
    </w:p>
    <w:p>
      <w:pPr>
        <w:spacing w:before="120"/>
      </w:pPr>
      <w:r>
        <w:rPr>
          <w:b/>
          <w:color w:val="0050A0"/>
          <w:sz w:val="20"/>
        </w:rPr>
        <w:t>CIEC — CIEC - Compagnie Ivoirienne d'Electricité</w:t>
      </w:r>
    </w:p>
    <w:p>
      <w:pPr>
        <w:pStyle w:val="ListBullet"/>
        <w:spacing w:before="20"/>
        <w:ind w:left="400"/>
      </w:pPr>
      <w:r>
        <w:rPr>
          <w:sz w:val="18"/>
        </w:rPr>
        <w:t>🔴 RSI surachat (71.6 &gt; 70) — risque de correction</w:t>
      </w:r>
    </w:p>
    <w:p>
      <w:pPr>
        <w:pStyle w:val="ListBullet"/>
        <w:spacing w:before="20"/>
        <w:ind w:left="400"/>
      </w:pPr>
      <w:r>
        <w:rPr>
          <w:sz w:val="18"/>
        </w:rPr>
        <w:t>🟠 Divergence tech(VENTE) / fond(NEUTRE) — recommandation ajustée à CONSERVER ⚠️</w:t>
      </w:r>
    </w:p>
    <w:p>
      <w:pPr>
        <w:spacing w:before="120"/>
      </w:pPr>
      <w:r>
        <w:rPr>
          <w:b/>
          <w:color w:val="0050A0"/>
          <w:sz w:val="20"/>
        </w:rPr>
        <w:t>NEIC — NEIC - NEI-CEDA CI</w:t>
      </w:r>
    </w:p>
    <w:p>
      <w:pPr>
        <w:pStyle w:val="ListBullet"/>
        <w:spacing w:before="20"/>
        <w:ind w:left="400"/>
      </w:pPr>
      <w:r>
        <w:rPr>
          <w:sz w:val="18"/>
        </w:rPr>
        <w:t>🔴 RSI surachat (96.0 &gt; 70) — risque de correction</w:t>
      </w:r>
    </w:p>
    <w:p>
      <w:pPr>
        <w:pStyle w:val="ListBullet"/>
        <w:spacing w:before="20"/>
        <w:ind w:left="400"/>
      </w:pPr>
      <w:r>
        <w:rPr>
          <w:sz w:val="18"/>
        </w:rPr>
        <w:t>⚠️ Cours à 0.0% du plus haut 100j (3,000 FCFA)</w:t>
      </w:r>
    </w:p>
    <w:p>
      <w:pPr>
        <w:spacing w:before="120"/>
      </w:pPr>
      <w:r>
        <w:rPr>
          <w:b/>
          <w:color w:val="0050A0"/>
          <w:sz w:val="20"/>
        </w:rPr>
        <w:t>ORAC — ORAC - ORANGE COTE D'IVOIRE</w:t>
      </w:r>
    </w:p>
    <w:p>
      <w:pPr>
        <w:pStyle w:val="ListBullet"/>
        <w:spacing w:before="20"/>
        <w:ind w:left="400"/>
      </w:pPr>
      <w:r>
        <w:rPr>
          <w:sz w:val="18"/>
        </w:rPr>
        <w:t>🔴 RSI surachat (75.6 &gt; 70) — risque de correction</w:t>
      </w:r>
    </w:p>
    <w:p>
      <w:pPr>
        <w:pStyle w:val="ListBullet"/>
        <w:spacing w:before="20"/>
        <w:ind w:left="400"/>
      </w:pPr>
      <w:r>
        <w:rPr>
          <w:sz w:val="18"/>
        </w:rPr>
        <w:t>⚠️ Cours à 2.3% du plus haut 100j (21,500 FCFA)</w:t>
      </w:r>
    </w:p>
    <w:p>
      <w:pPr>
        <w:spacing w:before="120"/>
      </w:pPr>
      <w:r>
        <w:rPr>
          <w:b/>
          <w:color w:val="0050A0"/>
          <w:sz w:val="20"/>
        </w:rPr>
        <w:t>ORGT — ORGT - ORAGROUP TOGO</w:t>
      </w:r>
    </w:p>
    <w:p>
      <w:pPr>
        <w:pStyle w:val="ListBullet"/>
        <w:spacing w:before="20"/>
        <w:ind w:left="400"/>
      </w:pPr>
      <w:r>
        <w:rPr>
          <w:sz w:val="18"/>
        </w:rPr>
        <w:t>🔴 RSI surachat (76.7 &gt; 70) — risque de correction</w:t>
      </w:r>
    </w:p>
    <w:p>
      <w:pPr>
        <w:pStyle w:val="ListBullet"/>
        <w:spacing w:before="20"/>
        <w:ind w:left="400"/>
      </w:pPr>
      <w:r>
        <w:rPr>
          <w:sz w:val="18"/>
        </w:rPr>
        <w:t>🟠 Divergence tech(VENTE) / fond(ACHAT) — recommandation ajustée à ACHAT</w:t>
      </w:r>
    </w:p>
    <w:p>
      <w:pPr>
        <w:spacing w:before="120"/>
      </w:pPr>
      <w:r>
        <w:rPr>
          <w:b/>
          <w:color w:val="0050A0"/>
          <w:sz w:val="20"/>
        </w:rPr>
        <w:t>SDCC — SDCC - Société de Distribution d'Eau de Côte d'Ivoire</w:t>
      </w:r>
    </w:p>
    <w:p>
      <w:pPr>
        <w:pStyle w:val="ListBullet"/>
        <w:spacing w:before="20"/>
        <w:ind w:left="400"/>
      </w:pPr>
      <w:r>
        <w:rPr>
          <w:sz w:val="18"/>
        </w:rPr>
        <w:t>🔴 RSI surachat (83.9 &gt; 70) — risque de correction</w:t>
      </w:r>
    </w:p>
    <w:p>
      <w:pPr>
        <w:pStyle w:val="ListBullet"/>
        <w:spacing w:before="20"/>
        <w:ind w:left="400"/>
      </w:pPr>
      <w:r>
        <w:rPr>
          <w:sz w:val="18"/>
        </w:rPr>
        <w:t>⚠️ Cours à 0.0% du plus haut 100j (13,500 FCFA)</w:t>
      </w:r>
    </w:p>
    <w:p>
      <w:pPr>
        <w:spacing w:before="120"/>
      </w:pPr>
      <w:r>
        <w:rPr>
          <w:b/>
          <w:color w:val="0050A0"/>
          <w:sz w:val="20"/>
        </w:rPr>
        <w:t>SHEC — SHEC - VIVO ENERGY COTE D'IVOIRE</w:t>
      </w:r>
    </w:p>
    <w:p>
      <w:pPr>
        <w:pStyle w:val="ListBullet"/>
        <w:spacing w:before="20"/>
        <w:ind w:left="400"/>
      </w:pPr>
      <w:r>
        <w:rPr>
          <w:sz w:val="18"/>
        </w:rPr>
        <w:t>🔴 RSI surachat (76.3 &gt; 70) — risque de correction</w:t>
      </w:r>
    </w:p>
    <w:p>
      <w:pPr>
        <w:pStyle w:val="ListBullet"/>
        <w:spacing w:before="20"/>
        <w:ind w:left="400"/>
      </w:pPr>
      <w:r>
        <w:rPr>
          <w:sz w:val="18"/>
        </w:rPr>
        <w:t>🟠 Divergence tech(VENTE) / fond(ACHAT) — recommandation ajustée à ACHAT</w:t>
      </w:r>
    </w:p>
    <w:p>
      <w:pPr>
        <w:spacing w:before="120"/>
      </w:pPr>
      <w:r>
        <w:rPr>
          <w:b/>
          <w:color w:val="0050A0"/>
          <w:sz w:val="20"/>
        </w:rPr>
        <w:t>SMBC — SMBC - Société Multinationale de Bitumes COTE D'IVOIRE</w:t>
      </w:r>
    </w:p>
    <w:p>
      <w:pPr>
        <w:pStyle w:val="ListBullet"/>
        <w:spacing w:before="20"/>
        <w:ind w:left="400"/>
      </w:pPr>
      <w:r>
        <w:rPr>
          <w:sz w:val="18"/>
        </w:rPr>
        <w:t>🔴 RSI surachat (83.6 &gt; 70) — risque de correction</w:t>
      </w:r>
    </w:p>
    <w:p>
      <w:pPr>
        <w:pStyle w:val="ListBullet"/>
        <w:spacing w:before="20"/>
        <w:ind w:left="400"/>
      </w:pPr>
      <w:r>
        <w:rPr>
          <w:sz w:val="18"/>
        </w:rPr>
        <w:t>⚠️ Cours à 1.3% du plus haut 100j (17,735 FCFA)</w:t>
      </w:r>
    </w:p>
    <w:p>
      <w:pPr>
        <w:spacing w:before="120"/>
      </w:pPr>
      <w:r>
        <w:rPr>
          <w:b/>
          <w:color w:val="0050A0"/>
          <w:sz w:val="20"/>
        </w:rPr>
        <w:t>SNTS — SNTS - SONATEL SN</w:t>
      </w:r>
    </w:p>
    <w:p>
      <w:pPr>
        <w:pStyle w:val="ListBullet"/>
        <w:spacing w:before="20"/>
        <w:ind w:left="400"/>
      </w:pPr>
      <w:r>
        <w:rPr>
          <w:sz w:val="18"/>
        </w:rPr>
        <w:t>🔴 RSI surachat (78.5 &gt; 70) — risque de correction</w:t>
      </w:r>
    </w:p>
    <w:p>
      <w:pPr>
        <w:pStyle w:val="ListBullet"/>
        <w:spacing w:before="20"/>
        <w:ind w:left="400"/>
      </w:pPr>
      <w:r>
        <w:rPr>
          <w:sz w:val="18"/>
        </w:rPr>
        <w:t>⚠️ Cours à 0.0% du plus haut 100j (38,500 FCFA)</w:t>
      </w:r>
    </w:p>
    <w:p>
      <w:pPr>
        <w:spacing w:before="120"/>
      </w:pPr>
      <w:r>
        <w:rPr>
          <w:b/>
          <w:color w:val="0050A0"/>
          <w:sz w:val="20"/>
        </w:rPr>
        <w:t>SPHC — SPHC - Société Africaine de Plantation d'Hévéas de Côte d'Ivoire</w:t>
      </w:r>
    </w:p>
    <w:p>
      <w:pPr>
        <w:pStyle w:val="ListBullet"/>
        <w:spacing w:before="20"/>
        <w:ind w:left="400"/>
      </w:pPr>
      <w:r>
        <w:rPr>
          <w:sz w:val="18"/>
        </w:rPr>
        <w:t>🔴 RSI surachat (72.3 &gt; 70) — risque de correction</w:t>
      </w:r>
    </w:p>
    <w:p>
      <w:pPr>
        <w:pStyle w:val="ListBullet"/>
        <w:spacing w:before="20"/>
        <w:ind w:left="400"/>
      </w:pPr>
      <w:r>
        <w:rPr>
          <w:sz w:val="18"/>
        </w:rPr>
        <w:t>⚠️ Cours à 2.8% du plus haut 100j (10,300 FCFA)</w:t>
      </w:r>
    </w:p>
    <w:p>
      <w:pPr>
        <w:spacing w:before="120"/>
      </w:pPr>
      <w:r>
        <w:rPr>
          <w:b/>
          <w:color w:val="0050A0"/>
          <w:sz w:val="20"/>
        </w:rPr>
        <w:t>UNXC — UNXC - UNIWAX COTE D'IVOIRE</w:t>
      </w:r>
    </w:p>
    <w:p>
      <w:pPr>
        <w:pStyle w:val="ListBullet"/>
        <w:spacing w:before="20"/>
        <w:ind w:left="400"/>
      </w:pPr>
      <w:r>
        <w:rPr>
          <w:sz w:val="18"/>
        </w:rPr>
        <w:t>🔴 RSI surachat (77.9 &gt; 70) — risque de correction</w:t>
      </w:r>
    </w:p>
    <w:p>
      <w:pPr>
        <w:pStyle w:val="ListBullet"/>
        <w:spacing w:before="20"/>
        <w:ind w:left="400"/>
      </w:pPr>
      <w:r>
        <w:rPr>
          <w:sz w:val="18"/>
        </w:rPr>
        <w:t>🟠 Divergence tech(VENTE) / fond(ACHAT) — recommandation ajustée à ACHAT</w:t>
      </w:r>
    </w:p>
    <w:p>
      <w:pPr>
        <w:spacing w:before="120"/>
      </w:pPr>
      <w:r>
        <w:rPr>
          <w:b/>
          <w:color w:val="0050A0"/>
          <w:sz w:val="20"/>
        </w:rPr>
        <w:t>BOAS — BANK OF AFRICA SENEGAL</w:t>
      </w:r>
    </w:p>
    <w:p>
      <w:pPr>
        <w:pStyle w:val="ListBullet"/>
        <w:spacing w:before="20"/>
        <w:ind w:left="400"/>
      </w:pPr>
      <w:r>
        <w:rPr>
          <w:sz w:val="18"/>
        </w:rPr>
        <w:t>🔴 RSI surachat (72.9 &gt; 70) — risque de correction</w:t>
      </w:r>
    </w:p>
    <w:p>
      <w:pPr>
        <w:spacing w:before="120"/>
      </w:pPr>
      <w:r>
        <w:rPr>
          <w:b/>
          <w:color w:val="0050A0"/>
          <w:sz w:val="20"/>
        </w:rPr>
        <w:t>ETIT — ETIT - Ecobank Transnational Incorporated Togo</w:t>
      </w:r>
    </w:p>
    <w:p>
      <w:pPr>
        <w:pStyle w:val="ListBullet"/>
        <w:spacing w:before="20"/>
        <w:ind w:left="400"/>
      </w:pPr>
      <w:r>
        <w:rPr>
          <w:sz w:val="18"/>
        </w:rPr>
        <w:t>🟠 Divergence tech(VENTE) / fond(ACHAT) — recommandation ajustée à ACHAT</w:t>
      </w:r>
    </w:p>
    <w:p>
      <w:pPr>
        <w:spacing w:before="120"/>
      </w:pPr>
      <w:r>
        <w:rPr>
          <w:b/>
          <w:color w:val="0050A0"/>
          <w:sz w:val="20"/>
        </w:rPr>
        <w:t>NSBC — NSBC - NSIA BANQUE COTE D'IVOIRE</w:t>
      </w:r>
    </w:p>
    <w:p>
      <w:pPr>
        <w:pStyle w:val="ListBullet"/>
        <w:spacing w:before="20"/>
        <w:ind w:left="400"/>
      </w:pPr>
      <w:r>
        <w:rPr>
          <w:sz w:val="18"/>
        </w:rPr>
        <w:t>🟠 Divergence tech(VENTE) / fond(ACHAT) — recommandation ajustée à ACHAT</w:t>
      </w:r>
    </w:p>
    <w:p>
      <w:pPr>
        <w:spacing w:before="120"/>
      </w:pPr>
      <w:r>
        <w:rPr>
          <w:b/>
          <w:color w:val="0050A0"/>
          <w:sz w:val="20"/>
        </w:rPr>
        <w:t>ONTBF — ONTBF - ONATEL BURKINA FASO</w:t>
      </w:r>
    </w:p>
    <w:p>
      <w:pPr>
        <w:pStyle w:val="ListBullet"/>
        <w:spacing w:before="20"/>
        <w:ind w:left="400"/>
      </w:pPr>
      <w:r>
        <w:rPr>
          <w:sz w:val="18"/>
        </w:rPr>
        <w:t>🟠 Divergence tech(VENTE) / fond(NEUTRE) — recommandation ajustée à CONSERVER ⚠️</w:t>
      </w:r>
    </w:p>
    <w:p>
      <w:pPr>
        <w:spacing w:before="120"/>
      </w:pPr>
      <w:r>
        <w:rPr>
          <w:b/>
          <w:color w:val="0050A0"/>
          <w:sz w:val="20"/>
        </w:rPr>
        <w:t>PRSC — PRSC - TRACTAFRIC MOTORS CI</w:t>
      </w:r>
    </w:p>
    <w:p>
      <w:pPr>
        <w:pStyle w:val="ListBullet"/>
        <w:spacing w:before="20"/>
        <w:ind w:left="400"/>
      </w:pPr>
      <w:r>
        <w:rPr>
          <w:sz w:val="18"/>
        </w:rPr>
        <w:t>🟠 Divergence tech(VENTE) / fond(ACHAT) — recommandation ajustée à ACHAT</w:t>
      </w:r>
    </w:p>
    <w:p>
      <w:pPr>
        <w:spacing w:before="120"/>
      </w:pPr>
      <w:r>
        <w:rPr>
          <w:b/>
          <w:color w:val="0050A0"/>
          <w:sz w:val="20"/>
        </w:rPr>
        <w:t>SDSC — SDSC - AFRICA GLOBAL LOGISTICS CI</w:t>
      </w:r>
    </w:p>
    <w:p>
      <w:pPr>
        <w:pStyle w:val="ListBullet"/>
        <w:spacing w:before="20"/>
        <w:ind w:left="400"/>
      </w:pPr>
      <w:r>
        <w:rPr>
          <w:sz w:val="18"/>
        </w:rPr>
        <w:t>⚠️ Cours à 0.0% du plus haut 100j (3,205 FCFA)</w:t>
      </w:r>
    </w:p>
    <w:p>
      <w:pPr>
        <w:spacing w:before="120"/>
      </w:pPr>
      <w:r>
        <w:rPr>
          <w:b/>
          <w:color w:val="0050A0"/>
          <w:sz w:val="20"/>
        </w:rPr>
        <w:t>SGBC — SGBC - SOCIETE GENERALE COTE D'IVOIRE</w:t>
      </w:r>
    </w:p>
    <w:p>
      <w:pPr>
        <w:pStyle w:val="ListBullet"/>
        <w:spacing w:before="20"/>
        <w:ind w:left="400"/>
      </w:pPr>
      <w:r>
        <w:rPr>
          <w:sz w:val="18"/>
        </w:rPr>
        <w:t>⚠️ Cours à 2.0% du plus haut 100j (39,300 FCFA)</w:t>
      </w:r>
    </w:p>
    <w:p>
      <w:pPr>
        <w:spacing w:before="120"/>
      </w:pPr>
      <w:r>
        <w:rPr>
          <w:b/>
          <w:color w:val="0050A0"/>
          <w:sz w:val="20"/>
        </w:rPr>
        <w:t>SICC — SICC - SICOR COTE D'IVOIRE</w:t>
      </w:r>
    </w:p>
    <w:p>
      <w:pPr>
        <w:pStyle w:val="ListBullet"/>
        <w:spacing w:before="20"/>
        <w:ind w:left="400"/>
      </w:pPr>
      <w:r>
        <w:rPr>
          <w:sz w:val="18"/>
        </w:rPr>
        <w:t>🟢 RSI survente (27.3 &lt; 30) — opportunité potentielle</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18 société(s) (38%)</w:t>
            </w:r>
          </w:p>
        </w:tc>
        <w:tc>
          <w:tcPr>
            <w:tcW w:type="dxa" w:w="1644"/>
            <w:shd w:fill="FFEB9C" w:val="clear"/>
          </w:tcPr>
          <w:p>
            <w:r>
              <w:rPr>
                <w:b/>
                <w:color w:val="825A00"/>
                <w:sz w:val="19"/>
              </w:rPr>
              <w:t>29 société(s) (62%)</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21.7/100</w:t>
            </w:r>
          </w:p>
        </w:tc>
        <w:tc>
          <w:tcPr>
            <w:tcW w:type="dxa" w:w="1644"/>
            <w:shd w:fill="DEEAF1" w:val="clear"/>
          </w:tcPr>
          <w:p>
            <w:r>
              <w:rPr>
                <w:b/>
                <w:color w:val="000000"/>
                <w:sz w:val="19"/>
              </w:rPr>
              <w:t>21.1/100</w:t>
            </w:r>
          </w:p>
        </w:tc>
      </w:tr>
    </w:tbl>
    <w:p/>
    <w:p>
      <w:r>
        <w:rPr>
          <w:i/>
          <w:color w:val="006400"/>
          <w:sz w:val="18"/>
        </w:rPr>
        <w:t>✅ Le marché BRVM présente globalement un profil de risque FAIBLE (score moyen 21.7/100).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NEIC</w:t>
            </w:r>
          </w:p>
        </w:tc>
        <w:tc>
          <w:tcPr>
            <w:tcW w:type="dxa" w:w="2268"/>
            <w:shd w:fill="FFFFFF" w:val="clear"/>
          </w:tcPr>
          <w:p>
            <w:r>
              <w:rPr>
                <w:sz w:val="16"/>
              </w:rPr>
              <w:t>NEIC - NEI-CEDA CI</w:t>
            </w:r>
          </w:p>
        </w:tc>
        <w:tc>
          <w:tcPr>
            <w:tcW w:type="dxa" w:w="1701"/>
            <w:shd w:fill="FFFFFF" w:val="clear"/>
          </w:tcPr>
          <w:p>
            <w:r>
              <w:rPr>
                <w:sz w:val="16"/>
              </w:rPr>
              <w:t>CONSOMMATION DISCR</w:t>
            </w:r>
          </w:p>
        </w:tc>
        <w:tc>
          <w:tcPr>
            <w:tcW w:type="dxa" w:w="1020"/>
            <w:shd w:fill="FFEB9C" w:val="clear"/>
          </w:tcPr>
          <w:p>
            <w:r>
              <w:rPr>
                <w:b/>
                <w:color w:val="B40000"/>
                <w:sz w:val="16"/>
              </w:rPr>
              <w:t>32.6/100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SDCC</w:t>
            </w:r>
          </w:p>
        </w:tc>
        <w:tc>
          <w:tcPr>
            <w:tcW w:type="dxa" w:w="2268"/>
            <w:shd w:fill="FFFFFF" w:val="clear"/>
          </w:tcPr>
          <w:p>
            <w:r>
              <w:rPr>
                <w:sz w:val="16"/>
              </w:rPr>
              <w:t>SDCC - Société de Distributi…</w:t>
            </w:r>
          </w:p>
        </w:tc>
        <w:tc>
          <w:tcPr>
            <w:tcW w:type="dxa" w:w="1701"/>
            <w:shd w:fill="FFFFFF" w:val="clear"/>
          </w:tcPr>
          <w:p>
            <w:r>
              <w:rPr>
                <w:sz w:val="16"/>
              </w:rPr>
              <w:t>SERVICES PUBLICS</w:t>
            </w:r>
          </w:p>
        </w:tc>
        <w:tc>
          <w:tcPr>
            <w:tcW w:type="dxa" w:w="1020"/>
            <w:shd w:fill="FFEB9C" w:val="clear"/>
          </w:tcPr>
          <w:p>
            <w:r>
              <w:rPr>
                <w:b/>
                <w:color w:val="B40000"/>
                <w:sz w:val="16"/>
              </w:rPr>
              <w:t>31.1/100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SAFC</w:t>
            </w:r>
          </w:p>
        </w:tc>
        <w:tc>
          <w:tcPr>
            <w:tcW w:type="dxa" w:w="2268"/>
            <w:shd w:fill="FFFFFF" w:val="clear"/>
          </w:tcPr>
          <w:p>
            <w:r>
              <w:rPr>
                <w:sz w:val="16"/>
              </w:rPr>
              <w:t>SAFCA CI</w:t>
            </w:r>
          </w:p>
        </w:tc>
        <w:tc>
          <w:tcPr>
            <w:tcW w:type="dxa" w:w="1701"/>
            <w:shd w:fill="FFFFFF" w:val="clear"/>
          </w:tcPr>
          <w:p>
            <w:r>
              <w:rPr>
                <w:sz w:val="16"/>
              </w:rPr>
              <w:t>SERVICES FINANCIER</w:t>
            </w:r>
          </w:p>
        </w:tc>
        <w:tc>
          <w:tcPr>
            <w:tcW w:type="dxa" w:w="1020"/>
            <w:shd w:fill="FFEB9C" w:val="clear"/>
          </w:tcPr>
          <w:p>
            <w:r>
              <w:rPr>
                <w:b/>
                <w:color w:val="B40000"/>
                <w:sz w:val="16"/>
              </w:rPr>
              <w:t>30.1/100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#2 SICC (33.8/100 — Moyen) : </w:t>
      </w:r>
      <w:r>
        <w:rPr>
          <w:sz w:val="17"/>
        </w:rPr>
        <w:t>Volatilité=Élevée | Bêta=Contre-cyclique | Liquidité=Faible | Divergence signaux=taux divergence=20% (Mixte ⚠️) | Stabilité=Modérée</w:t>
      </w:r>
    </w:p>
    <w:p>
      <w:pPr>
        <w:pStyle w:val="ListBullet"/>
      </w:pPr>
      <w:r>
        <w:rPr>
          <w:b/>
          <w:color w:val="B40000"/>
          <w:sz w:val="18"/>
        </w:rPr>
        <w:t xml:space="preserve">#3 NEIC (32.6/100 — Moyen) : </w:t>
      </w:r>
      <w:r>
        <w:rPr>
          <w:sz w:val="17"/>
        </w:rPr>
        <w:t>Volatilité=Élevée | Bêta=Contre-cyclique | Liquidité=Bonne | Divergence signaux=taux divergence=40% (Très divergent ❌) | Stabilité=Modérée</w:t>
      </w:r>
    </w:p>
    <w:p>
      <w:pPr>
        <w:pStyle w:val="ListBullet"/>
      </w:pPr>
      <w:r>
        <w:rPr>
          <w:b/>
          <w:color w:val="B40000"/>
          <w:sz w:val="18"/>
        </w:rPr>
        <w:t xml:space="preserve">#4 SDCC (31.1/100 — Moyen) : </w:t>
      </w:r>
      <w:r>
        <w:rPr>
          <w:sz w:val="17"/>
        </w:rPr>
        <w:t>Volatilité=Élevée | Bêta=Contre-cyclique | Liquidité=Bonne | Divergence signaux=taux divergence=40% (Très divergent ❌) | Stabilité=Stable</w:t>
      </w:r>
    </w:p>
    <w:p>
      <w:pPr>
        <w:pStyle w:val="ListBullet"/>
      </w:pPr>
      <w:r>
        <w:rPr>
          <w:b/>
          <w:color w:val="B40000"/>
          <w:sz w:val="18"/>
        </w:rPr>
        <w:t xml:space="preserve">#5 SAFC (30.1/100 — Moyen) : </w:t>
      </w:r>
      <w:r>
        <w:rPr>
          <w:sz w:val="17"/>
        </w:rPr>
        <w:t>Volatilité=Élevée | Bêta=Défensif | Liquidité=Bonne | Divergence signaux=taux divergence=20% (Mixte ⚠️) | Stabilité=Instable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LNBB</w:t>
            </w:r>
          </w:p>
        </w:tc>
        <w:tc>
          <w:tcPr>
            <w:tcW w:type="dxa" w:w="2268"/>
            <w:shd w:fill="FFFFFF" w:val="clear"/>
          </w:tcPr>
          <w:p>
            <w:r>
              <w:rPr>
                <w:sz w:val="16"/>
              </w:rPr>
              <w:t>LNBB - LOTERIE NATIONALE DU …</w:t>
            </w:r>
          </w:p>
        </w:tc>
        <w:tc>
          <w:tcPr>
            <w:tcW w:type="dxa" w:w="1701"/>
            <w:shd w:fill="FFFFFF" w:val="clear"/>
          </w:tcPr>
          <w:p>
            <w:r>
              <w:rPr>
                <w:sz w:val="16"/>
              </w:rPr>
              <w:t>CONSOMMATION DISCR</w:t>
            </w:r>
          </w:p>
        </w:tc>
        <w:tc>
          <w:tcPr>
            <w:tcW w:type="dxa" w:w="1020"/>
            <w:shd w:fill="C6EFCE" w:val="clear"/>
          </w:tcPr>
          <w:p>
            <w:r>
              <w:rPr>
                <w:b/>
                <w:color w:val="007800"/>
                <w:sz w:val="16"/>
              </w:rPr>
              <w:t>9.5/100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ECOC</w:t>
            </w:r>
          </w:p>
        </w:tc>
        <w:tc>
          <w:tcPr>
            <w:tcW w:type="dxa" w:w="2268"/>
            <w:shd w:fill="FFFFFF" w:val="clear"/>
          </w:tcPr>
          <w:p>
            <w:r>
              <w:rPr>
                <w:sz w:val="16"/>
              </w:rPr>
              <w:t>ECOC - ECOBANK COTE D'IVOIRE</w:t>
            </w:r>
          </w:p>
        </w:tc>
        <w:tc>
          <w:tcPr>
            <w:tcW w:type="dxa" w:w="1701"/>
            <w:shd w:fill="FFFFFF" w:val="clear"/>
          </w:tcPr>
          <w:p>
            <w:r>
              <w:rPr>
                <w:sz w:val="16"/>
              </w:rPr>
              <w:t>SERVICES FINANCIER</w:t>
            </w:r>
          </w:p>
        </w:tc>
        <w:tc>
          <w:tcPr>
            <w:tcW w:type="dxa" w:w="1020"/>
            <w:shd w:fill="C6EFCE" w:val="clear"/>
          </w:tcPr>
          <w:p>
            <w:r>
              <w:rPr>
                <w:b/>
                <w:color w:val="007800"/>
                <w:sz w:val="16"/>
              </w:rPr>
              <w:t>13.1/100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SIBC</w:t>
            </w:r>
          </w:p>
        </w:tc>
        <w:tc>
          <w:tcPr>
            <w:tcW w:type="dxa" w:w="2268"/>
            <w:shd w:fill="FFFFFF" w:val="clear"/>
          </w:tcPr>
          <w:p>
            <w:r>
              <w:rPr>
                <w:sz w:val="16"/>
              </w:rPr>
              <w:t>SIBC - SOCIETE IVOIRIENNE DE…</w:t>
            </w:r>
          </w:p>
        </w:tc>
        <w:tc>
          <w:tcPr>
            <w:tcW w:type="dxa" w:w="1701"/>
            <w:shd w:fill="FFFFFF" w:val="clear"/>
          </w:tcPr>
          <w:p>
            <w:r>
              <w:rPr>
                <w:sz w:val="16"/>
              </w:rPr>
              <w:t>SERVICES FINANCIER</w:t>
            </w:r>
          </w:p>
        </w:tc>
        <w:tc>
          <w:tcPr>
            <w:tcW w:type="dxa" w:w="1020"/>
            <w:shd w:fill="C6EFCE" w:val="clear"/>
          </w:tcPr>
          <w:p>
            <w:r>
              <w:rPr>
                <w:b/>
                <w:color w:val="007800"/>
                <w:sz w:val="16"/>
              </w:rPr>
              <w:t>15.3/100</w:t>
            </w:r>
          </w:p>
        </w:tc>
        <w:tc>
          <w:tcPr>
            <w:tcW w:type="dxa" w:w="1134"/>
            <w:shd w:fill="C6EFCE" w:val="clear"/>
          </w:tcPr>
          <w:p>
            <w:r>
              <w:rPr>
                <w:sz w:val="16"/>
              </w:rPr>
              <w:t>Faible</w:t>
            </w:r>
          </w:p>
        </w:tc>
        <w:tc>
          <w:tcPr>
            <w:tcW w:type="dxa" w:w="2381"/>
            <w:shd w:fill="FFFFFF" w:val="clear"/>
          </w:tcPr>
          <w:p>
            <w:r>
              <w:rPr>
                <w:sz w:val="16"/>
              </w:rPr>
              <w:t>📐 Bêta défensif</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Modérée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FFEB9C" w:val="clear"/>
          </w:tcPr>
          <w:p>
            <w:r>
              <w:rPr>
                <w:b/>
                <w:color w:val="825A00"/>
                <w:sz w:val="15"/>
              </w:rPr>
              <w:t>32.6</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FFEB9C" w:val="clear"/>
          </w:tcPr>
          <w:p>
            <w:r>
              <w:rPr>
                <w:b/>
                <w:color w:val="825A00"/>
                <w:sz w:val="15"/>
              </w:rPr>
              <w:t>31.1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30.1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Instable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29.8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28.3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FFEB9C" w:val="clear"/>
          </w:tcPr>
          <w:p>
            <w:r>
              <w:rPr>
                <w:b/>
                <w:color w:val="825A00"/>
                <w:sz w:val="15"/>
              </w:rPr>
              <w:t>28.1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28.1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27.6</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Très divergent ❌ / Modérée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26.1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FFEB9C" w:val="clear"/>
          </w:tcPr>
          <w:p>
            <w:r>
              <w:rPr>
                <w:b/>
                <w:color w:val="825A00"/>
                <w:sz w:val="15"/>
              </w:rPr>
              <w:t>25.1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24.8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Très faible</w:t>
            </w:r>
          </w:p>
        </w:tc>
        <w:tc>
          <w:tcPr>
            <w:tcW w:type="dxa" w:w="1757"/>
            <w:shd w:fill="FFFFFF" w:val="clear"/>
          </w:tcPr>
          <w:p>
            <w:r>
              <w:rPr>
                <w:sz w:val="15"/>
              </w:rPr>
              <w:t>Mixte ⚠️ / Modérée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FFEB9C" w:val="clear"/>
          </w:tcPr>
          <w:p>
            <w:r>
              <w:rPr>
                <w:b/>
                <w:color w:val="825A00"/>
                <w:sz w:val="15"/>
              </w:rPr>
              <w:t>24.1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FFEB9C" w:val="clear"/>
          </w:tcPr>
          <w:p>
            <w:r>
              <w:rPr>
                <w:b/>
                <w:color w:val="825A00"/>
                <w:sz w:val="15"/>
              </w:rPr>
              <w:t>23.8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23.3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Très divergent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FFEB9C" w:val="clear"/>
          </w:tcPr>
          <w:p>
            <w:r>
              <w:rPr>
                <w:b/>
                <w:color w:val="825A00"/>
                <w:sz w:val="15"/>
              </w:rPr>
              <w:t>21.1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FFEB9C" w:val="clear"/>
          </w:tcPr>
          <w:p>
            <w:r>
              <w:rPr>
                <w:b/>
                <w:color w:val="825A00"/>
                <w:sz w:val="15"/>
              </w:rPr>
              <w:t>20.8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C6EFCE" w:val="clear"/>
          </w:tcPr>
          <w:p>
            <w:r>
              <w:rPr>
                <w:b/>
                <w:color w:val="006400"/>
                <w:sz w:val="15"/>
              </w:rPr>
              <w:t>17.0</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17.0</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C6EFCE" w:val="clear"/>
          </w:tcPr>
          <w:p>
            <w:r>
              <w:rPr>
                <w:b/>
                <w:color w:val="006400"/>
                <w:sz w:val="15"/>
              </w:rPr>
              <w:t>16.8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13.1</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9.5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47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C7CE" w:val="clear"/>
          </w:tcPr>
          <w:p>
            <w:r>
              <w:rPr>
                <w:b/>
                <w:color w:val="B40000"/>
                <w:sz w:val="18"/>
              </w:rPr>
              <w:t>🔴 BAISSIER</w:t>
            </w:r>
          </w:p>
        </w:tc>
      </w:tr>
      <w:tr>
        <w:tc>
          <w:tcPr>
            <w:tcW w:type="dxa" w:w="2835"/>
            <w:shd w:fill="DEEAF1" w:val="clear"/>
          </w:tcPr>
          <w:p>
            <w:r>
              <w:rPr>
                <w:b/>
                <w:sz w:val="18"/>
              </w:rPr>
              <w:t>Variation moyenne J+10</w:t>
            </w:r>
          </w:p>
        </w:tc>
        <w:tc>
          <w:tcPr>
            <w:tcW w:type="dxa" w:w="7370"/>
          </w:tcPr>
          <w:p>
            <w:r>
              <w:rPr>
                <w:b/>
                <w:sz w:val="18"/>
              </w:rPr>
              <w:t>-13.22%  |  Médiane : -13.19%</w:t>
            </w:r>
          </w:p>
        </w:tc>
      </w:tr>
      <w:tr>
        <w:tc>
          <w:tcPr>
            <w:tcW w:type="dxa" w:w="2835"/>
            <w:shd w:fill="DEEAF1" w:val="clear"/>
          </w:tcPr>
          <w:p>
            <w:r>
              <w:rPr>
                <w:b/>
                <w:sz w:val="18"/>
              </w:rPr>
              <w:t>Répartition</w:t>
            </w:r>
          </w:p>
        </w:tc>
        <w:tc>
          <w:tcPr>
            <w:tcW w:type="dxa" w:w="7370"/>
          </w:tcPr>
          <w:p>
            <w:r>
              <w:rPr>
                <w:b/>
                <w:sz w:val="18"/>
              </w:rPr>
              <w:t>📈 6 sociétés en hausse (&gt;+1%)   📉 38 en baisse (&lt;-1%)   ➡️ 3 neutres</w:t>
            </w:r>
          </w:p>
        </w:tc>
      </w:tr>
      <w:tr>
        <w:tc>
          <w:tcPr>
            <w:tcW w:type="dxa" w:w="2835"/>
            <w:shd w:fill="DEEAF1" w:val="clear"/>
          </w:tcPr>
          <w:p>
            <w:r>
              <w:rPr>
                <w:b/>
                <w:sz w:val="18"/>
              </w:rPr>
              <w:t>Confiance globale</w:t>
            </w:r>
          </w:p>
        </w:tc>
        <w:tc>
          <w:tcPr>
            <w:tcW w:type="dxa" w:w="7370"/>
          </w:tcPr>
          <w:p>
            <w:r>
              <w:rPr>
                <w:b/>
                <w:sz w:val="18"/>
              </w:rPr>
              <w:t>Élevée : 0 sociétés (0%)   Moyenne : 12   Faible : 35 (74%)   → Confiance dominante : Faible</w:t>
            </w:r>
          </w:p>
        </w:tc>
      </w:tr>
    </w:tbl>
    <w:p/>
    <w:p>
      <w:r>
        <w:rPr>
          <w:i/>
          <w:color w:val="282828"/>
          <w:sz w:val="18"/>
        </w:rPr>
        <w:t>📝 Analyse : Les modèles anticipent une correction généralisée. 38 sociétés sur 47 sont orientées à la baisse avec une variation moyenne de -13.22%.</w:t>
      </w:r>
    </w:p>
    <w:p>
      <w:r>
        <w:rPr>
          <w:i/>
          <w:color w:val="282828"/>
          <w:sz w:val="18"/>
        </w:rPr>
        <w:t>🎯 Fiabilité : ⚠️ La confiance est globalement FAIBLE (74%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CABC — CABC - SICABLE COTE D'IVOIRE</w:t>
            </w:r>
          </w:p>
        </w:tc>
        <w:tc>
          <w:tcPr>
            <w:tcW w:type="dxa" w:w="1701"/>
            <w:shd w:fill="FFFFFF" w:val="clear"/>
          </w:tcPr>
          <w:p>
            <w:r>
              <w:rPr>
                <w:sz w:val="16"/>
              </w:rPr>
              <w:t>INDUSTRIELS</w:t>
            </w:r>
          </w:p>
        </w:tc>
        <w:tc>
          <w:tcPr>
            <w:tcW w:type="dxa" w:w="1417"/>
            <w:shd w:fill="FFFFFF" w:val="clear"/>
          </w:tcPr>
          <w:p>
            <w:r>
              <w:rPr>
                <w:sz w:val="16"/>
              </w:rPr>
              <w:t>3,540 FCFA</w:t>
            </w:r>
          </w:p>
        </w:tc>
        <w:tc>
          <w:tcPr>
            <w:tcW w:type="dxa" w:w="1417"/>
            <w:shd w:fill="FFFFFF" w:val="clear"/>
          </w:tcPr>
          <w:p>
            <w:r>
              <w:rPr>
                <w:sz w:val="16"/>
              </w:rPr>
              <w:t>6,273 FCFA</w:t>
            </w:r>
          </w:p>
        </w:tc>
        <w:tc>
          <w:tcPr>
            <w:tcW w:type="dxa" w:w="1134"/>
            <w:shd w:fill="C6EFCE" w:val="clear"/>
          </w:tcPr>
          <w:p>
            <w:r>
              <w:rPr>
                <w:b/>
                <w:color w:val="007800"/>
                <w:sz w:val="16"/>
              </w:rPr>
              <w:t>+77.21%</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NSBC — NSBC - NSIA BANQUE COTE D'IVOIRE</w:t>
            </w:r>
          </w:p>
        </w:tc>
        <w:tc>
          <w:tcPr>
            <w:tcW w:type="dxa" w:w="1701"/>
            <w:shd w:fill="FFFFFF" w:val="clear"/>
          </w:tcPr>
          <w:p>
            <w:r>
              <w:rPr>
                <w:sz w:val="16"/>
              </w:rPr>
              <w:t>SERVICES FINANCIERS</w:t>
            </w:r>
          </w:p>
        </w:tc>
        <w:tc>
          <w:tcPr>
            <w:tcW w:type="dxa" w:w="1417"/>
            <w:shd w:fill="FFFFFF" w:val="clear"/>
          </w:tcPr>
          <w:p>
            <w:r>
              <w:rPr>
                <w:sz w:val="16"/>
              </w:rPr>
              <w:t>23,150 FCFA</w:t>
            </w:r>
          </w:p>
        </w:tc>
        <w:tc>
          <w:tcPr>
            <w:tcW w:type="dxa" w:w="1417"/>
            <w:shd w:fill="FFFFFF" w:val="clear"/>
          </w:tcPr>
          <w:p>
            <w:r>
              <w:rPr>
                <w:sz w:val="16"/>
              </w:rPr>
              <w:t>27,147 FCFA</w:t>
            </w:r>
          </w:p>
        </w:tc>
        <w:tc>
          <w:tcPr>
            <w:tcW w:type="dxa" w:w="1134"/>
            <w:shd w:fill="C6EFCE" w:val="clear"/>
          </w:tcPr>
          <w:p>
            <w:r>
              <w:rPr>
                <w:b/>
                <w:color w:val="007800"/>
                <w:sz w:val="16"/>
              </w:rPr>
              <w:t>+17.27%</w:t>
            </w:r>
          </w:p>
        </w:tc>
        <w:tc>
          <w:tcPr>
            <w:tcW w:type="dxa" w:w="1020"/>
            <w:shd w:fill="FFEB9C" w:val="clear"/>
          </w:tcPr>
          <w:p>
            <w:r>
              <w:rPr>
                <w:sz w:val="16"/>
              </w:rPr>
              <w:t>Moyenne</w:t>
            </w:r>
          </w:p>
        </w:tc>
      </w:tr>
      <w:tr>
        <w:tc>
          <w:tcPr>
            <w:tcW w:type="dxa" w:w="680"/>
            <w:shd w:fill="FFFFFF" w:val="clear"/>
          </w:tcPr>
          <w:p>
            <w:r>
              <w:rPr>
                <w:b/>
                <w:sz w:val="16"/>
              </w:rPr>
              <w:t>#3</w:t>
            </w:r>
          </w:p>
        </w:tc>
        <w:tc>
          <w:tcPr>
            <w:tcW w:type="dxa" w:w="2835"/>
            <w:shd w:fill="C6EFCE" w:val="clear"/>
          </w:tcPr>
          <w:p>
            <w:r>
              <w:rPr>
                <w:sz w:val="16"/>
              </w:rPr>
              <w:t>UNLC — UNLC - UNILEVER COTE D'IVOIRE</w:t>
            </w:r>
          </w:p>
        </w:tc>
        <w:tc>
          <w:tcPr>
            <w:tcW w:type="dxa" w:w="1701"/>
            <w:shd w:fill="FFFFFF" w:val="clear"/>
          </w:tcPr>
          <w:p>
            <w:r>
              <w:rPr>
                <w:sz w:val="16"/>
              </w:rPr>
              <w:t>CONSOMMATION DE BASE</w:t>
            </w:r>
          </w:p>
        </w:tc>
        <w:tc>
          <w:tcPr>
            <w:tcW w:type="dxa" w:w="1417"/>
            <w:shd w:fill="FFFFFF" w:val="clear"/>
          </w:tcPr>
          <w:p>
            <w:r>
              <w:rPr>
                <w:sz w:val="16"/>
              </w:rPr>
              <w:t>54,350 FCFA</w:t>
            </w:r>
          </w:p>
        </w:tc>
        <w:tc>
          <w:tcPr>
            <w:tcW w:type="dxa" w:w="1417"/>
            <w:shd w:fill="FFFFFF" w:val="clear"/>
          </w:tcPr>
          <w:p>
            <w:r>
              <w:rPr>
                <w:sz w:val="16"/>
              </w:rPr>
              <w:t>61,032 FCFA</w:t>
            </w:r>
          </w:p>
        </w:tc>
        <w:tc>
          <w:tcPr>
            <w:tcW w:type="dxa" w:w="1134"/>
            <w:shd w:fill="C6EFCE" w:val="clear"/>
          </w:tcPr>
          <w:p>
            <w:r>
              <w:rPr>
                <w:b/>
                <w:color w:val="007800"/>
                <w:sz w:val="16"/>
              </w:rPr>
              <w:t>+12.30%</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22,100 FCFA</w:t>
            </w:r>
          </w:p>
        </w:tc>
        <w:tc>
          <w:tcPr>
            <w:tcW w:type="dxa" w:w="1417"/>
            <w:shd w:fill="FFFFFF" w:val="clear"/>
          </w:tcPr>
          <w:p>
            <w:r>
              <w:rPr>
                <w:sz w:val="16"/>
              </w:rPr>
              <w:t>24,436 FCFA</w:t>
            </w:r>
          </w:p>
        </w:tc>
        <w:tc>
          <w:tcPr>
            <w:tcW w:type="dxa" w:w="1134"/>
            <w:shd w:fill="C6EFCE" w:val="clear"/>
          </w:tcPr>
          <w:p>
            <w:r>
              <w:rPr>
                <w:b/>
                <w:color w:val="007800"/>
                <w:sz w:val="16"/>
              </w:rPr>
              <w:t>+10.57%</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FTSC — FTSC - FILTISAC COTE D'IVOIRE</w:t>
            </w:r>
          </w:p>
        </w:tc>
        <w:tc>
          <w:tcPr>
            <w:tcW w:type="dxa" w:w="1701"/>
            <w:shd w:fill="FFFFFF" w:val="clear"/>
          </w:tcPr>
          <w:p>
            <w:r>
              <w:rPr>
                <w:sz w:val="16"/>
              </w:rPr>
              <w:t>INDUSTRIELS</w:t>
            </w:r>
          </w:p>
        </w:tc>
        <w:tc>
          <w:tcPr>
            <w:tcW w:type="dxa" w:w="1417"/>
            <w:shd w:fill="FFFFFF" w:val="clear"/>
          </w:tcPr>
          <w:p>
            <w:r>
              <w:rPr>
                <w:sz w:val="16"/>
              </w:rPr>
              <w:t>2,150 FCFA</w:t>
            </w:r>
          </w:p>
        </w:tc>
        <w:tc>
          <w:tcPr>
            <w:tcW w:type="dxa" w:w="1417"/>
            <w:shd w:fill="FFFFFF" w:val="clear"/>
          </w:tcPr>
          <w:p>
            <w:r>
              <w:rPr>
                <w:sz w:val="16"/>
              </w:rPr>
              <w:t>2,247 FCFA</w:t>
            </w:r>
          </w:p>
        </w:tc>
        <w:tc>
          <w:tcPr>
            <w:tcW w:type="dxa" w:w="1134"/>
            <w:shd w:fill="C6EFCE" w:val="clear"/>
          </w:tcPr>
          <w:p>
            <w:r>
              <w:rPr>
                <w:b/>
                <w:color w:val="007800"/>
                <w:sz w:val="16"/>
              </w:rPr>
              <w:t>+4.49%</w:t>
            </w:r>
          </w:p>
        </w:tc>
        <w:tc>
          <w:tcPr>
            <w:tcW w:type="dxa" w:w="1020"/>
            <w:shd w:fill="FFC7CE" w:val="clear"/>
          </w:tcPr>
          <w:p>
            <w:r>
              <w:rPr>
                <w:sz w:val="16"/>
              </w:rPr>
              <w:t>Faible</w:t>
            </w:r>
          </w:p>
        </w:tc>
      </w:tr>
    </w:tbl>
    <w:p/>
    <w:p>
      <w:pPr>
        <w:pStyle w:val="ListBullet"/>
      </w:pPr>
      <w:r>
        <w:rPr>
          <w:b/>
          <w:color w:val="006400"/>
          <w:sz w:val="18"/>
        </w:rPr>
        <w:t xml:space="preserve">#1 CABC </w:t>
      </w:r>
      <w:r>
        <w:rPr>
          <w:sz w:val="17"/>
        </w:rPr>
        <w:t>(CABC - SICABLE COTE D'IVOIRE) — hausse très forte (+77.2%) — signal potentiellement excessif, à croiser avec l'analyse technique. Trajectoire : 📈 Hausse continue. Cours actuel : 3,540 FCFA → prédit J+10 : 6,273 FCFA. ⚠️ Confiance limitée — volatilité élevée ou données insuffisantes. Résultat indicatif uniquement.</w:t>
      </w:r>
    </w:p>
    <w:p>
      <w:pPr>
        <w:pStyle w:val="ListBullet"/>
      </w:pPr>
      <w:r>
        <w:rPr>
          <w:b/>
          <w:color w:val="006400"/>
          <w:sz w:val="18"/>
        </w:rPr>
        <w:t xml:space="preserve">#2 NSBC </w:t>
      </w:r>
      <w:r>
        <w:rPr>
          <w:sz w:val="17"/>
        </w:rPr>
        <w:t>(NSBC - NSIA BANQUE COTE D'IVOIRE) — hausse significative (+17.3%) — potentiel de revalorisation notable. Trajectoire : 📈 Hausse continue. Cours actuel : 23,150 FCFA → prédit J+10 : 27,147 FCFA. Confiance partielle — les premiers jours sont fiables, les jours lointains moins précis.</w:t>
      </w:r>
    </w:p>
    <w:p>
      <w:pPr>
        <w:pStyle w:val="ListBullet"/>
      </w:pPr>
      <w:r>
        <w:rPr>
          <w:b/>
          <w:color w:val="006400"/>
          <w:sz w:val="18"/>
        </w:rPr>
        <w:t xml:space="preserve">#3 UNLC </w:t>
      </w:r>
      <w:r>
        <w:rPr>
          <w:sz w:val="17"/>
        </w:rPr>
        <w:t>(UNLC - UNILEVER COTE D'IVOIRE) — hausse significative (+12.3%) — potentiel de revalorisation notable. Trajectoire : 📈 Hausse continue. Cours actuel : 54,350 FCFA → prédit J+10 : 61,032 FCFA. ⚠️ Confiance limitée — volatilité élevée ou données insuffisantes. Résultat indicatif uniquement.</w:t>
      </w:r>
    </w:p>
    <w:p>
      <w:pPr>
        <w:pStyle w:val="ListBullet"/>
      </w:pPr>
      <w:r>
        <w:rPr>
          <w:b/>
          <w:color w:val="006400"/>
          <w:sz w:val="18"/>
        </w:rPr>
        <w:t xml:space="preserve">#4 STBC </w:t>
      </w:r>
      <w:r>
        <w:rPr>
          <w:sz w:val="17"/>
        </w:rPr>
        <w:t>(STBC - SITAB COTE D'IVOIRE) — hausse significative (+10.6%) — potentiel de revalorisation notable. Trajectoire : 📈 Hausse continue. Cours actuel : 22,100 FCFA → prédit J+10 : 24,436 FCFA. ⚠️ Confiance limitée — volatilité élevée ou données insuffisantes. Résultat indicatif uniquement.</w:t>
      </w:r>
    </w:p>
    <w:p>
      <w:pPr>
        <w:pStyle w:val="ListBullet"/>
      </w:pPr>
      <w:r>
        <w:rPr>
          <w:b/>
          <w:color w:val="006400"/>
          <w:sz w:val="18"/>
        </w:rPr>
        <w:t xml:space="preserve">#5 FTSC </w:t>
      </w:r>
      <w:r>
        <w:rPr>
          <w:sz w:val="17"/>
        </w:rPr>
        <w:t>(FTSC - FILTISAC COTE D'IVOIRE) — légère hausse (+4.5%) — progression graduelle attendue. Trajectoire : 📈 Hausse continue. Cours actuel : 2,150 FCFA → prédit J+10 : 2,247 FCFA. ⚠️ Confiance limitée — volatilité élevée ou données insuffisantes. Résultat indicatif uniquement.</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SAFC — SAFCA CI</w:t>
            </w:r>
          </w:p>
        </w:tc>
        <w:tc>
          <w:tcPr>
            <w:tcW w:type="dxa" w:w="1701"/>
            <w:shd w:fill="FFFFFF" w:val="clear"/>
          </w:tcPr>
          <w:p>
            <w:r>
              <w:rPr>
                <w:sz w:val="16"/>
              </w:rPr>
              <w:t>SERVICES FINANCIERS</w:t>
            </w:r>
          </w:p>
        </w:tc>
        <w:tc>
          <w:tcPr>
            <w:tcW w:type="dxa" w:w="1417"/>
            <w:shd w:fill="FFFFFF" w:val="clear"/>
          </w:tcPr>
          <w:p>
            <w:r>
              <w:rPr>
                <w:sz w:val="16"/>
              </w:rPr>
              <w:t>6,070 FCFA</w:t>
            </w:r>
          </w:p>
        </w:tc>
        <w:tc>
          <w:tcPr>
            <w:tcW w:type="dxa" w:w="1417"/>
            <w:shd w:fill="FFFFFF" w:val="clear"/>
          </w:tcPr>
          <w:p>
            <w:r>
              <w:rPr>
                <w:sz w:val="16"/>
              </w:rPr>
              <w:t>2,784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FFC7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3,565 FCFA</w:t>
            </w:r>
          </w:p>
        </w:tc>
        <w:tc>
          <w:tcPr>
            <w:tcW w:type="dxa" w:w="1417"/>
            <w:shd w:fill="FFFFFF" w:val="clear"/>
          </w:tcPr>
          <w:p>
            <w:r>
              <w:rPr>
                <w:sz w:val="16"/>
              </w:rPr>
              <w:t>1,635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ETIT — ETIT - Ecobank Transnational Incorp...</w:t>
            </w:r>
          </w:p>
        </w:tc>
        <w:tc>
          <w:tcPr>
            <w:tcW w:type="dxa" w:w="1701"/>
            <w:shd w:fill="FFFFFF" w:val="clear"/>
          </w:tcPr>
          <w:p>
            <w:r>
              <w:rPr>
                <w:sz w:val="16"/>
              </w:rPr>
              <w:t>SERVICES FINANCIERS</w:t>
            </w:r>
          </w:p>
        </w:tc>
        <w:tc>
          <w:tcPr>
            <w:tcW w:type="dxa" w:w="1417"/>
            <w:shd w:fill="FFFFFF" w:val="clear"/>
          </w:tcPr>
          <w:p>
            <w:r>
              <w:rPr>
                <w:sz w:val="16"/>
              </w:rPr>
              <w:t>71 FCFA</w:t>
            </w:r>
          </w:p>
        </w:tc>
        <w:tc>
          <w:tcPr>
            <w:tcW w:type="dxa" w:w="1417"/>
            <w:shd w:fill="FFFFFF" w:val="clear"/>
          </w:tcPr>
          <w:p>
            <w:r>
              <w:rPr>
                <w:sz w:val="16"/>
              </w:rPr>
              <w:t>33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CIEC — CIEC - Compagnie Ivoirienne d'Elect...</w:t>
            </w:r>
          </w:p>
        </w:tc>
        <w:tc>
          <w:tcPr>
            <w:tcW w:type="dxa" w:w="1701"/>
            <w:shd w:fill="FFFFFF" w:val="clear"/>
          </w:tcPr>
          <w:p>
            <w:r>
              <w:rPr>
                <w:sz w:val="16"/>
              </w:rPr>
              <w:t>SERVICES PUBLICS</w:t>
            </w:r>
          </w:p>
        </w:tc>
        <w:tc>
          <w:tcPr>
            <w:tcW w:type="dxa" w:w="1417"/>
            <w:shd w:fill="FFFFFF" w:val="clear"/>
          </w:tcPr>
          <w:p>
            <w:r>
              <w:rPr>
                <w:sz w:val="16"/>
              </w:rPr>
              <w:t>6,700 FCFA</w:t>
            </w:r>
          </w:p>
        </w:tc>
        <w:tc>
          <w:tcPr>
            <w:tcW w:type="dxa" w:w="1417"/>
            <w:shd w:fill="FFFFFF" w:val="clear"/>
          </w:tcPr>
          <w:p>
            <w:r>
              <w:rPr>
                <w:sz w:val="16"/>
              </w:rPr>
              <w:t>3,229 FCFA</w:t>
            </w:r>
          </w:p>
        </w:tc>
        <w:tc>
          <w:tcPr>
            <w:tcW w:type="dxa" w:w="1134"/>
            <w:shd w:fill="FFC7CE" w:val="clear"/>
          </w:tcPr>
          <w:p>
            <w:r>
              <w:rPr>
                <w:b/>
                <w:color w:val="B40000"/>
                <w:sz w:val="16"/>
              </w:rPr>
              <w:t>-51.81%</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NEIC — NEIC - NEI-CEDA CI</w:t>
            </w:r>
          </w:p>
        </w:tc>
        <w:tc>
          <w:tcPr>
            <w:tcW w:type="dxa" w:w="1701"/>
            <w:shd w:fill="FFFFFF" w:val="clear"/>
          </w:tcPr>
          <w:p>
            <w:r>
              <w:rPr>
                <w:sz w:val="16"/>
              </w:rPr>
              <w:t>CONSOMMATION DISCRET</w:t>
            </w:r>
          </w:p>
        </w:tc>
        <w:tc>
          <w:tcPr>
            <w:tcW w:type="dxa" w:w="1417"/>
            <w:shd w:fill="FFFFFF" w:val="clear"/>
          </w:tcPr>
          <w:p>
            <w:r>
              <w:rPr>
                <w:sz w:val="16"/>
              </w:rPr>
              <w:t>3,000 FCFA</w:t>
            </w:r>
          </w:p>
        </w:tc>
        <w:tc>
          <w:tcPr>
            <w:tcW w:type="dxa" w:w="1417"/>
            <w:shd w:fill="FFFFFF" w:val="clear"/>
          </w:tcPr>
          <w:p>
            <w:r>
              <w:rPr>
                <w:sz w:val="16"/>
              </w:rPr>
              <w:t>1,521 FCFA</w:t>
            </w:r>
          </w:p>
        </w:tc>
        <w:tc>
          <w:tcPr>
            <w:tcW w:type="dxa" w:w="1134"/>
            <w:shd w:fill="FFC7CE" w:val="clear"/>
          </w:tcPr>
          <w:p>
            <w:r>
              <w:rPr>
                <w:b/>
                <w:color w:val="B40000"/>
                <w:sz w:val="16"/>
              </w:rPr>
              <w:t>-49.29%</w:t>
            </w:r>
          </w:p>
        </w:tc>
        <w:tc>
          <w:tcPr>
            <w:tcW w:type="dxa" w:w="1020"/>
            <w:shd w:fill="FFC7CE" w:val="clear"/>
          </w:tcPr>
          <w:p>
            <w:r>
              <w:rPr>
                <w:sz w:val="16"/>
              </w:rPr>
              <w:t>Faible</w:t>
            </w:r>
          </w:p>
        </w:tc>
      </w:tr>
    </w:tbl>
    <w:p/>
    <w:p>
      <w:pPr>
        <w:pStyle w:val="ListBullet"/>
      </w:pPr>
      <w:r>
        <w:rPr>
          <w:b/>
          <w:color w:val="B40000"/>
          <w:sz w:val="18"/>
        </w:rPr>
        <w:t xml:space="preserve">#1 SAFC </w:t>
      </w:r>
      <w:r>
        <w:rPr>
          <w:sz w:val="17"/>
        </w:rPr>
        <w:t>(SAFCA CI) — baisse très forte (-54.1%) — amplitude potentiellement surestimée par le modèle. Trajectoire : 📉 Baisse continue. Cours actuel : 6,070 FCFA → prédit J+10 : 2,784 FCFA. ⚠️ Confiance limitée — volatilité élevée. Ne pas agir sur ce seul signal.</w:t>
      </w:r>
    </w:p>
    <w:p>
      <w:pPr>
        <w:pStyle w:val="ListBullet"/>
      </w:pPr>
      <w:r>
        <w:rPr>
          <w:b/>
          <w:color w:val="B40000"/>
          <w:sz w:val="18"/>
        </w:rPr>
        <w:t xml:space="preserve">#2 SCRC </w:t>
      </w:r>
      <w:r>
        <w:rPr>
          <w:sz w:val="17"/>
        </w:rPr>
        <w:t>(SCRC - SUCRIVOIRE) — baisse très forte (-54.1%) — amplitude potentiellement surestimée par le modèle. Trajectoire : 📉 Baisse continue. Cours actuel : 3,565 FCFA → prédit J+10 : 1,635 FCFA. ⚠️ Confiance limitée — volatilité élevée. Ne pas agir sur ce seul signal.</w:t>
      </w:r>
    </w:p>
    <w:p>
      <w:pPr>
        <w:pStyle w:val="ListBullet"/>
      </w:pPr>
      <w:r>
        <w:rPr>
          <w:b/>
          <w:color w:val="B40000"/>
          <w:sz w:val="18"/>
        </w:rPr>
        <w:t xml:space="preserve">#3 ETIT </w:t>
      </w:r>
      <w:r>
        <w:rPr>
          <w:sz w:val="17"/>
        </w:rPr>
        <w:t>(ETIT - Ecobank Transnational Incorporate) — baisse très forte (-54.1%) — amplitude potentiellement surestimée par le modèle. Trajectoire : 📉 Baisse continue. Cours actuel : 71 FCFA → prédit J+10 : 33 FCFA. ⚠️ Confiance limitée — volatilité élevée. Ne pas agir sur ce seul signal.</w:t>
      </w:r>
    </w:p>
    <w:p>
      <w:pPr>
        <w:pStyle w:val="ListBullet"/>
      </w:pPr>
      <w:r>
        <w:rPr>
          <w:b/>
          <w:color w:val="B40000"/>
          <w:sz w:val="18"/>
        </w:rPr>
        <w:t xml:space="preserve">#4 CIEC </w:t>
      </w:r>
      <w:r>
        <w:rPr>
          <w:sz w:val="17"/>
        </w:rPr>
        <w:t>(CIEC - Compagnie Ivoirienne d'Electricit) — baisse très forte (-51.8%) — amplitude potentiellement surestimée par le modèle. Trajectoire : 📉 Baisse continue. Cours actuel : 6,700 FCFA → prédit J+10 : 3,229 FCFA. ⚠️ Confiance limitée — volatilité élevée. Ne pas agir sur ce seul signal.</w:t>
      </w:r>
    </w:p>
    <w:p>
      <w:pPr>
        <w:pStyle w:val="ListBullet"/>
      </w:pPr>
      <w:r>
        <w:rPr>
          <w:b/>
          <w:color w:val="B40000"/>
          <w:sz w:val="18"/>
        </w:rPr>
        <w:t xml:space="preserve">#5 NEIC </w:t>
      </w:r>
      <w:r>
        <w:rPr>
          <w:sz w:val="17"/>
        </w:rPr>
        <w:t>(NEIC - NEI-CEDA CI) — baisse très forte (-49.3%) — amplitude potentiellement surestimée par le modèle. Trajectoire : 📉 Baisse continue. Cours actuel : 3,000 FCFA → prédit J+10 : 1,521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3,540</w:t>
            </w:r>
          </w:p>
        </w:tc>
        <w:tc>
          <w:tcPr>
            <w:tcW w:type="dxa" w:w="1417"/>
            <w:shd w:fill="FFFFFF" w:val="clear"/>
          </w:tcPr>
          <w:p>
            <w:r>
              <w:rPr>
                <w:sz w:val="16"/>
              </w:rPr>
              <w:t>6,273</w:t>
            </w:r>
          </w:p>
        </w:tc>
        <w:tc>
          <w:tcPr>
            <w:tcW w:type="dxa" w:w="1134"/>
            <w:shd w:fill="C6EFCE" w:val="clear"/>
          </w:tcPr>
          <w:p>
            <w:r>
              <w:rPr>
                <w:b/>
                <w:color w:val="007800"/>
                <w:sz w:val="16"/>
              </w:rPr>
              <w:t>+77.21%</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23,150</w:t>
            </w:r>
          </w:p>
        </w:tc>
        <w:tc>
          <w:tcPr>
            <w:tcW w:type="dxa" w:w="1417"/>
            <w:shd w:fill="FFFFFF" w:val="clear"/>
          </w:tcPr>
          <w:p>
            <w:r>
              <w:rPr>
                <w:sz w:val="16"/>
              </w:rPr>
              <w:t>27,147</w:t>
            </w:r>
          </w:p>
        </w:tc>
        <w:tc>
          <w:tcPr>
            <w:tcW w:type="dxa" w:w="1134"/>
            <w:shd w:fill="C6EFCE" w:val="clear"/>
          </w:tcPr>
          <w:p>
            <w:r>
              <w:rPr>
                <w:b/>
                <w:color w:val="007800"/>
                <w:sz w:val="16"/>
              </w:rPr>
              <w:t>+17.27%</w:t>
            </w:r>
          </w:p>
        </w:tc>
        <w:tc>
          <w:tcPr>
            <w:tcW w:type="dxa" w:w="1134"/>
            <w:shd w:fill="FFEB9C" w:val="clear"/>
          </w:tcPr>
          <w:p>
            <w:r>
              <w:rPr>
                <w:sz w:val="16"/>
              </w:rPr>
              <w:t>Moyenne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54,350</w:t>
            </w:r>
          </w:p>
        </w:tc>
        <w:tc>
          <w:tcPr>
            <w:tcW w:type="dxa" w:w="1417"/>
            <w:shd w:fill="FFFFFF" w:val="clear"/>
          </w:tcPr>
          <w:p>
            <w:r>
              <w:rPr>
                <w:sz w:val="16"/>
              </w:rPr>
              <w:t>61,032</w:t>
            </w:r>
          </w:p>
        </w:tc>
        <w:tc>
          <w:tcPr>
            <w:tcW w:type="dxa" w:w="1134"/>
            <w:shd w:fill="C6EFCE" w:val="clear"/>
          </w:tcPr>
          <w:p>
            <w:r>
              <w:rPr>
                <w:b/>
                <w:color w:val="007800"/>
                <w:sz w:val="16"/>
              </w:rPr>
              <w:t>+12.30%</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22,100</w:t>
            </w:r>
          </w:p>
        </w:tc>
        <w:tc>
          <w:tcPr>
            <w:tcW w:type="dxa" w:w="1417"/>
            <w:shd w:fill="FFFFFF" w:val="clear"/>
          </w:tcPr>
          <w:p>
            <w:r>
              <w:rPr>
                <w:sz w:val="16"/>
              </w:rPr>
              <w:t>24,436</w:t>
            </w:r>
          </w:p>
        </w:tc>
        <w:tc>
          <w:tcPr>
            <w:tcW w:type="dxa" w:w="1134"/>
            <w:shd w:fill="C6EFCE" w:val="clear"/>
          </w:tcPr>
          <w:p>
            <w:r>
              <w:rPr>
                <w:b/>
                <w:color w:val="007800"/>
                <w:sz w:val="16"/>
              </w:rPr>
              <w:t>+10.57%</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2,150</w:t>
            </w:r>
          </w:p>
        </w:tc>
        <w:tc>
          <w:tcPr>
            <w:tcW w:type="dxa" w:w="1417"/>
            <w:shd w:fill="FFFFFF" w:val="clear"/>
          </w:tcPr>
          <w:p>
            <w:r>
              <w:rPr>
                <w:sz w:val="16"/>
              </w:rPr>
              <w:t>2,247</w:t>
            </w:r>
          </w:p>
        </w:tc>
        <w:tc>
          <w:tcPr>
            <w:tcW w:type="dxa" w:w="1134"/>
            <w:shd w:fill="C6EFCE" w:val="clear"/>
          </w:tcPr>
          <w:p>
            <w:r>
              <w:rPr>
                <w:b/>
                <w:color w:val="007800"/>
                <w:sz w:val="16"/>
              </w:rPr>
              <w:t>+4.49%</w:t>
            </w:r>
          </w:p>
        </w:tc>
        <w:tc>
          <w:tcPr>
            <w:tcW w:type="dxa" w:w="1134"/>
            <w:shd w:fill="FFC7CE" w:val="clear"/>
          </w:tcPr>
          <w:p>
            <w:r>
              <w:rPr>
                <w:sz w:val="16"/>
              </w:rPr>
              <w:t>Faible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9,000</w:t>
            </w:r>
          </w:p>
        </w:tc>
        <w:tc>
          <w:tcPr>
            <w:tcW w:type="dxa" w:w="1417"/>
            <w:shd w:fill="FFFFFF" w:val="clear"/>
          </w:tcPr>
          <w:p>
            <w:r>
              <w:rPr>
                <w:sz w:val="16"/>
              </w:rPr>
              <w:t>9,351</w:t>
            </w:r>
          </w:p>
        </w:tc>
        <w:tc>
          <w:tcPr>
            <w:tcW w:type="dxa" w:w="1134"/>
            <w:shd w:fill="C6EFCE" w:val="clear"/>
          </w:tcPr>
          <w:p>
            <w:r>
              <w:rPr>
                <w:b/>
                <w:color w:val="007800"/>
                <w:sz w:val="16"/>
              </w:rPr>
              <w:t>+3.90%</w:t>
            </w:r>
          </w:p>
        </w:tc>
        <w:tc>
          <w:tcPr>
            <w:tcW w:type="dxa" w:w="1134"/>
            <w:shd w:fill="FFEB9C" w:val="clear"/>
          </w:tcPr>
          <w:p>
            <w:r>
              <w:rPr>
                <w:sz w:val="16"/>
              </w:rPr>
              <w:t>Moyenne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4,050</w:t>
            </w:r>
          </w:p>
        </w:tc>
        <w:tc>
          <w:tcPr>
            <w:tcW w:type="dxa" w:w="1417"/>
            <w:shd w:fill="FFFFFF" w:val="clear"/>
          </w:tcPr>
          <w:p>
            <w:r>
              <w:rPr>
                <w:sz w:val="16"/>
              </w:rPr>
              <w:t>4,079</w:t>
            </w:r>
          </w:p>
        </w:tc>
        <w:tc>
          <w:tcPr>
            <w:tcW w:type="dxa" w:w="1134"/>
            <w:shd w:fill="FFEB9C" w:val="clear"/>
          </w:tcPr>
          <w:p>
            <w:r>
              <w:rPr>
                <w:b/>
                <w:color w:val="646400"/>
                <w:sz w:val="16"/>
              </w:rPr>
              <w:t>+0.72%</w:t>
            </w:r>
          </w:p>
        </w:tc>
        <w:tc>
          <w:tcPr>
            <w:tcW w:type="dxa" w:w="1134"/>
            <w:shd w:fill="FFC7CE" w:val="clear"/>
          </w:tcPr>
          <w:p>
            <w:r>
              <w:rPr>
                <w:sz w:val="16"/>
              </w:rPr>
              <w:t>Faible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8,800</w:t>
            </w:r>
          </w:p>
        </w:tc>
        <w:tc>
          <w:tcPr>
            <w:tcW w:type="dxa" w:w="1417"/>
            <w:shd w:fill="FFFFFF" w:val="clear"/>
          </w:tcPr>
          <w:p>
            <w:r>
              <w:rPr>
                <w:sz w:val="16"/>
              </w:rPr>
              <w:t>8,807</w:t>
            </w:r>
          </w:p>
        </w:tc>
        <w:tc>
          <w:tcPr>
            <w:tcW w:type="dxa" w:w="1134"/>
            <w:shd w:fill="FFEB9C" w:val="clear"/>
          </w:tcPr>
          <w:p>
            <w:r>
              <w:rPr>
                <w:b/>
                <w:color w:val="646400"/>
                <w:sz w:val="16"/>
              </w:rPr>
              <w:t>+0.08%</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37,250</w:t>
            </w:r>
          </w:p>
        </w:tc>
        <w:tc>
          <w:tcPr>
            <w:tcW w:type="dxa" w:w="1417"/>
            <w:shd w:fill="FFFFFF" w:val="clear"/>
          </w:tcPr>
          <w:p>
            <w:r>
              <w:rPr>
                <w:sz w:val="16"/>
              </w:rPr>
              <w:t>37,216</w:t>
            </w:r>
          </w:p>
        </w:tc>
        <w:tc>
          <w:tcPr>
            <w:tcW w:type="dxa" w:w="1134"/>
            <w:shd w:fill="FFEB9C" w:val="clear"/>
          </w:tcPr>
          <w:p>
            <w:r>
              <w:rPr>
                <w:b/>
                <w:color w:val="646400"/>
                <w:sz w:val="16"/>
              </w:rPr>
              <w:t>-0.09%</w:t>
            </w:r>
          </w:p>
        </w:tc>
        <w:tc>
          <w:tcPr>
            <w:tcW w:type="dxa" w:w="1134"/>
            <w:shd w:fill="FFC7CE" w:val="clear"/>
          </w:tcPr>
          <w:p>
            <w:r>
              <w:rPr>
                <w:sz w:val="16"/>
              </w:rPr>
              <w:t>Faible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2,175</w:t>
            </w:r>
          </w:p>
        </w:tc>
        <w:tc>
          <w:tcPr>
            <w:tcW w:type="dxa" w:w="1417"/>
            <w:shd w:fill="FFFFFF" w:val="clear"/>
          </w:tcPr>
          <w:p>
            <w:r>
              <w:rPr>
                <w:sz w:val="16"/>
              </w:rPr>
              <w:t>2,128</w:t>
            </w:r>
          </w:p>
        </w:tc>
        <w:tc>
          <w:tcPr>
            <w:tcW w:type="dxa" w:w="1134"/>
            <w:shd w:fill="FFC7CE" w:val="clear"/>
          </w:tcPr>
          <w:p>
            <w:r>
              <w:rPr>
                <w:b/>
                <w:color w:val="B40000"/>
                <w:sz w:val="16"/>
              </w:rPr>
              <w:t>-2.15%</w:t>
            </w:r>
          </w:p>
        </w:tc>
        <w:tc>
          <w:tcPr>
            <w:tcW w:type="dxa" w:w="1134"/>
            <w:shd w:fill="FFC7CE" w:val="clear"/>
          </w:tcPr>
          <w:p>
            <w:r>
              <w:rPr>
                <w:sz w:val="16"/>
              </w:rPr>
              <w:t>Faible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2,920</w:t>
            </w:r>
          </w:p>
        </w:tc>
        <w:tc>
          <w:tcPr>
            <w:tcW w:type="dxa" w:w="1417"/>
            <w:shd w:fill="FFFFFF" w:val="clear"/>
          </w:tcPr>
          <w:p>
            <w:r>
              <w:rPr>
                <w:sz w:val="16"/>
              </w:rPr>
              <w:t>2,849</w:t>
            </w:r>
          </w:p>
        </w:tc>
        <w:tc>
          <w:tcPr>
            <w:tcW w:type="dxa" w:w="1134"/>
            <w:shd w:fill="FFC7CE" w:val="clear"/>
          </w:tcPr>
          <w:p>
            <w:r>
              <w:rPr>
                <w:b/>
                <w:color w:val="B40000"/>
                <w:sz w:val="16"/>
              </w:rPr>
              <w:t>-2.44%</w:t>
            </w:r>
          </w:p>
        </w:tc>
        <w:tc>
          <w:tcPr>
            <w:tcW w:type="dxa" w:w="1134"/>
            <w:shd w:fill="FFC7CE" w:val="clear"/>
          </w:tcPr>
          <w:p>
            <w:r>
              <w:rPr>
                <w:sz w:val="16"/>
              </w:rPr>
              <w:t>Faible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5,450</w:t>
            </w:r>
          </w:p>
        </w:tc>
        <w:tc>
          <w:tcPr>
            <w:tcW w:type="dxa" w:w="1417"/>
            <w:shd w:fill="FFFFFF" w:val="clear"/>
          </w:tcPr>
          <w:p>
            <w:r>
              <w:rPr>
                <w:sz w:val="16"/>
              </w:rPr>
              <w:t>5,298</w:t>
            </w:r>
          </w:p>
        </w:tc>
        <w:tc>
          <w:tcPr>
            <w:tcW w:type="dxa" w:w="1134"/>
            <w:shd w:fill="FFC7CE" w:val="clear"/>
          </w:tcPr>
          <w:p>
            <w:r>
              <w:rPr>
                <w:b/>
                <w:color w:val="B40000"/>
                <w:sz w:val="16"/>
              </w:rPr>
              <w:t>-2.78%</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38,500</w:t>
            </w:r>
          </w:p>
        </w:tc>
        <w:tc>
          <w:tcPr>
            <w:tcW w:type="dxa" w:w="1417"/>
            <w:shd w:fill="FFFFFF" w:val="clear"/>
          </w:tcPr>
          <w:p>
            <w:r>
              <w:rPr>
                <w:sz w:val="16"/>
              </w:rPr>
              <w:t>37,340</w:t>
            </w:r>
          </w:p>
        </w:tc>
        <w:tc>
          <w:tcPr>
            <w:tcW w:type="dxa" w:w="1134"/>
            <w:shd w:fill="FFC7CE" w:val="clear"/>
          </w:tcPr>
          <w:p>
            <w:r>
              <w:rPr>
                <w:b/>
                <w:color w:val="B40000"/>
                <w:sz w:val="16"/>
              </w:rPr>
              <w:t>-3.01%</w:t>
            </w:r>
          </w:p>
        </w:tc>
        <w:tc>
          <w:tcPr>
            <w:tcW w:type="dxa" w:w="1134"/>
            <w:shd w:fill="FFEB9C" w:val="clear"/>
          </w:tcPr>
          <w:p>
            <w:r>
              <w:rPr>
                <w:sz w:val="16"/>
              </w:rPr>
              <w:t>Moyenne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17,725</w:t>
            </w:r>
          </w:p>
        </w:tc>
        <w:tc>
          <w:tcPr>
            <w:tcW w:type="dxa" w:w="1417"/>
            <w:shd w:fill="FFFFFF" w:val="clear"/>
          </w:tcPr>
          <w:p>
            <w:r>
              <w:rPr>
                <w:sz w:val="16"/>
              </w:rPr>
              <w:t>17,086</w:t>
            </w:r>
          </w:p>
        </w:tc>
        <w:tc>
          <w:tcPr>
            <w:tcW w:type="dxa" w:w="1134"/>
            <w:shd w:fill="FFC7CE" w:val="clear"/>
          </w:tcPr>
          <w:p>
            <w:r>
              <w:rPr>
                <w:b/>
                <w:color w:val="B40000"/>
                <w:sz w:val="16"/>
              </w:rPr>
              <w:t>-3.60%</w:t>
            </w:r>
          </w:p>
        </w:tc>
        <w:tc>
          <w:tcPr>
            <w:tcW w:type="dxa" w:w="1134"/>
            <w:shd w:fill="FFEB9C" w:val="clear"/>
          </w:tcPr>
          <w:p>
            <w:r>
              <w:rPr>
                <w:sz w:val="16"/>
              </w:rPr>
              <w:t>Moyenne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3,335</w:t>
            </w:r>
          </w:p>
        </w:tc>
        <w:tc>
          <w:tcPr>
            <w:tcW w:type="dxa" w:w="1417"/>
            <w:shd w:fill="FFFFFF" w:val="clear"/>
          </w:tcPr>
          <w:p>
            <w:r>
              <w:rPr>
                <w:sz w:val="16"/>
              </w:rPr>
              <w:t>3,212</w:t>
            </w:r>
          </w:p>
        </w:tc>
        <w:tc>
          <w:tcPr>
            <w:tcW w:type="dxa" w:w="1134"/>
            <w:shd w:fill="FFC7CE" w:val="clear"/>
          </w:tcPr>
          <w:p>
            <w:r>
              <w:rPr>
                <w:b/>
                <w:color w:val="B40000"/>
                <w:sz w:val="16"/>
              </w:rPr>
              <w:t>-3.69%</w:t>
            </w:r>
          </w:p>
        </w:tc>
        <w:tc>
          <w:tcPr>
            <w:tcW w:type="dxa" w:w="1134"/>
            <w:shd w:fill="FFEB9C" w:val="clear"/>
          </w:tcPr>
          <w:p>
            <w:r>
              <w:rPr>
                <w:sz w:val="16"/>
              </w:rPr>
              <w:t>Moyenne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3,370</w:t>
            </w:r>
          </w:p>
        </w:tc>
        <w:tc>
          <w:tcPr>
            <w:tcW w:type="dxa" w:w="1417"/>
            <w:shd w:fill="FFFFFF" w:val="clear"/>
          </w:tcPr>
          <w:p>
            <w:r>
              <w:rPr>
                <w:sz w:val="16"/>
              </w:rPr>
              <w:t>3,241</w:t>
            </w:r>
          </w:p>
        </w:tc>
        <w:tc>
          <w:tcPr>
            <w:tcW w:type="dxa" w:w="1134"/>
            <w:shd w:fill="FFC7CE" w:val="clear"/>
          </w:tcPr>
          <w:p>
            <w:r>
              <w:rPr>
                <w:b/>
                <w:color w:val="B40000"/>
                <w:sz w:val="16"/>
              </w:rPr>
              <w:t>-3.83%</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4,350</w:t>
            </w:r>
          </w:p>
        </w:tc>
        <w:tc>
          <w:tcPr>
            <w:tcW w:type="dxa" w:w="1417"/>
            <w:shd w:fill="FFFFFF" w:val="clear"/>
          </w:tcPr>
          <w:p>
            <w:r>
              <w:rPr>
                <w:sz w:val="16"/>
              </w:rPr>
              <w:t>4,171</w:t>
            </w:r>
          </w:p>
        </w:tc>
        <w:tc>
          <w:tcPr>
            <w:tcW w:type="dxa" w:w="1134"/>
            <w:shd w:fill="FFC7CE" w:val="clear"/>
          </w:tcPr>
          <w:p>
            <w:r>
              <w:rPr>
                <w:b/>
                <w:color w:val="B40000"/>
                <w:sz w:val="16"/>
              </w:rPr>
              <w:t>-4.12%</w:t>
            </w:r>
          </w:p>
        </w:tc>
        <w:tc>
          <w:tcPr>
            <w:tcW w:type="dxa" w:w="1134"/>
            <w:shd w:fill="FFEB9C" w:val="clear"/>
          </w:tcPr>
          <w:p>
            <w:r>
              <w:rPr>
                <w:sz w:val="16"/>
              </w:rPr>
              <w:t>Moyenne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16,900</w:t>
            </w:r>
          </w:p>
        </w:tc>
        <w:tc>
          <w:tcPr>
            <w:tcW w:type="dxa" w:w="1417"/>
            <w:shd w:fill="FFFFFF" w:val="clear"/>
          </w:tcPr>
          <w:p>
            <w:r>
              <w:rPr>
                <w:sz w:val="16"/>
              </w:rPr>
              <w:t>16,074</w:t>
            </w:r>
          </w:p>
        </w:tc>
        <w:tc>
          <w:tcPr>
            <w:tcW w:type="dxa" w:w="1134"/>
            <w:shd w:fill="FFC7CE" w:val="clear"/>
          </w:tcPr>
          <w:p>
            <w:r>
              <w:rPr>
                <w:b/>
                <w:color w:val="B40000"/>
                <w:sz w:val="16"/>
              </w:rPr>
              <w:t>-4.89%</w:t>
            </w:r>
          </w:p>
        </w:tc>
        <w:tc>
          <w:tcPr>
            <w:tcW w:type="dxa" w:w="1134"/>
            <w:shd w:fill="FFC7CE" w:val="clear"/>
          </w:tcPr>
          <w:p>
            <w:r>
              <w:rPr>
                <w:sz w:val="16"/>
              </w:rPr>
              <w:t>Faible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17,500</w:t>
            </w:r>
          </w:p>
        </w:tc>
        <w:tc>
          <w:tcPr>
            <w:tcW w:type="dxa" w:w="1417"/>
            <w:shd w:fill="FFFFFF" w:val="clear"/>
          </w:tcPr>
          <w:p>
            <w:r>
              <w:rPr>
                <w:sz w:val="16"/>
              </w:rPr>
              <w:t>16,616</w:t>
            </w:r>
          </w:p>
        </w:tc>
        <w:tc>
          <w:tcPr>
            <w:tcW w:type="dxa" w:w="1134"/>
            <w:shd w:fill="FFC7CE" w:val="clear"/>
          </w:tcPr>
          <w:p>
            <w:r>
              <w:rPr>
                <w:b/>
                <w:color w:val="B40000"/>
                <w:sz w:val="16"/>
              </w:rPr>
              <w:t>-5.05%</w:t>
            </w:r>
          </w:p>
        </w:tc>
        <w:tc>
          <w:tcPr>
            <w:tcW w:type="dxa" w:w="1134"/>
            <w:shd w:fill="FFEB9C" w:val="clear"/>
          </w:tcPr>
          <w:p>
            <w:r>
              <w:rPr>
                <w:sz w:val="16"/>
              </w:rPr>
              <w:t>Moyenne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10,015</w:t>
            </w:r>
          </w:p>
        </w:tc>
        <w:tc>
          <w:tcPr>
            <w:tcW w:type="dxa" w:w="1417"/>
            <w:shd w:fill="FFFFFF" w:val="clear"/>
          </w:tcPr>
          <w:p>
            <w:r>
              <w:rPr>
                <w:sz w:val="16"/>
              </w:rPr>
              <w:t>9,438</w:t>
            </w:r>
          </w:p>
        </w:tc>
        <w:tc>
          <w:tcPr>
            <w:tcW w:type="dxa" w:w="1134"/>
            <w:shd w:fill="FFC7CE" w:val="clear"/>
          </w:tcPr>
          <w:p>
            <w:r>
              <w:rPr>
                <w:b/>
                <w:color w:val="B40000"/>
                <w:sz w:val="16"/>
              </w:rPr>
              <w:t>-5.76%</w:t>
            </w:r>
          </w:p>
        </w:tc>
        <w:tc>
          <w:tcPr>
            <w:tcW w:type="dxa" w:w="1134"/>
            <w:shd w:fill="FFC7CE" w:val="clear"/>
          </w:tcPr>
          <w:p>
            <w:r>
              <w:rPr>
                <w:sz w:val="16"/>
              </w:rPr>
              <w:t>Faible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2,405</w:t>
            </w:r>
          </w:p>
        </w:tc>
        <w:tc>
          <w:tcPr>
            <w:tcW w:type="dxa" w:w="1417"/>
            <w:shd w:fill="FFFFFF" w:val="clear"/>
          </w:tcPr>
          <w:p>
            <w:r>
              <w:rPr>
                <w:sz w:val="16"/>
              </w:rPr>
              <w:t>2,262</w:t>
            </w:r>
          </w:p>
        </w:tc>
        <w:tc>
          <w:tcPr>
            <w:tcW w:type="dxa" w:w="1134"/>
            <w:shd w:fill="FFC7CE" w:val="clear"/>
          </w:tcPr>
          <w:p>
            <w:r>
              <w:rPr>
                <w:b/>
                <w:color w:val="B40000"/>
                <w:sz w:val="16"/>
              </w:rPr>
              <w:t>-5.94%</w:t>
            </w:r>
          </w:p>
        </w:tc>
        <w:tc>
          <w:tcPr>
            <w:tcW w:type="dxa" w:w="1134"/>
            <w:shd w:fill="FFC7CE" w:val="clear"/>
          </w:tcPr>
          <w:p>
            <w:r>
              <w:rPr>
                <w:sz w:val="16"/>
              </w:rPr>
              <w:t>Faible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38,500</w:t>
            </w:r>
          </w:p>
        </w:tc>
        <w:tc>
          <w:tcPr>
            <w:tcW w:type="dxa" w:w="1417"/>
            <w:shd w:fill="FFFFFF" w:val="clear"/>
          </w:tcPr>
          <w:p>
            <w:r>
              <w:rPr>
                <w:sz w:val="16"/>
              </w:rPr>
              <w:t>36,131</w:t>
            </w:r>
          </w:p>
        </w:tc>
        <w:tc>
          <w:tcPr>
            <w:tcW w:type="dxa" w:w="1134"/>
            <w:shd w:fill="FFC7CE" w:val="clear"/>
          </w:tcPr>
          <w:p>
            <w:r>
              <w:rPr>
                <w:b/>
                <w:color w:val="B40000"/>
                <w:sz w:val="16"/>
              </w:rPr>
              <w:t>-6.15%</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21,010</w:t>
            </w:r>
          </w:p>
        </w:tc>
        <w:tc>
          <w:tcPr>
            <w:tcW w:type="dxa" w:w="1417"/>
            <w:shd w:fill="FFFFFF" w:val="clear"/>
          </w:tcPr>
          <w:p>
            <w:r>
              <w:rPr>
                <w:sz w:val="16"/>
              </w:rPr>
              <w:t>19,572</w:t>
            </w:r>
          </w:p>
        </w:tc>
        <w:tc>
          <w:tcPr>
            <w:tcW w:type="dxa" w:w="1134"/>
            <w:shd w:fill="FFC7CE" w:val="clear"/>
          </w:tcPr>
          <w:p>
            <w:r>
              <w:rPr>
                <w:b/>
                <w:color w:val="B40000"/>
                <w:sz w:val="16"/>
              </w:rPr>
              <w:t>-6.85%</w:t>
            </w:r>
          </w:p>
        </w:tc>
        <w:tc>
          <w:tcPr>
            <w:tcW w:type="dxa" w:w="1134"/>
            <w:shd w:fill="FFC7CE" w:val="clear"/>
          </w:tcPr>
          <w:p>
            <w:r>
              <w:rPr>
                <w:sz w:val="16"/>
              </w:rPr>
              <w:t>Faible</w:t>
            </w:r>
          </w:p>
        </w:tc>
      </w:tr>
      <w:tr>
        <w:tc>
          <w:tcPr>
            <w:tcW w:type="dxa" w:w="1020"/>
            <w:shd w:fill="FFFFFF" w:val="clear"/>
          </w:tcPr>
          <w:p>
            <w:r>
              <w:rPr>
                <w:sz w:val="16"/>
              </w:rPr>
              <w:t>SEMC</w:t>
            </w:r>
          </w:p>
        </w:tc>
        <w:tc>
          <w:tcPr>
            <w:tcW w:type="dxa" w:w="3402"/>
            <w:shd w:fill="FFFFFF" w:val="clear"/>
          </w:tcPr>
          <w:p>
            <w:r>
              <w:rPr>
                <w:sz w:val="16"/>
              </w:rPr>
              <w:t>SEMC - EVIOSYS PACKAGING SIEM CI</w:t>
            </w:r>
          </w:p>
        </w:tc>
        <w:tc>
          <w:tcPr>
            <w:tcW w:type="dxa" w:w="1417"/>
            <w:shd w:fill="FFFFFF" w:val="clear"/>
          </w:tcPr>
          <w:p>
            <w:r>
              <w:rPr>
                <w:sz w:val="16"/>
              </w:rPr>
              <w:t>1,580</w:t>
            </w:r>
          </w:p>
        </w:tc>
        <w:tc>
          <w:tcPr>
            <w:tcW w:type="dxa" w:w="1417"/>
            <w:shd w:fill="FFFFFF" w:val="clear"/>
          </w:tcPr>
          <w:p>
            <w:r>
              <w:rPr>
                <w:sz w:val="16"/>
              </w:rPr>
              <w:t>1,372</w:t>
            </w:r>
          </w:p>
        </w:tc>
        <w:tc>
          <w:tcPr>
            <w:tcW w:type="dxa" w:w="1134"/>
            <w:shd w:fill="FFC7CE" w:val="clear"/>
          </w:tcPr>
          <w:p>
            <w:r>
              <w:rPr>
                <w:b/>
                <w:color w:val="B40000"/>
                <w:sz w:val="16"/>
              </w:rPr>
              <w:t>-13.19%</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3,205</w:t>
            </w:r>
          </w:p>
        </w:tc>
        <w:tc>
          <w:tcPr>
            <w:tcW w:type="dxa" w:w="1417"/>
            <w:shd w:fill="FFFFFF" w:val="clear"/>
          </w:tcPr>
          <w:p>
            <w:r>
              <w:rPr>
                <w:sz w:val="16"/>
              </w:rPr>
              <w:t>2,761</w:t>
            </w:r>
          </w:p>
        </w:tc>
        <w:tc>
          <w:tcPr>
            <w:tcW w:type="dxa" w:w="1134"/>
            <w:shd w:fill="FFC7CE" w:val="clear"/>
          </w:tcPr>
          <w:p>
            <w:r>
              <w:rPr>
                <w:b/>
                <w:color w:val="B40000"/>
                <w:sz w:val="16"/>
              </w:rPr>
              <w:t>-13.84%</w:t>
            </w:r>
          </w:p>
        </w:tc>
        <w:tc>
          <w:tcPr>
            <w:tcW w:type="dxa" w:w="1134"/>
            <w:shd w:fill="FFC7CE" w:val="clear"/>
          </w:tcPr>
          <w:p>
            <w:r>
              <w:rPr>
                <w:sz w:val="16"/>
              </w:rPr>
              <w:t>Faible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3,840</w:t>
            </w:r>
          </w:p>
        </w:tc>
        <w:tc>
          <w:tcPr>
            <w:tcW w:type="dxa" w:w="1417"/>
            <w:shd w:fill="FFFFFF" w:val="clear"/>
          </w:tcPr>
          <w:p>
            <w:r>
              <w:rPr>
                <w:sz w:val="16"/>
              </w:rPr>
              <w:t>3,284</w:t>
            </w:r>
          </w:p>
        </w:tc>
        <w:tc>
          <w:tcPr>
            <w:tcW w:type="dxa" w:w="1134"/>
            <w:shd w:fill="FFC7CE" w:val="clear"/>
          </w:tcPr>
          <w:p>
            <w:r>
              <w:rPr>
                <w:b/>
                <w:color w:val="B40000"/>
                <w:sz w:val="16"/>
              </w:rPr>
              <w:t>-14.49%</w:t>
            </w:r>
          </w:p>
        </w:tc>
        <w:tc>
          <w:tcPr>
            <w:tcW w:type="dxa" w:w="1134"/>
            <w:shd w:fill="FFC7CE" w:val="clear"/>
          </w:tcPr>
          <w:p>
            <w:r>
              <w:rPr>
                <w:sz w:val="16"/>
              </w:rPr>
              <w:t>Faible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1,745</w:t>
            </w:r>
          </w:p>
        </w:tc>
        <w:tc>
          <w:tcPr>
            <w:tcW w:type="dxa" w:w="1417"/>
            <w:shd w:fill="FFFFFF" w:val="clear"/>
          </w:tcPr>
          <w:p>
            <w:r>
              <w:rPr>
                <w:sz w:val="16"/>
              </w:rPr>
              <w:t>1,488</w:t>
            </w:r>
          </w:p>
        </w:tc>
        <w:tc>
          <w:tcPr>
            <w:tcW w:type="dxa" w:w="1134"/>
            <w:shd w:fill="FFC7CE" w:val="clear"/>
          </w:tcPr>
          <w:p>
            <w:r>
              <w:rPr>
                <w:b/>
                <w:color w:val="B40000"/>
                <w:sz w:val="16"/>
              </w:rPr>
              <w:t>-14.71%</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8,240</w:t>
            </w:r>
          </w:p>
        </w:tc>
        <w:tc>
          <w:tcPr>
            <w:tcW w:type="dxa" w:w="1417"/>
            <w:shd w:fill="FFFFFF" w:val="clear"/>
          </w:tcPr>
          <w:p>
            <w:r>
              <w:rPr>
                <w:sz w:val="16"/>
              </w:rPr>
              <w:t>7,006</w:t>
            </w:r>
          </w:p>
        </w:tc>
        <w:tc>
          <w:tcPr>
            <w:tcW w:type="dxa" w:w="1134"/>
            <w:shd w:fill="FFC7CE" w:val="clear"/>
          </w:tcPr>
          <w:p>
            <w:r>
              <w:rPr>
                <w:b/>
                <w:color w:val="B40000"/>
                <w:sz w:val="16"/>
              </w:rPr>
              <w:t>-14.97%</w:t>
            </w:r>
          </w:p>
        </w:tc>
        <w:tc>
          <w:tcPr>
            <w:tcW w:type="dxa" w:w="1134"/>
            <w:shd w:fill="FFEB9C" w:val="clear"/>
          </w:tcPr>
          <w:p>
            <w:r>
              <w:rPr>
                <w:sz w:val="16"/>
              </w:rPr>
              <w:t>Moyenne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33,005</w:t>
            </w:r>
          </w:p>
        </w:tc>
        <w:tc>
          <w:tcPr>
            <w:tcW w:type="dxa" w:w="1417"/>
            <w:shd w:fill="FFFFFF" w:val="clear"/>
          </w:tcPr>
          <w:p>
            <w:r>
              <w:rPr>
                <w:sz w:val="16"/>
              </w:rPr>
              <w:t>27,996</w:t>
            </w:r>
          </w:p>
        </w:tc>
        <w:tc>
          <w:tcPr>
            <w:tcW w:type="dxa" w:w="1134"/>
            <w:shd w:fill="FFC7CE" w:val="clear"/>
          </w:tcPr>
          <w:p>
            <w:r>
              <w:rPr>
                <w:b/>
                <w:color w:val="B40000"/>
                <w:sz w:val="16"/>
              </w:rPr>
              <w:t>-15.18%</w:t>
            </w:r>
          </w:p>
        </w:tc>
        <w:tc>
          <w:tcPr>
            <w:tcW w:type="dxa" w:w="1134"/>
            <w:shd w:fill="FFEB9C" w:val="clear"/>
          </w:tcPr>
          <w:p>
            <w:r>
              <w:rPr>
                <w:sz w:val="16"/>
              </w:rPr>
              <w:t>Moyenne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13,500</w:t>
            </w:r>
          </w:p>
        </w:tc>
        <w:tc>
          <w:tcPr>
            <w:tcW w:type="dxa" w:w="1417"/>
            <w:shd w:fill="FFFFFF" w:val="clear"/>
          </w:tcPr>
          <w:p>
            <w:r>
              <w:rPr>
                <w:sz w:val="16"/>
              </w:rPr>
              <w:t>11,404</w:t>
            </w:r>
          </w:p>
        </w:tc>
        <w:tc>
          <w:tcPr>
            <w:tcW w:type="dxa" w:w="1134"/>
            <w:shd w:fill="FFC7CE" w:val="clear"/>
          </w:tcPr>
          <w:p>
            <w:r>
              <w:rPr>
                <w:b/>
                <w:color w:val="B40000"/>
                <w:sz w:val="16"/>
              </w:rPr>
              <w:t>-15.53%</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6,400</w:t>
            </w:r>
          </w:p>
        </w:tc>
        <w:tc>
          <w:tcPr>
            <w:tcW w:type="dxa" w:w="1417"/>
            <w:shd w:fill="FFFFFF" w:val="clear"/>
          </w:tcPr>
          <w:p>
            <w:r>
              <w:rPr>
                <w:sz w:val="16"/>
              </w:rPr>
              <w:t>5,399</w:t>
            </w:r>
          </w:p>
        </w:tc>
        <w:tc>
          <w:tcPr>
            <w:tcW w:type="dxa" w:w="1134"/>
            <w:shd w:fill="FFC7CE" w:val="clear"/>
          </w:tcPr>
          <w:p>
            <w:r>
              <w:rPr>
                <w:b/>
                <w:color w:val="B40000"/>
                <w:sz w:val="16"/>
              </w:rPr>
              <w:t>-15.63%</w:t>
            </w:r>
          </w:p>
        </w:tc>
        <w:tc>
          <w:tcPr>
            <w:tcW w:type="dxa" w:w="1134"/>
            <w:shd w:fill="FFEB9C" w:val="clear"/>
          </w:tcPr>
          <w:p>
            <w:r>
              <w:rPr>
                <w:sz w:val="16"/>
              </w:rPr>
              <w:t>Moyenne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8,880</w:t>
            </w:r>
          </w:p>
        </w:tc>
        <w:tc>
          <w:tcPr>
            <w:tcW w:type="dxa" w:w="1417"/>
            <w:shd w:fill="FFFFFF" w:val="clear"/>
          </w:tcPr>
          <w:p>
            <w:r>
              <w:rPr>
                <w:sz w:val="16"/>
              </w:rPr>
              <w:t>7,391</w:t>
            </w:r>
          </w:p>
        </w:tc>
        <w:tc>
          <w:tcPr>
            <w:tcW w:type="dxa" w:w="1134"/>
            <w:shd w:fill="FFC7CE" w:val="clear"/>
          </w:tcPr>
          <w:p>
            <w:r>
              <w:rPr>
                <w:b/>
                <w:color w:val="B40000"/>
                <w:sz w:val="16"/>
              </w:rPr>
              <w:t>-16.77%</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10,300</w:t>
            </w:r>
          </w:p>
        </w:tc>
        <w:tc>
          <w:tcPr>
            <w:tcW w:type="dxa" w:w="1417"/>
            <w:shd w:fill="FFFFFF" w:val="clear"/>
          </w:tcPr>
          <w:p>
            <w:r>
              <w:rPr>
                <w:sz w:val="16"/>
              </w:rPr>
              <w:t>8,461</w:t>
            </w:r>
          </w:p>
        </w:tc>
        <w:tc>
          <w:tcPr>
            <w:tcW w:type="dxa" w:w="1134"/>
            <w:shd w:fill="FFC7CE" w:val="clear"/>
          </w:tcPr>
          <w:p>
            <w:r>
              <w:rPr>
                <w:b/>
                <w:color w:val="B40000"/>
                <w:sz w:val="16"/>
              </w:rPr>
              <w:t>-17.86%</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3,900</w:t>
            </w:r>
          </w:p>
        </w:tc>
        <w:tc>
          <w:tcPr>
            <w:tcW w:type="dxa" w:w="1417"/>
            <w:shd w:fill="FFFFFF" w:val="clear"/>
          </w:tcPr>
          <w:p>
            <w:r>
              <w:rPr>
                <w:sz w:val="16"/>
              </w:rPr>
              <w:t>3,200</w:t>
            </w:r>
          </w:p>
        </w:tc>
        <w:tc>
          <w:tcPr>
            <w:tcW w:type="dxa" w:w="1134"/>
            <w:shd w:fill="FFC7CE" w:val="clear"/>
          </w:tcPr>
          <w:p>
            <w:r>
              <w:rPr>
                <w:b/>
                <w:color w:val="B40000"/>
                <w:sz w:val="16"/>
              </w:rPr>
              <w:t>-17.95%</w:t>
            </w:r>
          </w:p>
        </w:tc>
        <w:tc>
          <w:tcPr>
            <w:tcW w:type="dxa" w:w="1134"/>
            <w:shd w:fill="FFC7CE" w:val="clear"/>
          </w:tcPr>
          <w:p>
            <w:r>
              <w:rPr>
                <w:sz w:val="16"/>
              </w:rPr>
              <w:t>Faible</w:t>
            </w:r>
          </w:p>
        </w:tc>
      </w:tr>
      <w:tr>
        <w:tc>
          <w:tcPr>
            <w:tcW w:type="dxa" w:w="1020"/>
            <w:shd w:fill="FFFFFF" w:val="clear"/>
          </w:tcPr>
          <w:p>
            <w:r>
              <w:rPr>
                <w:sz w:val="16"/>
              </w:rPr>
              <w:t>SICC</w:t>
            </w:r>
          </w:p>
        </w:tc>
        <w:tc>
          <w:tcPr>
            <w:tcW w:type="dxa" w:w="3402"/>
            <w:shd w:fill="FFFFFF" w:val="clear"/>
          </w:tcPr>
          <w:p>
            <w:r>
              <w:rPr>
                <w:sz w:val="16"/>
              </w:rPr>
              <w:t>SICC - SICOR COTE D'IVOIRE</w:t>
            </w:r>
          </w:p>
        </w:tc>
        <w:tc>
          <w:tcPr>
            <w:tcW w:type="dxa" w:w="1417"/>
            <w:shd w:fill="FFFFFF" w:val="clear"/>
          </w:tcPr>
          <w:p>
            <w:r>
              <w:rPr>
                <w:sz w:val="16"/>
              </w:rPr>
              <w:t>8,385</w:t>
            </w:r>
          </w:p>
        </w:tc>
        <w:tc>
          <w:tcPr>
            <w:tcW w:type="dxa" w:w="1417"/>
            <w:shd w:fill="FFFFFF" w:val="clear"/>
          </w:tcPr>
          <w:p>
            <w:r>
              <w:rPr>
                <w:sz w:val="16"/>
              </w:rPr>
              <w:t>6,798</w:t>
            </w:r>
          </w:p>
        </w:tc>
        <w:tc>
          <w:tcPr>
            <w:tcW w:type="dxa" w:w="1134"/>
            <w:shd w:fill="FFC7CE" w:val="clear"/>
          </w:tcPr>
          <w:p>
            <w:r>
              <w:rPr>
                <w:b/>
                <w:color w:val="B40000"/>
                <w:sz w:val="16"/>
              </w:rPr>
              <w:t>-18.92%</w:t>
            </w:r>
          </w:p>
        </w:tc>
        <w:tc>
          <w:tcPr>
            <w:tcW w:type="dxa" w:w="1134"/>
            <w:shd w:fill="FFC7CE" w:val="clear"/>
          </w:tcPr>
          <w:p>
            <w:r>
              <w:rPr>
                <w:sz w:val="16"/>
              </w:rPr>
              <w:t>Faible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2,330</w:t>
            </w:r>
          </w:p>
        </w:tc>
        <w:tc>
          <w:tcPr>
            <w:tcW w:type="dxa" w:w="1417"/>
            <w:shd w:fill="FFFFFF" w:val="clear"/>
          </w:tcPr>
          <w:p>
            <w:r>
              <w:rPr>
                <w:sz w:val="16"/>
              </w:rPr>
              <w:t>1,828</w:t>
            </w:r>
          </w:p>
        </w:tc>
        <w:tc>
          <w:tcPr>
            <w:tcW w:type="dxa" w:w="1134"/>
            <w:shd w:fill="FFC7CE" w:val="clear"/>
          </w:tcPr>
          <w:p>
            <w:r>
              <w:rPr>
                <w:b/>
                <w:color w:val="B40000"/>
                <w:sz w:val="16"/>
              </w:rPr>
              <w:t>-21.56%</w:t>
            </w:r>
          </w:p>
        </w:tc>
        <w:tc>
          <w:tcPr>
            <w:tcW w:type="dxa" w:w="1134"/>
            <w:shd w:fill="FFC7CE" w:val="clear"/>
          </w:tcPr>
          <w:p>
            <w:r>
              <w:rPr>
                <w:sz w:val="16"/>
              </w:rPr>
              <w:t>Faible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9,200</w:t>
            </w:r>
          </w:p>
        </w:tc>
        <w:tc>
          <w:tcPr>
            <w:tcW w:type="dxa" w:w="1417"/>
            <w:shd w:fill="FFFFFF" w:val="clear"/>
          </w:tcPr>
          <w:p>
            <w:r>
              <w:rPr>
                <w:sz w:val="16"/>
              </w:rPr>
              <w:t>7,207</w:t>
            </w:r>
          </w:p>
        </w:tc>
        <w:tc>
          <w:tcPr>
            <w:tcW w:type="dxa" w:w="1134"/>
            <w:shd w:fill="FFC7CE" w:val="clear"/>
          </w:tcPr>
          <w:p>
            <w:r>
              <w:rPr>
                <w:b/>
                <w:color w:val="B40000"/>
                <w:sz w:val="16"/>
              </w:rPr>
              <w:t>-21.66%</w:t>
            </w:r>
          </w:p>
        </w:tc>
        <w:tc>
          <w:tcPr>
            <w:tcW w:type="dxa" w:w="1134"/>
            <w:shd w:fill="FFEB9C" w:val="clear"/>
          </w:tcPr>
          <w:p>
            <w:r>
              <w:rPr>
                <w:sz w:val="16"/>
              </w:rPr>
              <w:t>Moyenne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2,400</w:t>
            </w:r>
          </w:p>
        </w:tc>
        <w:tc>
          <w:tcPr>
            <w:tcW w:type="dxa" w:w="1417"/>
            <w:shd w:fill="FFFFFF" w:val="clear"/>
          </w:tcPr>
          <w:p>
            <w:r>
              <w:rPr>
                <w:sz w:val="16"/>
              </w:rPr>
              <w:t>1,693</w:t>
            </w:r>
          </w:p>
        </w:tc>
        <w:tc>
          <w:tcPr>
            <w:tcW w:type="dxa" w:w="1134"/>
            <w:shd w:fill="FFC7CE" w:val="clear"/>
          </w:tcPr>
          <w:p>
            <w:r>
              <w:rPr>
                <w:b/>
                <w:color w:val="B40000"/>
                <w:sz w:val="16"/>
              </w:rPr>
              <w:t>-29.47%</w:t>
            </w:r>
          </w:p>
        </w:tc>
        <w:tc>
          <w:tcPr>
            <w:tcW w:type="dxa" w:w="1134"/>
            <w:shd w:fill="FFC7CE" w:val="clear"/>
          </w:tcPr>
          <w:p>
            <w:r>
              <w:rPr>
                <w:sz w:val="16"/>
              </w:rPr>
              <w:t>Faible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12,500</w:t>
            </w:r>
          </w:p>
        </w:tc>
        <w:tc>
          <w:tcPr>
            <w:tcW w:type="dxa" w:w="1417"/>
            <w:shd w:fill="FFFFFF" w:val="clear"/>
          </w:tcPr>
          <w:p>
            <w:r>
              <w:rPr>
                <w:sz w:val="16"/>
              </w:rPr>
              <w:t>8,767</w:t>
            </w:r>
          </w:p>
        </w:tc>
        <w:tc>
          <w:tcPr>
            <w:tcW w:type="dxa" w:w="1134"/>
            <w:shd w:fill="FFC7CE" w:val="clear"/>
          </w:tcPr>
          <w:p>
            <w:r>
              <w:rPr>
                <w:b/>
                <w:color w:val="B40000"/>
                <w:sz w:val="16"/>
              </w:rPr>
              <w:t>-29.87%</w:t>
            </w:r>
          </w:p>
        </w:tc>
        <w:tc>
          <w:tcPr>
            <w:tcW w:type="dxa" w:w="1134"/>
            <w:shd w:fill="FFC7CE" w:val="clear"/>
          </w:tcPr>
          <w:p>
            <w:r>
              <w:rPr>
                <w:sz w:val="16"/>
              </w:rPr>
              <w:t>Faible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2,605</w:t>
            </w:r>
          </w:p>
        </w:tc>
        <w:tc>
          <w:tcPr>
            <w:tcW w:type="dxa" w:w="1417"/>
            <w:shd w:fill="FFFFFF" w:val="clear"/>
          </w:tcPr>
          <w:p>
            <w:r>
              <w:rPr>
                <w:sz w:val="16"/>
              </w:rPr>
              <w:t>1,571</w:t>
            </w:r>
          </w:p>
        </w:tc>
        <w:tc>
          <w:tcPr>
            <w:tcW w:type="dxa" w:w="1134"/>
            <w:shd w:fill="FFC7CE" w:val="clear"/>
          </w:tcPr>
          <w:p>
            <w:r>
              <w:rPr>
                <w:b/>
                <w:color w:val="B40000"/>
                <w:sz w:val="16"/>
              </w:rPr>
              <w:t>-39.69%</w:t>
            </w:r>
          </w:p>
        </w:tc>
        <w:tc>
          <w:tcPr>
            <w:tcW w:type="dxa" w:w="1134"/>
            <w:shd w:fill="FFC7CE" w:val="clear"/>
          </w:tcPr>
          <w:p>
            <w:r>
              <w:rPr>
                <w:sz w:val="16"/>
              </w:rPr>
              <w:t>Faible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10,400</w:t>
            </w:r>
          </w:p>
        </w:tc>
        <w:tc>
          <w:tcPr>
            <w:tcW w:type="dxa" w:w="1417"/>
            <w:shd w:fill="FFFFFF" w:val="clear"/>
          </w:tcPr>
          <w:p>
            <w:r>
              <w:rPr>
                <w:sz w:val="16"/>
              </w:rPr>
              <w:t>5,638</w:t>
            </w:r>
          </w:p>
        </w:tc>
        <w:tc>
          <w:tcPr>
            <w:tcW w:type="dxa" w:w="1134"/>
            <w:shd w:fill="FFC7CE" w:val="clear"/>
          </w:tcPr>
          <w:p>
            <w:r>
              <w:rPr>
                <w:b/>
                <w:color w:val="B40000"/>
                <w:sz w:val="16"/>
              </w:rPr>
              <w:t>-45.79%</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33,450</w:t>
            </w:r>
          </w:p>
        </w:tc>
        <w:tc>
          <w:tcPr>
            <w:tcW w:type="dxa" w:w="1417"/>
            <w:shd w:fill="FFFFFF" w:val="clear"/>
          </w:tcPr>
          <w:p>
            <w:r>
              <w:rPr>
                <w:sz w:val="16"/>
              </w:rPr>
              <w:t>17,758</w:t>
            </w:r>
          </w:p>
        </w:tc>
        <w:tc>
          <w:tcPr>
            <w:tcW w:type="dxa" w:w="1134"/>
            <w:shd w:fill="FFC7CE" w:val="clear"/>
          </w:tcPr>
          <w:p>
            <w:r>
              <w:rPr>
                <w:b/>
                <w:color w:val="B40000"/>
                <w:sz w:val="16"/>
              </w:rPr>
              <w:t>-46.91%</w:t>
            </w:r>
          </w:p>
        </w:tc>
        <w:tc>
          <w:tcPr>
            <w:tcW w:type="dxa" w:w="1134"/>
            <w:shd w:fill="FFEB9C" w:val="clear"/>
          </w:tcPr>
          <w:p>
            <w:r>
              <w:rPr>
                <w:sz w:val="16"/>
              </w:rPr>
              <w:t>Moyenne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3,000</w:t>
            </w:r>
          </w:p>
        </w:tc>
        <w:tc>
          <w:tcPr>
            <w:tcW w:type="dxa" w:w="1417"/>
            <w:shd w:fill="FFFFFF" w:val="clear"/>
          </w:tcPr>
          <w:p>
            <w:r>
              <w:rPr>
                <w:sz w:val="16"/>
              </w:rPr>
              <w:t>1,521</w:t>
            </w:r>
          </w:p>
        </w:tc>
        <w:tc>
          <w:tcPr>
            <w:tcW w:type="dxa" w:w="1134"/>
            <w:shd w:fill="FFC7CE" w:val="clear"/>
          </w:tcPr>
          <w:p>
            <w:r>
              <w:rPr>
                <w:b/>
                <w:color w:val="B40000"/>
                <w:sz w:val="16"/>
              </w:rPr>
              <w:t>-49.29%</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6,700</w:t>
            </w:r>
          </w:p>
        </w:tc>
        <w:tc>
          <w:tcPr>
            <w:tcW w:type="dxa" w:w="1417"/>
            <w:shd w:fill="FFFFFF" w:val="clear"/>
          </w:tcPr>
          <w:p>
            <w:r>
              <w:rPr>
                <w:sz w:val="16"/>
              </w:rPr>
              <w:t>3,229</w:t>
            </w:r>
          </w:p>
        </w:tc>
        <w:tc>
          <w:tcPr>
            <w:tcW w:type="dxa" w:w="1134"/>
            <w:shd w:fill="FFC7CE" w:val="clear"/>
          </w:tcPr>
          <w:p>
            <w:r>
              <w:rPr>
                <w:b/>
                <w:color w:val="B40000"/>
                <w:sz w:val="16"/>
              </w:rPr>
              <w:t>-51.81%</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71</w:t>
            </w:r>
          </w:p>
        </w:tc>
        <w:tc>
          <w:tcPr>
            <w:tcW w:type="dxa" w:w="1417"/>
            <w:shd w:fill="FFFFFF" w:val="clear"/>
          </w:tcPr>
          <w:p>
            <w:r>
              <w:rPr>
                <w:sz w:val="16"/>
              </w:rPr>
              <w:t>33</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3,565</w:t>
            </w:r>
          </w:p>
        </w:tc>
        <w:tc>
          <w:tcPr>
            <w:tcW w:type="dxa" w:w="1417"/>
            <w:shd w:fill="FFFFFF" w:val="clear"/>
          </w:tcPr>
          <w:p>
            <w:r>
              <w:rPr>
                <w:sz w:val="16"/>
              </w:rPr>
              <w:t>1,635</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6,070</w:t>
            </w:r>
          </w:p>
        </w:tc>
        <w:tc>
          <w:tcPr>
            <w:tcW w:type="dxa" w:w="1417"/>
            <w:shd w:fill="FFFFFF" w:val="clear"/>
          </w:tcPr>
          <w:p>
            <w:r>
              <w:rPr>
                <w:sz w:val="16"/>
              </w:rPr>
              <w:t>2,784</w:t>
            </w:r>
          </w:p>
        </w:tc>
        <w:tc>
          <w:tcPr>
            <w:tcW w:type="dxa" w:w="1134"/>
            <w:shd w:fill="FFC7CE" w:val="clear"/>
          </w:tcPr>
          <w:p>
            <w:r>
              <w:rPr>
                <w:b/>
                <w:color w:val="B40000"/>
                <w:sz w:val="16"/>
              </w:rPr>
              <w:t>-54.14%</w:t>
            </w:r>
          </w:p>
        </w:tc>
        <w:tc>
          <w:tcPr>
            <w:tcW w:type="dxa" w:w="1134"/>
            <w:shd w:fill="FFC7CE" w:val="clear"/>
          </w:tcPr>
          <w:p>
            <w:r>
              <w:rPr>
                <w:sz w:val="16"/>
              </w:rPr>
              <w:t>Faible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47.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BICB - BIIC BN - Banque internationale pour le commerce du benin</w:t>
      </w:r>
    </w:p>
    <w:p>
      <w:pPr>
        <w:ind w:left="400"/>
      </w:pPr>
      <w:r>
        <w:t>3. BICC - BICI CI - Banque internationale pour le commerce et l'industrie de la Côte d'Ivoire</w:t>
      </w:r>
    </w:p>
    <w:p>
      <w:pPr>
        <w:ind w:left="400"/>
      </w:pPr>
      <w:r>
        <w:t>4. BNBC - BNBC - BERNABE CI</w:t>
      </w:r>
    </w:p>
    <w:p>
      <w:pPr>
        <w:ind w:left="400"/>
      </w:pPr>
      <w:r>
        <w:t>5. BOAB - BANK OF AFRICA BENIN</w:t>
      </w:r>
    </w:p>
    <w:p>
      <w:pPr>
        <w:ind w:left="400"/>
      </w:pPr>
      <w:r>
        <w:t>6. BOABF - BANK OF AFRICA BURKINA FASO</w:t>
      </w:r>
    </w:p>
    <w:p>
      <w:pPr>
        <w:ind w:left="400"/>
      </w:pPr>
      <w:r>
        <w:t>7. BOAC - BANK OF AFRICA COTE D'IVOIRE</w:t>
      </w:r>
    </w:p>
    <w:p>
      <w:pPr>
        <w:ind w:left="400"/>
      </w:pPr>
      <w:r>
        <w:t>8. BOAM - BANK OF AFRICA MALI</w:t>
      </w:r>
    </w:p>
    <w:p>
      <w:pPr>
        <w:ind w:left="400"/>
      </w:pPr>
      <w:r>
        <w:t>9. BOAN - BANK OF AFRICA NIGER</w:t>
      </w:r>
    </w:p>
    <w:p>
      <w:pPr>
        <w:ind w:left="400"/>
      </w:pPr>
      <w:r>
        <w:t>10. BOAS - BANK OF AFRICA SENEGAL</w:t>
      </w:r>
    </w:p>
    <w:p>
      <w:pPr>
        <w:ind w:left="400"/>
      </w:pPr>
      <w:r>
        <w:t>11. CABC - CABC - SICABLE COTE D'IVOIRE</w:t>
      </w:r>
    </w:p>
    <w:p>
      <w:pPr>
        <w:ind w:left="400"/>
      </w:pPr>
      <w:r>
        <w:t>12. CBIBF - CBIBF - CORIS BANK INTERNATIONAL BURKINA FASO</w:t>
      </w:r>
    </w:p>
    <w:p>
      <w:pPr>
        <w:ind w:left="400"/>
      </w:pPr>
      <w:r>
        <w:t>13. CFAC - CFAC - CFAO MOTORS CI</w:t>
      </w:r>
    </w:p>
    <w:p>
      <w:pPr>
        <w:ind w:left="400"/>
      </w:pPr>
      <w:r>
        <w:t>14. CIEC - CIEC - Compagnie Ivoirienne d'Electricité</w:t>
      </w:r>
    </w:p>
    <w:p>
      <w:pPr>
        <w:ind w:left="400"/>
      </w:pPr>
      <w:r>
        <w:t>15. ECOC - ECOC - ECOBANK COTE D'IVOIRE</w:t>
      </w:r>
    </w:p>
    <w:p>
      <w:pPr>
        <w:ind w:left="400"/>
      </w:pPr>
      <w:r>
        <w:t>16. ETIT - ETIT - Ecobank Transnational Incorporated Togo</w:t>
      </w:r>
    </w:p>
    <w:p>
      <w:pPr>
        <w:ind w:left="400"/>
      </w:pPr>
      <w:r>
        <w:t>17. FTSC - FTSC - FILTISAC COTE D'IVOIRE</w:t>
      </w:r>
    </w:p>
    <w:p>
      <w:pPr>
        <w:ind w:left="400"/>
      </w:pPr>
      <w:r>
        <w:t>18. LNBB - LNBB - LOTERIE NATIONALE DU BENIN</w:t>
      </w:r>
    </w:p>
    <w:p>
      <w:pPr>
        <w:ind w:left="400"/>
      </w:pPr>
      <w:r>
        <w:t>19. NEIC - NEIC - NEI-CEDA CI</w:t>
      </w:r>
    </w:p>
    <w:p>
      <w:pPr>
        <w:ind w:left="400"/>
      </w:pPr>
      <w:r>
        <w:t>20. NSBC - NSBC - NSIA BANQUE COTE D'IVOIRE</w:t>
      </w:r>
    </w:p>
    <w:p>
      <w:pPr>
        <w:ind w:left="400"/>
      </w:pPr>
      <w:r>
        <w:t>21. NTLC - NTLC - NESTLE COTE D'IVOIRE</w:t>
      </w:r>
    </w:p>
    <w:p>
      <w:pPr>
        <w:ind w:left="400"/>
      </w:pPr>
      <w:r>
        <w:t>22. ONTBF - ONTBF - ONATEL BURKINA FASO</w:t>
      </w:r>
    </w:p>
    <w:p>
      <w:pPr>
        <w:ind w:left="400"/>
      </w:pPr>
      <w:r>
        <w:t>23. ORAC - ORAC - ORANGE COTE D'IVOIRE</w:t>
      </w:r>
    </w:p>
    <w:p>
      <w:pPr>
        <w:ind w:left="400"/>
      </w:pPr>
      <w:r>
        <w:t>24. ORGT - ORGT - ORAGROUP TOGO</w:t>
      </w:r>
    </w:p>
    <w:p>
      <w:pPr>
        <w:ind w:left="400"/>
      </w:pPr>
      <w:r>
        <w:t>25. PALC - PALC - PALM COTE D'IVOIRE</w:t>
      </w:r>
    </w:p>
    <w:p>
      <w:pPr>
        <w:ind w:left="400"/>
      </w:pPr>
      <w:r>
        <w:t>26. PRSC - PRSC - TRACTAFRIC MOTORS CI</w:t>
      </w:r>
    </w:p>
    <w:p>
      <w:pPr>
        <w:ind w:left="400"/>
      </w:pPr>
      <w:r>
        <w:t>27. SAFC - SAFCA CI</w:t>
      </w:r>
    </w:p>
    <w:p>
      <w:pPr>
        <w:ind w:left="400"/>
      </w:pPr>
      <w:r>
        <w:t>28. SCRC - SCRC - SUCRIVOIRE</w:t>
      </w:r>
    </w:p>
    <w:p>
      <w:pPr>
        <w:ind w:left="400"/>
      </w:pPr>
      <w:r>
        <w:t>29. SDCC - SDCC - Société de Distribution d'Eau de Côte d'Ivoire</w:t>
      </w:r>
    </w:p>
    <w:p>
      <w:pPr>
        <w:ind w:left="400"/>
      </w:pPr>
      <w:r>
        <w:t>30. SDSC - SDSC - AFRICA GLOBAL LOGISTICS CI</w:t>
      </w:r>
    </w:p>
    <w:p>
      <w:pPr>
        <w:ind w:left="400"/>
      </w:pPr>
      <w:r>
        <w:t>31. SEMC - SEMC - EVIOSYS PACKAGING SIEM CI</w:t>
      </w:r>
    </w:p>
    <w:p>
      <w:pPr>
        <w:ind w:left="400"/>
      </w:pPr>
      <w:r>
        <w:t>32. SGBC - SGBC - SOCIETE GENERALE COTE D'IVOIRE</w:t>
      </w:r>
    </w:p>
    <w:p>
      <w:pPr>
        <w:ind w:left="400"/>
      </w:pPr>
      <w:r>
        <w:t>33. SHEC - SHEC - VIVO ENERGY COTE D'IVOIRE</w:t>
      </w:r>
    </w:p>
    <w:p>
      <w:pPr>
        <w:ind w:left="400"/>
      </w:pPr>
      <w:r>
        <w:t>34. SIBC - SIBC - SOCIETE IVOIRIENNE DE BANQUE</w:t>
      </w:r>
    </w:p>
    <w:p>
      <w:pPr>
        <w:ind w:left="400"/>
      </w:pPr>
      <w:r>
        <w:t>35. SICC - SICC - SICOR COTE D'IVOIRE</w:t>
      </w:r>
    </w:p>
    <w:p>
      <w:pPr>
        <w:ind w:left="400"/>
      </w:pPr>
      <w:r>
        <w:t>36. SIVC - SIVC - ERIUM CI (Ex AIR LIQUIDECI)</w:t>
      </w:r>
    </w:p>
    <w:p>
      <w:pPr>
        <w:ind w:left="400"/>
      </w:pPr>
      <w:r>
        <w:t>37. SLBC - SLBC - SOLIBRA COTE D'IVOIRE</w:t>
      </w:r>
    </w:p>
    <w:p>
      <w:pPr>
        <w:ind w:left="400"/>
      </w:pPr>
      <w:r>
        <w:t>38. SMBC - SMBC - Société Multinationale de Bitumes COTE D'IVOIRE</w:t>
      </w:r>
    </w:p>
    <w:p>
      <w:pPr>
        <w:ind w:left="400"/>
      </w:pPr>
      <w:r>
        <w:t>39. SNTS - SNTS - SONATEL SN</w:t>
      </w:r>
    </w:p>
    <w:p>
      <w:pPr>
        <w:ind w:left="400"/>
      </w:pPr>
      <w:r>
        <w:t>40. SOGC - SOGC - Société des caoutchoucs de Grand-Béréby</w:t>
      </w:r>
    </w:p>
    <w:p>
      <w:pPr>
        <w:ind w:left="400"/>
      </w:pPr>
      <w:r>
        <w:t>41. SPHC - SPHC - Société Africaine de Plantation d'Hévéas de Côte d'Ivoire</w:t>
      </w:r>
    </w:p>
    <w:p>
      <w:pPr>
        <w:ind w:left="400"/>
      </w:pPr>
      <w:r>
        <w:t>42. STAC - STAC - SETAO COTE D'IVOIRE</w:t>
      </w:r>
    </w:p>
    <w:p>
      <w:pPr>
        <w:ind w:left="400"/>
      </w:pPr>
      <w:r>
        <w:t>43. STBC - STBC - SITAB COTE D'IVOIRE</w:t>
      </w:r>
    </w:p>
    <w:p>
      <w:pPr>
        <w:ind w:left="400"/>
      </w:pPr>
      <w:r>
        <w:t>44. TTLC - TTLC - TOTAL ENERGIES MARKETING COTE D'IVOIRE</w:t>
      </w:r>
    </w:p>
    <w:p>
      <w:pPr>
        <w:ind w:left="400"/>
      </w:pPr>
      <w:r>
        <w:t>45. TTLS - TTLS - TOTAL ENERGIES MARKETING SENEGAL</w:t>
      </w:r>
    </w:p>
    <w:p>
      <w:pPr>
        <w:ind w:left="400"/>
      </w:pPr>
      <w:r>
        <w:t>46. UNLC - UNLC - UNILEVER COTE D'IVOIRE</w:t>
      </w:r>
    </w:p>
    <w:p>
      <w:pPr>
        <w:ind w:left="400"/>
      </w:pPr>
      <w:r>
        <w:t>47.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42.56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3,369 titres</w:t>
            </w:r>
          </w:p>
        </w:tc>
        <w:tc>
          <w:tcPr>
            <w:tcW w:type="dxa" w:w="2268"/>
            <w:shd w:fill="FFF2CC" w:val="clear"/>
          </w:tcPr>
          <w:p>
            <w:r>
              <w:rPr>
                <w:b/>
                <w:color w:val="503200"/>
                <w:sz w:val="16"/>
              </w:rPr>
              <w:t xml:space="preserve">Cours actuel : </w:t>
            </w:r>
            <w:r>
              <w:rPr>
                <w:color w:val="000000"/>
                <w:sz w:val="17"/>
              </w:rPr>
              <w:t>3,900 FCFA</w:t>
            </w:r>
          </w:p>
          <w:p>
            <w:r>
              <w:rPr>
                <w:b/>
                <w:color w:val="503200"/>
                <w:sz w:val="16"/>
              </w:rPr>
              <w:t xml:space="preserve">Var. 100 jours : </w:t>
            </w:r>
            <w:r>
              <w:rPr>
                <w:b/>
                <w:color w:val="007800"/>
                <w:sz w:val="17"/>
              </w:rPr>
              <w:t>+12.39%</w:t>
            </w:r>
          </w:p>
          <w:p>
            <w:r>
              <w:rPr>
                <w:b/>
                <w:color w:val="503200"/>
                <w:sz w:val="16"/>
              </w:rPr>
              <w:t xml:space="preserve">Plus haut 100j : </w:t>
            </w:r>
            <w:r>
              <w:rPr>
                <w:color w:val="000000"/>
                <w:sz w:val="17"/>
              </w:rPr>
              <w:t>3,950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49.2%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8.19% (Moyenne) — μ=3,227 FCFA, σ=264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β=0.2184 (Défensif) — Cov=0.000008, Var(idx)=0.000036, ρ=0.042,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3,369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σ_j=3.10%/j (Modérée) — Vol. annualisée≈49.2%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2026-09-07</w:t>
            </w:r>
          </w:p>
        </w:tc>
        <w:tc>
          <w:tcPr>
            <w:tcW w:type="dxa" w:w="1440"/>
            <w:shd w:fill="FFDCE0" w:val="clear"/>
          </w:tcPr>
          <w:p>
            <w:r>
              <w:rPr>
                <w:sz w:val="17"/>
              </w:rPr>
              <w:t>3,620</w:t>
            </w:r>
          </w:p>
        </w:tc>
        <w:tc>
          <w:tcPr>
            <w:tcW w:type="dxa" w:w="1440"/>
            <w:shd w:fill="FFDCE0" w:val="clear"/>
          </w:tcPr>
          <w:p>
            <w:r>
              <w:rPr>
                <w:b/>
                <w:sz w:val="17"/>
              </w:rPr>
              <w:t>3,794</w:t>
            </w:r>
          </w:p>
        </w:tc>
        <w:tc>
          <w:tcPr>
            <w:tcW w:type="dxa" w:w="1440"/>
            <w:shd w:fill="FFDCE0" w:val="clear"/>
          </w:tcPr>
          <w:p>
            <w:r>
              <w:rPr>
                <w:sz w:val="17"/>
              </w:rPr>
              <w:t>3,968</w:t>
            </w:r>
          </w:p>
        </w:tc>
        <w:tc>
          <w:tcPr>
            <w:tcW w:type="dxa" w:w="1440"/>
            <w:shd w:fill="FFDCE0" w:val="clear"/>
          </w:tcPr>
          <w:p>
            <w:r>
              <w:rPr>
                <w:b/>
                <w:color w:val="C00000"/>
                <w:sz w:val="17"/>
              </w:rPr>
              <w:t>-2.7%</w:t>
            </w:r>
          </w:p>
        </w:tc>
      </w:tr>
      <w:tr>
        <w:tc>
          <w:tcPr>
            <w:tcW w:type="dxa" w:w="1440"/>
            <w:shd w:fill="FFDCE0" w:val="clear"/>
          </w:tcPr>
          <w:p>
            <w:r>
              <w:rPr>
                <w:sz w:val="17"/>
              </w:rPr>
              <w:t>J+2  Moyenne</w:t>
            </w:r>
          </w:p>
        </w:tc>
        <w:tc>
          <w:tcPr>
            <w:tcW w:type="dxa" w:w="1440"/>
            <w:shd w:fill="FFDCE0" w:val="clear"/>
          </w:tcPr>
          <w:p>
            <w:r>
              <w:rPr>
                <w:sz w:val="17"/>
              </w:rPr>
              <w:t>2026-09-08</w:t>
            </w:r>
          </w:p>
        </w:tc>
        <w:tc>
          <w:tcPr>
            <w:tcW w:type="dxa" w:w="1440"/>
            <w:shd w:fill="FFDCE0" w:val="clear"/>
          </w:tcPr>
          <w:p>
            <w:r>
              <w:rPr>
                <w:sz w:val="17"/>
              </w:rPr>
              <w:t>3,461</w:t>
            </w:r>
          </w:p>
        </w:tc>
        <w:tc>
          <w:tcPr>
            <w:tcW w:type="dxa" w:w="1440"/>
            <w:shd w:fill="FFDCE0" w:val="clear"/>
          </w:tcPr>
          <w:p>
            <w:r>
              <w:rPr>
                <w:b/>
                <w:sz w:val="17"/>
              </w:rPr>
              <w:t>3,701</w:t>
            </w:r>
          </w:p>
        </w:tc>
        <w:tc>
          <w:tcPr>
            <w:tcW w:type="dxa" w:w="1440"/>
            <w:shd w:fill="FFDCE0" w:val="clear"/>
          </w:tcPr>
          <w:p>
            <w:r>
              <w:rPr>
                <w:sz w:val="17"/>
              </w:rPr>
              <w:t>3,941</w:t>
            </w:r>
          </w:p>
        </w:tc>
        <w:tc>
          <w:tcPr>
            <w:tcW w:type="dxa" w:w="1440"/>
            <w:shd w:fill="FFDCE0" w:val="clear"/>
          </w:tcPr>
          <w:p>
            <w:r>
              <w:rPr>
                <w:b/>
                <w:color w:val="C00000"/>
                <w:sz w:val="17"/>
              </w:rPr>
              <w:t>-5.1%</w:t>
            </w:r>
          </w:p>
        </w:tc>
      </w:tr>
      <w:tr>
        <w:tc>
          <w:tcPr>
            <w:tcW w:type="dxa" w:w="1440"/>
            <w:shd w:fill="FFDCE0" w:val="clear"/>
          </w:tcPr>
          <w:p>
            <w:r>
              <w:rPr>
                <w:sz w:val="17"/>
              </w:rPr>
              <w:t>J+3  Moyenne</w:t>
            </w:r>
          </w:p>
        </w:tc>
        <w:tc>
          <w:tcPr>
            <w:tcW w:type="dxa" w:w="1440"/>
            <w:shd w:fill="FFDCE0" w:val="clear"/>
          </w:tcPr>
          <w:p>
            <w:r>
              <w:rPr>
                <w:sz w:val="17"/>
              </w:rPr>
              <w:t>2026-09-09</w:t>
            </w:r>
          </w:p>
        </w:tc>
        <w:tc>
          <w:tcPr>
            <w:tcW w:type="dxa" w:w="1440"/>
            <w:shd w:fill="FFDCE0" w:val="clear"/>
          </w:tcPr>
          <w:p>
            <w:r>
              <w:rPr>
                <w:sz w:val="17"/>
              </w:rPr>
              <w:t>3,324</w:t>
            </w:r>
          </w:p>
        </w:tc>
        <w:tc>
          <w:tcPr>
            <w:tcW w:type="dxa" w:w="1440"/>
            <w:shd w:fill="FFDCE0" w:val="clear"/>
          </w:tcPr>
          <w:p>
            <w:r>
              <w:rPr>
                <w:b/>
                <w:sz w:val="17"/>
              </w:rPr>
              <w:t>3,611</w:t>
            </w:r>
          </w:p>
        </w:tc>
        <w:tc>
          <w:tcPr>
            <w:tcW w:type="dxa" w:w="1440"/>
            <w:shd w:fill="FFDCE0" w:val="clear"/>
          </w:tcPr>
          <w:p>
            <w:r>
              <w:rPr>
                <w:sz w:val="17"/>
              </w:rPr>
              <w:t>3,898</w:t>
            </w:r>
          </w:p>
        </w:tc>
        <w:tc>
          <w:tcPr>
            <w:tcW w:type="dxa" w:w="1440"/>
            <w:shd w:fill="FFDCE0" w:val="clear"/>
          </w:tcPr>
          <w:p>
            <w:r>
              <w:rPr>
                <w:b/>
                <w:color w:val="C00000"/>
                <w:sz w:val="17"/>
              </w:rPr>
              <w:t>-7.4%</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3,211</w:t>
            </w:r>
          </w:p>
        </w:tc>
        <w:tc>
          <w:tcPr>
            <w:tcW w:type="dxa" w:w="1440"/>
            <w:shd w:fill="FFDCE0" w:val="clear"/>
          </w:tcPr>
          <w:p>
            <w:r>
              <w:rPr>
                <w:b/>
                <w:sz w:val="17"/>
              </w:rPr>
              <w:t>3,535</w:t>
            </w:r>
          </w:p>
        </w:tc>
        <w:tc>
          <w:tcPr>
            <w:tcW w:type="dxa" w:w="1440"/>
            <w:shd w:fill="FFDCE0" w:val="clear"/>
          </w:tcPr>
          <w:p>
            <w:r>
              <w:rPr>
                <w:sz w:val="17"/>
              </w:rPr>
              <w:t>3,860</w:t>
            </w:r>
          </w:p>
        </w:tc>
        <w:tc>
          <w:tcPr>
            <w:tcW w:type="dxa" w:w="1440"/>
            <w:shd w:fill="FFDCE0" w:val="clear"/>
          </w:tcPr>
          <w:p>
            <w:r>
              <w:rPr>
                <w:b/>
                <w:color w:val="C00000"/>
                <w:sz w:val="17"/>
              </w:rPr>
              <w:t>-9.3%</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3,113</w:t>
            </w:r>
          </w:p>
        </w:tc>
        <w:tc>
          <w:tcPr>
            <w:tcW w:type="dxa" w:w="1440"/>
            <w:shd w:fill="FFDCE0" w:val="clear"/>
          </w:tcPr>
          <w:p>
            <w:r>
              <w:rPr>
                <w:b/>
                <w:sz w:val="17"/>
              </w:rPr>
              <w:t>3,469</w:t>
            </w:r>
          </w:p>
        </w:tc>
        <w:tc>
          <w:tcPr>
            <w:tcW w:type="dxa" w:w="1440"/>
            <w:shd w:fill="FFDCE0" w:val="clear"/>
          </w:tcPr>
          <w:p>
            <w:r>
              <w:rPr>
                <w:sz w:val="17"/>
              </w:rPr>
              <w:t>3,824</w:t>
            </w:r>
          </w:p>
        </w:tc>
        <w:tc>
          <w:tcPr>
            <w:tcW w:type="dxa" w:w="1440"/>
            <w:shd w:fill="FFDCE0" w:val="clear"/>
          </w:tcPr>
          <w:p>
            <w:r>
              <w:rPr>
                <w:b/>
                <w:color w:val="C00000"/>
                <w:sz w:val="17"/>
              </w:rPr>
              <w:t>-11.1%</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3,025</w:t>
            </w:r>
          </w:p>
        </w:tc>
        <w:tc>
          <w:tcPr>
            <w:tcW w:type="dxa" w:w="1440"/>
            <w:shd w:fill="FFDCE0" w:val="clear"/>
          </w:tcPr>
          <w:p>
            <w:r>
              <w:rPr>
                <w:b/>
                <w:sz w:val="17"/>
              </w:rPr>
              <w:t>3,407</w:t>
            </w:r>
          </w:p>
        </w:tc>
        <w:tc>
          <w:tcPr>
            <w:tcW w:type="dxa" w:w="1440"/>
            <w:shd w:fill="FFDCE0" w:val="clear"/>
          </w:tcPr>
          <w:p>
            <w:r>
              <w:rPr>
                <w:sz w:val="17"/>
              </w:rPr>
              <w:t>3,790</w:t>
            </w:r>
          </w:p>
        </w:tc>
        <w:tc>
          <w:tcPr>
            <w:tcW w:type="dxa" w:w="1440"/>
            <w:shd w:fill="FFDCE0" w:val="clear"/>
          </w:tcPr>
          <w:p>
            <w:r>
              <w:rPr>
                <w:b/>
                <w:color w:val="C00000"/>
                <w:sz w:val="17"/>
              </w:rPr>
              <w:t>-12.6%</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2,944</w:t>
            </w:r>
          </w:p>
        </w:tc>
        <w:tc>
          <w:tcPr>
            <w:tcW w:type="dxa" w:w="1440"/>
            <w:shd w:fill="FFDCE0" w:val="clear"/>
          </w:tcPr>
          <w:p>
            <w:r>
              <w:rPr>
                <w:b/>
                <w:sz w:val="17"/>
              </w:rPr>
              <w:t>3,351</w:t>
            </w:r>
          </w:p>
        </w:tc>
        <w:tc>
          <w:tcPr>
            <w:tcW w:type="dxa" w:w="1440"/>
            <w:shd w:fill="FFDCE0" w:val="clear"/>
          </w:tcPr>
          <w:p>
            <w:r>
              <w:rPr>
                <w:sz w:val="17"/>
              </w:rPr>
              <w:t>3,757</w:t>
            </w:r>
          </w:p>
        </w:tc>
        <w:tc>
          <w:tcPr>
            <w:tcW w:type="dxa" w:w="1440"/>
            <w:shd w:fill="FFDCE0" w:val="clear"/>
          </w:tcPr>
          <w:p>
            <w:r>
              <w:rPr>
                <w:b/>
                <w:color w:val="C00000"/>
                <w:sz w:val="17"/>
              </w:rPr>
              <w:t>-14.1%</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2,870</w:t>
            </w:r>
          </w:p>
        </w:tc>
        <w:tc>
          <w:tcPr>
            <w:tcW w:type="dxa" w:w="1440"/>
            <w:shd w:fill="FFDCE0" w:val="clear"/>
          </w:tcPr>
          <w:p>
            <w:r>
              <w:rPr>
                <w:b/>
                <w:sz w:val="17"/>
              </w:rPr>
              <w:t>3,297</w:t>
            </w:r>
          </w:p>
        </w:tc>
        <w:tc>
          <w:tcPr>
            <w:tcW w:type="dxa" w:w="1440"/>
            <w:shd w:fill="FFDCE0" w:val="clear"/>
          </w:tcPr>
          <w:p>
            <w:r>
              <w:rPr>
                <w:sz w:val="17"/>
              </w:rPr>
              <w:t>3,725</w:t>
            </w:r>
          </w:p>
        </w:tc>
        <w:tc>
          <w:tcPr>
            <w:tcW w:type="dxa" w:w="1440"/>
            <w:shd w:fill="FFDCE0" w:val="clear"/>
          </w:tcPr>
          <w:p>
            <w:r>
              <w:rPr>
                <w:b/>
                <w:color w:val="C00000"/>
                <w:sz w:val="17"/>
              </w:rPr>
              <w:t>-15.5%</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2,800</w:t>
            </w:r>
          </w:p>
        </w:tc>
        <w:tc>
          <w:tcPr>
            <w:tcW w:type="dxa" w:w="1440"/>
            <w:shd w:fill="FFDCE0" w:val="clear"/>
          </w:tcPr>
          <w:p>
            <w:r>
              <w:rPr>
                <w:b/>
                <w:sz w:val="17"/>
              </w:rPr>
              <w:t>3,247</w:t>
            </w:r>
          </w:p>
        </w:tc>
        <w:tc>
          <w:tcPr>
            <w:tcW w:type="dxa" w:w="1440"/>
            <w:shd w:fill="FFDCE0" w:val="clear"/>
          </w:tcPr>
          <w:p>
            <w:r>
              <w:rPr>
                <w:sz w:val="17"/>
              </w:rPr>
              <w:t>3,694</w:t>
            </w:r>
          </w:p>
        </w:tc>
        <w:tc>
          <w:tcPr>
            <w:tcW w:type="dxa" w:w="1440"/>
            <w:shd w:fill="FFDCE0" w:val="clear"/>
          </w:tcPr>
          <w:p>
            <w:r>
              <w:rPr>
                <w:b/>
                <w:color w:val="C00000"/>
                <w:sz w:val="17"/>
              </w:rPr>
              <w:t>-16.7%</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2,736</w:t>
            </w:r>
          </w:p>
        </w:tc>
        <w:tc>
          <w:tcPr>
            <w:tcW w:type="dxa" w:w="1440"/>
            <w:shd w:fill="FFDCE0" w:val="clear"/>
          </w:tcPr>
          <w:p>
            <w:r>
              <w:rPr>
                <w:b/>
                <w:sz w:val="17"/>
              </w:rPr>
              <w:t>3,200</w:t>
            </w:r>
          </w:p>
        </w:tc>
        <w:tc>
          <w:tcPr>
            <w:tcW w:type="dxa" w:w="1440"/>
            <w:shd w:fill="FFDCE0" w:val="clear"/>
          </w:tcPr>
          <w:p>
            <w:r>
              <w:rPr>
                <w:sz w:val="17"/>
              </w:rPr>
              <w:t>3,664</w:t>
            </w:r>
          </w:p>
        </w:tc>
        <w:tc>
          <w:tcPr>
            <w:tcW w:type="dxa" w:w="1440"/>
            <w:shd w:fill="FFDCE0" w:val="clear"/>
          </w:tcPr>
          <w:p>
            <w:r>
              <w:rPr>
                <w:b/>
                <w:color w:val="C00000"/>
                <w:sz w:val="17"/>
              </w:rPr>
              <w:t>-17.9%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Absolument. Voici un rapport d'analyse structuré et professionnel pour l'action ABJC (SERVAIR ABIDJAN) sur le marché de la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d'ABJC s'établit à 42,56 milliards FCFA, un niveau qui la positionne comme une valeur de taille moyenne sur la BRVM. Avec un BPA de 124 FCFA, le marché valorise l'action à un PER de 31,5x, un niveau extrêmement élevé comparé à la moyenne historique du marché (8-12x). Cette prime suggère que les investisseurs intègrent des attentes de croissance future très significatives, ou que le titre est surévalué par rapport à ses bénéfices actuels. Le P/B de 8,25x confirme cette valorisation exigeante, le marché payant plus de 8 fois la valeur comptable des actifs. Enfin, un EV/EBITDA de 16,2x (&gt;15x) indique que la valeur totale de l'entreprise (capitalisation + dette nette) est très élevée par rapport à son potentiel opérationnel brut, renforçant le diagnostic d'une valorisation qui laisse peu de marge de sécurité.</w:t>
      </w:r>
    </w:p>
    <w:p>
      <w:pPr>
        <w:spacing w:after="120" w:line="276" w:lineRule="auto"/>
      </w:pPr>
      <w:r>
        <w:t>### PARTIE 1 : ANALYSE DU COURS — STATISTIQUES ET ÉVOLUTION (100 derniers jours)</w:t>
      </w:r>
    </w:p>
    <w:p>
      <w:pPr>
        <w:spacing w:after="120" w:line="276" w:lineRule="auto"/>
      </w:pPr>
      <w:r>
        <w:t>Sur les 100 derniers jours, l'action ABJC a affiché une progression remarquable de +12,39%, bien que la dernière séance ait enregistré un repli de -1,27% à 3 900 FCFA. Le titre a évolué dans une fourchette large de 2 800 à 3 950 FCFA, démontrant un intérêt marqué des investisseurs. La moyenne (3 227 FCFA) étant inférieure à la médiane (3 182 FCFA) et le skewness positif (0.660) indiquent une distribution asymétrique avec des épisodes de forte hausse, mais plus de journées sous la moyenne. L'écart-type de 266 FCFA (CV=8,2%) révèle une dispersion modérée autour de la moyenne, tandis que le kurtosis proche de zéro (-0.059) suggère une distribution normale sans risque de variations extrêmes. La volatilité annualisée de 49,2% est très élevée, classant ABJC comme un actif à risque fort, ce qui est cohérent avec la forte progression du cours sur la période.</w:t>
      </w:r>
    </w:p>
    <w:p>
      <w:pPr>
        <w:spacing w:after="120" w:line="276" w:lineRule="auto"/>
      </w:pPr>
      <w:r>
        <w:t>### PARTIE 2 : ANALYSE TECHNIQUE DÉTAILLÉE</w:t>
      </w:r>
    </w:p>
    <w:p>
      <w:pPr>
        <w:spacing w:after="120" w:line="276" w:lineRule="auto"/>
      </w:pPr>
      <w:r>
        <w:t>**Moyennes Mobiles** : Le cours actuel (3 900 FCFA) est nettement au-dessus de sa MM20 (3 471,75 FCFA) et de sa MM50 (3 256,1 FCFA). Cette configuration haussière, où les moyennes sont orientées à la hausse, confirme une dynamique positive à court et moyen terme, justifiant la décision d'**Achat**.</w:t>
      </w:r>
    </w:p>
    <w:p>
      <w:pPr>
        <w:spacing w:after="120" w:line="276" w:lineRule="auto"/>
      </w:pPr>
      <w:r>
        <w:t>**Bandes de Bollinger** : Le cours se situe à 3 900 FCFA, proche de la borne supérieure (4 080,548 FCFA) mais sans la toucher. L'écart entre les bornes (2 862,95 à 4 080,55) est large, reflétant la volatilité élevée. La position du prix indique une pression acheteuse soutenue mais sans signal de surachat extrême, d'où une décision **Neutre**.</w:t>
      </w:r>
    </w:p>
    <w:p>
      <w:pPr>
        <w:spacing w:after="120" w:line="276" w:lineRule="auto"/>
      </w:pPr>
      <w:r>
        <w:t>**MACD** : Le MACD (202,041) est nettement supérieur à son signal (153,365), avec les deux indicateurs en territoire positif. Cette divergence positive confirme un momentum haussier fort et récent, justifiant la décision d'**Achat**.</w:t>
      </w:r>
    </w:p>
    <w:p>
      <w:pPr>
        <w:spacing w:after="120" w:line="276" w:lineRule="auto"/>
      </w:pPr>
      <w:r>
        <w:t>**RSI** : Le RSI est à 85,096, une valeur très largement supérieure au seuil de surachat de 70. Ce niveau signale que le titre est fortement suracheté à court terme, ce qui suggère un risque élevé de correction ou de consolidation, justifiant la décision de **Vente**.</w:t>
      </w:r>
    </w:p>
    <w:p>
      <w:pPr>
        <w:spacing w:after="120" w:line="276" w:lineRule="auto"/>
      </w:pPr>
      <w:r>
        <w:t>**Stochastique** : Le %K (92,308) et le %D (94,72) sont tous deux à des niveaux extrêmes de surachat. Bien que le %K soit inférieur au %D, indiquant un début de retournement, la configuration reste très dangereuse pour de nouveaux achats à court terme, justifiant la décision de **Vente**.</w:t>
      </w:r>
    </w:p>
    <w:p>
      <w:pPr>
        <w:spacing w:after="120" w:line="276" w:lineRule="auto"/>
      </w:pPr>
      <w:r>
        <w:t>**Conclusion technique** : Les indicateurs de tendance (MM, MACD) sont résolument haussiers, mais les oscillateurs de momentum (RSI, Stochastique) hurlent au surachat. Cette divergence classique signale une force sous-jacente mais un risque immédiat de correction. La prudence est de mise pour un nouvel achat à ces niveaux, et un investisseur pourrait envisager de prendre ses profits à court terme.</w:t>
      </w:r>
    </w:p>
    <w:p>
      <w:pPr>
        <w:spacing w:after="120" w:line="276" w:lineRule="auto"/>
      </w:pPr>
      <w:r>
        <w:t>### PARTIE 3 : ANALYSE FONDAMENTALE (SECTION CRITIQUE)</w:t>
      </w:r>
    </w:p>
    <w:p>
      <w:pPr>
        <w:spacing w:after="120" w:line="276" w:lineRule="auto"/>
      </w:pPr>
      <w:r>
        <w:t>En 2025, selon les données structurées, SERVAIR ABIDJAN a réalisé un chiffre d'affaires de 13,298 milliards FCFA (+6,7% vs 2024), pour un résultat net de 1,351 milliard FCFA, en baisse de 12,1%. Cette baisse est attribuée à une hausse de 46,7% de la charge d'impôt. La rentabilité reste excellente avec un ROE de 26,18% et un ROA de 14,64%. La structure financière est très saine avec une autonomie financière de 55,9%, une trésorerie nette de 4,035 milliards FCFA et un endettement quasi nul. Les délais de paiement clients (70 jours) et fournisseurs (92 jours) sont bien gérés, avec un BFR positif mais faible (257 M FCFA). Les rapports trimestriels de 2025 montrent une année contrastée : un T1 difficile (résultat net -6,8% à 346 M FCFA) dû à un litige avec la BCEAO, suivi d'un T3 en forte croissance (+17,1% à 1 325 M FCFA). Cependant, le rapport du T1 2026 (publié en 2026) fait état d'une dégradation marquée avec un résultat net en chute de 35,6% à 222,6 millions FCFA, impacté par les ajustements de redevances aéroportuaires. Malgré des fondamentaux historiquement solides, la tendance récente montre une pression sur la rentabilité.</w:t>
      </w:r>
    </w:p>
    <w:p>
      <w:pPr>
        <w:spacing w:after="120" w:line="276" w:lineRule="auto"/>
      </w:pPr>
      <w:r>
        <w:t>### PARTIE 4 : CONCLUSION D'INVESTISSEMENT</w:t>
      </w:r>
    </w:p>
    <w:p>
      <w:pPr>
        <w:spacing w:after="120" w:line="276" w:lineRule="auto"/>
      </w:pPr>
      <w:r>
        <w:t>La valorisation d'ABJC est extrêmement exigeante (PER 31,5x, P/B 8,25x), ne laissant que très peu de place à l'erreur. Le comportement du cours sur 100 jours est haussier mais avec une volatilité très élevée (49,2%), et les statistiques indiquent un potentiel de retournement. Les signaux techniques sont contradictoires : une tendance de fond positive (MM, MACD) mais des indicateurs de momentum en surachat extrême (RSI, Stochastique) suggérant une consolidation imminente. Les fondamentaux de l'entreprise sont sains (ROE &gt; 26%, zéro dette), mais les derniers rapports trimestriels (T1 2026) montrent une nette dégradation de la rentabilité. Les prédictions IA d'une baisse continue du cours sur 10 jours (de 3 794 à 3 469 FCFA) confirment le scénario d'une correction technique après la forte hausse. En synthèse, la convergence des signaux de surachat technique et de la dégradation fondamentale récente, malgré une valorisation déjà élevée, conduit à une recommandation de **VENTE** à court terme pour réaliser les gains, avec un niveau de confiance **Moyen**. Le risque global est **Élevé** en raison de la volatilité et de l'incertitude sur la rentabilité future. L'horizon d'investissement optimal serait de moyen à long terme (&gt; 6 mois), en attendant une correction du cours et une stabilisation des résultats financiers pour envisager un nouvel achat.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600.70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12,052 titres</w:t>
            </w:r>
          </w:p>
        </w:tc>
        <w:tc>
          <w:tcPr>
            <w:tcW w:type="dxa" w:w="2268"/>
            <w:shd w:fill="FFF2CC" w:val="clear"/>
          </w:tcPr>
          <w:p>
            <w:r>
              <w:rPr>
                <w:b/>
                <w:color w:val="503200"/>
                <w:sz w:val="16"/>
              </w:rPr>
              <w:t xml:space="preserve">Cours actuel : </w:t>
            </w:r>
            <w:r>
              <w:rPr>
                <w:color w:val="000000"/>
                <w:sz w:val="17"/>
              </w:rPr>
              <w:t>10,400 FCFA</w:t>
            </w:r>
          </w:p>
          <w:p>
            <w:r>
              <w:rPr>
                <w:b/>
                <w:color w:val="503200"/>
                <w:sz w:val="16"/>
              </w:rPr>
              <w:t xml:space="preserve">Var. 100 jours : </w:t>
            </w:r>
            <w:r>
              <w:rPr>
                <w:b/>
                <w:color w:val="007800"/>
                <w:sz w:val="17"/>
              </w:rPr>
              <w:t>+101.94%</w:t>
            </w:r>
          </w:p>
          <w:p>
            <w:r>
              <w:rPr>
                <w:b/>
                <w:color w:val="503200"/>
                <w:sz w:val="16"/>
              </w:rPr>
              <w:t xml:space="preserve">Plus haut 100j : </w:t>
            </w:r>
            <w:r>
              <w:rPr>
                <w:color w:val="000000"/>
                <w:sz w:val="17"/>
              </w:rPr>
              <w:t>10,400 FCFA</w:t>
            </w:r>
          </w:p>
          <w:p>
            <w:r>
              <w:rPr>
                <w:b/>
                <w:color w:val="503200"/>
                <w:sz w:val="16"/>
              </w:rPr>
              <w:t xml:space="preserve">Plus bas 100j : </w:t>
            </w:r>
            <w:r>
              <w:rPr>
                <w:color w:val="000000"/>
                <w:sz w:val="17"/>
              </w:rPr>
              <w:t>5,100 FCFA</w:t>
            </w:r>
          </w:p>
          <w:p>
            <w:r>
              <w:rPr>
                <w:b/>
                <w:color w:val="503200"/>
                <w:sz w:val="16"/>
              </w:rPr>
              <w:t xml:space="preserve">Volatilité ann. : </w:t>
            </w:r>
            <w:r>
              <w:rPr>
                <w:color w:val="000000"/>
                <w:sz w:val="17"/>
              </w:rPr>
              <w:t>33.0%</w:t>
            </w:r>
          </w:p>
        </w:tc>
        <w:tc>
          <w:tcPr>
            <w:tcW w:type="dxa" w:w="2835"/>
            <w:shd w:fill="FCE4D6" w:val="clear"/>
          </w:tcPr>
          <w:p>
            <w:r>
              <w:rPr>
                <w:b/>
                <w:color w:val="500000"/>
                <w:sz w:val="16"/>
              </w:rPr>
              <w:t xml:space="preserve">Recommandation : </w:t>
            </w:r>
            <w:r>
              <w:rPr>
                <w:b/>
                <w:color w:val="646400"/>
                <w:sz w:val="19"/>
              </w:rPr>
              <w:t>CONSERVER ⚠️</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26.1/100 → Moyen</w:t>
      </w:r>
    </w:p>
    <w:p>
      <w:pPr>
        <w:spacing w:before="40" w:after="80"/>
      </w:pPr>
      <w:r>
        <w:rPr>
          <w:rFonts w:ascii="Courier New" w:hAnsi="Courier New"/>
          <w:color w:val="825A00"/>
          <w:sz w:val="18"/>
        </w:rPr>
        <w:t>█████░░░░░░░░░░░░░░░  26.1/100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21.17% (Élevée) — μ=6,401 FCFA, σ=1,355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β=0.2980 (Défensif) — Cov=0.000011, Var(idx)=0.000036, ρ=0.088,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12,052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σ_j=2.08%/j (Stable) — Vol. annualisée≈33.0%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1697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2026-09-07</w:t>
            </w:r>
          </w:p>
        </w:tc>
        <w:tc>
          <w:tcPr>
            <w:tcW w:type="dxa" w:w="1440"/>
            <w:shd w:fill="FFDCE0" w:val="clear"/>
          </w:tcPr>
          <w:p>
            <w:r>
              <w:rPr>
                <w:sz w:val="17"/>
              </w:rPr>
              <w:t>9,179</w:t>
            </w:r>
          </w:p>
        </w:tc>
        <w:tc>
          <w:tcPr>
            <w:tcW w:type="dxa" w:w="1440"/>
            <w:shd w:fill="FFDCE0" w:val="clear"/>
          </w:tcPr>
          <w:p>
            <w:r>
              <w:rPr>
                <w:b/>
                <w:sz w:val="17"/>
              </w:rPr>
              <w:t>9,620</w:t>
            </w:r>
          </w:p>
        </w:tc>
        <w:tc>
          <w:tcPr>
            <w:tcW w:type="dxa" w:w="1440"/>
            <w:shd w:fill="FFDCE0" w:val="clear"/>
          </w:tcPr>
          <w:p>
            <w:r>
              <w:rPr>
                <w:sz w:val="17"/>
              </w:rPr>
              <w:t>10,061</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2026-09-08</w:t>
            </w:r>
          </w:p>
        </w:tc>
        <w:tc>
          <w:tcPr>
            <w:tcW w:type="dxa" w:w="1440"/>
            <w:shd w:fill="FFDCE0" w:val="clear"/>
          </w:tcPr>
          <w:p>
            <w:r>
              <w:rPr>
                <w:sz w:val="17"/>
              </w:rPr>
              <w:t>8,321</w:t>
            </w:r>
          </w:p>
        </w:tc>
        <w:tc>
          <w:tcPr>
            <w:tcW w:type="dxa" w:w="1440"/>
            <w:shd w:fill="FFDCE0" w:val="clear"/>
          </w:tcPr>
          <w:p>
            <w:r>
              <w:rPr>
                <w:b/>
                <w:sz w:val="17"/>
              </w:rPr>
              <w:t>8,898</w:t>
            </w:r>
          </w:p>
        </w:tc>
        <w:tc>
          <w:tcPr>
            <w:tcW w:type="dxa" w:w="1440"/>
            <w:shd w:fill="FFDCE0" w:val="clear"/>
          </w:tcPr>
          <w:p>
            <w:r>
              <w:rPr>
                <w:sz w:val="17"/>
              </w:rPr>
              <w:t>9,476</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2026-09-09</w:t>
            </w:r>
          </w:p>
        </w:tc>
        <w:tc>
          <w:tcPr>
            <w:tcW w:type="dxa" w:w="1440"/>
            <w:shd w:fill="FFDCE0" w:val="clear"/>
          </w:tcPr>
          <w:p>
            <w:r>
              <w:rPr>
                <w:sz w:val="17"/>
              </w:rPr>
              <w:t>7,577</w:t>
            </w:r>
          </w:p>
        </w:tc>
        <w:tc>
          <w:tcPr>
            <w:tcW w:type="dxa" w:w="1440"/>
            <w:shd w:fill="FFDCE0" w:val="clear"/>
          </w:tcPr>
          <w:p>
            <w:r>
              <w:rPr>
                <w:b/>
                <w:sz w:val="17"/>
              </w:rPr>
              <w:t>8,231</w:t>
            </w:r>
          </w:p>
        </w:tc>
        <w:tc>
          <w:tcPr>
            <w:tcW w:type="dxa" w:w="1440"/>
            <w:shd w:fill="FFDCE0" w:val="clear"/>
          </w:tcPr>
          <w:p>
            <w:r>
              <w:rPr>
                <w:sz w:val="17"/>
              </w:rPr>
              <w:t>8,885</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6,915</w:t>
            </w:r>
          </w:p>
        </w:tc>
        <w:tc>
          <w:tcPr>
            <w:tcW w:type="dxa" w:w="1440"/>
            <w:shd w:fill="FFDCE0" w:val="clear"/>
          </w:tcPr>
          <w:p>
            <w:r>
              <w:rPr>
                <w:b/>
                <w:sz w:val="17"/>
              </w:rPr>
              <w:t>7,614</w:t>
            </w:r>
          </w:p>
        </w:tc>
        <w:tc>
          <w:tcPr>
            <w:tcW w:type="dxa" w:w="1440"/>
            <w:shd w:fill="FFDCE0" w:val="clear"/>
          </w:tcPr>
          <w:p>
            <w:r>
              <w:rPr>
                <w:sz w:val="17"/>
              </w:rPr>
              <w:t>8,312</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6,321</w:t>
            </w:r>
          </w:p>
        </w:tc>
        <w:tc>
          <w:tcPr>
            <w:tcW w:type="dxa" w:w="1440"/>
            <w:shd w:fill="FFDCE0" w:val="clear"/>
          </w:tcPr>
          <w:p>
            <w:r>
              <w:rPr>
                <w:b/>
                <w:sz w:val="17"/>
              </w:rPr>
              <w:t>7,043</w:t>
            </w:r>
          </w:p>
        </w:tc>
        <w:tc>
          <w:tcPr>
            <w:tcW w:type="dxa" w:w="1440"/>
            <w:shd w:fill="FFDCE0" w:val="clear"/>
          </w:tcPr>
          <w:p>
            <w:r>
              <w:rPr>
                <w:sz w:val="17"/>
              </w:rPr>
              <w:t>7,765</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5,783</w:t>
            </w:r>
          </w:p>
        </w:tc>
        <w:tc>
          <w:tcPr>
            <w:tcW w:type="dxa" w:w="1440"/>
            <w:shd w:fill="FFDCE0" w:val="clear"/>
          </w:tcPr>
          <w:p>
            <w:r>
              <w:rPr>
                <w:b/>
                <w:sz w:val="17"/>
              </w:rPr>
              <w:t>6,515</w:t>
            </w:r>
          </w:p>
        </w:tc>
        <w:tc>
          <w:tcPr>
            <w:tcW w:type="dxa" w:w="1440"/>
            <w:shd w:fill="FFDCE0" w:val="clear"/>
          </w:tcPr>
          <w:p>
            <w:r>
              <w:rPr>
                <w:sz w:val="17"/>
              </w:rPr>
              <w:t>7,246</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5,295</w:t>
            </w:r>
          </w:p>
        </w:tc>
        <w:tc>
          <w:tcPr>
            <w:tcW w:type="dxa" w:w="1440"/>
            <w:shd w:fill="FFDCE0" w:val="clear"/>
          </w:tcPr>
          <w:p>
            <w:r>
              <w:rPr>
                <w:b/>
                <w:sz w:val="17"/>
              </w:rPr>
              <w:t>6,026</w:t>
            </w:r>
          </w:p>
        </w:tc>
        <w:tc>
          <w:tcPr>
            <w:tcW w:type="dxa" w:w="1440"/>
            <w:shd w:fill="FFDCE0" w:val="clear"/>
          </w:tcPr>
          <w:p>
            <w:r>
              <w:rPr>
                <w:sz w:val="17"/>
              </w:rPr>
              <w:t>6,757</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5,097</w:t>
            </w:r>
          </w:p>
        </w:tc>
        <w:tc>
          <w:tcPr>
            <w:tcW w:type="dxa" w:w="1440"/>
            <w:shd w:fill="FFDCE0" w:val="clear"/>
          </w:tcPr>
          <w:p>
            <w:r>
              <w:rPr>
                <w:b/>
                <w:sz w:val="17"/>
              </w:rPr>
              <w:t>5,857</w:t>
            </w:r>
          </w:p>
        </w:tc>
        <w:tc>
          <w:tcPr>
            <w:tcW w:type="dxa" w:w="1440"/>
            <w:shd w:fill="FFDCE0" w:val="clear"/>
          </w:tcPr>
          <w:p>
            <w:r>
              <w:rPr>
                <w:sz w:val="17"/>
              </w:rPr>
              <w:t>6,616</w:t>
            </w:r>
          </w:p>
        </w:tc>
        <w:tc>
          <w:tcPr>
            <w:tcW w:type="dxa" w:w="1440"/>
            <w:shd w:fill="FFDCE0" w:val="clear"/>
          </w:tcPr>
          <w:p>
            <w:r>
              <w:rPr>
                <w:b/>
                <w:color w:val="C00000"/>
                <w:sz w:val="17"/>
              </w:rPr>
              <w:t>-43.7%</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4,950</w:t>
            </w:r>
          </w:p>
        </w:tc>
        <w:tc>
          <w:tcPr>
            <w:tcW w:type="dxa" w:w="1440"/>
            <w:shd w:fill="FFDCE0" w:val="clear"/>
          </w:tcPr>
          <w:p>
            <w:r>
              <w:rPr>
                <w:b/>
                <w:sz w:val="17"/>
              </w:rPr>
              <w:t>5,739</w:t>
            </w:r>
          </w:p>
        </w:tc>
        <w:tc>
          <w:tcPr>
            <w:tcW w:type="dxa" w:w="1440"/>
            <w:shd w:fill="FFDCE0" w:val="clear"/>
          </w:tcPr>
          <w:p>
            <w:r>
              <w:rPr>
                <w:sz w:val="17"/>
              </w:rPr>
              <w:t>6,529</w:t>
            </w:r>
          </w:p>
        </w:tc>
        <w:tc>
          <w:tcPr>
            <w:tcW w:type="dxa" w:w="1440"/>
            <w:shd w:fill="FFDCE0" w:val="clear"/>
          </w:tcPr>
          <w:p>
            <w:r>
              <w:rPr>
                <w:b/>
                <w:color w:val="C00000"/>
                <w:sz w:val="17"/>
              </w:rPr>
              <w:t>-44.8%</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4,820</w:t>
            </w:r>
          </w:p>
        </w:tc>
        <w:tc>
          <w:tcPr>
            <w:tcW w:type="dxa" w:w="1440"/>
            <w:shd w:fill="FFDCE0" w:val="clear"/>
          </w:tcPr>
          <w:p>
            <w:r>
              <w:rPr>
                <w:b/>
                <w:sz w:val="17"/>
              </w:rPr>
              <w:t>5,638</w:t>
            </w:r>
          </w:p>
        </w:tc>
        <w:tc>
          <w:tcPr>
            <w:tcW w:type="dxa" w:w="1440"/>
            <w:shd w:fill="FFDCE0" w:val="clear"/>
          </w:tcPr>
          <w:p>
            <w:r>
              <w:rPr>
                <w:sz w:val="17"/>
              </w:rPr>
              <w:t>6,455</w:t>
            </w:r>
          </w:p>
        </w:tc>
        <w:tc>
          <w:tcPr>
            <w:tcW w:type="dxa" w:w="1440"/>
            <w:shd w:fill="FFDCE0" w:val="clear"/>
          </w:tcPr>
          <w:p>
            <w:r>
              <w:rPr>
                <w:b/>
                <w:color w:val="C00000"/>
                <w:sz w:val="17"/>
              </w:rPr>
              <w:t>-45.8%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**RAPPORT D'ANALYSE FINANCIÈRE — BICB (BRVM)**</w:t>
        <w:br/>
        <w:t>**Date de l'analyse : 05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BICB s'établit à 600,70 milliards FCFA, un niveau qui la positionne parmi les poids lourds de la cote de la BRVM, reflétant une liquidité et un intérêt institutionnel notables. Avec un BPA de 627 FCFA, le PER de 16,6x se situe nettement au-dessus de la moyenne historique de la place (~8-12x), indiquant que le marché intègre déjà des perspectives de croissance soutenues et paie une prime pour la qualité perçue de l'actif. Cette prime est encore plus marquée au regard du P/B de 4,45x, qui valorise fortement les capitaux propres de la banque par rapport à leur valeur comptable, signe d'une confiance dans la création de valeur future. Enfin, le ratio EV/EBITDA de 26,9x, très supérieur au seuil de 15x jugé exigeant, confirme une valorisation qui anticipe une expansion durable de la rentabilité opérationnelle, mais qui laisse peu de marge d'erreur en cas de déception.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l'action BICB a connu une appréciation spectaculaire de +101,94%, avec une dernière séance en hausse de +2,87% pour clôturer à 10 400 FCFA, son plus haut niveau sur la période. Le titre a évolué dans une fourchette très large de 5 100 à 10 400 FCFA, doublant sa valeur, ce qui témoigne d'un momentum haussier extrêmement puissant. L'analyse des statistiques descriptives révèle une moyenne de 6 401 FCFA nettement inférieure au cours actuel, et une médiane de 5 858 FCFA, ce qui, combiné à un skewness positif de 0.974, confirme que la majorité des séances se sont déroulées à des niveaux bas avant une accélération récente. L'écart-type de 1 362 FCFA (CV de 21,3%) montre une dispersion modérée, tandis que le kurtosis de -0.113 indique une distribution proche de la normale, sans pic de risque extrême. La volatilité annualisée de 33,0% classe le titre dans la catégorie "élevée" (&gt;30%), reflétant un risque de marché significatif inhérent à une telle trajectoire de hausse.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10 400 FCFA évolue très au-dessus de la MM20 (8 622,25 FCFA) et de la MM50 (7 460,0 FCFA), qui sont orientées à la hausse. Cette configuration en "trend haussier" est un signal d'achat classique, confirmant la vigueur de la tendance de fond, bien que l'écart important suggère une possible phase de consolidation à court terme.</w:t>
      </w:r>
    </w:p>
    <w:p>
      <w:pPr>
        <w:spacing w:after="120" w:line="276" w:lineRule="auto"/>
      </w:pPr>
      <w:r>
        <w:t>**Bandes de Bollinger** : Le prix se situe au-dessus de la borne supérieure de la bande (10 082,025 FCFA), ce qui est un signal de vente indiquant une condition de surachat extrême. La largeur des bandes, avec une borne inférieure à 7 162,475 FCFA, reflète une volatilité accrue. Cette sortie de canal suggère que le titre est temporairement étendu et pourrait être sujet à un retour vers la moyenne.</w:t>
      </w:r>
    </w:p>
    <w:p>
      <w:pPr>
        <w:spacing w:after="120" w:line="276" w:lineRule="auto"/>
      </w:pPr>
      <w:r>
        <w:t>**MACD** : La valeur du MACD (671,425) est nettement supérieure à sa ligne de signal (528,502), avec un histogramme positif. Cette configuration haussière indique un momentum positif persistant, confirmant la tendance à la hausse. La décision associée est un "Achat", car la dynamique reste en faveur des acheteurs.</w:t>
      </w:r>
    </w:p>
    <w:p>
      <w:pPr>
        <w:spacing w:after="120" w:line="276" w:lineRule="auto"/>
      </w:pPr>
      <w:r>
        <w:t>**RSI** : L'indice de force relative s'établit à 84,672, une valeur très élevée qui le place en zone de surachat profond (&gt;70). Ce niveau signale que le titre est survendu d'un point de vue technique et qu'un repli ou une consolidation est statistiquement probable à court terme. La décision est donc une "Vente" pour les traders à horizon court.</w:t>
      </w:r>
    </w:p>
    <w:p>
      <w:pPr>
        <w:spacing w:after="120" w:line="276" w:lineRule="auto"/>
      </w:pPr>
      <w:r>
        <w:t>**Stochastique** : Les lignes %K et %D sont toutes deux à 100,0, un niveau extrême qui indique une condition de surachat maximal. Ce plateau signale que la pression acheteuse a été intense et que le potentiel de hausse immédiat est limité, renforçant le signal de "Vente" pour une prise de bénéfices à court terme.</w:t>
      </w:r>
    </w:p>
    <w:p>
      <w:pPr>
        <w:spacing w:after="120" w:line="276" w:lineRule="auto"/>
      </w:pPr>
      <w:r>
        <w:t>**Conclusion technique** : La tendance de fond est résolument haussière, comme l'indiquent les moyennes mobiles et le MACD. Cependant, l'ensemble des oscillateurs (RSI, Stochastique) et la position du prix par rapport aux bandes de Bollinger crient "surachat". La convergence de ces signaux suggère une probabilité élevée de correction ou de consolidation à brève échéance, même si la tendance de moyen terme reste positive.</w:t>
      </w:r>
    </w:p>
    <w:p>
      <w:pPr>
        <w:spacing w:after="120" w:line="276" w:lineRule="auto"/>
      </w:pPr>
      <w:r>
        <w:t>---</w:t>
      </w:r>
    </w:p>
    <w:p>
      <w:pPr>
        <w:spacing w:after="120" w:line="276" w:lineRule="auto"/>
      </w:pPr>
      <w:r>
        <w:t>### PARTIE 3 : ANALYSE FONDAMENTALE (SECTION CRITIQUE)</w:t>
      </w:r>
    </w:p>
    <w:p>
      <w:pPr>
        <w:spacing w:after="120" w:line="276" w:lineRule="auto"/>
      </w:pPr>
      <w:r>
        <w:t>En 2025, la BICB (ex-BIIC) affiche des résultats annuels solides avec un Produit Net Bancaire (PNB) de 52,805 milliards FCFA, en hausse de 16,5%, et un résultat net de 36,237 milliards FCFA, en progression de 24,7%. La banque démontre une excellente efficacité opérationnelle avec un coefficient d'exploitation de 31,12% (bien en dessous du seuil de 60%), et une rentabilité des fonds propres (ROE) de 26,82%, un niveau jugé excellent. Cependant, le coût du risque s'élève à 9,61% des charges financières, un niveau élevé qui reflète une dégradation de la qualité du portefeuille de crédits, en forte expansion (+37,3% sur l'année). Les rapports trimestriels de 2025 (S1 et T3) montraient une pression sur la rentabilité due à un provisionnement massif, mais le rapport annuel confirme une reprise au T4. Pour 2026, les données du T1 (rapport du 31 mars 2026) sont très encourageantes : le PNB a bondi de 35% à 14,6 milliards FCFA et le résultat net de 48% à 8,0 milliards FCFA, suggérant une normalisation du coût du risque et une forte dynamique commerciale. On estime que l'exercice 2026 pourrait voir le résultat net dépasser les 40 milliards FCFA si cette tendance se maintient. La structure financière reste fragile avec un ratio d'autonomie financière de 7,33%, mais la solvabilité générale est assurée (107,9%). Le ratio de transformation (crédits/dépôts) est très tendu à 97,5%, un point de vigilance majeur pour la liquidité.</w:t>
      </w:r>
    </w:p>
    <w:p>
      <w:pPr>
        <w:spacing w:after="120" w:line="276" w:lineRule="auto"/>
      </w:pPr>
      <w:r>
        <w:t>---</w:t>
      </w:r>
    </w:p>
    <w:p>
      <w:pPr>
        <w:spacing w:after="120" w:line="276" w:lineRule="auto"/>
      </w:pPr>
      <w:r>
        <w:t>### PARTIE 4 : CONCLUSION D'INVESTISSEMENT</w:t>
      </w:r>
    </w:p>
    <w:p>
      <w:pPr>
        <w:spacing w:after="120" w:line="276" w:lineRule="auto"/>
      </w:pPr>
      <w:r>
        <w:t>La valorisation actuelle de la BICB (PER 16,6x, P/B 4,45x) est exigeante et intègre une croissance future déjà largement anticipée, laissant peu de marge de sécurité. Le comportement du cours, avec une hausse de plus de 100% en 100 jours et une volatilité de 33%, témoigne d'un enthousiasme débordant, mais les statistiques (skewness positif) et les signaux techniques (RSI, Stochastique, Bandes de Bollinger en surachat extrême) crient tous à une correction imminente à court terme. En revanche, les fondamentaux de la banque sont solides avec une rentabilité (ROE 26,8%) et une croissance du PNB (+16,5% en 2025, +35% au T1 2026) remarquables, même si le risque de crédit et la tension sur la liquidité restent des défis. Les prédictions IA, projetant une chute du cours à 7 043 FCFA sur 10 jours, confirment l'analyse technique d'un retour de bâton probable. En synthèse, la convergence des signaux techniques et des prédictions IA contredit la valorisation et le momentum à court terme. Par conséquent, la recommandation est un **CONSERVER** pour les investisseurs de long terme, avec un niveau de confiance **Moyen** et un risque global **Élevé**. Pour les investisseurs à court terme, une prise de profit est suggérée, avec un horizon optimal de **moyen terme (3-12 mois)** pour réévaluer la valeur après une probable phase de consolidation.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8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(+30% cr\u00e9dits, +25% d\u00e9p\u00f4ts) d\u00e9montre la solidit\u00e9 de la franchise mais le recul du r\u00e9sultat net (-9%) refl\u00e8te une gestion prudente n\u00e9cessaire. L'\u00e9quilibre entre expansion et ma\u00eetrise des risques justifie une position d'attente."}</w:t>
      </w:r>
    </w:p>
    <w:p>
      <w:pPr>
        <w:spacing w:before="40"/>
        <w:ind w:left="400"/>
      </w:pPr>
      <w:r>
        <w:rPr>
          <w:sz w:val="18"/>
        </w:rPr>
        <w:t>BIIC affiche des performances contrastées au T3 2025 avec un résultat net de 13,1 milliards FCFA en baisse de 9% par rapport à septembre 2024. Le PNB progresse fortement de 26% à 35,9 milliards FCFA, porté par la hausse des revenus sur crédits. Les encours de crédits bondissent de 30% et les dépôts clients de 25%, témoignant d'une forte dynamique commerciale. Le recul du résultat net s'explique par le renforcement prudent des provisions face à l'évolution du portefeuille de crédits. Le total bilan atteint 1 806,8 milliards FCFA, en progression de 19%.</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{'titres': '547,3 milliards FCFA', 'depots_clientele': '1 154,029 milliards FCFA', 'resultat_avant_impots': '13,9 milliards FCFA', 'credits_nets_clientele': '1 111,078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1 806,8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PNB de 26% à 35,9 milliards FCFA au T3 2025</w:t>
      </w:r>
    </w:p>
    <w:p>
      <w:pPr>
        <w:pStyle w:val="ListBullet"/>
        <w:spacing w:before="20" w:after="20"/>
        <w:ind w:left="700"/>
      </w:pPr>
      <w:r>
        <w:rPr>
          <w:sz w:val="18"/>
        </w:rPr>
        <w:t>Forte expansion des crédits nets clientèle (+30%) à 1 111,078 milliards FCFA</w:t>
      </w:r>
    </w:p>
    <w:p>
      <w:pPr>
        <w:pStyle w:val="ListBullet"/>
        <w:spacing w:before="20" w:after="20"/>
        <w:ind w:left="700"/>
      </w:pPr>
      <w:r>
        <w:rPr>
          <w:sz w:val="18"/>
        </w:rPr>
        <w:t>Hausse significative des dépôts clientèle (+25%) à 1 154,029 milliards FCFA</w:t>
      </w:r>
    </w:p>
    <w:p>
      <w:pPr>
        <w:pStyle w:val="ListBullet"/>
        <w:spacing w:before="20" w:after="20"/>
        <w:ind w:left="700"/>
      </w:pPr>
      <w:r>
        <w:rPr>
          <w:sz w:val="18"/>
        </w:rPr>
        <w:t>Recul du résultat net de 9% à 13,1 milliards FCFA malgré la croissance d'activité</w:t>
      </w:r>
    </w:p>
    <w:p>
      <w:pPr>
        <w:pStyle w:val="ListBullet"/>
        <w:spacing w:before="20" w:after="20"/>
        <w:ind w:left="700"/>
      </w:pPr>
      <w:r>
        <w:rPr>
          <w:sz w:val="18"/>
        </w:rPr>
        <w:t>Politique prudente de provisionnement face à l'évolution du portefeuille crédit</w:t>
      </w:r>
    </w:p>
    <w:p>
      <w:pPr>
        <w:pStyle w:val="ListBullet"/>
        <w:spacing w:before="20" w:after="20"/>
        <w:ind w:left="700"/>
      </w:pPr>
      <w:r>
        <w:rPr>
          <w:sz w:val="18"/>
        </w:rPr>
        <w:t>Total bilan en progression de 19% à 1 806,8 milliards FCFA</w:t>
      </w:r>
    </w:p>
    <w:p>
      <w:pPr>
        <w:spacing w:before="40"/>
        <w:ind w:left="400"/>
      </w:pPr>
      <w:r>
        <w:rPr>
          <w:b/>
          <w:color w:val="C05000"/>
          <w:sz w:val="18"/>
        </w:rPr>
        <w:t xml:space="preserve">⚠️ Risques : </w:t>
      </w:r>
      <w:r>
        <w:rPr>
          <w:sz w:val="18"/>
        </w:rPr>
        <w:t>["D\u00e9t\u00e9rioration potentielle de la qualit\u00e9 du portefeuille cr\u00e9dit n\u00e9cessitant des provisions accrues", "Pression sur la rentabilit\u00e9 due au renforcement du co\u00fbt du risque dans un contexte prudentiel exigeant", "Concentration des financements sur le court et moyen ter</w:t>
      </w:r>
    </w:p>
    <w:p>
      <w:pPr>
        <w:spacing w:before="40"/>
        <w:ind w:left="400"/>
      </w:pPr>
      <w:r>
        <w:rPr>
          <w:b/>
          <w:color w:val="0064A0"/>
          <w:sz w:val="18"/>
        </w:rPr>
        <w:t xml:space="preserve">🔮 Perspectives : </w:t>
      </w:r>
      <w:r>
        <w:rPr>
          <w:sz w:val="18"/>
        </w:rPr>
        <w:t>La BIIC prévoit de poursuivre le déploiement de ses activités au T4 2025 en consolidant sa stratégie commerciale. L'accent sera mis sur une gestion rigoureuse des risques et des charges de fonctionnement pour atteindre les objectifs stratégiques. La banque maintient sa dynamique de croissance tout e</w:t>
      </w:r>
    </w:p>
    <w:p/>
    <w:p>
      <w:r>
        <w:t>════════════════════════════════════════════════════════════════════════════════</w:t>
      </w:r>
    </w:p>
    <w:p>
      <w:r>
        <w:br w:type="page"/>
      </w:r>
    </w:p>
    <w:p>
      <w:pPr>
        <w:pStyle w:val="Heading2"/>
        <w:spacing w:before="360"/>
      </w:pPr>
      <w:r>
        <w:rPr>
          <w:color w:val="0066CC"/>
        </w:rPr>
        <w:t>3.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550.08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669 titres</w:t>
            </w:r>
          </w:p>
        </w:tc>
        <w:tc>
          <w:tcPr>
            <w:tcW w:type="dxa" w:w="2268"/>
            <w:shd w:fill="FFF2CC" w:val="clear"/>
          </w:tcPr>
          <w:p>
            <w:r>
              <w:rPr>
                <w:b/>
                <w:color w:val="503200"/>
                <w:sz w:val="16"/>
              </w:rPr>
              <w:t xml:space="preserve">Cours actuel : </w:t>
            </w:r>
            <w:r>
              <w:rPr>
                <w:color w:val="000000"/>
                <w:sz w:val="17"/>
              </w:rPr>
              <w:t>33,005 FCFA</w:t>
            </w:r>
          </w:p>
          <w:p>
            <w:r>
              <w:rPr>
                <w:b/>
                <w:color w:val="503200"/>
                <w:sz w:val="16"/>
              </w:rPr>
              <w:t xml:space="preserve">Var. 100 jours : </w:t>
            </w:r>
            <w:r>
              <w:rPr>
                <w:b/>
                <w:color w:val="007800"/>
                <w:sz w:val="17"/>
              </w:rPr>
              <w:t>+40.45%</w:t>
            </w:r>
          </w:p>
          <w:p>
            <w:r>
              <w:rPr>
                <w:b/>
                <w:color w:val="503200"/>
                <w:sz w:val="16"/>
              </w:rPr>
              <w:t xml:space="preserve">Plus haut 100j : </w:t>
            </w:r>
            <w:r>
              <w:rPr>
                <w:color w:val="000000"/>
                <w:sz w:val="17"/>
              </w:rPr>
              <w:t>33,005 FCFA</w:t>
            </w:r>
          </w:p>
          <w:p>
            <w:r>
              <w:rPr>
                <w:b/>
                <w:color w:val="503200"/>
                <w:sz w:val="16"/>
              </w:rPr>
              <w:t xml:space="preserve">Plus bas 100j : </w:t>
            </w:r>
            <w:r>
              <w:rPr>
                <w:color w:val="000000"/>
                <w:sz w:val="17"/>
              </w:rPr>
              <w:t>22,500 FCFA</w:t>
            </w:r>
          </w:p>
          <w:p>
            <w:r>
              <w:rPr>
                <w:b/>
                <w:color w:val="503200"/>
                <w:sz w:val="16"/>
              </w:rPr>
              <w:t xml:space="preserve">Volatilité ann. : </w:t>
            </w:r>
            <w:r>
              <w:rPr>
                <w:color w:val="000000"/>
                <w:sz w:val="17"/>
              </w:rPr>
              <w:t>28.9%</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7.31% (Moyenne) — μ=27,702 FCFA, σ=2,024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β=0.2660 (Défensif) — Cov=0.000010, Var(idx)=0.000036, ρ=0.095,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669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σ_j=1.82%/j (Stable) — Vol. annualisée≈28.9%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031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2026-09-07</w:t>
            </w:r>
          </w:p>
        </w:tc>
        <w:tc>
          <w:tcPr>
            <w:tcW w:type="dxa" w:w="1440"/>
            <w:shd w:fill="FFDCE0" w:val="clear"/>
          </w:tcPr>
          <w:p>
            <w:r>
              <w:rPr>
                <w:sz w:val="17"/>
              </w:rPr>
              <w:t>30,174</w:t>
            </w:r>
          </w:p>
        </w:tc>
        <w:tc>
          <w:tcPr>
            <w:tcW w:type="dxa" w:w="1440"/>
            <w:shd w:fill="FFDCE0" w:val="clear"/>
          </w:tcPr>
          <w:p>
            <w:r>
              <w:rPr>
                <w:b/>
                <w:sz w:val="17"/>
              </w:rPr>
              <w:t>31,067</w:t>
            </w:r>
          </w:p>
        </w:tc>
        <w:tc>
          <w:tcPr>
            <w:tcW w:type="dxa" w:w="1440"/>
            <w:shd w:fill="FFDCE0" w:val="clear"/>
          </w:tcPr>
          <w:p>
            <w:r>
              <w:rPr>
                <w:sz w:val="17"/>
              </w:rPr>
              <w:t>31,960</w:t>
            </w:r>
          </w:p>
        </w:tc>
        <w:tc>
          <w:tcPr>
            <w:tcW w:type="dxa" w:w="1440"/>
            <w:shd w:fill="FFDCE0" w:val="clear"/>
          </w:tcPr>
          <w:p>
            <w:r>
              <w:rPr>
                <w:b/>
                <w:color w:val="C00000"/>
                <w:sz w:val="17"/>
              </w:rPr>
              <w:t>-5.9%</w:t>
            </w:r>
          </w:p>
        </w:tc>
      </w:tr>
      <w:tr>
        <w:tc>
          <w:tcPr>
            <w:tcW w:type="dxa" w:w="1440"/>
            <w:shd w:fill="FFDCE0" w:val="clear"/>
          </w:tcPr>
          <w:p>
            <w:r>
              <w:rPr>
                <w:sz w:val="17"/>
              </w:rPr>
              <w:t>J+2  ⭐⭐⭐</w:t>
            </w:r>
          </w:p>
        </w:tc>
        <w:tc>
          <w:tcPr>
            <w:tcW w:type="dxa" w:w="1440"/>
            <w:shd w:fill="FFDCE0" w:val="clear"/>
          </w:tcPr>
          <w:p>
            <w:r>
              <w:rPr>
                <w:sz w:val="17"/>
              </w:rPr>
              <w:t>2026-09-08</w:t>
            </w:r>
          </w:p>
        </w:tc>
        <w:tc>
          <w:tcPr>
            <w:tcW w:type="dxa" w:w="1440"/>
            <w:shd w:fill="FFDCE0" w:val="clear"/>
          </w:tcPr>
          <w:p>
            <w:r>
              <w:rPr>
                <w:sz w:val="17"/>
              </w:rPr>
              <w:t>29,498</w:t>
            </w:r>
          </w:p>
        </w:tc>
        <w:tc>
          <w:tcPr>
            <w:tcW w:type="dxa" w:w="1440"/>
            <w:shd w:fill="FFDCE0" w:val="clear"/>
          </w:tcPr>
          <w:p>
            <w:r>
              <w:rPr>
                <w:b/>
                <w:sz w:val="17"/>
              </w:rPr>
              <w:t>30,748</w:t>
            </w:r>
          </w:p>
        </w:tc>
        <w:tc>
          <w:tcPr>
            <w:tcW w:type="dxa" w:w="1440"/>
            <w:shd w:fill="FFDCE0" w:val="clear"/>
          </w:tcPr>
          <w:p>
            <w:r>
              <w:rPr>
                <w:sz w:val="17"/>
              </w:rPr>
              <w:t>31,998</w:t>
            </w:r>
          </w:p>
        </w:tc>
        <w:tc>
          <w:tcPr>
            <w:tcW w:type="dxa" w:w="1440"/>
            <w:shd w:fill="FFDCE0" w:val="clear"/>
          </w:tcPr>
          <w:p>
            <w:r>
              <w:rPr>
                <w:b/>
                <w:color w:val="C00000"/>
                <w:sz w:val="17"/>
              </w:rPr>
              <w:t>-6.8%</w:t>
            </w:r>
          </w:p>
        </w:tc>
      </w:tr>
      <w:tr>
        <w:tc>
          <w:tcPr>
            <w:tcW w:type="dxa" w:w="1440"/>
            <w:shd w:fill="FFDCE0" w:val="clear"/>
          </w:tcPr>
          <w:p>
            <w:r>
              <w:rPr>
                <w:sz w:val="17"/>
              </w:rPr>
              <w:t>J+3  ⭐⭐⭐</w:t>
            </w:r>
          </w:p>
        </w:tc>
        <w:tc>
          <w:tcPr>
            <w:tcW w:type="dxa" w:w="1440"/>
            <w:shd w:fill="FFDCE0" w:val="clear"/>
          </w:tcPr>
          <w:p>
            <w:r>
              <w:rPr>
                <w:sz w:val="17"/>
              </w:rPr>
              <w:t>2026-09-09</w:t>
            </w:r>
          </w:p>
        </w:tc>
        <w:tc>
          <w:tcPr>
            <w:tcW w:type="dxa" w:w="1440"/>
            <w:shd w:fill="FFDCE0" w:val="clear"/>
          </w:tcPr>
          <w:p>
            <w:r>
              <w:rPr>
                <w:sz w:val="17"/>
              </w:rPr>
              <w:t>28,748</w:t>
            </w:r>
          </w:p>
        </w:tc>
        <w:tc>
          <w:tcPr>
            <w:tcW w:type="dxa" w:w="1440"/>
            <w:shd w:fill="FFDCE0" w:val="clear"/>
          </w:tcPr>
          <w:p>
            <w:r>
              <w:rPr>
                <w:b/>
                <w:sz w:val="17"/>
              </w:rPr>
              <w:t>30,255</w:t>
            </w:r>
          </w:p>
        </w:tc>
        <w:tc>
          <w:tcPr>
            <w:tcW w:type="dxa" w:w="1440"/>
            <w:shd w:fill="FFDCE0" w:val="clear"/>
          </w:tcPr>
          <w:p>
            <w:r>
              <w:rPr>
                <w:sz w:val="17"/>
              </w:rPr>
              <w:t>31,761</w:t>
            </w:r>
          </w:p>
        </w:tc>
        <w:tc>
          <w:tcPr>
            <w:tcW w:type="dxa" w:w="1440"/>
            <w:shd w:fill="FFDCE0" w:val="clear"/>
          </w:tcPr>
          <w:p>
            <w:r>
              <w:rPr>
                <w:b/>
                <w:color w:val="C00000"/>
                <w:sz w:val="17"/>
              </w:rPr>
              <w:t>-8.3%</w:t>
            </w:r>
          </w:p>
        </w:tc>
      </w:tr>
      <w:tr>
        <w:tc>
          <w:tcPr>
            <w:tcW w:type="dxa" w:w="1440"/>
            <w:shd w:fill="FFDCE0" w:val="clear"/>
          </w:tcPr>
          <w:p>
            <w:r>
              <w:rPr>
                <w:sz w:val="17"/>
              </w:rPr>
              <w:t>J+4  Moyenne</w:t>
            </w:r>
          </w:p>
        </w:tc>
        <w:tc>
          <w:tcPr>
            <w:tcW w:type="dxa" w:w="1440"/>
            <w:shd w:fill="FFDCE0" w:val="clear"/>
          </w:tcPr>
          <w:p>
            <w:r>
              <w:rPr>
                <w:sz w:val="17"/>
              </w:rPr>
              <w:t>2026-09-10</w:t>
            </w:r>
          </w:p>
        </w:tc>
        <w:tc>
          <w:tcPr>
            <w:tcW w:type="dxa" w:w="1440"/>
            <w:shd w:fill="FFDCE0" w:val="clear"/>
          </w:tcPr>
          <w:p>
            <w:r>
              <w:rPr>
                <w:sz w:val="17"/>
              </w:rPr>
              <w:t>28,121</w:t>
            </w:r>
          </w:p>
        </w:tc>
        <w:tc>
          <w:tcPr>
            <w:tcW w:type="dxa" w:w="1440"/>
            <w:shd w:fill="FFDCE0" w:val="clear"/>
          </w:tcPr>
          <w:p>
            <w:r>
              <w:rPr>
                <w:b/>
                <w:sz w:val="17"/>
              </w:rPr>
              <w:t>29,836</w:t>
            </w:r>
          </w:p>
        </w:tc>
        <w:tc>
          <w:tcPr>
            <w:tcW w:type="dxa" w:w="1440"/>
            <w:shd w:fill="FFDCE0" w:val="clear"/>
          </w:tcPr>
          <w:p>
            <w:r>
              <w:rPr>
                <w:sz w:val="17"/>
              </w:rPr>
              <w:t>31,551</w:t>
            </w:r>
          </w:p>
        </w:tc>
        <w:tc>
          <w:tcPr>
            <w:tcW w:type="dxa" w:w="1440"/>
            <w:shd w:fill="FFDCE0" w:val="clear"/>
          </w:tcPr>
          <w:p>
            <w:r>
              <w:rPr>
                <w:b/>
                <w:color w:val="C00000"/>
                <w:sz w:val="17"/>
              </w:rPr>
              <w:t>-9.6%</w:t>
            </w:r>
          </w:p>
        </w:tc>
      </w:tr>
      <w:tr>
        <w:tc>
          <w:tcPr>
            <w:tcW w:type="dxa" w:w="1440"/>
            <w:shd w:fill="FFDCE0" w:val="clear"/>
          </w:tcPr>
          <w:p>
            <w:r>
              <w:rPr>
                <w:sz w:val="17"/>
              </w:rPr>
              <w:t>J+5  Moyenne</w:t>
            </w:r>
          </w:p>
        </w:tc>
        <w:tc>
          <w:tcPr>
            <w:tcW w:type="dxa" w:w="1440"/>
            <w:shd w:fill="FFDCE0" w:val="clear"/>
          </w:tcPr>
          <w:p>
            <w:r>
              <w:rPr>
                <w:sz w:val="17"/>
              </w:rPr>
              <w:t>2026-09-11</w:t>
            </w:r>
          </w:p>
        </w:tc>
        <w:tc>
          <w:tcPr>
            <w:tcW w:type="dxa" w:w="1440"/>
            <w:shd w:fill="FFDCE0" w:val="clear"/>
          </w:tcPr>
          <w:p>
            <w:r>
              <w:rPr>
                <w:sz w:val="17"/>
              </w:rPr>
              <w:t>27,587</w:t>
            </w:r>
          </w:p>
        </w:tc>
        <w:tc>
          <w:tcPr>
            <w:tcW w:type="dxa" w:w="1440"/>
            <w:shd w:fill="FFDCE0" w:val="clear"/>
          </w:tcPr>
          <w:p>
            <w:r>
              <w:rPr>
                <w:b/>
                <w:sz w:val="17"/>
              </w:rPr>
              <w:t>29,482</w:t>
            </w:r>
          </w:p>
        </w:tc>
        <w:tc>
          <w:tcPr>
            <w:tcW w:type="dxa" w:w="1440"/>
            <w:shd w:fill="FFDCE0" w:val="clear"/>
          </w:tcPr>
          <w:p>
            <w:r>
              <w:rPr>
                <w:sz w:val="17"/>
              </w:rPr>
              <w:t>31,377</w:t>
            </w:r>
          </w:p>
        </w:tc>
        <w:tc>
          <w:tcPr>
            <w:tcW w:type="dxa" w:w="1440"/>
            <w:shd w:fill="FFDCE0" w:val="clear"/>
          </w:tcPr>
          <w:p>
            <w:r>
              <w:rPr>
                <w:b/>
                <w:color w:val="C00000"/>
                <w:sz w:val="17"/>
              </w:rPr>
              <w:t>-10.7%</w:t>
            </w:r>
          </w:p>
        </w:tc>
      </w:tr>
      <w:tr>
        <w:tc>
          <w:tcPr>
            <w:tcW w:type="dxa" w:w="1440"/>
            <w:shd w:fill="FFDCE0" w:val="clear"/>
          </w:tcPr>
          <w:p>
            <w:r>
              <w:rPr>
                <w:sz w:val="17"/>
              </w:rPr>
              <w:t>J+6  Moyenne</w:t>
            </w:r>
          </w:p>
        </w:tc>
        <w:tc>
          <w:tcPr>
            <w:tcW w:type="dxa" w:w="1440"/>
            <w:shd w:fill="FFDCE0" w:val="clear"/>
          </w:tcPr>
          <w:p>
            <w:r>
              <w:rPr>
                <w:sz w:val="17"/>
              </w:rPr>
              <w:t>2026-09-14</w:t>
            </w:r>
          </w:p>
        </w:tc>
        <w:tc>
          <w:tcPr>
            <w:tcW w:type="dxa" w:w="1440"/>
            <w:shd w:fill="FFDCE0" w:val="clear"/>
          </w:tcPr>
          <w:p>
            <w:r>
              <w:rPr>
                <w:sz w:val="17"/>
              </w:rPr>
              <w:t>27,105</w:t>
            </w:r>
          </w:p>
        </w:tc>
        <w:tc>
          <w:tcPr>
            <w:tcW w:type="dxa" w:w="1440"/>
            <w:shd w:fill="FFDCE0" w:val="clear"/>
          </w:tcPr>
          <w:p>
            <w:r>
              <w:rPr>
                <w:b/>
                <w:sz w:val="17"/>
              </w:rPr>
              <w:t>29,158</w:t>
            </w:r>
          </w:p>
        </w:tc>
        <w:tc>
          <w:tcPr>
            <w:tcW w:type="dxa" w:w="1440"/>
            <w:shd w:fill="FFDCE0" w:val="clear"/>
          </w:tcPr>
          <w:p>
            <w:r>
              <w:rPr>
                <w:sz w:val="17"/>
              </w:rPr>
              <w:t>31,211</w:t>
            </w:r>
          </w:p>
        </w:tc>
        <w:tc>
          <w:tcPr>
            <w:tcW w:type="dxa" w:w="1440"/>
            <w:shd w:fill="FFDCE0" w:val="clear"/>
          </w:tcPr>
          <w:p>
            <w:r>
              <w:rPr>
                <w:b/>
                <w:color w:val="C00000"/>
                <w:sz w:val="17"/>
              </w:rPr>
              <w:t>-11.7%</w:t>
            </w:r>
          </w:p>
        </w:tc>
      </w:tr>
      <w:tr>
        <w:tc>
          <w:tcPr>
            <w:tcW w:type="dxa" w:w="1440"/>
            <w:shd w:fill="FFDCE0" w:val="clear"/>
          </w:tcPr>
          <w:p>
            <w:r>
              <w:rPr>
                <w:sz w:val="17"/>
              </w:rPr>
              <w:t>J+7  Moyenne</w:t>
            </w:r>
          </w:p>
        </w:tc>
        <w:tc>
          <w:tcPr>
            <w:tcW w:type="dxa" w:w="1440"/>
            <w:shd w:fill="FFDCE0" w:val="clear"/>
          </w:tcPr>
          <w:p>
            <w:r>
              <w:rPr>
                <w:sz w:val="17"/>
              </w:rPr>
              <w:t>2026-09-15</w:t>
            </w:r>
          </w:p>
        </w:tc>
        <w:tc>
          <w:tcPr>
            <w:tcW w:type="dxa" w:w="1440"/>
            <w:shd w:fill="FFDCE0" w:val="clear"/>
          </w:tcPr>
          <w:p>
            <w:r>
              <w:rPr>
                <w:sz w:val="17"/>
              </w:rPr>
              <w:t>26,655</w:t>
            </w:r>
          </w:p>
        </w:tc>
        <w:tc>
          <w:tcPr>
            <w:tcW w:type="dxa" w:w="1440"/>
            <w:shd w:fill="FFDCE0" w:val="clear"/>
          </w:tcPr>
          <w:p>
            <w:r>
              <w:rPr>
                <w:b/>
                <w:sz w:val="17"/>
              </w:rPr>
              <w:t>28,849</w:t>
            </w:r>
          </w:p>
        </w:tc>
        <w:tc>
          <w:tcPr>
            <w:tcW w:type="dxa" w:w="1440"/>
            <w:shd w:fill="FFDCE0" w:val="clear"/>
          </w:tcPr>
          <w:p>
            <w:r>
              <w:rPr>
                <w:sz w:val="17"/>
              </w:rPr>
              <w:t>31,043</w:t>
            </w:r>
          </w:p>
        </w:tc>
        <w:tc>
          <w:tcPr>
            <w:tcW w:type="dxa" w:w="1440"/>
            <w:shd w:fill="FFDCE0" w:val="clear"/>
          </w:tcPr>
          <w:p>
            <w:r>
              <w:rPr>
                <w:b/>
                <w:color w:val="C00000"/>
                <w:sz w:val="17"/>
              </w:rPr>
              <w:t>-12.6%</w:t>
            </w:r>
          </w:p>
        </w:tc>
      </w:tr>
      <w:tr>
        <w:tc>
          <w:tcPr>
            <w:tcW w:type="dxa" w:w="1440"/>
            <w:shd w:fill="FFDCE0" w:val="clear"/>
          </w:tcPr>
          <w:p>
            <w:r>
              <w:rPr>
                <w:sz w:val="17"/>
              </w:rPr>
              <w:t>J+8  Moyenne</w:t>
            </w:r>
          </w:p>
        </w:tc>
        <w:tc>
          <w:tcPr>
            <w:tcW w:type="dxa" w:w="1440"/>
            <w:shd w:fill="FFDCE0" w:val="clear"/>
          </w:tcPr>
          <w:p>
            <w:r>
              <w:rPr>
                <w:sz w:val="17"/>
              </w:rPr>
              <w:t>2026-09-16</w:t>
            </w:r>
          </w:p>
        </w:tc>
        <w:tc>
          <w:tcPr>
            <w:tcW w:type="dxa" w:w="1440"/>
            <w:shd w:fill="FFDCE0" w:val="clear"/>
          </w:tcPr>
          <w:p>
            <w:r>
              <w:rPr>
                <w:sz w:val="17"/>
              </w:rPr>
              <w:t>26,231</w:t>
            </w:r>
          </w:p>
        </w:tc>
        <w:tc>
          <w:tcPr>
            <w:tcW w:type="dxa" w:w="1440"/>
            <w:shd w:fill="FFDCE0" w:val="clear"/>
          </w:tcPr>
          <w:p>
            <w:r>
              <w:rPr>
                <w:b/>
                <w:sz w:val="17"/>
              </w:rPr>
              <w:t>28,552</w:t>
            </w:r>
          </w:p>
        </w:tc>
        <w:tc>
          <w:tcPr>
            <w:tcW w:type="dxa" w:w="1440"/>
            <w:shd w:fill="FFDCE0" w:val="clear"/>
          </w:tcPr>
          <w:p>
            <w:r>
              <w:rPr>
                <w:sz w:val="17"/>
              </w:rPr>
              <w:t>30,874</w:t>
            </w:r>
          </w:p>
        </w:tc>
        <w:tc>
          <w:tcPr>
            <w:tcW w:type="dxa" w:w="1440"/>
            <w:shd w:fill="FFDCE0" w:val="clear"/>
          </w:tcPr>
          <w:p>
            <w:r>
              <w:rPr>
                <w:b/>
                <w:color w:val="C00000"/>
                <w:sz w:val="17"/>
              </w:rPr>
              <w:t>-13.5%</w:t>
            </w:r>
          </w:p>
        </w:tc>
      </w:tr>
      <w:tr>
        <w:tc>
          <w:tcPr>
            <w:tcW w:type="dxa" w:w="1440"/>
            <w:shd w:fill="FFDCE0" w:val="clear"/>
          </w:tcPr>
          <w:p>
            <w:r>
              <w:rPr>
                <w:sz w:val="17"/>
              </w:rPr>
              <w:t>J+9  Moyenne</w:t>
            </w:r>
          </w:p>
        </w:tc>
        <w:tc>
          <w:tcPr>
            <w:tcW w:type="dxa" w:w="1440"/>
            <w:shd w:fill="FFDCE0" w:val="clear"/>
          </w:tcPr>
          <w:p>
            <w:r>
              <w:rPr>
                <w:sz w:val="17"/>
              </w:rPr>
              <w:t>2026-09-17</w:t>
            </w:r>
          </w:p>
        </w:tc>
        <w:tc>
          <w:tcPr>
            <w:tcW w:type="dxa" w:w="1440"/>
            <w:shd w:fill="FFDCE0" w:val="clear"/>
          </w:tcPr>
          <w:p>
            <w:r>
              <w:rPr>
                <w:sz w:val="17"/>
              </w:rPr>
              <w:t>25,831</w:t>
            </w:r>
          </w:p>
        </w:tc>
        <w:tc>
          <w:tcPr>
            <w:tcW w:type="dxa" w:w="1440"/>
            <w:shd w:fill="FFDCE0" w:val="clear"/>
          </w:tcPr>
          <w:p>
            <w:r>
              <w:rPr>
                <w:b/>
                <w:sz w:val="17"/>
              </w:rPr>
              <w:t>28,268</w:t>
            </w:r>
          </w:p>
        </w:tc>
        <w:tc>
          <w:tcPr>
            <w:tcW w:type="dxa" w:w="1440"/>
            <w:shd w:fill="FFDCE0" w:val="clear"/>
          </w:tcPr>
          <w:p>
            <w:r>
              <w:rPr>
                <w:sz w:val="17"/>
              </w:rPr>
              <w:t>30,706</w:t>
            </w:r>
          </w:p>
        </w:tc>
        <w:tc>
          <w:tcPr>
            <w:tcW w:type="dxa" w:w="1440"/>
            <w:shd w:fill="FFDCE0" w:val="clear"/>
          </w:tcPr>
          <w:p>
            <w:r>
              <w:rPr>
                <w:b/>
                <w:color w:val="C00000"/>
                <w:sz w:val="17"/>
              </w:rPr>
              <w:t>-14.4%</w:t>
            </w:r>
          </w:p>
        </w:tc>
      </w:tr>
      <w:tr>
        <w:tc>
          <w:tcPr>
            <w:tcW w:type="dxa" w:w="1440"/>
            <w:shd w:fill="FFDCE0" w:val="clear"/>
          </w:tcPr>
          <w:p>
            <w:r>
              <w:rPr>
                <w:sz w:val="17"/>
              </w:rPr>
              <w:t>J+10  Moyenne</w:t>
            </w:r>
          </w:p>
        </w:tc>
        <w:tc>
          <w:tcPr>
            <w:tcW w:type="dxa" w:w="1440"/>
            <w:shd w:fill="FFDCE0" w:val="clear"/>
          </w:tcPr>
          <w:p>
            <w:r>
              <w:rPr>
                <w:sz w:val="17"/>
              </w:rPr>
              <w:t>2026-09-18</w:t>
            </w:r>
          </w:p>
        </w:tc>
        <w:tc>
          <w:tcPr>
            <w:tcW w:type="dxa" w:w="1440"/>
            <w:shd w:fill="FFDCE0" w:val="clear"/>
          </w:tcPr>
          <w:p>
            <w:r>
              <w:rPr>
                <w:sz w:val="17"/>
              </w:rPr>
              <w:t>25,451</w:t>
            </w:r>
          </w:p>
        </w:tc>
        <w:tc>
          <w:tcPr>
            <w:tcW w:type="dxa" w:w="1440"/>
            <w:shd w:fill="FFDCE0" w:val="clear"/>
          </w:tcPr>
          <w:p>
            <w:r>
              <w:rPr>
                <w:b/>
                <w:sz w:val="17"/>
              </w:rPr>
              <w:t>27,996</w:t>
            </w:r>
          </w:p>
        </w:tc>
        <w:tc>
          <w:tcPr>
            <w:tcW w:type="dxa" w:w="1440"/>
            <w:shd w:fill="FFDCE0" w:val="clear"/>
          </w:tcPr>
          <w:p>
            <w:r>
              <w:rPr>
                <w:sz w:val="17"/>
              </w:rPr>
              <w:t>30,541</w:t>
            </w:r>
          </w:p>
        </w:tc>
        <w:tc>
          <w:tcPr>
            <w:tcW w:type="dxa" w:w="1440"/>
            <w:shd w:fill="FFDCE0" w:val="clear"/>
          </w:tcPr>
          <w:p>
            <w:r>
              <w:rPr>
                <w:b/>
                <w:color w:val="C00000"/>
                <w:sz w:val="17"/>
              </w:rPr>
              <w:t>-15.2%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BICC s'établit à 550,08 milliards FCFA, ce qui en fait l'une des valeurs les plus significatives de la BRVM, reflétant la confiance des investisseurs dans ce pilier du secteur bancaire ivoirien. Avec un BPA de 2 191 FCFA, chaque action génère un bénéfice substantiel, justifiant un PER de 15,1x. Ce ratio, bien que supérieur à la moyenne historique de la BRVM (8-12x), reste modéré et traduit une valorisation raisonnable pour une banque affichant une croissance aussi robuste. Le P/B de 4,56x indique que le marché valorise fortement la société par rapport à ses capitaux propres comptables, signe d'une prime de qualité et de performance. Enfin, l'EV/EBITDA de 11,0x, situé dans la fourchette de 10-15x, confirme une valorisation élevée mais cohérente avec la forte capacité opérationnelle de la banque.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BICC a enregistré une progression spectaculaire de +40,45%, avec une dernière séance en hausse de +0,99% à 33 005 FCFA, son plus haut niveau sur la période. Le cours a évolué dans une fourchette large de 22 500 à 33 005 FCFA, démontrant une dynamique haussière soutenue. La moyenne du cours sur la période (27 702 FCFA) est inférieure à la médiane (28 385 FCFA), et le skewness négatif (-0,696) indique que le titre a passé plus de journées au-dessus de sa moyenne, confirmant la vigueur de la tendance. L'écart-type de 2 034 FCFA, avec un coefficient de variation de 7,3%, révèle une dispersion modérée autour de la moyenne. Le kurtosis de 0,342 (mésokurtique) suggère une distribution des rendements proche de la normale, sans risque de pics extrêmes. La volatilité annualisée de 28,9% positionne le titre dans une zone de risque élevé, mais cette volatilité est le reflet d'une phase d'appréciation rapide.</w:t>
      </w:r>
    </w:p>
    <w:p>
      <w:pPr>
        <w:spacing w:after="120" w:line="276" w:lineRule="auto" w:before="240"/>
      </w:pPr>
      <w:r>
        <w:rPr>
          <w:b/>
          <w:color w:val="003366"/>
          <w:sz w:val="24"/>
        </w:rPr>
        <w:t>**PARTIE 2 : ANALYSE TECHNIQUE DÉTAILLÉE**</w:t>
      </w:r>
    </w:p>
    <w:p>
      <w:pPr>
        <w:spacing w:after="120" w:line="276" w:lineRule="auto"/>
      </w:pPr>
      <w:r>
        <w:t>**Moyennes Mobiles**: Les moyennes mobiles sur 20 jours (29 621 FCFA) et sur 50 jours (28 978 FCFA) sont toutes deux nettement inférieures au cours actuel de 33 005 FCFA. Cette configuration haussière, où le cours évolue au-dessus de ses moyennes, confirme la solidité de la tendance et justifie la décision d'achat, le titre ne montrant aucun signe d'essoufflement à moyen terme.</w:t>
      </w:r>
    </w:p>
    <w:p>
      <w:pPr>
        <w:spacing w:after="120" w:line="276" w:lineRule="auto"/>
      </w:pPr>
      <w:r>
        <w:t>**Bandes de Bollinger**: Le cours actuel de 33 005 FCFA se situe au-dessus de la borne supérieure des bandes de Bollinger (32 011 FCFA), indiquant une condition de surachat extrême. Cette sortie de canal signale une volatilité accrue et un écart temporaire par rapport à la moyenne mobile, ce qui justifie la décision de vente. Historiquement, un tel dépassement précède souvent une phase de consolidation ou de correction technique.</w:t>
      </w:r>
    </w:p>
    <w:p>
      <w:pPr>
        <w:spacing w:after="120" w:line="276" w:lineRule="auto"/>
      </w:pPr>
      <w:r>
        <w:t>**MACD**: Le MACD (763,14) est nettement supérieur à sa ligne de signal (388,08), générant un signal d'achat fort. Cette divergence positive indique un momentum haussier puissant et une accélération de la tendance. La dynamique actuelle du MACD suggère que la pression acheteuse reste dominante, bien que l'écart important entre les deux lignes puisse également signaler une maturité du mouvement.</w:t>
      </w:r>
    </w:p>
    <w:p>
      <w:pPr>
        <w:spacing w:after="120" w:line="276" w:lineRule="auto"/>
      </w:pPr>
      <w:r>
        <w:t>**RSI**: Le RSI à 82,97 est profondément en zone de surachat (au-delà de 70), signalant que le titre est survendu d'un point de vue technique. Cette valeur extrême indique que le marché a probablement anticipé une grande partie des bonnes nouvelles et que le potentiel de hausse à court terme est limité. La décision de vente est justifiée par la probabilité croissante d'un retournement ou d'une pause dans la tendance haussière.</w:t>
      </w:r>
    </w:p>
    <w:p>
      <w:pPr>
        <w:spacing w:after="120" w:line="276" w:lineRule="auto"/>
      </w:pPr>
      <w:r>
        <w:t>**Stochastique**: Les valeurs du %K et du %D, toutes deux à 100,0, confirment une condition de surachat extrême et durable. Cette configuration, où les deux lignes sont saturées à leur niveau maximum, indique que le titre est dans une phase de suraccumulation. La décision de vente est cohérente avec ce signal, qui suggère une probabilité élevée de correction technique à court terme.</w:t>
      </w:r>
    </w:p>
    <w:p>
      <w:pPr>
        <w:spacing w:after="120" w:line="276" w:lineRule="auto"/>
      </w:pPr>
      <w:r>
        <w:t>**Conclusion technique**: La convergence des indicateurs de momentum (RSI, Stochastique, Bandes de Bollinger) vers des zones de surachat extrême contraste avec la tendance de fond toujours positive des moyennes mobiles et du MACD. Cette divergence entre la tendance et les oscillateurs suggère qu'un repli technique est probable à court terme, mais qu'il s'inscrirait dans une tendance haussière de fond intacte. La prudence est donc de mise pour un nouvel achat à ces niveaux, mais la tendance primaire reste haussière.</w:t>
      </w:r>
    </w:p>
    <w:p>
      <w:pPr>
        <w:spacing w:after="120" w:line="276" w:lineRule="auto" w:before="240"/>
      </w:pPr>
      <w:r>
        <w:rPr>
          <w:b/>
          <w:color w:val="003366"/>
          <w:sz w:val="24"/>
        </w:rPr>
        <w:t>**PARTIE 3 : ANALYSE FONDAMENTALE (SECTION CRITIQUE)**</w:t>
      </w:r>
    </w:p>
    <w:p>
      <w:pPr>
        <w:spacing w:after="120" w:line="276" w:lineRule="auto"/>
      </w:pPr>
      <w:r>
        <w:t>En 2025, les états financiers annuels de BICC (secteur banque) font état d'un Produit Net Bancaire de 79,563 milliards FCFA, en croissance de 16,9%, et d'un résultat net de 36,520 milliards FCFA. La banque affiche une rentabilité exceptionnelle avec un ROE de 30,29% et un ROA de 3,24%, démontrant une utilisation très efficace de ses fonds propres et de ses actifs. Le coefficient d'exploitation de 50,83% confirme une excellente maîtrise des charges, tandis que le coût du risque, bien que significatif, reste gérable. Le ratio de transformation est sain, avec des dépôts clients (952,87 milliards FCFA) largement supérieurs aux crédits à la clientèle (524,44 milliards FCFA), assurant une liquidité abondante. Les rapports trimestriels de 2025 montrent une accélération continue : le PNB du T3 2025 cumulé atteint 58,12 milliards FCFA (+16,4%) et le résultat net 27,40 milliards FCFA (+50,8%), avec une marge nette de 47,1%. Sur la base du rapport T1 2026 (PNB de 21,21 milliards FCFA, +17,0%, et résultat net de 10,39 milliards FCFA, +29,7%), on estime que l'exercice 2026 devrait confirmer cette trajectoire de croissance soutenue, avec un PNB annuel potentiellement supérieur à 85 milliards FCFA. La solidité financière est remarquable, avec des capitaux propres de 120,57 milliards FCFA et une capacité d'autofinancement de 42,71 milliards FCFA, positionnant BICC comme une valeur de premier plan sur la BRVM.</w:t>
      </w:r>
    </w:p>
    <w:p>
      <w:pPr>
        <w:spacing w:after="120" w:line="276" w:lineRule="auto" w:before="240"/>
      </w:pPr>
      <w:r>
        <w:rPr>
          <w:b/>
          <w:color w:val="003366"/>
          <w:sz w:val="24"/>
        </w:rPr>
        <w:t>**PARTIE 4 : CONCLUSION D'INVESTISSEMENT**</w:t>
      </w:r>
    </w:p>
    <w:p>
      <w:pPr>
        <w:spacing w:after="120" w:line="276" w:lineRule="auto"/>
      </w:pPr>
      <w:r>
        <w:t>La valorisation de BICC (PER de 15,1x, P/B de 4,56x) est exigeante mais justifiée par des fondamentaux exceptionnels, tandis que le comportement du cours (+40,45% en 100 jours) démontre une dynamique haussière puissante, bien que les statistiques révèlent une volatilité élevée. Les signaux techniques sont partagés : la tendance de fond (MM, MACD) reste positive, mais les indicateurs de momentum (RSI à 83, Stochastique à 100) signalent un surachat extrême, suggérant un repli technique imminent. Les fondamentaux, avec un ROE de 30,3% et une croissance à deux chiffres du PNB et du résultat net, sont d'une solidité remarquable. Les prédictions IA pour les 10 prochains jours (31 067 à 29 482 FCFA) confirment cette anticipation de correction technique, avec une baisse potentielle de 10% par rapport au cours actuel. En synthèse, la convergence entre les signaux de surachat technique et les prédictions IA suggère une consolidation à court terme, mais la divergence avec des fondamentaux excellents plaide pour une poursuite de la tendance haussière à moyen terme. **Recommandation finale : ACHAT (sur repli)**. Niveau de confiance : Élevé. Risque global : Moyen. Horizon d'investissement optimal : Moyen terme (3-12 mois), en attendant une correction technique pour renforcer les positions.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4.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14.41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2,768 titres</w:t>
            </w:r>
          </w:p>
        </w:tc>
        <w:tc>
          <w:tcPr>
            <w:tcW w:type="dxa" w:w="2268"/>
            <w:shd w:fill="FFF2CC" w:val="clear"/>
          </w:tcPr>
          <w:p>
            <w:r>
              <w:rPr>
                <w:b/>
                <w:color w:val="503200"/>
                <w:sz w:val="16"/>
              </w:rPr>
              <w:t xml:space="preserve">Cours actuel : </w:t>
            </w:r>
            <w:r>
              <w:rPr>
                <w:color w:val="000000"/>
                <w:sz w:val="17"/>
              </w:rPr>
              <w:t>2,175 FCFA</w:t>
            </w:r>
          </w:p>
          <w:p>
            <w:r>
              <w:rPr>
                <w:b/>
                <w:color w:val="503200"/>
                <w:sz w:val="16"/>
              </w:rPr>
              <w:t xml:space="preserve">Var. 100 jours : </w:t>
            </w:r>
            <w:r>
              <w:rPr>
                <w:b/>
                <w:color w:val="007800"/>
                <w:sz w:val="17"/>
              </w:rPr>
              <w:t>+37.66%</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51.1%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17.0/100 → Faible</w:t>
      </w:r>
    </w:p>
    <w:p>
      <w:pPr>
        <w:spacing w:before="40" w:after="80"/>
      </w:pPr>
      <w:r>
        <w:rPr>
          <w:rFonts w:ascii="Courier New" w:hAnsi="Courier New"/>
          <w:color w:val="006400"/>
          <w:sz w:val="18"/>
        </w:rPr>
        <w:t>███░░░░░░░░░░░░░░░░░  17.0/100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13.30% (Moyenne) — μ=1,811 FCFA, σ=241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β=0.1131 (Défensif) — Cov=0.000004, Var(idx)=0.000036, ρ=0.021,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2,768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σ_j=3.22%/j (Modérée) — Vol. annualisée≈51.1%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2026-09-07</w:t>
            </w:r>
          </w:p>
        </w:tc>
        <w:tc>
          <w:tcPr>
            <w:tcW w:type="dxa" w:w="1440"/>
            <w:shd w:fill="FAFAFA" w:val="clear"/>
          </w:tcPr>
          <w:p>
            <w:r>
              <w:rPr>
                <w:sz w:val="17"/>
              </w:rPr>
              <w:t>2,071</w:t>
            </w:r>
          </w:p>
        </w:tc>
        <w:tc>
          <w:tcPr>
            <w:tcW w:type="dxa" w:w="1440"/>
            <w:shd w:fill="FAFAFA" w:val="clear"/>
          </w:tcPr>
          <w:p>
            <w:r>
              <w:rPr>
                <w:b/>
                <w:sz w:val="17"/>
              </w:rPr>
              <w:t>2,170</w:t>
            </w:r>
          </w:p>
        </w:tc>
        <w:tc>
          <w:tcPr>
            <w:tcW w:type="dxa" w:w="1440"/>
            <w:shd w:fill="FAFAFA" w:val="clear"/>
          </w:tcPr>
          <w:p>
            <w:r>
              <w:rPr>
                <w:sz w:val="17"/>
              </w:rPr>
              <w:t>2,270</w:t>
            </w:r>
          </w:p>
        </w:tc>
        <w:tc>
          <w:tcPr>
            <w:tcW w:type="dxa" w:w="1440"/>
            <w:shd w:fill="FAFAFA" w:val="clear"/>
          </w:tcPr>
          <w:p>
            <w:r>
              <w:rPr>
                <w:b/>
                <w:color w:val="C00000"/>
                <w:sz w:val="17"/>
              </w:rPr>
              <w:t>-0.2%</w:t>
            </w:r>
          </w:p>
        </w:tc>
      </w:tr>
      <w:tr>
        <w:tc>
          <w:tcPr>
            <w:tcW w:type="dxa" w:w="1440"/>
            <w:shd w:fill="FAFAFA" w:val="clear"/>
          </w:tcPr>
          <w:p>
            <w:r>
              <w:rPr>
                <w:sz w:val="17"/>
              </w:rPr>
              <w:t>J+2  Moyenne</w:t>
            </w:r>
          </w:p>
        </w:tc>
        <w:tc>
          <w:tcPr>
            <w:tcW w:type="dxa" w:w="1440"/>
            <w:shd w:fill="FAFAFA" w:val="clear"/>
          </w:tcPr>
          <w:p>
            <w:r>
              <w:rPr>
                <w:sz w:val="17"/>
              </w:rPr>
              <w:t>2026-09-08</w:t>
            </w:r>
          </w:p>
        </w:tc>
        <w:tc>
          <w:tcPr>
            <w:tcW w:type="dxa" w:w="1440"/>
            <w:shd w:fill="FAFAFA" w:val="clear"/>
          </w:tcPr>
          <w:p>
            <w:r>
              <w:rPr>
                <w:sz w:val="17"/>
              </w:rPr>
              <w:t>2,025</w:t>
            </w:r>
          </w:p>
        </w:tc>
        <w:tc>
          <w:tcPr>
            <w:tcW w:type="dxa" w:w="1440"/>
            <w:shd w:fill="FAFAFA" w:val="clear"/>
          </w:tcPr>
          <w:p>
            <w:r>
              <w:rPr>
                <w:b/>
                <w:sz w:val="17"/>
              </w:rPr>
              <w:t>2,165</w:t>
            </w:r>
          </w:p>
        </w:tc>
        <w:tc>
          <w:tcPr>
            <w:tcW w:type="dxa" w:w="1440"/>
            <w:shd w:fill="FAFAFA" w:val="clear"/>
          </w:tcPr>
          <w:p>
            <w:r>
              <w:rPr>
                <w:sz w:val="17"/>
              </w:rPr>
              <w:t>2,305</w:t>
            </w:r>
          </w:p>
        </w:tc>
        <w:tc>
          <w:tcPr>
            <w:tcW w:type="dxa" w:w="1440"/>
            <w:shd w:fill="FAFAFA" w:val="clear"/>
          </w:tcPr>
          <w:p>
            <w:r>
              <w:rPr>
                <w:b/>
                <w:color w:val="C00000"/>
                <w:sz w:val="17"/>
              </w:rPr>
              <w:t>-0.4%</w:t>
            </w:r>
          </w:p>
        </w:tc>
      </w:tr>
      <w:tr>
        <w:tc>
          <w:tcPr>
            <w:tcW w:type="dxa" w:w="1440"/>
            <w:shd w:fill="FAFAFA" w:val="clear"/>
          </w:tcPr>
          <w:p>
            <w:r>
              <w:rPr>
                <w:sz w:val="17"/>
              </w:rPr>
              <w:t>J+3  Moyenne</w:t>
            </w:r>
          </w:p>
        </w:tc>
        <w:tc>
          <w:tcPr>
            <w:tcW w:type="dxa" w:w="1440"/>
            <w:shd w:fill="FAFAFA" w:val="clear"/>
          </w:tcPr>
          <w:p>
            <w:r>
              <w:rPr>
                <w:sz w:val="17"/>
              </w:rPr>
              <w:t>2026-09-09</w:t>
            </w:r>
          </w:p>
        </w:tc>
        <w:tc>
          <w:tcPr>
            <w:tcW w:type="dxa" w:w="1440"/>
            <w:shd w:fill="FAFAFA" w:val="clear"/>
          </w:tcPr>
          <w:p>
            <w:r>
              <w:rPr>
                <w:sz w:val="17"/>
              </w:rPr>
              <w:t>1,990</w:t>
            </w:r>
          </w:p>
        </w:tc>
        <w:tc>
          <w:tcPr>
            <w:tcW w:type="dxa" w:w="1440"/>
            <w:shd w:fill="FAFAFA" w:val="clear"/>
          </w:tcPr>
          <w:p>
            <w:r>
              <w:rPr>
                <w:b/>
                <w:sz w:val="17"/>
              </w:rPr>
              <w:t>2,161</w:t>
            </w:r>
          </w:p>
        </w:tc>
        <w:tc>
          <w:tcPr>
            <w:tcW w:type="dxa" w:w="1440"/>
            <w:shd w:fill="FAFAFA" w:val="clear"/>
          </w:tcPr>
          <w:p>
            <w:r>
              <w:rPr>
                <w:sz w:val="17"/>
              </w:rPr>
              <w:t>2,332</w:t>
            </w:r>
          </w:p>
        </w:tc>
        <w:tc>
          <w:tcPr>
            <w:tcW w:type="dxa" w:w="1440"/>
            <w:shd w:fill="FAFAFA" w:val="clear"/>
          </w:tcPr>
          <w:p>
            <w:r>
              <w:rPr>
                <w:b/>
                <w:color w:val="C00000"/>
                <w:sz w:val="17"/>
              </w:rPr>
              <w:t>-0.6%</w:t>
            </w:r>
          </w:p>
        </w:tc>
      </w:tr>
      <w:tr>
        <w:tc>
          <w:tcPr>
            <w:tcW w:type="dxa" w:w="1440"/>
            <w:shd w:fill="FAFAFA" w:val="clear"/>
          </w:tcPr>
          <w:p>
            <w:r>
              <w:rPr>
                <w:sz w:val="17"/>
              </w:rPr>
              <w:t>J+4  ⭐</w:t>
            </w:r>
          </w:p>
        </w:tc>
        <w:tc>
          <w:tcPr>
            <w:tcW w:type="dxa" w:w="1440"/>
            <w:shd w:fill="FAFAFA" w:val="clear"/>
          </w:tcPr>
          <w:p>
            <w:r>
              <w:rPr>
                <w:sz w:val="17"/>
              </w:rPr>
              <w:t>2026-09-10</w:t>
            </w:r>
          </w:p>
        </w:tc>
        <w:tc>
          <w:tcPr>
            <w:tcW w:type="dxa" w:w="1440"/>
            <w:shd w:fill="FAFAFA" w:val="clear"/>
          </w:tcPr>
          <w:p>
            <w:r>
              <w:rPr>
                <w:sz w:val="17"/>
              </w:rPr>
              <w:t>1,959</w:t>
            </w:r>
          </w:p>
        </w:tc>
        <w:tc>
          <w:tcPr>
            <w:tcW w:type="dxa" w:w="1440"/>
            <w:shd w:fill="FAFAFA" w:val="clear"/>
          </w:tcPr>
          <w:p>
            <w:r>
              <w:rPr>
                <w:b/>
                <w:sz w:val="17"/>
              </w:rPr>
              <w:t>2,156</w:t>
            </w:r>
          </w:p>
        </w:tc>
        <w:tc>
          <w:tcPr>
            <w:tcW w:type="dxa" w:w="1440"/>
            <w:shd w:fill="FAFAFA" w:val="clear"/>
          </w:tcPr>
          <w:p>
            <w:r>
              <w:rPr>
                <w:sz w:val="17"/>
              </w:rPr>
              <w:t>2,354</w:t>
            </w:r>
          </w:p>
        </w:tc>
        <w:tc>
          <w:tcPr>
            <w:tcW w:type="dxa" w:w="1440"/>
            <w:shd w:fill="FAFAFA" w:val="clear"/>
          </w:tcPr>
          <w:p>
            <w:r>
              <w:rPr>
                <w:b/>
                <w:color w:val="C00000"/>
                <w:sz w:val="17"/>
              </w:rPr>
              <w:t>-0.9%</w:t>
            </w:r>
          </w:p>
        </w:tc>
      </w:tr>
      <w:tr>
        <w:tc>
          <w:tcPr>
            <w:tcW w:type="dxa" w:w="1440"/>
            <w:shd w:fill="FAFAFA" w:val="clear"/>
          </w:tcPr>
          <w:p>
            <w:r>
              <w:rPr>
                <w:sz w:val="17"/>
              </w:rPr>
              <w:t>J+5  ⭐</w:t>
            </w:r>
          </w:p>
        </w:tc>
        <w:tc>
          <w:tcPr>
            <w:tcW w:type="dxa" w:w="1440"/>
            <w:shd w:fill="FAFAFA" w:val="clear"/>
          </w:tcPr>
          <w:p>
            <w:r>
              <w:rPr>
                <w:sz w:val="17"/>
              </w:rPr>
              <w:t>2026-09-11</w:t>
            </w:r>
          </w:p>
        </w:tc>
        <w:tc>
          <w:tcPr>
            <w:tcW w:type="dxa" w:w="1440"/>
            <w:shd w:fill="FAFAFA" w:val="clear"/>
          </w:tcPr>
          <w:p>
            <w:r>
              <w:rPr>
                <w:sz w:val="17"/>
              </w:rPr>
              <w:t>1,931</w:t>
            </w:r>
          </w:p>
        </w:tc>
        <w:tc>
          <w:tcPr>
            <w:tcW w:type="dxa" w:w="1440"/>
            <w:shd w:fill="FAFAFA" w:val="clear"/>
          </w:tcPr>
          <w:p>
            <w:r>
              <w:rPr>
                <w:b/>
                <w:sz w:val="17"/>
              </w:rPr>
              <w:t>2,151</w:t>
            </w:r>
          </w:p>
        </w:tc>
        <w:tc>
          <w:tcPr>
            <w:tcW w:type="dxa" w:w="1440"/>
            <w:shd w:fill="FAFAFA" w:val="clear"/>
          </w:tcPr>
          <w:p>
            <w:r>
              <w:rPr>
                <w:sz w:val="17"/>
              </w:rPr>
              <w:t>2,371</w:t>
            </w:r>
          </w:p>
        </w:tc>
        <w:tc>
          <w:tcPr>
            <w:tcW w:type="dxa" w:w="1440"/>
            <w:shd w:fill="FAFAFA" w:val="clear"/>
          </w:tcPr>
          <w:p>
            <w:r>
              <w:rPr>
                <w:b/>
                <w:color w:val="C00000"/>
                <w:sz w:val="17"/>
              </w:rPr>
              <w:t>-1.1%</w:t>
            </w:r>
          </w:p>
        </w:tc>
      </w:tr>
      <w:tr>
        <w:tc>
          <w:tcPr>
            <w:tcW w:type="dxa" w:w="1440"/>
            <w:shd w:fill="FAFAFA" w:val="clear"/>
          </w:tcPr>
          <w:p>
            <w:r>
              <w:rPr>
                <w:sz w:val="17"/>
              </w:rPr>
              <w:t>J+6  ⭐</w:t>
            </w:r>
          </w:p>
        </w:tc>
        <w:tc>
          <w:tcPr>
            <w:tcW w:type="dxa" w:w="1440"/>
            <w:shd w:fill="FAFAFA" w:val="clear"/>
          </w:tcPr>
          <w:p>
            <w:r>
              <w:rPr>
                <w:sz w:val="17"/>
              </w:rPr>
              <w:t>2026-09-14</w:t>
            </w:r>
          </w:p>
        </w:tc>
        <w:tc>
          <w:tcPr>
            <w:tcW w:type="dxa" w:w="1440"/>
            <w:shd w:fill="FAFAFA" w:val="clear"/>
          </w:tcPr>
          <w:p>
            <w:r>
              <w:rPr>
                <w:sz w:val="17"/>
              </w:rPr>
              <w:t>1,906</w:t>
            </w:r>
          </w:p>
        </w:tc>
        <w:tc>
          <w:tcPr>
            <w:tcW w:type="dxa" w:w="1440"/>
            <w:shd w:fill="FAFAFA" w:val="clear"/>
          </w:tcPr>
          <w:p>
            <w:r>
              <w:rPr>
                <w:b/>
                <w:sz w:val="17"/>
              </w:rPr>
              <w:t>2,146</w:t>
            </w:r>
          </w:p>
        </w:tc>
        <w:tc>
          <w:tcPr>
            <w:tcW w:type="dxa" w:w="1440"/>
            <w:shd w:fill="FAFAFA" w:val="clear"/>
          </w:tcPr>
          <w:p>
            <w:r>
              <w:rPr>
                <w:sz w:val="17"/>
              </w:rPr>
              <w:t>2,387</w:t>
            </w:r>
          </w:p>
        </w:tc>
        <w:tc>
          <w:tcPr>
            <w:tcW w:type="dxa" w:w="1440"/>
            <w:shd w:fill="FAFAFA" w:val="clear"/>
          </w:tcPr>
          <w:p>
            <w:r>
              <w:rPr>
                <w:b/>
                <w:color w:val="C00000"/>
                <w:sz w:val="17"/>
              </w:rPr>
              <w:t>-1.3%</w:t>
            </w:r>
          </w:p>
        </w:tc>
      </w:tr>
      <w:tr>
        <w:tc>
          <w:tcPr>
            <w:tcW w:type="dxa" w:w="1440"/>
            <w:shd w:fill="FAFAFA" w:val="clear"/>
          </w:tcPr>
          <w:p>
            <w:r>
              <w:rPr>
                <w:sz w:val="17"/>
              </w:rPr>
              <w:t>J+7  ⭐</w:t>
            </w:r>
          </w:p>
        </w:tc>
        <w:tc>
          <w:tcPr>
            <w:tcW w:type="dxa" w:w="1440"/>
            <w:shd w:fill="FAFAFA" w:val="clear"/>
          </w:tcPr>
          <w:p>
            <w:r>
              <w:rPr>
                <w:sz w:val="17"/>
              </w:rPr>
              <w:t>2026-09-15</w:t>
            </w:r>
          </w:p>
        </w:tc>
        <w:tc>
          <w:tcPr>
            <w:tcW w:type="dxa" w:w="1440"/>
            <w:shd w:fill="FAFAFA" w:val="clear"/>
          </w:tcPr>
          <w:p>
            <w:r>
              <w:rPr>
                <w:sz w:val="17"/>
              </w:rPr>
              <w:t>1,883</w:t>
            </w:r>
          </w:p>
        </w:tc>
        <w:tc>
          <w:tcPr>
            <w:tcW w:type="dxa" w:w="1440"/>
            <w:shd w:fill="FAFAFA" w:val="clear"/>
          </w:tcPr>
          <w:p>
            <w:r>
              <w:rPr>
                <w:b/>
                <w:sz w:val="17"/>
              </w:rPr>
              <w:t>2,142</w:t>
            </w:r>
          </w:p>
        </w:tc>
        <w:tc>
          <w:tcPr>
            <w:tcW w:type="dxa" w:w="1440"/>
            <w:shd w:fill="FAFAFA" w:val="clear"/>
          </w:tcPr>
          <w:p>
            <w:r>
              <w:rPr>
                <w:sz w:val="17"/>
              </w:rPr>
              <w:t>2,401</w:t>
            </w:r>
          </w:p>
        </w:tc>
        <w:tc>
          <w:tcPr>
            <w:tcW w:type="dxa" w:w="1440"/>
            <w:shd w:fill="FAFAFA" w:val="clear"/>
          </w:tcPr>
          <w:p>
            <w:r>
              <w:rPr>
                <w:b/>
                <w:color w:val="C00000"/>
                <w:sz w:val="17"/>
              </w:rPr>
              <w:t>-1.5%</w:t>
            </w:r>
          </w:p>
        </w:tc>
      </w:tr>
      <w:tr>
        <w:tc>
          <w:tcPr>
            <w:tcW w:type="dxa" w:w="1440"/>
            <w:shd w:fill="FAFAFA" w:val="clear"/>
          </w:tcPr>
          <w:p>
            <w:r>
              <w:rPr>
                <w:sz w:val="17"/>
              </w:rPr>
              <w:t>J+8  ⭐</w:t>
            </w:r>
          </w:p>
        </w:tc>
        <w:tc>
          <w:tcPr>
            <w:tcW w:type="dxa" w:w="1440"/>
            <w:shd w:fill="FAFAFA" w:val="clear"/>
          </w:tcPr>
          <w:p>
            <w:r>
              <w:rPr>
                <w:sz w:val="17"/>
              </w:rPr>
              <w:t>2026-09-16</w:t>
            </w:r>
          </w:p>
        </w:tc>
        <w:tc>
          <w:tcPr>
            <w:tcW w:type="dxa" w:w="1440"/>
            <w:shd w:fill="FAFAFA" w:val="clear"/>
          </w:tcPr>
          <w:p>
            <w:r>
              <w:rPr>
                <w:sz w:val="17"/>
              </w:rPr>
              <w:t>1,861</w:t>
            </w:r>
          </w:p>
        </w:tc>
        <w:tc>
          <w:tcPr>
            <w:tcW w:type="dxa" w:w="1440"/>
            <w:shd w:fill="FAFAFA" w:val="clear"/>
          </w:tcPr>
          <w:p>
            <w:r>
              <w:rPr>
                <w:b/>
                <w:sz w:val="17"/>
              </w:rPr>
              <w:t>2,137</w:t>
            </w:r>
          </w:p>
        </w:tc>
        <w:tc>
          <w:tcPr>
            <w:tcW w:type="dxa" w:w="1440"/>
            <w:shd w:fill="FAFAFA" w:val="clear"/>
          </w:tcPr>
          <w:p>
            <w:r>
              <w:rPr>
                <w:sz w:val="17"/>
              </w:rPr>
              <w:t>2,413</w:t>
            </w:r>
          </w:p>
        </w:tc>
        <w:tc>
          <w:tcPr>
            <w:tcW w:type="dxa" w:w="1440"/>
            <w:shd w:fill="FAFAFA" w:val="clear"/>
          </w:tcPr>
          <w:p>
            <w:r>
              <w:rPr>
                <w:b/>
                <w:color w:val="C00000"/>
                <w:sz w:val="17"/>
              </w:rPr>
              <w:t>-1.7%</w:t>
            </w:r>
          </w:p>
        </w:tc>
      </w:tr>
      <w:tr>
        <w:tc>
          <w:tcPr>
            <w:tcW w:type="dxa" w:w="1440"/>
            <w:shd w:fill="FAFAFA" w:val="clear"/>
          </w:tcPr>
          <w:p>
            <w:r>
              <w:rPr>
                <w:sz w:val="17"/>
              </w:rPr>
              <w:t>J+9  ⭐</w:t>
            </w:r>
          </w:p>
        </w:tc>
        <w:tc>
          <w:tcPr>
            <w:tcW w:type="dxa" w:w="1440"/>
            <w:shd w:fill="FAFAFA" w:val="clear"/>
          </w:tcPr>
          <w:p>
            <w:r>
              <w:rPr>
                <w:sz w:val="17"/>
              </w:rPr>
              <w:t>2026-09-17</w:t>
            </w:r>
          </w:p>
        </w:tc>
        <w:tc>
          <w:tcPr>
            <w:tcW w:type="dxa" w:w="1440"/>
            <w:shd w:fill="FAFAFA" w:val="clear"/>
          </w:tcPr>
          <w:p>
            <w:r>
              <w:rPr>
                <w:sz w:val="17"/>
              </w:rPr>
              <w:t>1,840</w:t>
            </w:r>
          </w:p>
        </w:tc>
        <w:tc>
          <w:tcPr>
            <w:tcW w:type="dxa" w:w="1440"/>
            <w:shd w:fill="FAFAFA" w:val="clear"/>
          </w:tcPr>
          <w:p>
            <w:r>
              <w:rPr>
                <w:b/>
                <w:sz w:val="17"/>
              </w:rPr>
              <w:t>2,133</w:t>
            </w:r>
          </w:p>
        </w:tc>
        <w:tc>
          <w:tcPr>
            <w:tcW w:type="dxa" w:w="1440"/>
            <w:shd w:fill="FAFAFA" w:val="clear"/>
          </w:tcPr>
          <w:p>
            <w:r>
              <w:rPr>
                <w:sz w:val="17"/>
              </w:rPr>
              <w:t>2,425</w:t>
            </w:r>
          </w:p>
        </w:tc>
        <w:tc>
          <w:tcPr>
            <w:tcW w:type="dxa" w:w="1440"/>
            <w:shd w:fill="FAFAFA" w:val="clear"/>
          </w:tcPr>
          <w:p>
            <w:r>
              <w:rPr>
                <w:b/>
                <w:color w:val="C00000"/>
                <w:sz w:val="17"/>
              </w:rPr>
              <w:t>-2.0%</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1,820</w:t>
            </w:r>
          </w:p>
        </w:tc>
        <w:tc>
          <w:tcPr>
            <w:tcW w:type="dxa" w:w="1440"/>
            <w:shd w:fill="FFDCE0" w:val="clear"/>
          </w:tcPr>
          <w:p>
            <w:r>
              <w:rPr>
                <w:b/>
                <w:sz w:val="17"/>
              </w:rPr>
              <w:t>2,128</w:t>
            </w:r>
          </w:p>
        </w:tc>
        <w:tc>
          <w:tcPr>
            <w:tcW w:type="dxa" w:w="1440"/>
            <w:shd w:fill="FFDCE0" w:val="clear"/>
          </w:tcPr>
          <w:p>
            <w:r>
              <w:rPr>
                <w:sz w:val="17"/>
              </w:rPr>
              <w:t>2,436</w:t>
            </w:r>
          </w:p>
        </w:tc>
        <w:tc>
          <w:tcPr>
            <w:tcW w:type="dxa" w:w="1440"/>
            <w:shd w:fill="FFDCE0" w:val="clear"/>
          </w:tcPr>
          <w:p>
            <w:r>
              <w:rPr>
                <w:b/>
                <w:color w:val="C00000"/>
                <w:sz w:val="17"/>
              </w:rPr>
              <w:t>-2.2%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BNBC s'établit à 14,41 milliards FCFA, un niveau modeste sur la BRVM qui reflète la faible taille de la société dans le paysage boursier régional. Le BPA de 3 FCFA par action est extrêmement faible, traduisant une capacité bénéficiaire très limitée. Le PER de 645,5x est considérablement supérieur à la moyenne du marché BRVM (8-12x), indiquant que les investisseurs paient un prix très élevé pour des bénéfices quasi inexistants — une situation qui requiert une prudence extrême. En revanche, le P/B de 0,81x signale que le marché valorise le titre sous sa valeur comptable, ce qui pourrait représenter une opportunité pour les investisseurs axés sur l'actif net. Enfin, l'EV/EBITDA de 24,8x, nettement supérieur au seuil de 15x, confirme une valorisation exigeante par rapport à la capacité opérationnelle de l'entreprise.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BNBC a enregistré une progression spectaculaire de +37,66%, avec une légère correction de -1,14% lors de la dernière séance, portant le cours à 2 175 FCFA. Le titre a évolué dans une fourchette large de 1 300 à 2 400 FCFA, démontrant une forte amplitude de trading. La moyenne de 1 811 FCFA est inférieure à la médiane de 1 880 FCFA, indiquant une distribution légèrement asymétrique avec des valeurs extrêmes basses ayant tiré la moyenne vers le bas. L'écart-type de 242 FCFA avec un coefficient de variation de 13,4% révèle une dispersion modérée du cours autour de sa moyenne. Le kurtosis de -0,666 (mésokurtique) suggère une distribution proche de la normale, sans risque de pics extrêmes, tandis que le skewness de -0,049 confirme une symétrie quasi parfaite. La volatilité annualisée de 51,1% classe le titre comme très volatil, un niveau élevé qui implique un risque substantiel pour les investisseurs.</w:t>
      </w:r>
    </w:p>
    <w:p>
      <w:pPr>
        <w:spacing w:after="120" w:line="276" w:lineRule="auto" w:before="240"/>
      </w:pPr>
      <w:r>
        <w:rPr>
          <w:b/>
          <w:color w:val="003366"/>
          <w:sz w:val="24"/>
        </w:rPr>
        <w:t>**PARTIE 2 : ANALYSE TECHNIQUE DÉTAILLÉE**</w:t>
      </w:r>
    </w:p>
    <w:p>
      <w:pPr>
        <w:spacing w:after="120" w:line="276" w:lineRule="auto"/>
      </w:pPr>
      <w:r>
        <w:t>**Moyennes Mobiles** : Le cours actuel de 2 175 FCFA se positionne nettement au-dessus de la MM20 (2 087,25 FCFA) et de la MM50 (1 987,4 FCFA), confirmant une tendance haussière solide à court et moyen terme. La configuration des moyennes mobiles, avec le cours au-dessus des deux niveaux, génère un signal d'achat cohérent, suggérant que la dynamique positive pourrait se poursuivre tant que le cours reste au-dessus de ces supports dynamiques.</w:t>
      </w:r>
    </w:p>
    <w:p>
      <w:pPr>
        <w:spacing w:after="120" w:line="276" w:lineRule="auto"/>
      </w:pPr>
      <w:r>
        <w:t>**Bandes de Bollinger** : Le prix évolue à 2 175 FCFA, entre la borne supérieure de 2 387,77 FCFA et la borne inférieure de 1 786,73 FCFA, se situant dans la partie haute de l'enveloppe sans toutefois toucher la borne supérieure. Cette position indique une volatilité modérée sans condition de surachat extrême, justifiant une décision neutre. L'écart entre les bornes reflète la volatilité élevée du titre, offrant des opportunités mais aussi des risques de retournement.</w:t>
      </w:r>
    </w:p>
    <w:p>
      <w:pPr>
        <w:spacing w:after="120" w:line="276" w:lineRule="auto"/>
      </w:pPr>
      <w:r>
        <w:t>**MACD** : La valeur du MACD à 86,157 est supérieure à son signal à 75,019, avec un écart positif de 11 points, confirmant un momentum haussier en cours. Cette configuration, où la ligne MACD reste au-dessus du signal, génère un signal d'achat classique, indiquant que la pression acheteuse domine actuellement le marché.</w:t>
      </w:r>
    </w:p>
    <w:p>
      <w:pPr>
        <w:spacing w:after="120" w:line="276" w:lineRule="auto"/>
      </w:pPr>
      <w:r>
        <w:t>**RSI** : À 62,963, le RSI se situe dans la zone neutre (entre 30 et 70), sans signal de surachat ni de survente. Cette valeur indique qu'il reste une marge de progression avant d'atteindre la zone de surachat à 70, ce qui justifie une décision neutre tout en laissant présager un potentiel haussier résiduel.</w:t>
      </w:r>
    </w:p>
    <w:p>
      <w:pPr>
        <w:spacing w:after="120" w:line="276" w:lineRule="auto"/>
      </w:pPr>
      <w:r>
        <w:t>**Stochastique** : Le %K à 45,783 est inférieur au %D à 51,406, suggérant une dynamique baissière à très court terme malgré la tendance haussière globale. Ce croisement négatif indique un possible essoufflement temporaire du mouvement haussier, justifiant une décision neutre avec une vigilance accrue sur les prochaines séances.</w:t>
      </w:r>
    </w:p>
    <w:p>
      <w:pPr>
        <w:spacing w:after="120" w:line="276" w:lineRule="auto"/>
      </w:pPr>
      <w:r>
        <w:t>**Conclusion technique** : La convergence des indicateurs est globalement positive, avec les moyennes mobiles et le MACD en signal d'achat, tandis que le RSI et les bandes de Bollinger restent neutres. Le stochastique, en léger croisement baissier, tempère le tableau. Globalement, la tendance haussière demeure intacte, mais un repli technique à court terme n'est pas à exclure avant une reprise de la dynamique.</w:t>
      </w:r>
    </w:p>
    <w:p>
      <w:pPr>
        <w:spacing w:after="120" w:line="276" w:lineRule="auto" w:before="240"/>
      </w:pPr>
      <w:r>
        <w:rPr>
          <w:b/>
          <w:color w:val="003366"/>
          <w:sz w:val="24"/>
        </w:rPr>
        <w:t>**PARTIE 3 : ANALYSE FONDAMENTALE (SECTION CRITIQUE)**</w:t>
      </w:r>
    </w:p>
    <w:p>
      <w:pPr>
        <w:spacing w:after="120" w:line="276" w:lineRule="auto"/>
      </w:pPr>
      <w:r>
        <w:t>En 2025, BNBC a réalisé un chiffre d'affaires de 42,454 milliards FCFA, en baisse de 6,31% par rapport à 2024 (45,312 milliards FCFA), avec un résultat net de 22,32 millions FCFA, en amélioration par rapport aux 7,31 millions de 2024 mais représentant une marge nette dérisoire de 0,05%. Le ROE s'établit à 0,13% et le ROA à 0,05%, des niveaux extrêmement faibles qui traduisent une rentabilité anémique. En tant qu'entreprise commerciale, BNBC présente un BFR de 29,373 milliards FCFA, avec un délai clients de 104 jours (élevé, créant un risque de trésorerie) et une durée de stockage de 339 jours, très préoccupante car elle immobilise considérablement le capital. Le ratio d'endettement de 105,48% et la trésorerie nette négative de 16,689 milliards FCFA signalent une dépendance financière importante. Les rapports trimestriels 2025 montrent une dégradation progressive : le T1 2025 était bénéficiaire (+16,15 millions), mais le S1 2025 affichait une perte de -139,57 millions, aggravée à -157,03 millions sur les 9 mois. Le rapport T1 2026 (daté 2026-12-31) indique un retour à un bénéfice de 65,57 millions FCFA sur un CA stable de 11,194 milliards, grâce à l'intégration de la division Équipement. On estime que l'exercice 2026 pourrait voir une amélioration progressive si la montée en puissance des nouvelles divisions se confirme, mais la rentabilité structurelle reste très fragile.</w:t>
      </w:r>
    </w:p>
    <w:p>
      <w:pPr>
        <w:spacing w:after="120" w:line="276" w:lineRule="auto" w:before="240"/>
      </w:pPr>
      <w:r>
        <w:rPr>
          <w:b/>
          <w:color w:val="003366"/>
          <w:sz w:val="24"/>
        </w:rPr>
        <w:t>**PARTIE 4 : CONCLUSION D'INVESTISSEMENT**</w:t>
      </w:r>
    </w:p>
    <w:p>
      <w:pPr>
        <w:spacing w:after="120" w:line="276" w:lineRule="auto"/>
      </w:pPr>
      <w:r>
        <w:t>La valorisation de BNBC apparaît extrêmement élevée avec un PER de 645,5x et un EV/EBITDA de 24,8x, bien que le P/B de 0,81x suggère un potentiel de rattrapage par rapport aux actifs. Le comportement du cours sur 100 jours est très positif (+37,66%) mais accompagné d'une volatilité annualisée de 51,1%, indiquant un risque élevé. Les signaux techniques sont majoritairement haussiers (MM, MACD) avec des indicateurs neutres (RSI, Bollinger) et un stochastique en léger essoufflement, suggérant une poursuite possible mais non garantie de la tendance. Les fondamentaux restent préoccupants avec une rentabilité quasi nulle, un endettement élevé et une trésorerie négative, malgré une légère amélioration au T1 2026. Les prédictions IA indiquent une légère baisse progressive vers 2 151 FCFA sur 10 jours, contredisant partiellement la tendance haussière récente. La divergence entre la forte performance boursière et la faiblesse des fondamentaux justifie une recommandation **CONSERVER** avec un niveau de confiance **Faible** et un risque global **Élevé**. L'horizon d'investissement optimal serait le **moyen terme (3-12 mois)** pour observer l'évolution de la rentabilité et la gestion du BFR, sans position agressive compte tenu des incertitudes persistantes.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5.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417.78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6,003 titres</w:t>
            </w:r>
          </w:p>
        </w:tc>
        <w:tc>
          <w:tcPr>
            <w:tcW w:type="dxa" w:w="2268"/>
            <w:shd w:fill="FFF2CC" w:val="clear"/>
          </w:tcPr>
          <w:p>
            <w:r>
              <w:rPr>
                <w:b/>
                <w:color w:val="503200"/>
                <w:sz w:val="16"/>
              </w:rPr>
              <w:t xml:space="preserve">Cours actuel : </w:t>
            </w:r>
            <w:r>
              <w:rPr>
                <w:color w:val="000000"/>
                <w:sz w:val="17"/>
              </w:rPr>
              <w:t>10,300 FCFA</w:t>
            </w:r>
          </w:p>
          <w:p>
            <w:r>
              <w:rPr>
                <w:b/>
                <w:color w:val="503200"/>
                <w:sz w:val="16"/>
              </w:rPr>
              <w:t xml:space="preserve">Var. 100 jours : </w:t>
            </w:r>
            <w:r>
              <w:rPr>
                <w:b/>
                <w:color w:val="007800"/>
                <w:sz w:val="17"/>
              </w:rPr>
              <w:t>+37.33%</w:t>
            </w:r>
          </w:p>
          <w:p>
            <w:r>
              <w:rPr>
                <w:b/>
                <w:color w:val="503200"/>
                <w:sz w:val="16"/>
              </w:rPr>
              <w:t xml:space="preserve">Plus haut 100j : </w:t>
            </w:r>
            <w:r>
              <w:rPr>
                <w:color w:val="000000"/>
                <w:sz w:val="17"/>
              </w:rPr>
              <w:t>10,350 FCFA</w:t>
            </w:r>
          </w:p>
          <w:p>
            <w:r>
              <w:rPr>
                <w:b/>
                <w:color w:val="503200"/>
                <w:sz w:val="16"/>
              </w:rPr>
              <w:t xml:space="preserve">Plus bas 100j : </w:t>
            </w:r>
            <w:r>
              <w:rPr>
                <w:color w:val="000000"/>
                <w:sz w:val="17"/>
              </w:rPr>
              <w:t>7,400 FCFA</w:t>
            </w:r>
          </w:p>
          <w:p>
            <w:r>
              <w:rPr>
                <w:b/>
                <w:color w:val="503200"/>
                <w:sz w:val="16"/>
              </w:rPr>
              <w:t xml:space="preserve">Volatilité ann. : </w:t>
            </w:r>
            <w:r>
              <w:rPr>
                <w:color w:val="000000"/>
                <w:sz w:val="17"/>
              </w:rPr>
              <w:t>27.1%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6.64% (Moyenne) — μ=8,915 FCFA, σ=592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β=-0.3421 (Contre-cyclique) — Cov=-0.000012, Var(idx)=0.000036, ρ=-0.119,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6,003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σ_j=1.71%/j (Stable) — Vol. annualisée≈27.1%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6976"/>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2026-09-07</w:t>
            </w:r>
          </w:p>
        </w:tc>
        <w:tc>
          <w:tcPr>
            <w:tcW w:type="dxa" w:w="1440"/>
            <w:shd w:fill="FFDCE0" w:val="clear"/>
          </w:tcPr>
          <w:p>
            <w:r>
              <w:rPr>
                <w:sz w:val="17"/>
              </w:rPr>
              <w:t>9,500</w:t>
            </w:r>
          </w:p>
        </w:tc>
        <w:tc>
          <w:tcPr>
            <w:tcW w:type="dxa" w:w="1440"/>
            <w:shd w:fill="FFDCE0" w:val="clear"/>
          </w:tcPr>
          <w:p>
            <w:r>
              <w:rPr>
                <w:b/>
                <w:sz w:val="17"/>
              </w:rPr>
              <w:t>9,840</w:t>
            </w:r>
          </w:p>
        </w:tc>
        <w:tc>
          <w:tcPr>
            <w:tcW w:type="dxa" w:w="1440"/>
            <w:shd w:fill="FFDCE0" w:val="clear"/>
          </w:tcPr>
          <w:p>
            <w:r>
              <w:rPr>
                <w:sz w:val="17"/>
              </w:rPr>
              <w:t>10,179</w:t>
            </w:r>
          </w:p>
        </w:tc>
        <w:tc>
          <w:tcPr>
            <w:tcW w:type="dxa" w:w="1440"/>
            <w:shd w:fill="FFDCE0" w:val="clear"/>
          </w:tcPr>
          <w:p>
            <w:r>
              <w:rPr>
                <w:b/>
                <w:color w:val="C00000"/>
                <w:sz w:val="17"/>
              </w:rPr>
              <w:t>-4.5%</w:t>
            </w:r>
          </w:p>
        </w:tc>
      </w:tr>
      <w:tr>
        <w:tc>
          <w:tcPr>
            <w:tcW w:type="dxa" w:w="1440"/>
            <w:shd w:fill="FFDCE0" w:val="clear"/>
          </w:tcPr>
          <w:p>
            <w:r>
              <w:rPr>
                <w:sz w:val="17"/>
              </w:rPr>
              <w:t>J+2  Moyenne</w:t>
            </w:r>
          </w:p>
        </w:tc>
        <w:tc>
          <w:tcPr>
            <w:tcW w:type="dxa" w:w="1440"/>
            <w:shd w:fill="FFDCE0" w:val="clear"/>
          </w:tcPr>
          <w:p>
            <w:r>
              <w:rPr>
                <w:sz w:val="17"/>
              </w:rPr>
              <w:t>2026-09-08</w:t>
            </w:r>
          </w:p>
        </w:tc>
        <w:tc>
          <w:tcPr>
            <w:tcW w:type="dxa" w:w="1440"/>
            <w:shd w:fill="FFDCE0" w:val="clear"/>
          </w:tcPr>
          <w:p>
            <w:r>
              <w:rPr>
                <w:sz w:val="17"/>
              </w:rPr>
              <w:t>9,117</w:t>
            </w:r>
          </w:p>
        </w:tc>
        <w:tc>
          <w:tcPr>
            <w:tcW w:type="dxa" w:w="1440"/>
            <w:shd w:fill="FFDCE0" w:val="clear"/>
          </w:tcPr>
          <w:p>
            <w:r>
              <w:rPr>
                <w:b/>
                <w:sz w:val="17"/>
              </w:rPr>
              <w:t>9,584</w:t>
            </w:r>
          </w:p>
        </w:tc>
        <w:tc>
          <w:tcPr>
            <w:tcW w:type="dxa" w:w="1440"/>
            <w:shd w:fill="FFDCE0" w:val="clear"/>
          </w:tcPr>
          <w:p>
            <w:r>
              <w:rPr>
                <w:sz w:val="17"/>
              </w:rPr>
              <w:t>10,052</w:t>
            </w:r>
          </w:p>
        </w:tc>
        <w:tc>
          <w:tcPr>
            <w:tcW w:type="dxa" w:w="1440"/>
            <w:shd w:fill="FFDCE0" w:val="clear"/>
          </w:tcPr>
          <w:p>
            <w:r>
              <w:rPr>
                <w:b/>
                <w:color w:val="C00000"/>
                <w:sz w:val="17"/>
              </w:rPr>
              <w:t>-6.9%</w:t>
            </w:r>
          </w:p>
        </w:tc>
      </w:tr>
      <w:tr>
        <w:tc>
          <w:tcPr>
            <w:tcW w:type="dxa" w:w="1440"/>
            <w:shd w:fill="FFDCE0" w:val="clear"/>
          </w:tcPr>
          <w:p>
            <w:r>
              <w:rPr>
                <w:sz w:val="17"/>
              </w:rPr>
              <w:t>J+3  Moyenne</w:t>
            </w:r>
          </w:p>
        </w:tc>
        <w:tc>
          <w:tcPr>
            <w:tcW w:type="dxa" w:w="1440"/>
            <w:shd w:fill="FFDCE0" w:val="clear"/>
          </w:tcPr>
          <w:p>
            <w:r>
              <w:rPr>
                <w:sz w:val="17"/>
              </w:rPr>
              <w:t>2026-09-09</w:t>
            </w:r>
          </w:p>
        </w:tc>
        <w:tc>
          <w:tcPr>
            <w:tcW w:type="dxa" w:w="1440"/>
            <w:shd w:fill="FFDCE0" w:val="clear"/>
          </w:tcPr>
          <w:p>
            <w:r>
              <w:rPr>
                <w:sz w:val="17"/>
              </w:rPr>
              <w:t>8,813</w:t>
            </w:r>
          </w:p>
        </w:tc>
        <w:tc>
          <w:tcPr>
            <w:tcW w:type="dxa" w:w="1440"/>
            <w:shd w:fill="FFDCE0" w:val="clear"/>
          </w:tcPr>
          <w:p>
            <w:r>
              <w:rPr>
                <w:b/>
                <w:sz w:val="17"/>
              </w:rPr>
              <w:t>9,373</w:t>
            </w:r>
          </w:p>
        </w:tc>
        <w:tc>
          <w:tcPr>
            <w:tcW w:type="dxa" w:w="1440"/>
            <w:shd w:fill="FFDCE0" w:val="clear"/>
          </w:tcPr>
          <w:p>
            <w:r>
              <w:rPr>
                <w:sz w:val="17"/>
              </w:rPr>
              <w:t>9,933</w:t>
            </w:r>
          </w:p>
        </w:tc>
        <w:tc>
          <w:tcPr>
            <w:tcW w:type="dxa" w:w="1440"/>
            <w:shd w:fill="FFDCE0" w:val="clear"/>
          </w:tcPr>
          <w:p>
            <w:r>
              <w:rPr>
                <w:b/>
                <w:color w:val="C00000"/>
                <w:sz w:val="17"/>
              </w:rPr>
              <w:t>-9.0%</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8,571</w:t>
            </w:r>
          </w:p>
        </w:tc>
        <w:tc>
          <w:tcPr>
            <w:tcW w:type="dxa" w:w="1440"/>
            <w:shd w:fill="FFDCE0" w:val="clear"/>
          </w:tcPr>
          <w:p>
            <w:r>
              <w:rPr>
                <w:b/>
                <w:sz w:val="17"/>
              </w:rPr>
              <w:t>9,206</w:t>
            </w:r>
          </w:p>
        </w:tc>
        <w:tc>
          <w:tcPr>
            <w:tcW w:type="dxa" w:w="1440"/>
            <w:shd w:fill="FFDCE0" w:val="clear"/>
          </w:tcPr>
          <w:p>
            <w:r>
              <w:rPr>
                <w:sz w:val="17"/>
              </w:rPr>
              <w:t>9,841</w:t>
            </w:r>
          </w:p>
        </w:tc>
        <w:tc>
          <w:tcPr>
            <w:tcW w:type="dxa" w:w="1440"/>
            <w:shd w:fill="FFDCE0" w:val="clear"/>
          </w:tcPr>
          <w:p>
            <w:r>
              <w:rPr>
                <w:b/>
                <w:color w:val="C00000"/>
                <w:sz w:val="17"/>
              </w:rPr>
              <w:t>-10.6%</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8,360</w:t>
            </w:r>
          </w:p>
        </w:tc>
        <w:tc>
          <w:tcPr>
            <w:tcW w:type="dxa" w:w="1440"/>
            <w:shd w:fill="FFDCE0" w:val="clear"/>
          </w:tcPr>
          <w:p>
            <w:r>
              <w:rPr>
                <w:b/>
                <w:sz w:val="17"/>
              </w:rPr>
              <w:t>9,058</w:t>
            </w:r>
          </w:p>
        </w:tc>
        <w:tc>
          <w:tcPr>
            <w:tcW w:type="dxa" w:w="1440"/>
            <w:shd w:fill="FFDCE0" w:val="clear"/>
          </w:tcPr>
          <w:p>
            <w:r>
              <w:rPr>
                <w:sz w:val="17"/>
              </w:rPr>
              <w:t>9,757</w:t>
            </w:r>
          </w:p>
        </w:tc>
        <w:tc>
          <w:tcPr>
            <w:tcW w:type="dxa" w:w="1440"/>
            <w:shd w:fill="FFDCE0" w:val="clear"/>
          </w:tcPr>
          <w:p>
            <w:r>
              <w:rPr>
                <w:b/>
                <w:color w:val="C00000"/>
                <w:sz w:val="17"/>
              </w:rPr>
              <w:t>-12.1%</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8,169</w:t>
            </w:r>
          </w:p>
        </w:tc>
        <w:tc>
          <w:tcPr>
            <w:tcW w:type="dxa" w:w="1440"/>
            <w:shd w:fill="FFDCE0" w:val="clear"/>
          </w:tcPr>
          <w:p>
            <w:r>
              <w:rPr>
                <w:b/>
                <w:sz w:val="17"/>
              </w:rPr>
              <w:t>8,923</w:t>
            </w:r>
          </w:p>
        </w:tc>
        <w:tc>
          <w:tcPr>
            <w:tcW w:type="dxa" w:w="1440"/>
            <w:shd w:fill="FFDCE0" w:val="clear"/>
          </w:tcPr>
          <w:p>
            <w:r>
              <w:rPr>
                <w:sz w:val="17"/>
              </w:rPr>
              <w:t>9,676</w:t>
            </w:r>
          </w:p>
        </w:tc>
        <w:tc>
          <w:tcPr>
            <w:tcW w:type="dxa" w:w="1440"/>
            <w:shd w:fill="FFDCE0" w:val="clear"/>
          </w:tcPr>
          <w:p>
            <w:r>
              <w:rPr>
                <w:b/>
                <w:color w:val="C00000"/>
                <w:sz w:val="17"/>
              </w:rPr>
              <w:t>-13.4%</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7,993</w:t>
            </w:r>
          </w:p>
        </w:tc>
        <w:tc>
          <w:tcPr>
            <w:tcW w:type="dxa" w:w="1440"/>
            <w:shd w:fill="FFDCE0" w:val="clear"/>
          </w:tcPr>
          <w:p>
            <w:r>
              <w:rPr>
                <w:b/>
                <w:sz w:val="17"/>
              </w:rPr>
              <w:t>8,796</w:t>
            </w:r>
          </w:p>
        </w:tc>
        <w:tc>
          <w:tcPr>
            <w:tcW w:type="dxa" w:w="1440"/>
            <w:shd w:fill="FFDCE0" w:val="clear"/>
          </w:tcPr>
          <w:p>
            <w:r>
              <w:rPr>
                <w:sz w:val="17"/>
              </w:rPr>
              <w:t>9,599</w:t>
            </w:r>
          </w:p>
        </w:tc>
        <w:tc>
          <w:tcPr>
            <w:tcW w:type="dxa" w:w="1440"/>
            <w:shd w:fill="FFDCE0" w:val="clear"/>
          </w:tcPr>
          <w:p>
            <w:r>
              <w:rPr>
                <w:b/>
                <w:color w:val="C00000"/>
                <w:sz w:val="17"/>
              </w:rPr>
              <w:t>-14.6%</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7,831</w:t>
            </w:r>
          </w:p>
        </w:tc>
        <w:tc>
          <w:tcPr>
            <w:tcW w:type="dxa" w:w="1440"/>
            <w:shd w:fill="FFDCE0" w:val="clear"/>
          </w:tcPr>
          <w:p>
            <w:r>
              <w:rPr>
                <w:b/>
                <w:sz w:val="17"/>
              </w:rPr>
              <w:t>8,677</w:t>
            </w:r>
          </w:p>
        </w:tc>
        <w:tc>
          <w:tcPr>
            <w:tcW w:type="dxa" w:w="1440"/>
            <w:shd w:fill="FFDCE0" w:val="clear"/>
          </w:tcPr>
          <w:p>
            <w:r>
              <w:rPr>
                <w:sz w:val="17"/>
              </w:rPr>
              <w:t>9,524</w:t>
            </w:r>
          </w:p>
        </w:tc>
        <w:tc>
          <w:tcPr>
            <w:tcW w:type="dxa" w:w="1440"/>
            <w:shd w:fill="FFDCE0" w:val="clear"/>
          </w:tcPr>
          <w:p>
            <w:r>
              <w:rPr>
                <w:b/>
                <w:color w:val="C00000"/>
                <w:sz w:val="17"/>
              </w:rPr>
              <w:t>-15.8%</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7,680</w:t>
            </w:r>
          </w:p>
        </w:tc>
        <w:tc>
          <w:tcPr>
            <w:tcW w:type="dxa" w:w="1440"/>
            <w:shd w:fill="FFDCE0" w:val="clear"/>
          </w:tcPr>
          <w:p>
            <w:r>
              <w:rPr>
                <w:b/>
                <w:sz w:val="17"/>
              </w:rPr>
              <w:t>8,566</w:t>
            </w:r>
          </w:p>
        </w:tc>
        <w:tc>
          <w:tcPr>
            <w:tcW w:type="dxa" w:w="1440"/>
            <w:shd w:fill="FFDCE0" w:val="clear"/>
          </w:tcPr>
          <w:p>
            <w:r>
              <w:rPr>
                <w:sz w:val="17"/>
              </w:rPr>
              <w:t>9,452</w:t>
            </w:r>
          </w:p>
        </w:tc>
        <w:tc>
          <w:tcPr>
            <w:tcW w:type="dxa" w:w="1440"/>
            <w:shd w:fill="FFDCE0" w:val="clear"/>
          </w:tcPr>
          <w:p>
            <w:r>
              <w:rPr>
                <w:b/>
                <w:color w:val="C00000"/>
                <w:sz w:val="17"/>
              </w:rPr>
              <w:t>-16.8%</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7,538</w:t>
            </w:r>
          </w:p>
        </w:tc>
        <w:tc>
          <w:tcPr>
            <w:tcW w:type="dxa" w:w="1440"/>
            <w:shd w:fill="FFDCE0" w:val="clear"/>
          </w:tcPr>
          <w:p>
            <w:r>
              <w:rPr>
                <w:b/>
                <w:sz w:val="17"/>
              </w:rPr>
              <w:t>8,461</w:t>
            </w:r>
          </w:p>
        </w:tc>
        <w:tc>
          <w:tcPr>
            <w:tcW w:type="dxa" w:w="1440"/>
            <w:shd w:fill="FFDCE0" w:val="clear"/>
          </w:tcPr>
          <w:p>
            <w:r>
              <w:rPr>
                <w:sz w:val="17"/>
              </w:rPr>
              <w:t>9,383</w:t>
            </w:r>
          </w:p>
        </w:tc>
        <w:tc>
          <w:tcPr>
            <w:tcW w:type="dxa" w:w="1440"/>
            <w:shd w:fill="FFDCE0" w:val="clear"/>
          </w:tcPr>
          <w:p>
            <w:r>
              <w:rPr>
                <w:b/>
                <w:color w:val="C00000"/>
                <w:sz w:val="17"/>
              </w:rPr>
              <w:t>-17.9%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BOAB s'établit à 417,78 milliards FCFA, ce qui en fait une valeur de première ligne sur la BRVM, représentant un poids significatif dans l'indice composite. Avec un BPA de 496 FCFA, chaque action génère un bénéfice confortable, mais le PER de 20,8x est nettement supérieur à la moyenne historique de la place (~8-12x), signalant que le marché intègre des anticipations de croissance soutenue, voire une certaine surévaluation. Le P/B de 3,56x confirme cette prime, le cours se négociant bien au-dessus de la valeur comptable des fonds propres, ce qui est typique des valeurs bancaires recherchées pour leur rendement. Enfin, l'EV/EBITDA de 21,0x, très exigeant, indique que la valeur totale de l'entreprise (dette incluse) est élevée par rapport à sa capacité opérationnelle, ce qui laisse peu de marge à une déception opérationnelle. Ces ratios suggèrent un titre qui a déjà intégré beaucoup d'optimisme.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dernières séances, l'action BOAB a enregistré une progression spectaculaire de +37,33%, passant d'un plus bas de 7 400 FCFA à un plus haut de 10 350 FCFA, pour clôturer à 10 300 FCFA, avec un léger repli de -0,48% sur la dernière séance. Cette tendance est fortement haussière, marquée par un rallye soutenu. La moyenne du cours sur la période (8 915 FCFA) est supérieure à la médiane (8 800 FCFA), et le mode est à 8 700 FCFA, indiquant une distribution légèrement asymétrique positive (skewness de 0,323) où les fortes hausses récentes tirent la moyenne vers le haut. L'écart-type de 595 FCFA (CV de 6,7%) montre une dispersion modérée, mais le kurtosis excédentaire de 1,055 signale un risque de pics, avec des mouvements de prix plus extrêmes que la normale. La volatilité annualisée de 27,1% classe le titre dans la catégorie "élevée" (&gt;30% étant extrême), ce qui implique des fluctuations de prix substantielles pour les investisseurs.</w:t>
      </w:r>
    </w:p>
    <w:p>
      <w:pPr>
        <w:spacing w:after="120" w:line="276" w:lineRule="auto" w:before="240"/>
      </w:pPr>
      <w:r>
        <w:rPr>
          <w:b/>
          <w:color w:val="003366"/>
          <w:sz w:val="24"/>
        </w:rPr>
        <w:t>**PARTIE 2 : ANALYSE TECHNIQUE DÉTAILLÉE**</w:t>
      </w:r>
    </w:p>
    <w:p>
      <w:pPr>
        <w:spacing w:after="120" w:line="276" w:lineRule="auto"/>
      </w:pPr>
      <w:r>
        <w:t>**Moyennes Mobiles**: Les moyennes mobiles sur 20 jours (9 539,75 FCFA) et sur 50 jours (9 102,5 FCFA) sont toutes deux largement dépassées par le cours actuel de 10 300 FCFA. Cette configuration haussière, où le cours évolue au-dessus de ses moyennes et où la MM20 est au-dessus de la MM50, confirme la vigueur de la tendance de fond et justifie la décision d'achat.</w:t>
      </w:r>
    </w:p>
    <w:p>
      <w:pPr>
        <w:spacing w:after="120" w:line="276" w:lineRule="auto"/>
      </w:pPr>
      <w:r>
        <w:t>**Bandes de Bollinger**: Le cours se situe à 10 300 FCFA, proche de la borne supérieure (10 968,77 FCFA) mais en dessous, tandis que la borne inférieure est à 8 110,73 FCFA. L'écart important entre les bornes reflète la volatilité accrue. Le prix n'ayant pas franchi la borne supérieure, l'indicateur est neutre, mais la pression acheteuse reste forte.</w:t>
      </w:r>
    </w:p>
    <w:p>
      <w:pPr>
        <w:spacing w:after="120" w:line="276" w:lineRule="auto"/>
      </w:pPr>
      <w:r>
        <w:t>**MACD**: Le MACD (412,37) est nettement au-dessus de son signal (341,04), avec un écart positif et croissant. Cette configuration indique un momentum haussier puissant qui se renforce, justifiant la décision d'achat. La dynamique positive est toujours en place, même après la forte hausse.</w:t>
      </w:r>
    </w:p>
    <w:p>
      <w:pPr>
        <w:spacing w:after="120" w:line="276" w:lineRule="auto"/>
      </w:pPr>
      <w:r>
        <w:t>**RSI**: Le RSI s'établit à 76,67, entrant en zone de surachat (&gt;70). Ce niveau signale que le titre est techniquement survendu à la hausse et qu'un repli technique ou une consolidation est probable à court terme, justifiant la décision de vente. Les acheteurs sont épuisés à ce stade.</w:t>
      </w:r>
    </w:p>
    <w:p>
      <w:pPr>
        <w:spacing w:after="120" w:line="276" w:lineRule="auto"/>
      </w:pPr>
      <w:r>
        <w:t>**Stochastique**: Le %K (96,77) et le %D (96,82) sont tous deux à des niveaux extrêmement élevés, en zone de surachat profond. Les deux lignes sont pratiquement confondues, indiquant une force excessive mais également un risque élevé de retournement baissier imminent. La décision de vente est donc logique.</w:t>
      </w:r>
    </w:p>
    <w:p>
      <w:pPr>
        <w:spacing w:after="120" w:line="276" w:lineRule="auto"/>
      </w:pPr>
      <w:r>
        <w:t>**Conclusion technique**: Les indicateurs de tendance (MM, MACD) sont résolument haussiers, mais les oscillateurs de momentum (RSI, Stochastique) crient à la surachat. Cette divergence classique suggère que la tendance de fond reste positive mais qu'un essoufflement à court terme est très probable. Un repli vers la zone des 9 500-9 800 FCFA (MM20) serait sain avant une éventuelle reprise de la hausse.</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 BOAB font état d'un Produit Net Bancaire (PNB) de 51,274 milliards FCFA, en croissance de 10,2%, et d'un résultat net de 20,107 milliards FCFA. La banque affiche une rentabilité financière (ROE) de 17,11% et une rentabilité économique (ROA) de 2,08%, toutes deux excellentes. Le coefficient d'exploitation de 49,53% témoigne d'une gestion très efficace, bien sous la barre des 60%. Cependant, le coût du risque (22,5% des charges financières) reste un point de vigilance. Les dépôts clients (711,64 Mds) couvrent largement les créances sur la clientèle (391,72 Mds), assurant une liquidité solide. Les rapports narratifs montrent une trajectoire contrastée : le rapport 2024 indiquait une baisse du résultat net de 8,7% à 19,65 milliards FCFA, malgré une augmentation de capital. Les rapports T1 et S1 2025 confirment une pression sur le résultat net (-8,2% et +0,75% respectivement) due à une hausse du coût du risque. Cependant, le rapport T3 2025 marque un tournant avec un résultat net en hausse de 13% à 15,88 milliards FCFA, porté par une amélioration de l'efficacité. Enfin, le rapport T1 2026 (publié en 2026) montre une croissance du PNB de 11% à 12,33 milliards FCFA, mais une hausse limitée du résultat net (+1% à 4,5 milliards). Sur la base de ces données, on estime que l'exercice 2026 devrait confirmer la solidité de la banque, avec une croissance du PNB soutenue par les commissions, mais une rentabilité nette qui pourrait plafonner si le coût du risque ne se normalise pas.</w:t>
      </w:r>
    </w:p>
    <w:p>
      <w:pPr>
        <w:spacing w:after="120" w:line="276" w:lineRule="auto" w:before="240"/>
      </w:pPr>
      <w:r>
        <w:rPr>
          <w:b/>
          <w:color w:val="003366"/>
          <w:sz w:val="24"/>
        </w:rPr>
        <w:t>**PARTIE 4 : CONCLUSION D'INVESTISSEMENT**</w:t>
      </w:r>
    </w:p>
    <w:p>
      <w:pPr>
        <w:spacing w:after="120" w:line="276" w:lineRule="auto"/>
      </w:pPr>
      <w:r>
        <w:t>La valorisation actuelle de BOAB (PER de 20,8x, P/B de 3,56x) est exigeante et intègre des perspectives de croissance solides, malgré une surévaluation relative par rapport au marché. Le comportement du cours, avec une hausse de +37% et une volatilité élevée (27,1%), couplé à un kurtosis marqué, suggère un potentiel de correction brutale. Les signaux techniques sont contradictoires : la tendance de fond (MM, MACD) est haussière, mais les indicateurs de surachat (RSI à 76,7, Stochastique à 96,8) annoncent un repli imminent. Les fondamentaux, eux, sont robustes avec un ROE de 17,1% et un coefficient d'exploitation excellent, mais la croissance du résultat net est freinée par le coût du risque. Les prédictions IA pour les 10 prochains jours (chute de 10 300 à 9 058 FCFA) confirment l'analyse technique d'un essoufflement et d'une correction à court terme. En synthèse, la convergence des signaux techniques de surachat et des prédictions IA indique une phase de consolidation imminente. Par conséquent, la recommandation est de **CONSERVER** le titre pour les investisseurs existants, avec un niveau de confiance **Moyen** et un risque global **Élevé** à court terme. L'horizon d'investissement optimal serait à **moyen terme (3-12 mois)**, après une probable correction qui offrirait un meilleur point d'entrée pour capitaliser sur la solidité fondamentale de la banque.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6.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390.72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6,836 titres</w:t>
            </w:r>
          </w:p>
        </w:tc>
        <w:tc>
          <w:tcPr>
            <w:tcW w:type="dxa" w:w="2268"/>
            <w:shd w:fill="FFF2CC" w:val="clear"/>
          </w:tcPr>
          <w:p>
            <w:r>
              <w:rPr>
                <w:b/>
                <w:color w:val="503200"/>
                <w:sz w:val="16"/>
              </w:rPr>
              <w:t xml:space="preserve">Cours actuel : </w:t>
            </w:r>
            <w:r>
              <w:rPr>
                <w:color w:val="000000"/>
                <w:sz w:val="17"/>
              </w:rPr>
              <w:t>8,880 FCFA</w:t>
            </w:r>
          </w:p>
          <w:p>
            <w:r>
              <w:rPr>
                <w:b/>
                <w:color w:val="503200"/>
                <w:sz w:val="16"/>
              </w:rPr>
              <w:t xml:space="preserve">Var. 100 jours : </w:t>
            </w:r>
            <w:r>
              <w:rPr>
                <w:b/>
                <w:color w:val="007800"/>
                <w:sz w:val="17"/>
              </w:rPr>
              <w:t>+56.34%</w:t>
            </w:r>
          </w:p>
          <w:p>
            <w:r>
              <w:rPr>
                <w:b/>
                <w:color w:val="503200"/>
                <w:sz w:val="16"/>
              </w:rPr>
              <w:t xml:space="preserve">Plus haut 100j : </w:t>
            </w:r>
            <w:r>
              <w:rPr>
                <w:color w:val="000000"/>
                <w:sz w:val="17"/>
              </w:rPr>
              <w:t>9,090 FCFA</w:t>
            </w:r>
          </w:p>
          <w:p>
            <w:r>
              <w:rPr>
                <w:b/>
                <w:color w:val="503200"/>
                <w:sz w:val="16"/>
              </w:rPr>
              <w:t xml:space="preserve">Plus bas 100j : </w:t>
            </w:r>
            <w:r>
              <w:rPr>
                <w:color w:val="000000"/>
                <w:sz w:val="17"/>
              </w:rPr>
              <w:t>5,235 FCFA</w:t>
            </w:r>
          </w:p>
          <w:p>
            <w:r>
              <w:rPr>
                <w:b/>
                <w:color w:val="503200"/>
                <w:sz w:val="16"/>
              </w:rPr>
              <w:t xml:space="preserve">Volatilité ann. : </w:t>
            </w:r>
            <w:r>
              <w:rPr>
                <w:color w:val="000000"/>
                <w:sz w:val="17"/>
              </w:rPr>
              <w:t>33.6%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28.1/100 → Moyen</w:t>
      </w:r>
    </w:p>
    <w:p>
      <w:pPr>
        <w:spacing w:before="40" w:after="80"/>
      </w:pPr>
      <w:r>
        <w:rPr>
          <w:rFonts w:ascii="Courier New" w:hAnsi="Courier New"/>
          <w:color w:val="825A00"/>
          <w:sz w:val="18"/>
        </w:rPr>
        <w:t>█████░░░░░░░░░░░░░░░  28.1/100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16.92% (Élevée) — μ=6,314 FCFA, σ=1,068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β=0.2101 (Défensif) — Cov=0.000008, Var(idx)=0.000036, ρ=0.059,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6,836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σ_j=2.12%/j (Stable) — Vol. annualisée≈33.6%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2026-09-07</w:t>
            </w:r>
          </w:p>
        </w:tc>
        <w:tc>
          <w:tcPr>
            <w:tcW w:type="dxa" w:w="1440"/>
            <w:shd w:fill="FFDCE0" w:val="clear"/>
          </w:tcPr>
          <w:p>
            <w:r>
              <w:rPr>
                <w:sz w:val="17"/>
              </w:rPr>
              <w:t>8,184</w:t>
            </w:r>
          </w:p>
        </w:tc>
        <w:tc>
          <w:tcPr>
            <w:tcW w:type="dxa" w:w="1440"/>
            <w:shd w:fill="FFDCE0" w:val="clear"/>
          </w:tcPr>
          <w:p>
            <w:r>
              <w:rPr>
                <w:b/>
                <w:sz w:val="17"/>
              </w:rPr>
              <w:t>8,520</w:t>
            </w:r>
          </w:p>
        </w:tc>
        <w:tc>
          <w:tcPr>
            <w:tcW w:type="dxa" w:w="1440"/>
            <w:shd w:fill="FFDCE0" w:val="clear"/>
          </w:tcPr>
          <w:p>
            <w:r>
              <w:rPr>
                <w:sz w:val="17"/>
              </w:rPr>
              <w:t>8,856</w:t>
            </w:r>
          </w:p>
        </w:tc>
        <w:tc>
          <w:tcPr>
            <w:tcW w:type="dxa" w:w="1440"/>
            <w:shd w:fill="FFDCE0" w:val="clear"/>
          </w:tcPr>
          <w:p>
            <w:r>
              <w:rPr>
                <w:b/>
                <w:color w:val="C00000"/>
                <w:sz w:val="17"/>
              </w:rPr>
              <w:t>-4.1%</w:t>
            </w:r>
          </w:p>
        </w:tc>
      </w:tr>
      <w:tr>
        <w:tc>
          <w:tcPr>
            <w:tcW w:type="dxa" w:w="1440"/>
            <w:shd w:fill="FFDCE0" w:val="clear"/>
          </w:tcPr>
          <w:p>
            <w:r>
              <w:rPr>
                <w:sz w:val="17"/>
              </w:rPr>
              <w:t>J+2  Moyenne</w:t>
            </w:r>
          </w:p>
        </w:tc>
        <w:tc>
          <w:tcPr>
            <w:tcW w:type="dxa" w:w="1440"/>
            <w:shd w:fill="FFDCE0" w:val="clear"/>
          </w:tcPr>
          <w:p>
            <w:r>
              <w:rPr>
                <w:sz w:val="17"/>
              </w:rPr>
              <w:t>2026-09-08</w:t>
            </w:r>
          </w:p>
        </w:tc>
        <w:tc>
          <w:tcPr>
            <w:tcW w:type="dxa" w:w="1440"/>
            <w:shd w:fill="FFDCE0" w:val="clear"/>
          </w:tcPr>
          <w:p>
            <w:r>
              <w:rPr>
                <w:sz w:val="17"/>
              </w:rPr>
              <w:t>7,803</w:t>
            </w:r>
          </w:p>
        </w:tc>
        <w:tc>
          <w:tcPr>
            <w:tcW w:type="dxa" w:w="1440"/>
            <w:shd w:fill="FFDCE0" w:val="clear"/>
          </w:tcPr>
          <w:p>
            <w:r>
              <w:rPr>
                <w:b/>
                <w:sz w:val="17"/>
              </w:rPr>
              <w:t>8,264</w:t>
            </w:r>
          </w:p>
        </w:tc>
        <w:tc>
          <w:tcPr>
            <w:tcW w:type="dxa" w:w="1440"/>
            <w:shd w:fill="FFDCE0" w:val="clear"/>
          </w:tcPr>
          <w:p>
            <w:r>
              <w:rPr>
                <w:sz w:val="17"/>
              </w:rPr>
              <w:t>8,725</w:t>
            </w:r>
          </w:p>
        </w:tc>
        <w:tc>
          <w:tcPr>
            <w:tcW w:type="dxa" w:w="1440"/>
            <w:shd w:fill="FFDCE0" w:val="clear"/>
          </w:tcPr>
          <w:p>
            <w:r>
              <w:rPr>
                <w:b/>
                <w:color w:val="C00000"/>
                <w:sz w:val="17"/>
              </w:rPr>
              <w:t>-6.9%</w:t>
            </w:r>
          </w:p>
        </w:tc>
      </w:tr>
      <w:tr>
        <w:tc>
          <w:tcPr>
            <w:tcW w:type="dxa" w:w="1440"/>
            <w:shd w:fill="FFDCE0" w:val="clear"/>
          </w:tcPr>
          <w:p>
            <w:r>
              <w:rPr>
                <w:sz w:val="17"/>
              </w:rPr>
              <w:t>J+3  Moyenne</w:t>
            </w:r>
          </w:p>
        </w:tc>
        <w:tc>
          <w:tcPr>
            <w:tcW w:type="dxa" w:w="1440"/>
            <w:shd w:fill="FFDCE0" w:val="clear"/>
          </w:tcPr>
          <w:p>
            <w:r>
              <w:rPr>
                <w:sz w:val="17"/>
              </w:rPr>
              <w:t>2026-09-09</w:t>
            </w:r>
          </w:p>
        </w:tc>
        <w:tc>
          <w:tcPr>
            <w:tcW w:type="dxa" w:w="1440"/>
            <w:shd w:fill="FFDCE0" w:val="clear"/>
          </w:tcPr>
          <w:p>
            <w:r>
              <w:rPr>
                <w:sz w:val="17"/>
              </w:rPr>
              <w:t>7,526</w:t>
            </w:r>
          </w:p>
        </w:tc>
        <w:tc>
          <w:tcPr>
            <w:tcW w:type="dxa" w:w="1440"/>
            <w:shd w:fill="FFDCE0" w:val="clear"/>
          </w:tcPr>
          <w:p>
            <w:r>
              <w:rPr>
                <w:b/>
                <w:sz w:val="17"/>
              </w:rPr>
              <w:t>8,078</w:t>
            </w:r>
          </w:p>
        </w:tc>
        <w:tc>
          <w:tcPr>
            <w:tcW w:type="dxa" w:w="1440"/>
            <w:shd w:fill="FFDCE0" w:val="clear"/>
          </w:tcPr>
          <w:p>
            <w:r>
              <w:rPr>
                <w:sz w:val="17"/>
              </w:rPr>
              <w:t>8,630</w:t>
            </w:r>
          </w:p>
        </w:tc>
        <w:tc>
          <w:tcPr>
            <w:tcW w:type="dxa" w:w="1440"/>
            <w:shd w:fill="FFDCE0" w:val="clear"/>
          </w:tcPr>
          <w:p>
            <w:r>
              <w:rPr>
                <w:b/>
                <w:color w:val="C00000"/>
                <w:sz w:val="17"/>
              </w:rPr>
              <w:t>-9.0%</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7,318</w:t>
            </w:r>
          </w:p>
        </w:tc>
        <w:tc>
          <w:tcPr>
            <w:tcW w:type="dxa" w:w="1440"/>
            <w:shd w:fill="FFDCE0" w:val="clear"/>
          </w:tcPr>
          <w:p>
            <w:r>
              <w:rPr>
                <w:b/>
                <w:sz w:val="17"/>
              </w:rPr>
              <w:t>7,945</w:t>
            </w:r>
          </w:p>
        </w:tc>
        <w:tc>
          <w:tcPr>
            <w:tcW w:type="dxa" w:w="1440"/>
            <w:shd w:fill="FFDCE0" w:val="clear"/>
          </w:tcPr>
          <w:p>
            <w:r>
              <w:rPr>
                <w:sz w:val="17"/>
              </w:rPr>
              <w:t>8,571</w:t>
            </w:r>
          </w:p>
        </w:tc>
        <w:tc>
          <w:tcPr>
            <w:tcW w:type="dxa" w:w="1440"/>
            <w:shd w:fill="FFDCE0" w:val="clear"/>
          </w:tcPr>
          <w:p>
            <w:r>
              <w:rPr>
                <w:b/>
                <w:color w:val="C00000"/>
                <w:sz w:val="17"/>
              </w:rPr>
              <w:t>-10.5%</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7,145</w:t>
            </w:r>
          </w:p>
        </w:tc>
        <w:tc>
          <w:tcPr>
            <w:tcW w:type="dxa" w:w="1440"/>
            <w:shd w:fill="FFDCE0" w:val="clear"/>
          </w:tcPr>
          <w:p>
            <w:r>
              <w:rPr>
                <w:b/>
                <w:sz w:val="17"/>
              </w:rPr>
              <w:t>7,836</w:t>
            </w:r>
          </w:p>
        </w:tc>
        <w:tc>
          <w:tcPr>
            <w:tcW w:type="dxa" w:w="1440"/>
            <w:shd w:fill="FFDCE0" w:val="clear"/>
          </w:tcPr>
          <w:p>
            <w:r>
              <w:rPr>
                <w:sz w:val="17"/>
              </w:rPr>
              <w:t>8,527</w:t>
            </w:r>
          </w:p>
        </w:tc>
        <w:tc>
          <w:tcPr>
            <w:tcW w:type="dxa" w:w="1440"/>
            <w:shd w:fill="FFDCE0" w:val="clear"/>
          </w:tcPr>
          <w:p>
            <w:r>
              <w:rPr>
                <w:b/>
                <w:color w:val="C00000"/>
                <w:sz w:val="17"/>
              </w:rPr>
              <w:t>-11.8%</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6,990</w:t>
            </w:r>
          </w:p>
        </w:tc>
        <w:tc>
          <w:tcPr>
            <w:tcW w:type="dxa" w:w="1440"/>
            <w:shd w:fill="FFDCE0" w:val="clear"/>
          </w:tcPr>
          <w:p>
            <w:r>
              <w:rPr>
                <w:b/>
                <w:sz w:val="17"/>
              </w:rPr>
              <w:t>7,738</w:t>
            </w:r>
          </w:p>
        </w:tc>
        <w:tc>
          <w:tcPr>
            <w:tcW w:type="dxa" w:w="1440"/>
            <w:shd w:fill="FFDCE0" w:val="clear"/>
          </w:tcPr>
          <w:p>
            <w:r>
              <w:rPr>
                <w:sz w:val="17"/>
              </w:rPr>
              <w:t>8,486</w:t>
            </w:r>
          </w:p>
        </w:tc>
        <w:tc>
          <w:tcPr>
            <w:tcW w:type="dxa" w:w="1440"/>
            <w:shd w:fill="FFDCE0" w:val="clear"/>
          </w:tcPr>
          <w:p>
            <w:r>
              <w:rPr>
                <w:b/>
                <w:color w:val="C00000"/>
                <w:sz w:val="17"/>
              </w:rPr>
              <w:t>-12.9%</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6,848</w:t>
            </w:r>
          </w:p>
        </w:tc>
        <w:tc>
          <w:tcPr>
            <w:tcW w:type="dxa" w:w="1440"/>
            <w:shd w:fill="FFDCE0" w:val="clear"/>
          </w:tcPr>
          <w:p>
            <w:r>
              <w:rPr>
                <w:b/>
                <w:sz w:val="17"/>
              </w:rPr>
              <w:t>7,646</w:t>
            </w:r>
          </w:p>
        </w:tc>
        <w:tc>
          <w:tcPr>
            <w:tcW w:type="dxa" w:w="1440"/>
            <w:shd w:fill="FFDCE0" w:val="clear"/>
          </w:tcPr>
          <w:p>
            <w:r>
              <w:rPr>
                <w:sz w:val="17"/>
              </w:rPr>
              <w:t>8,444</w:t>
            </w:r>
          </w:p>
        </w:tc>
        <w:tc>
          <w:tcPr>
            <w:tcW w:type="dxa" w:w="1440"/>
            <w:shd w:fill="FFDCE0" w:val="clear"/>
          </w:tcPr>
          <w:p>
            <w:r>
              <w:rPr>
                <w:b/>
                <w:color w:val="C00000"/>
                <w:sz w:val="17"/>
              </w:rPr>
              <w:t>-13.9%</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6,714</w:t>
            </w:r>
          </w:p>
        </w:tc>
        <w:tc>
          <w:tcPr>
            <w:tcW w:type="dxa" w:w="1440"/>
            <w:shd w:fill="FFDCE0" w:val="clear"/>
          </w:tcPr>
          <w:p>
            <w:r>
              <w:rPr>
                <w:b/>
                <w:sz w:val="17"/>
              </w:rPr>
              <w:t>7,558</w:t>
            </w:r>
          </w:p>
        </w:tc>
        <w:tc>
          <w:tcPr>
            <w:tcW w:type="dxa" w:w="1440"/>
            <w:shd w:fill="FFDCE0" w:val="clear"/>
          </w:tcPr>
          <w:p>
            <w:r>
              <w:rPr>
                <w:sz w:val="17"/>
              </w:rPr>
              <w:t>8,401</w:t>
            </w:r>
          </w:p>
        </w:tc>
        <w:tc>
          <w:tcPr>
            <w:tcW w:type="dxa" w:w="1440"/>
            <w:shd w:fill="FFDCE0" w:val="clear"/>
          </w:tcPr>
          <w:p>
            <w:r>
              <w:rPr>
                <w:b/>
                <w:color w:val="C00000"/>
                <w:sz w:val="17"/>
              </w:rPr>
              <w:t>-14.9%</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6,588</w:t>
            </w:r>
          </w:p>
        </w:tc>
        <w:tc>
          <w:tcPr>
            <w:tcW w:type="dxa" w:w="1440"/>
            <w:shd w:fill="FFDCE0" w:val="clear"/>
          </w:tcPr>
          <w:p>
            <w:r>
              <w:rPr>
                <w:b/>
                <w:sz w:val="17"/>
              </w:rPr>
              <w:t>7,473</w:t>
            </w:r>
          </w:p>
        </w:tc>
        <w:tc>
          <w:tcPr>
            <w:tcW w:type="dxa" w:w="1440"/>
            <w:shd w:fill="FFDCE0" w:val="clear"/>
          </w:tcPr>
          <w:p>
            <w:r>
              <w:rPr>
                <w:sz w:val="17"/>
              </w:rPr>
              <w:t>8,357</w:t>
            </w:r>
          </w:p>
        </w:tc>
        <w:tc>
          <w:tcPr>
            <w:tcW w:type="dxa" w:w="1440"/>
            <w:shd w:fill="FFDCE0" w:val="clear"/>
          </w:tcPr>
          <w:p>
            <w:r>
              <w:rPr>
                <w:b/>
                <w:color w:val="C00000"/>
                <w:sz w:val="17"/>
              </w:rPr>
              <w:t>-15.8%</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6,469</w:t>
            </w:r>
          </w:p>
        </w:tc>
        <w:tc>
          <w:tcPr>
            <w:tcW w:type="dxa" w:w="1440"/>
            <w:shd w:fill="FFDCE0" w:val="clear"/>
          </w:tcPr>
          <w:p>
            <w:r>
              <w:rPr>
                <w:b/>
                <w:sz w:val="17"/>
              </w:rPr>
              <w:t>7,391</w:t>
            </w:r>
          </w:p>
        </w:tc>
        <w:tc>
          <w:tcPr>
            <w:tcW w:type="dxa" w:w="1440"/>
            <w:shd w:fill="FFDCE0" w:val="clear"/>
          </w:tcPr>
          <w:p>
            <w:r>
              <w:rPr>
                <w:sz w:val="17"/>
              </w:rPr>
              <w:t>8,313</w:t>
            </w:r>
          </w:p>
        </w:tc>
        <w:tc>
          <w:tcPr>
            <w:tcW w:type="dxa" w:w="1440"/>
            <w:shd w:fill="FFDCE0" w:val="clear"/>
          </w:tcPr>
          <w:p>
            <w:r>
              <w:rPr>
                <w:b/>
                <w:color w:val="C00000"/>
                <w:sz w:val="17"/>
              </w:rPr>
              <w:t>-16.8%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BOABF s'établit à 390,72 milliards FCFA, un niveau qui la positionne parmi les valeurs moyennes à grandes capitalisations de la BRVM, lui conférant une liquidité et une visibilité non négligeables. Avec un BPA de 438 FCFA, chaque action détenue génère un bénéfice comptable de ce montant. Le PER de 20,3x est nettement supérieur à la moyenne historique de la BRVM (8-12x), indiquant que le marché valorise généreusement les bénéfices de la banque, probablement en anticipant une croissance future ou en raison d'un contexte de rareté de l'offre. Le P/B de 3,09x confirme cette prime, le cours de bourse représentant plus de trois fois la valeur comptable des actifs nets, ce qui reflète une forte confiance des investisseurs dans la qualité du bilan et la rentabilité des capitaux propres. Enfin, l'EV/EBITDA de 9,4x se situe dans la fourchette haute mais raisonnable (5-10x), indiquant que la valeur totale de l'entreprise (capitaux propres + dettes) reste cohérente avec sa capacité opérationnelle à générer des flux.</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dernières séances, l'action BOABF a connu une appréciation spectaculaire de +56,34%, avec une très légère correction de -0,78% lors de la dernière séance, signe d'un possible essoufflement à court terme. Le titre a évolué dans une fourchette très large, entre un plus bas de 5 235 FCFA et un plus haut de 9 090 FCFA, démontrant une dynamique haussière extrêmement forte. La moyenne du cours sur la période (6 314 FCFA) est nettement supérieure à la médiane (5 680 FCFA), et le skewness positif de 1.107 confirme une distribution asymétrique avec une concentration de séances sous la moyenne, mais des épisodes de hausse marqués qui tirent la moyenne vers le haut. L'écart-type de 1 073 FCFA (CV de 17%) indique une dispersion modérée, tandis que le kurtosis de 0.201 (mésokurtique) suggère une distribution proche de la normale, sans risque de variations extrêmes plus élevé que la normale. La volatilité annualisée de 33,6% classe le titre dans la catégorie des valeurs à forte volatilité (&gt;30%), ce qui implique des fluctuations importantes et un risque de marché élevé pour les investisseurs.</w:t>
      </w:r>
    </w:p>
    <w:p>
      <w:pPr>
        <w:spacing w:after="120" w:line="276" w:lineRule="auto" w:before="240"/>
      </w:pPr>
      <w:r>
        <w:rPr>
          <w:b/>
          <w:color w:val="003366"/>
          <w:sz w:val="24"/>
        </w:rPr>
        <w:t>**PARTIE 2 : ANALYSE TECHNIQUE DÉTAILLÉE**</w:t>
      </w:r>
    </w:p>
    <w:p>
      <w:pPr>
        <w:spacing w:after="120" w:line="276" w:lineRule="auto"/>
      </w:pPr>
      <w:r>
        <w:t>**Moyennes Mobiles** : Le cours actuel de 8 880 FCFA se situe nettement au-dessus de sa MM20 (7 973 FCFA) et de sa MM50 (7 127 FCFA), avec un écart de plus de 24% par rapport à la MM50. Cette configuration haussière, où les moyennes sont orientées à la hausse et le cours au-dessus, confirme une tendance de fond positive. La décision d'achat est justifiée par la vigueur de la tendance, mais l'écart important entre le cours et les moyennes suggère une possible correction vers ces supports en cas de retournement.</w:t>
      </w:r>
    </w:p>
    <w:p>
      <w:pPr>
        <w:spacing w:after="120" w:line="276" w:lineRule="auto"/>
      </w:pPr>
      <w:r>
        <w:t>**Bandes de Bollinger** : Le prix actuel de 8 880 FCFA se positionne à l'intérieur des bandes, entre la borne inférieure à 6 360 FCFA et la borne supérieure à 9 586 FCFA, mais plus proche de la borne supérieure. La largeur des bandes reflète la volatilité élevée du titre. La décision neutre indique que le marché n'est pas encore dans une zone d'extension extrême, mais la proximité de la borne supérieure suggère une résistance potentielle à surveiller.</w:t>
      </w:r>
    </w:p>
    <w:p>
      <w:pPr>
        <w:spacing w:after="120" w:line="276" w:lineRule="auto"/>
      </w:pPr>
      <w:r>
        <w:t>**MACD** : La valeur du MACD (565,03) est supérieure à sa ligne de signal (487,262), avec un écart positif de 77,77 points. Cette configuration haussière, où le MACD est au-dessus de son signal, confirme un momentum positif en faveur de l'achat. La dynamique reste soutenue, mais l'ampleur de l'écart pourrait indiquer une maturité du mouvement haussier.</w:t>
      </w:r>
    </w:p>
    <w:p>
      <w:pPr>
        <w:spacing w:after="120" w:line="276" w:lineRule="auto"/>
      </w:pPr>
      <w:r>
        <w:t>**RSI** : Le RSI s'établit à 82,96, une valeur très élevée qui place le titre en zone de surachat (&gt;70). Cette situation signale que le titre a fortement progressé sur une base relative et qu'une correction technique est probable à court terme. La décision de vente est justifiée par ce niveau extrême, qui indique que les acheteurs sont potentiellement épuisés.</w:t>
      </w:r>
    </w:p>
    <w:p>
      <w:pPr>
        <w:spacing w:after="120" w:line="276" w:lineRule="auto"/>
      </w:pPr>
      <w:r>
        <w:t>**Stochastique** : Le %K (88,27) et le %D (92,07) sont tous deux en zone de surachat (&gt;80), avec le %D au-dessus du %K, indiquant une possible divergence baissière à venir. Cette configuration confirme la décision de vente, car elle suggère que le mouvement haussier est surdimensionné et qu'un retournement est probable.</w:t>
      </w:r>
    </w:p>
    <w:p>
      <w:pPr>
        <w:spacing w:after="120" w:line="276" w:lineRule="auto"/>
      </w:pPr>
      <w:r>
        <w:t>**Conclusion technique** : Les indicateurs de tendance (MM, MACD) sont résolument haussiers et confirment la dynamique positive du titre. Cependant, les oscillateurs (RSI, Stochastique) sont tous en zone de surachat extrême, signalant une pression vendeuse imminente. Les bandes de Bollinger restent neutres mais proches de la résistance. Cette divergence entre indicateurs de tendance et oscillateurs suggère qu'une correction technique est probable à court terme avant la poursuite éventuelle de la tendance haussière.</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 BOABF révèlent une banque solide mais confrontée à des défis majeurs. Le Produit Net Bancaire s'établit à 57,82 milliards FCFA, avec un résultat net de 19,25 milliards FCFA, soit une marge nette de 33,3%. Le ROE de 15,22% est excellent, dépassant le seuil de 15%, tandis que le ROA de 1,68% reste correct pour le secteur bancaire. Le coefficient d'exploitation de 47,19% est remarquable, indiquant une gestion très efficace des charges opérationnelles. Cependant, le coût du risque de 33,92% est élevé, signalant une dégradation de la qualité du portefeuille de crédits. Les dépôts clientèle (877,82 Mds FCFA) dépassent largement les créances (474,06 Mds FCFA), assurant une liquidité confortable. Les rapports trimestriels 2025 confirment cette tendance préoccupante : le T1 2025 (rapport du 1er trimestre 2025) affiche un PNB de 14,22 Mds (+2,3%) mais un résultat net en baisse de 16,6% à 5,20 Mds. Le S1 2025 (rapport du 1er semestre 2025) montre un PNB de 29,06 Mds (+1,4%) mais un résultat net en chute de 46,5% à 8,22 Mds, avec un coût du risque explosant de +1336%. Le rapport du 3ème trimestre 2025 confirme la stagnation avec un PNB cumulé de 43,28 Mds (+0,85%) et un résultat net de 13,45 Mds (-27,7%). Le rapport T1 2026 (publié en 2026) montre une poursuite de la dégradation avec un PNB en baisse de 10,75% à 12,69 Mds et un résultat net en recul de 12,99% à 4,52 Mds. Sur la base de ces rapports, on estime que l'exercice 2026 devrait voir une contraction du PNB et une pression continue sur la rentabilité, malgré une croissance des dépôts de 6,3%. La banque reste fondamentalement solide mais traverse une phase de normalisation après des années de forte croissance.</w:t>
      </w:r>
    </w:p>
    <w:p>
      <w:pPr>
        <w:spacing w:after="120" w:line="276" w:lineRule="auto" w:before="240"/>
      </w:pPr>
      <w:r>
        <w:rPr>
          <w:b/>
          <w:color w:val="003366"/>
          <w:sz w:val="24"/>
        </w:rPr>
        <w:t>**PARTIE 4 : CONCLUSION D'INVESTISSEMENT**</w:t>
      </w:r>
    </w:p>
    <w:p>
      <w:pPr>
        <w:spacing w:after="120" w:line="276" w:lineRule="auto"/>
      </w:pPr>
      <w:r>
        <w:t>La valorisation de BOABF (PER 20,3x, P/B 3,09x) indique une surévaluation relative par rapport aux standards BRVM, le marché ayant déjà intégré des perspectives de croissance qui ne se matérialisent pas dans les résultats récents. Le comportement du cours sur 100 jours (+56,34%) avec une volatilité élevée (33,6%) et une asymétrie positive témoigne d'un momentum haussier impressionnant mais potentiellement spéculatif. Les signaux techniques sont contradictoires : les indicateurs de tendance (MM, MACD) restent positifs, mais les oscillateurs (RSI 82,96, Stochastique 92,07) sont en surachat extrême, signalant une correction imminente. Les fondamentaux, bien que solides (ROE 15,2%, coefficient d'exploitation 47,2%), montrent une dégradation continue de la rentabilité nette à travers les trimestres 2025 et début 2026, avec un coût du risque élevé. Les prédictions IA sur 10 jours (8 520 à 7 836 FCFA) confirment cette anticipation de correction, avec une baisse projetée d'environ 12% par rapport au cours actuel. La convergence entre les signaux techniques de surachat, la détérioration fondamentale et les prédictions IA suggère une correction à court terme. **Recommandation : VENTE** à court terme pour réaliser les gains accumulés, avec un niveau de confiance Moyen et un risque global Élevé. Pour les investisseurs à long terme, une réévaluation de la position pourrait être envisagée après la correction, en surveillant l'évolution du coût du risque et la capacité de la banque à redresser son PNB. Horizon optimal : court terme (&lt;3 mois) pour la vente, moyen terme (3-12 mois) pour un éventuel réinvestissement.</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20260812   calendrier de paiement des dividendes   exercice 2025</w:t>
      </w:r>
    </w:p>
    <w:p>
      <w:pPr>
        <w:spacing w:before="20"/>
        <w:ind w:left="400"/>
      </w:pPr>
      <w:r>
        <w:rPr>
          <w:color w:val="505050"/>
          <w:sz w:val="17"/>
        </w:rPr>
        <w:t xml:space="preserve">Date : 12/08/2026  |  Catégorie : dividende  |  Impact : </w:t>
      </w:r>
      <w:r>
        <w:rPr>
          <w:b/>
          <w:color w:val="646464"/>
          <w:sz w:val="17"/>
        </w:rPr>
        <w:t>⚪ NEUTRE</w:t>
      </w:r>
    </w:p>
    <w:p>
      <w:pPr>
        <w:spacing w:before="40"/>
        <w:ind w:left="400"/>
      </w:pPr>
      <w:r>
        <w:rPr>
          <w:sz w:val="18"/>
        </w:rPr>
        <w:t>Ce document de la BRVM publie le calendrier de paiement des dividendes au titre de l'exercice 2025. Il indique pour chaque société cotée le montant net par action, la date ex-dividende et la date de paiement. Les paiements s'échelonnent de mars à septembre 2026, avec des mentions de dividendes bruts soumis à l'IRVM pour certaines sociétés.</w:t>
      </w:r>
    </w:p>
    <w:p>
      <w:pPr>
        <w:spacing w:before="60"/>
        <w:ind w:left="400"/>
      </w:pPr>
      <w:r>
        <w:rPr>
          <w:b/>
          <w:sz w:val="18"/>
        </w:rPr>
        <w:t>Points clés :</w:t>
      </w:r>
    </w:p>
    <w:p>
      <w:pPr>
        <w:pStyle w:val="ListBullet"/>
        <w:spacing w:before="20" w:after="20"/>
        <w:ind w:left="700"/>
      </w:pPr>
      <w:r>
        <w:rPr>
          <w:sz w:val="18"/>
        </w:rPr>
        <w:t>Calendrier officiel des paiements de dividendes pour l'exercice 2025 publié par la BRVM.</w:t>
      </w:r>
    </w:p>
    <w:p>
      <w:pPr>
        <w:pStyle w:val="ListBullet"/>
        <w:spacing w:before="20" w:after="20"/>
        <w:ind w:left="700"/>
      </w:pPr>
      <w:r>
        <w:rPr>
          <w:sz w:val="18"/>
        </w:rPr>
        <w:t>Plusieurs sociétés cotées sont concernées, notamment BOA Burkina Faso, Sonatel, Ecobank, Orange CI et Nestlé CI.</w:t>
      </w:r>
    </w:p>
    <w:p>
      <w:pPr>
        <w:pStyle w:val="ListBullet"/>
        <w:spacing w:before="20" w:after="20"/>
        <w:ind w:left="700"/>
      </w:pPr>
      <w:r>
        <w:rPr>
          <w:sz w:val="18"/>
        </w:rPr>
        <w:t>Les montants nets par action varient selon les sociétés, de 0,9184 FCFA à 2 606 FCFA.</w:t>
      </w:r>
    </w:p>
    <w:p>
      <w:pPr>
        <w:pStyle w:val="ListBullet"/>
        <w:spacing w:before="20" w:after="20"/>
        <w:ind w:left="700"/>
      </w:pPr>
      <w:r>
        <w:rPr>
          <w:sz w:val="18"/>
        </w:rPr>
        <w:t>Les dates ex-dividende s'étalent du 31 mars 2026 au 12 août 2026.</w:t>
      </w:r>
    </w:p>
    <w:p>
      <w:pPr>
        <w:pStyle w:val="ListBullet"/>
        <w:spacing w:before="20" w:after="20"/>
        <w:ind w:left="700"/>
      </w:pPr>
      <w:r>
        <w:rPr>
          <w:sz w:val="18"/>
        </w:rPr>
        <w:t>Certains dividendes sont bruts, avec un IRVM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[3]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7.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500.00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11,688 titres</w:t>
            </w:r>
          </w:p>
        </w:tc>
        <w:tc>
          <w:tcPr>
            <w:tcW w:type="dxa" w:w="2268"/>
            <w:shd w:fill="FFF2CC" w:val="clear"/>
          </w:tcPr>
          <w:p>
            <w:r>
              <w:rPr>
                <w:b/>
                <w:color w:val="503200"/>
                <w:sz w:val="16"/>
              </w:rPr>
              <w:t xml:space="preserve">Cours actuel : </w:t>
            </w:r>
            <w:r>
              <w:rPr>
                <w:color w:val="000000"/>
                <w:sz w:val="17"/>
              </w:rPr>
              <w:t>12,500 FCFA</w:t>
            </w:r>
          </w:p>
          <w:p>
            <w:r>
              <w:rPr>
                <w:b/>
                <w:color w:val="503200"/>
                <w:sz w:val="16"/>
              </w:rPr>
              <w:t xml:space="preserve">Var. 100 jours : </w:t>
            </w:r>
            <w:r>
              <w:rPr>
                <w:b/>
                <w:color w:val="007800"/>
                <w:sz w:val="17"/>
              </w:rPr>
              <w:t>+47.32%</w:t>
            </w:r>
          </w:p>
          <w:p>
            <w:r>
              <w:rPr>
                <w:b/>
                <w:color w:val="503200"/>
                <w:sz w:val="16"/>
              </w:rPr>
              <w:t xml:space="preserve">Plus haut 100j : </w:t>
            </w:r>
            <w:r>
              <w:rPr>
                <w:color w:val="000000"/>
                <w:sz w:val="17"/>
              </w:rPr>
              <w:t>13,450 FCFA</w:t>
            </w:r>
          </w:p>
          <w:p>
            <w:r>
              <w:rPr>
                <w:b/>
                <w:color w:val="503200"/>
                <w:sz w:val="16"/>
              </w:rPr>
              <w:t xml:space="preserve">Plus bas 100j : </w:t>
            </w:r>
            <w:r>
              <w:rPr>
                <w:color w:val="000000"/>
                <w:sz w:val="17"/>
              </w:rPr>
              <w:t>8,400 FCFA</w:t>
            </w:r>
          </w:p>
          <w:p>
            <w:r>
              <w:rPr>
                <w:b/>
                <w:color w:val="503200"/>
                <w:sz w:val="16"/>
              </w:rPr>
              <w:t xml:space="preserve">Volatilité ann. : </w:t>
            </w:r>
            <w:r>
              <w:rPr>
                <w:color w:val="000000"/>
                <w:sz w:val="17"/>
              </w:rPr>
              <w:t>25.8%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15.44% (Élevée) — μ=9,921 FCFA, σ=1,532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β=0.0276 (Défensif) — Cov=0.000001, Var(idx)=0.000036, ρ=0.010,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11,688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σ_j=1.62%/j (Stable) — Vol. annualisée≈25.8%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16976"/>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2026-09-07</w:t>
            </w:r>
          </w:p>
        </w:tc>
        <w:tc>
          <w:tcPr>
            <w:tcW w:type="dxa" w:w="1440"/>
            <w:shd w:fill="FFDCE0" w:val="clear"/>
          </w:tcPr>
          <w:p>
            <w:r>
              <w:rPr>
                <w:sz w:val="17"/>
              </w:rPr>
              <w:t>11,398</w:t>
            </w:r>
          </w:p>
        </w:tc>
        <w:tc>
          <w:tcPr>
            <w:tcW w:type="dxa" w:w="1440"/>
            <w:shd w:fill="FFDCE0" w:val="clear"/>
          </w:tcPr>
          <w:p>
            <w:r>
              <w:rPr>
                <w:b/>
                <w:sz w:val="17"/>
              </w:rPr>
              <w:t>11,826</w:t>
            </w:r>
          </w:p>
        </w:tc>
        <w:tc>
          <w:tcPr>
            <w:tcW w:type="dxa" w:w="1440"/>
            <w:shd w:fill="FFDCE0" w:val="clear"/>
          </w:tcPr>
          <w:p>
            <w:r>
              <w:rPr>
                <w:sz w:val="17"/>
              </w:rPr>
              <w:t>12,253</w:t>
            </w:r>
          </w:p>
        </w:tc>
        <w:tc>
          <w:tcPr>
            <w:tcW w:type="dxa" w:w="1440"/>
            <w:shd w:fill="FFDCE0" w:val="clear"/>
          </w:tcPr>
          <w:p>
            <w:r>
              <w:rPr>
                <w:b/>
                <w:color w:val="C00000"/>
                <w:sz w:val="17"/>
              </w:rPr>
              <w:t>-5.4%</w:t>
            </w:r>
          </w:p>
        </w:tc>
      </w:tr>
      <w:tr>
        <w:tc>
          <w:tcPr>
            <w:tcW w:type="dxa" w:w="1440"/>
            <w:shd w:fill="FFDCE0" w:val="clear"/>
          </w:tcPr>
          <w:p>
            <w:r>
              <w:rPr>
                <w:sz w:val="17"/>
              </w:rPr>
              <w:t>J+2  Moyenne</w:t>
            </w:r>
          </w:p>
        </w:tc>
        <w:tc>
          <w:tcPr>
            <w:tcW w:type="dxa" w:w="1440"/>
            <w:shd w:fill="FFDCE0" w:val="clear"/>
          </w:tcPr>
          <w:p>
            <w:r>
              <w:rPr>
                <w:sz w:val="17"/>
              </w:rPr>
              <w:t>2026-09-08</w:t>
            </w:r>
          </w:p>
        </w:tc>
        <w:tc>
          <w:tcPr>
            <w:tcW w:type="dxa" w:w="1440"/>
            <w:shd w:fill="FFDCE0" w:val="clear"/>
          </w:tcPr>
          <w:p>
            <w:r>
              <w:rPr>
                <w:sz w:val="17"/>
              </w:rPr>
              <w:t>10,755</w:t>
            </w:r>
          </w:p>
        </w:tc>
        <w:tc>
          <w:tcPr>
            <w:tcW w:type="dxa" w:w="1440"/>
            <w:shd w:fill="FFDCE0" w:val="clear"/>
          </w:tcPr>
          <w:p>
            <w:r>
              <w:rPr>
                <w:b/>
                <w:sz w:val="17"/>
              </w:rPr>
              <w:t>11,335</w:t>
            </w:r>
          </w:p>
        </w:tc>
        <w:tc>
          <w:tcPr>
            <w:tcW w:type="dxa" w:w="1440"/>
            <w:shd w:fill="FFDCE0" w:val="clear"/>
          </w:tcPr>
          <w:p>
            <w:r>
              <w:rPr>
                <w:sz w:val="17"/>
              </w:rPr>
              <w:t>11,914</w:t>
            </w:r>
          </w:p>
        </w:tc>
        <w:tc>
          <w:tcPr>
            <w:tcW w:type="dxa" w:w="1440"/>
            <w:shd w:fill="FFDCE0" w:val="clear"/>
          </w:tcPr>
          <w:p>
            <w:r>
              <w:rPr>
                <w:b/>
                <w:color w:val="C00000"/>
                <w:sz w:val="17"/>
              </w:rPr>
              <w:t>-9.3%</w:t>
            </w:r>
          </w:p>
        </w:tc>
      </w:tr>
      <w:tr>
        <w:tc>
          <w:tcPr>
            <w:tcW w:type="dxa" w:w="1440"/>
            <w:shd w:fill="FFDCE0" w:val="clear"/>
          </w:tcPr>
          <w:p>
            <w:r>
              <w:rPr>
                <w:sz w:val="17"/>
              </w:rPr>
              <w:t>J+3  Moyenne</w:t>
            </w:r>
          </w:p>
        </w:tc>
        <w:tc>
          <w:tcPr>
            <w:tcW w:type="dxa" w:w="1440"/>
            <w:shd w:fill="FFDCE0" w:val="clear"/>
          </w:tcPr>
          <w:p>
            <w:r>
              <w:rPr>
                <w:sz w:val="17"/>
              </w:rPr>
              <w:t>2026-09-09</w:t>
            </w:r>
          </w:p>
        </w:tc>
        <w:tc>
          <w:tcPr>
            <w:tcW w:type="dxa" w:w="1440"/>
            <w:shd w:fill="FFDCE0" w:val="clear"/>
          </w:tcPr>
          <w:p>
            <w:r>
              <w:rPr>
                <w:sz w:val="17"/>
              </w:rPr>
              <w:t>10,163</w:t>
            </w:r>
          </w:p>
        </w:tc>
        <w:tc>
          <w:tcPr>
            <w:tcW w:type="dxa" w:w="1440"/>
            <w:shd w:fill="FFDCE0" w:val="clear"/>
          </w:tcPr>
          <w:p>
            <w:r>
              <w:rPr>
                <w:b/>
                <w:sz w:val="17"/>
              </w:rPr>
              <w:t>10,842</w:t>
            </w:r>
          </w:p>
        </w:tc>
        <w:tc>
          <w:tcPr>
            <w:tcW w:type="dxa" w:w="1440"/>
            <w:shd w:fill="FFDCE0" w:val="clear"/>
          </w:tcPr>
          <w:p>
            <w:r>
              <w:rPr>
                <w:sz w:val="17"/>
              </w:rPr>
              <w:t>11,521</w:t>
            </w:r>
          </w:p>
        </w:tc>
        <w:tc>
          <w:tcPr>
            <w:tcW w:type="dxa" w:w="1440"/>
            <w:shd w:fill="FFDCE0" w:val="clear"/>
          </w:tcPr>
          <w:p>
            <w:r>
              <w:rPr>
                <w:b/>
                <w:color w:val="C00000"/>
                <w:sz w:val="17"/>
              </w:rPr>
              <w:t>-13.3%</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9,655</w:t>
            </w:r>
          </w:p>
        </w:tc>
        <w:tc>
          <w:tcPr>
            <w:tcW w:type="dxa" w:w="1440"/>
            <w:shd w:fill="FFDCE0" w:val="clear"/>
          </w:tcPr>
          <w:p>
            <w:r>
              <w:rPr>
                <w:b/>
                <w:sz w:val="17"/>
              </w:rPr>
              <w:t>10,408</w:t>
            </w:r>
          </w:p>
        </w:tc>
        <w:tc>
          <w:tcPr>
            <w:tcW w:type="dxa" w:w="1440"/>
            <w:shd w:fill="FFDCE0" w:val="clear"/>
          </w:tcPr>
          <w:p>
            <w:r>
              <w:rPr>
                <w:sz w:val="17"/>
              </w:rPr>
              <w:t>11,160</w:t>
            </w:r>
          </w:p>
        </w:tc>
        <w:tc>
          <w:tcPr>
            <w:tcW w:type="dxa" w:w="1440"/>
            <w:shd w:fill="FFDCE0" w:val="clear"/>
          </w:tcPr>
          <w:p>
            <w:r>
              <w:rPr>
                <w:b/>
                <w:color w:val="C00000"/>
                <w:sz w:val="17"/>
              </w:rPr>
              <w:t>-16.7%</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9,221</w:t>
            </w:r>
          </w:p>
        </w:tc>
        <w:tc>
          <w:tcPr>
            <w:tcW w:type="dxa" w:w="1440"/>
            <w:shd w:fill="FFDCE0" w:val="clear"/>
          </w:tcPr>
          <w:p>
            <w:r>
              <w:rPr>
                <w:b/>
                <w:sz w:val="17"/>
              </w:rPr>
              <w:t>10,032</w:t>
            </w:r>
          </w:p>
        </w:tc>
        <w:tc>
          <w:tcPr>
            <w:tcW w:type="dxa" w:w="1440"/>
            <w:shd w:fill="FFDCE0" w:val="clear"/>
          </w:tcPr>
          <w:p>
            <w:r>
              <w:rPr>
                <w:sz w:val="17"/>
              </w:rPr>
              <w:t>10,843</w:t>
            </w:r>
          </w:p>
        </w:tc>
        <w:tc>
          <w:tcPr>
            <w:tcW w:type="dxa" w:w="1440"/>
            <w:shd w:fill="FFDCE0" w:val="clear"/>
          </w:tcPr>
          <w:p>
            <w:r>
              <w:rPr>
                <w:b/>
                <w:color w:val="C00000"/>
                <w:sz w:val="17"/>
              </w:rPr>
              <w:t>-19.7%</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8,848</w:t>
            </w:r>
          </w:p>
        </w:tc>
        <w:tc>
          <w:tcPr>
            <w:tcW w:type="dxa" w:w="1440"/>
            <w:shd w:fill="FFDCE0" w:val="clear"/>
          </w:tcPr>
          <w:p>
            <w:r>
              <w:rPr>
                <w:b/>
                <w:sz w:val="17"/>
              </w:rPr>
              <w:t>9,707</w:t>
            </w:r>
          </w:p>
        </w:tc>
        <w:tc>
          <w:tcPr>
            <w:tcW w:type="dxa" w:w="1440"/>
            <w:shd w:fill="FFDCE0" w:val="clear"/>
          </w:tcPr>
          <w:p>
            <w:r>
              <w:rPr>
                <w:sz w:val="17"/>
              </w:rPr>
              <w:t>10,567</w:t>
            </w:r>
          </w:p>
        </w:tc>
        <w:tc>
          <w:tcPr>
            <w:tcW w:type="dxa" w:w="1440"/>
            <w:shd w:fill="FFDCE0" w:val="clear"/>
          </w:tcPr>
          <w:p>
            <w:r>
              <w:rPr>
                <w:b/>
                <w:color w:val="C00000"/>
                <w:sz w:val="17"/>
              </w:rPr>
              <w:t>-22.3%</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8,524</w:t>
            </w:r>
          </w:p>
        </w:tc>
        <w:tc>
          <w:tcPr>
            <w:tcW w:type="dxa" w:w="1440"/>
            <w:shd w:fill="FFDCE0" w:val="clear"/>
          </w:tcPr>
          <w:p>
            <w:r>
              <w:rPr>
                <w:b/>
                <w:sz w:val="17"/>
              </w:rPr>
              <w:t>9,425</w:t>
            </w:r>
          </w:p>
        </w:tc>
        <w:tc>
          <w:tcPr>
            <w:tcW w:type="dxa" w:w="1440"/>
            <w:shd w:fill="FFDCE0" w:val="clear"/>
          </w:tcPr>
          <w:p>
            <w:r>
              <w:rPr>
                <w:sz w:val="17"/>
              </w:rPr>
              <w:t>10,326</w:t>
            </w:r>
          </w:p>
        </w:tc>
        <w:tc>
          <w:tcPr>
            <w:tcW w:type="dxa" w:w="1440"/>
            <w:shd w:fill="FFDCE0" w:val="clear"/>
          </w:tcPr>
          <w:p>
            <w:r>
              <w:rPr>
                <w:b/>
                <w:color w:val="C00000"/>
                <w:sz w:val="17"/>
              </w:rPr>
              <w:t>-24.6%</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8,240</w:t>
            </w:r>
          </w:p>
        </w:tc>
        <w:tc>
          <w:tcPr>
            <w:tcW w:type="dxa" w:w="1440"/>
            <w:shd w:fill="FFDCE0" w:val="clear"/>
          </w:tcPr>
          <w:p>
            <w:r>
              <w:rPr>
                <w:b/>
                <w:sz w:val="17"/>
              </w:rPr>
              <w:t>9,178</w:t>
            </w:r>
          </w:p>
        </w:tc>
        <w:tc>
          <w:tcPr>
            <w:tcW w:type="dxa" w:w="1440"/>
            <w:shd w:fill="FFDCE0" w:val="clear"/>
          </w:tcPr>
          <w:p>
            <w:r>
              <w:rPr>
                <w:sz w:val="17"/>
              </w:rPr>
              <w:t>10,116</w:t>
            </w:r>
          </w:p>
        </w:tc>
        <w:tc>
          <w:tcPr>
            <w:tcW w:type="dxa" w:w="1440"/>
            <w:shd w:fill="FFDCE0" w:val="clear"/>
          </w:tcPr>
          <w:p>
            <w:r>
              <w:rPr>
                <w:b/>
                <w:color w:val="C00000"/>
                <w:sz w:val="17"/>
              </w:rPr>
              <w:t>-26.6%</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7,988</w:t>
            </w:r>
          </w:p>
        </w:tc>
        <w:tc>
          <w:tcPr>
            <w:tcW w:type="dxa" w:w="1440"/>
            <w:shd w:fill="FFDCE0" w:val="clear"/>
          </w:tcPr>
          <w:p>
            <w:r>
              <w:rPr>
                <w:b/>
                <w:sz w:val="17"/>
              </w:rPr>
              <w:t>8,960</w:t>
            </w:r>
          </w:p>
        </w:tc>
        <w:tc>
          <w:tcPr>
            <w:tcW w:type="dxa" w:w="1440"/>
            <w:shd w:fill="FFDCE0" w:val="clear"/>
          </w:tcPr>
          <w:p>
            <w:r>
              <w:rPr>
                <w:sz w:val="17"/>
              </w:rPr>
              <w:t>9,932</w:t>
            </w:r>
          </w:p>
        </w:tc>
        <w:tc>
          <w:tcPr>
            <w:tcW w:type="dxa" w:w="1440"/>
            <w:shd w:fill="FFDCE0" w:val="clear"/>
          </w:tcPr>
          <w:p>
            <w:r>
              <w:rPr>
                <w:b/>
                <w:color w:val="C00000"/>
                <w:sz w:val="17"/>
              </w:rPr>
              <w:t>-28.3%</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7,764</w:t>
            </w:r>
          </w:p>
        </w:tc>
        <w:tc>
          <w:tcPr>
            <w:tcW w:type="dxa" w:w="1440"/>
            <w:shd w:fill="FFDCE0" w:val="clear"/>
          </w:tcPr>
          <w:p>
            <w:r>
              <w:rPr>
                <w:b/>
                <w:sz w:val="17"/>
              </w:rPr>
              <w:t>8,767</w:t>
            </w:r>
          </w:p>
        </w:tc>
        <w:tc>
          <w:tcPr>
            <w:tcW w:type="dxa" w:w="1440"/>
            <w:shd w:fill="FFDCE0" w:val="clear"/>
          </w:tcPr>
          <w:p>
            <w:r>
              <w:rPr>
                <w:sz w:val="17"/>
              </w:rPr>
              <w:t>9,769</w:t>
            </w:r>
          </w:p>
        </w:tc>
        <w:tc>
          <w:tcPr>
            <w:tcW w:type="dxa" w:w="1440"/>
            <w:shd w:fill="FFDCE0" w:val="clear"/>
          </w:tcPr>
          <w:p>
            <w:r>
              <w:rPr>
                <w:b/>
                <w:color w:val="C00000"/>
                <w:sz w:val="17"/>
              </w:rPr>
              <w:t>-29.9%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BOAC s'établit à 500 milliards FCFA, ce qui en fait l'une des valeurs les plus significatives de la BRVM, reflétant son statut de banque systémique en Côte d'Ivoire. Avec un BPA de 888 FCFA, chaque action génère un bénéfice substantiel, justifiant un PER de 14,1x. Ce ratio, bien que supérieur à la moyenne historique de la BRVM (8-12x), reste modéré pour une banque affichant une rentabilité exceptionnelle, indiquant que les investisseurs acceptent de payer une prime raisonnable pour la qualité des earnings. Le P/B de 3,93x confirme cette prime de croissance, le marché valorisant la banque près de 4 fois sa valeur comptable, ce qui témoigne d'une forte confiance dans sa capacité à générer de la valeur future. En revanche, l'EV/EBITDA de 27,4x apparaît particulièrement exigeant, suggérant que la valorisation intègre déjà des hypothèses de croissance optimistes, ce qui réduit la marge de sécurité pour un nouvel investisseur.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BOAC a enregistré une progression spectaculaire de +47,32%, passant d'un plus bas de 8 400 FCFA à un plus haut de 13 450 FCFA, avec un cours actuel de 12 500 FCFA. Cette tendance haussière marquée témoigne d'un fort appétit des investisseurs pour le titre, bien que la dernière séance affiche une stagnation (0,00%). La moyenne du cours sur la période (9 921 FCFA) est nettement supérieure à la médiane (9 200 FCFA), et le mode à 8 500 FCFA révèle une asymétrie positive confirmée par le skewness de 1,055 : le titre a passé davantage de journées sous sa moyenne, avec des épisodes de hausse brutale qui ont tiré la moyenne vers le haut. L'écart-type de 1 539 FCFA (CV de 15,5%) indique une dispersion modérée, tandis que le kurtosis de -0,386 suggère une distribution mésokurtique, sans risque extrême de pics. La volatilité annualisée de 25,8% classe le titre dans la catégorie modérée à élevée, reflétant un risque mesuré mais non négligeable pour les investisseurs.</w:t>
      </w:r>
    </w:p>
    <w:p>
      <w:pPr>
        <w:spacing w:after="120" w:line="276" w:lineRule="auto" w:before="240"/>
      </w:pPr>
      <w:r>
        <w:rPr>
          <w:b/>
          <w:color w:val="003366"/>
          <w:sz w:val="24"/>
        </w:rPr>
        <w:t>**PARTIE 2 : ANALYSE TECHNIQUE DÉTAILLÉE**</w:t>
      </w:r>
    </w:p>
    <w:p>
      <w:pPr>
        <w:spacing w:after="120" w:line="276" w:lineRule="auto"/>
      </w:pPr>
      <w:r>
        <w:t>**Moyennes Mobiles** : Le cours actuel de 12 500 FCFA se positionne au-dessus de la MM20 (12 632,5 FCFA) et nettement au-dessus de la MM50 (11 034,8 FCFA), confirmant une tendance haussière de moyen terme. La MM50 agissant comme un support solide, la décision d'achat est justifiée par la structure positive des moyennes mobiles, bien que le cours évolue légèrement sous la MM20, suggérant un essoufflement à court terme.</w:t>
      </w:r>
    </w:p>
    <w:p>
      <w:pPr>
        <w:spacing w:after="120" w:line="276" w:lineRule="auto"/>
      </w:pPr>
      <w:r>
        <w:t>**Bandes de Bollinger** : Le prix se situe entre la borne inférieure (11 559,6 FCFA) et la borne supérieure (13 705,4 FCFA), plus près du milieu de la bande, indiquant une volatilité modérée sans condition de surachat ni de survente. La décision neutre est appropriée, le titre n'ayant pas encore atteint les extrêmes qui signaleraient un retournement imminent.</w:t>
      </w:r>
    </w:p>
    <w:p>
      <w:pPr>
        <w:spacing w:after="120" w:line="276" w:lineRule="auto"/>
      </w:pPr>
      <w:r>
        <w:t>**MACD** : La valeur du MACD (404,2) est inférieure à son signal (564,3), formant un croisement baissier qui suggère un affaiblissement du momentum haussier à court terme. La décision de vente reflète cette perte de dynamisme, bien que le MACD reste positif, indiquant que la tendance de fond demeure haussière.</w:t>
      </w:r>
    </w:p>
    <w:p>
      <w:pPr>
        <w:spacing w:after="120" w:line="276" w:lineRule="auto"/>
      </w:pPr>
      <w:r>
        <w:t>**RSI** : À 39,5, le RSI se situe en zone neutre, proche de la zone de survente (30), sans toutefois y pénétrer. Cette valeur suggère que le titre n'est ni suracheté ni survendu, laissant une marge de manœuvre pour une potentielle reprise haussière. La décision neutre est cohérente avec cette lecture.</w:t>
      </w:r>
    </w:p>
    <w:p>
      <w:pPr>
        <w:spacing w:after="120" w:line="276" w:lineRule="auto"/>
      </w:pPr>
      <w:r>
        <w:t>**Stochastique** : Le %K (17,7) et le %D (17,6) sont tous deux en zone de survente profonde (&lt;20), indiquant une correction significative après la récente hausse. La décision d'achat se justifie par la probabilité d'un rebond technique, les conditions de survente extrême précédant souvent un retournement haussier.</w:t>
      </w:r>
    </w:p>
    <w:p>
      <w:pPr>
        <w:spacing w:after="120" w:line="276" w:lineRule="auto"/>
      </w:pPr>
      <w:r>
        <w:t>**Conclusion technique** : Les indicateurs techniques présentent un tableau contrasté : la tendance de fond reste haussière (MM50, structure positive) mais le momentum à court terme s'essouffle (MACD baissier, RSI neutre-faible). Le stochastique en survente suggère un potentiel rebond imminent, tandis que les bandes de Bollinger indiquent une volatilité normale. Globalement, le titre semble en phase de consolidation après une forte progression, avec un biais haussier à moyen terme mais une prudence nécessaire à court terme.</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révèlent une banque performante avec un Produit Net Bancaire de 73,545 milliards FCFA et un résultat net de 35,540 milliards FCFA, générant une marge nette exceptionnelle de 48,3%. Le ROE de 27,9% et le ROA de 3,2% confirment une rentabilité supérieure aux standards du secteur bancaire ouest-africain. Le coefficient d'exploitation de 36,7% témoigne d'une excellente maîtrise des coûts, bien en deçà du seuil d'efficacité de 60%. La banque affiche une collecte de dépôts massive (850,5 milliards FCFA) représentant 2 fois les créances sur la clientèle (430,4 milliards FCFA), illustrant une forte capacité de transformation mais aussi une certaine prudence dans la distribution du crédit. Le coût du risque de 6,7% reste élevé, signalant une qualité de portefeuille perfectible. Les rapports trimestriels 2025 montrent une trajectoire contrastée : le T1 2025 affichait une croissance du PNB de +4,93% et un résultat net en hausse de +14,59%, mais le S1 2025 a enregistré une stagnation du PNB (-0,35%) avec un résultat net en progression modeste (+4,29%). Le cumul sur 9 mois (T3 2025) confirme cette atonie avec un PNB quasi stable (+0,23%) et un résultat net à +1,29%. Sur la base de ces tendances, on estime que l'exercice 2025 devrait clôturer avec un résultat net autour de 35-36 milliards FCFA, proche des données structurées annuelles. La banque a communiqué des objectifs triennaux ambitieux (croissance du PNB de +11,6% sur 3 ans), mais la contraction du portefeuille de crédits (-11,97% sur 9 mois) constitue un point de vigilance majeur pour la croissance future.</w:t>
      </w:r>
    </w:p>
    <w:p>
      <w:pPr>
        <w:spacing w:after="120" w:line="276" w:lineRule="auto" w:before="240"/>
      </w:pPr>
      <w:r>
        <w:rPr>
          <w:b/>
          <w:color w:val="003366"/>
          <w:sz w:val="24"/>
        </w:rPr>
        <w:t>**PARTIE 4 : CONCLUSION D'INVESTISSEMENT**</w:t>
      </w:r>
    </w:p>
    <w:p>
      <w:pPr>
        <w:spacing w:after="120" w:line="276" w:lineRule="auto"/>
      </w:pPr>
      <w:r>
        <w:t>La synthèse des analyses révèle une configuration contrastée pour BOAC. La valorisation (PER de 14,1x, P/B de 3,93x) apparaît exigeante, intégrant déjà une prime de croissance substantielle, tandis que l'EV/EBITDA de 27,4x laisse peu de marge de sécurité. Le comportement du cours sur 100 jours est spectaculairement haussier (+47,32%) avec une volatilité modérée-élevée (25,8%), mais les statistiques montrent une asymétrie positive qui suggère un risque de correction après une telle progression. Les signaux techniques sont mitigés : la tendance de fond reste positive (MM50), mais le MACD baissier et le RSI neutre-faible indiquent un essoufflement à court terme, tempérés par un stochastique en survente suggérant un rebond possible. Les fondamentaux demeurent solides avec un ROE de 27,9% et un coefficient d'exploitation de 36,7%, mais la stagnation du PNB sur 9 mois et la contraction des crédits (-11,97%) sont préoccupantes. Les prédictions IA projetant une baisse continue vers 10 032 FCFA à J+10 contredisent nettement la tendance haussière récente et suggèrent une correction profonde. La convergence entre la valorisation exigeante, les signaux techniques baissiers à court terme et les prédictions IA défavorables conduit à une recommandation de **CONSERVER** avec un niveau de confiance **Moyen** et un risque global **Élevé**. L'horizon d'investissement optimal serait le **moyen terme (3-12 mois)**, permettant d'absorber une potentielle correction avant de capitaliser sur la solidité fondamentale de la banque.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croissance de son PNB et am\u00e9liore sa gestion des risques. Les perspectives de cr\u00e9dit restent prometteuses dans un contexte \u00e9conomique qui devrait s'am\u00e9liorer."}</w:t>
      </w:r>
    </w:p>
    <w:p>
      <w:pPr>
        <w:spacing w:before="40"/>
        <w:ind w:left="400"/>
      </w:pPr>
      <w:r>
        <w:rPr>
          <w:sz w:val="18"/>
        </w:rPr>
        <w:t>BOA Côte d'Ivoire affiche des résultats mitigés au premier semestre 2022 avec une croissance des dépôts de la clientèle (+1,6%) et des crédits nets (+1,3%). Le produit net bancaire progresse de 7,3% à 21,8 milliards de FCFA, soutenu par la hausse des produits sur titres de placement. Cependant, le résultat net recule de 5,2% à 8,57 milliards de FCFA en raison de l'augmentation des frais généraux (+11,5%). La banque évolue dans un contexte économique mondial incertain marqué par la guerre en Ukraine et le ralentissement de la croissance. Les perspectives restent néanmoins prometteuses avec des opportunités de crédit à saisir.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 milliards FCFA', 'frais_generaux': '11,69 milliards FCFA', 'cout_net_risque': '-379 millions FCFA', 'depots_clientele': '556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8,57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21,88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progression à 556 milliards de FCFA (+1,6%)</w:t>
      </w:r>
    </w:p>
    <w:p>
      <w:pPr>
        <w:pStyle w:val="ListBullet"/>
        <w:spacing w:before="20" w:after="20"/>
        <w:ind w:left="700"/>
      </w:pPr>
      <w:r>
        <w:rPr>
          <w:sz w:val="18"/>
        </w:rPr>
        <w:t>Crédits nets à la clientèle de 303,6 milliards de FCFA (+1,3%)</w:t>
      </w:r>
    </w:p>
    <w:p>
      <w:pPr>
        <w:pStyle w:val="ListBullet"/>
        <w:spacing w:before="20" w:after="20"/>
        <w:ind w:left="700"/>
      </w:pPr>
      <w:r>
        <w:rPr>
          <w:sz w:val="18"/>
        </w:rPr>
        <w:t>Produit net bancaire en hausse de 7,3% à 21,88 milliards de FCFA</w:t>
      </w:r>
    </w:p>
    <w:p>
      <w:pPr>
        <w:pStyle w:val="ListBullet"/>
        <w:spacing w:before="20" w:after="20"/>
        <w:ind w:left="700"/>
      </w:pPr>
      <w:r>
        <w:rPr>
          <w:sz w:val="18"/>
        </w:rPr>
        <w:t>Résultat net en baisse de 5,2% à 8,57 milliards de FCFA</w:t>
      </w:r>
    </w:p>
    <w:p>
      <w:pPr>
        <w:pStyle w:val="ListBullet"/>
        <w:spacing w:before="20" w:after="20"/>
        <w:ind w:left="700"/>
      </w:pPr>
      <w:r>
        <w:rPr>
          <w:sz w:val="18"/>
        </w:rPr>
        <w:t>Hausse significative des frais généraux (+11,5%)</w:t>
      </w:r>
    </w:p>
    <w:p>
      <w:pPr>
        <w:pStyle w:val="ListBullet"/>
        <w:spacing w:before="20" w:after="20"/>
        <w:ind w:left="700"/>
      </w:pPr>
      <w:r>
        <w:rPr>
          <w:sz w:val="18"/>
        </w:rPr>
        <w:t>Amélioration du coût net du risque (-20,4%)</w:t>
      </w:r>
    </w:p>
    <w:p>
      <w:pPr>
        <w:spacing w:before="40"/>
        <w:ind w:left="400"/>
      </w:pPr>
      <w:r>
        <w:rPr>
          <w:b/>
          <w:color w:val="C05000"/>
          <w:sz w:val="18"/>
        </w:rPr>
        <w:t xml:space="preserve">⚠️ Risques : </w:t>
      </w:r>
      <w:r>
        <w:rPr>
          <w:sz w:val="18"/>
        </w:rPr>
        <w:t>["Hausse continue des frais g\u00e9n\u00e9raux impactant la rentabilit\u00e9", "Contexte \u00e9conomique mondial incertain li\u00e9 \u00e0 la guerre en Ukraine", "Ralentissement de la croissance \u00e9conomique en C\u00f4te d'Ivoire"]</w:t>
      </w:r>
    </w:p>
    <w:p>
      <w:pPr>
        <w:spacing w:before="40"/>
        <w:ind w:left="400"/>
      </w:pPr>
      <w:r>
        <w:rPr>
          <w:b/>
          <w:color w:val="0064A0"/>
          <w:sz w:val="18"/>
        </w:rPr>
        <w:t xml:space="preserve">🔮 Perspectives : </w:t>
      </w:r>
      <w:r>
        <w:rPr>
          <w:sz w:val="18"/>
        </w:rPr>
        <w:t>Les résultats des trimestres à venir devraient être meilleurs avec des perspectives prometteuses en termes de crédit. La découverte d'importantes réserves de pétrole et de gaz ainsi que les réformes du plan national de développement 2021-25 devraient stimuler la croissance à moyen terme.</w:t>
      </w:r>
    </w:p>
    <w:p/>
    <w:p>
      <w:r>
        <w:t>════════════════════════════════════════════════════════════════════════════════</w:t>
      </w:r>
    </w:p>
    <w:p>
      <w:r>
        <w:br w:type="page"/>
      </w:r>
    </w:p>
    <w:p>
      <w:pPr>
        <w:pStyle w:val="Heading2"/>
        <w:spacing w:before="360"/>
      </w:pPr>
      <w:r>
        <w:rPr>
          <w:color w:val="0066CC"/>
        </w:rPr>
        <w:t>8.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175.68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6,221 titres</w:t>
            </w:r>
          </w:p>
        </w:tc>
        <w:tc>
          <w:tcPr>
            <w:tcW w:type="dxa" w:w="2268"/>
            <w:shd w:fill="FFF2CC" w:val="clear"/>
          </w:tcPr>
          <w:p>
            <w:r>
              <w:rPr>
                <w:b/>
                <w:color w:val="503200"/>
                <w:sz w:val="16"/>
              </w:rPr>
              <w:t xml:space="preserve">Cours actuel : </w:t>
            </w:r>
            <w:r>
              <w:rPr>
                <w:color w:val="000000"/>
                <w:sz w:val="17"/>
              </w:rPr>
              <w:t>6,400 FCFA</w:t>
            </w:r>
          </w:p>
          <w:p>
            <w:r>
              <w:rPr>
                <w:b/>
                <w:color w:val="503200"/>
                <w:sz w:val="16"/>
              </w:rPr>
              <w:t xml:space="preserve">Var. 100 jours : </w:t>
            </w:r>
            <w:r>
              <w:rPr>
                <w:b/>
                <w:color w:val="007800"/>
                <w:sz w:val="17"/>
              </w:rPr>
              <w:t>+38.23%</w:t>
            </w:r>
          </w:p>
          <w:p>
            <w:r>
              <w:rPr>
                <w:b/>
                <w:color w:val="503200"/>
                <w:sz w:val="16"/>
              </w:rPr>
              <w:t xml:space="preserve">Plus haut 100j : </w:t>
            </w:r>
            <w:r>
              <w:rPr>
                <w:color w:val="000000"/>
                <w:sz w:val="17"/>
              </w:rPr>
              <w:t>6,700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32.1%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12.50% (Moyenne) — μ=5,234 FCFA, σ=654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β=0.3076 (Défensif) — Cov=0.000011, Var(idx)=0.000036, ρ=0.091,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6,221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σ_j=2.02%/j (Stable) — Vol. annualisée≈32.1%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2026-09-07</w:t>
            </w:r>
          </w:p>
        </w:tc>
        <w:tc>
          <w:tcPr>
            <w:tcW w:type="dxa" w:w="1440"/>
            <w:shd w:fill="FFDCE0" w:val="clear"/>
          </w:tcPr>
          <w:p>
            <w:r>
              <w:rPr>
                <w:sz w:val="17"/>
              </w:rPr>
              <w:t>6,067</w:t>
            </w:r>
          </w:p>
        </w:tc>
        <w:tc>
          <w:tcPr>
            <w:tcW w:type="dxa" w:w="1440"/>
            <w:shd w:fill="FFDCE0" w:val="clear"/>
          </w:tcPr>
          <w:p>
            <w:r>
              <w:rPr>
                <w:b/>
                <w:sz w:val="17"/>
              </w:rPr>
              <w:t>6,257</w:t>
            </w:r>
          </w:p>
        </w:tc>
        <w:tc>
          <w:tcPr>
            <w:tcW w:type="dxa" w:w="1440"/>
            <w:shd w:fill="FFDCE0" w:val="clear"/>
          </w:tcPr>
          <w:p>
            <w:r>
              <w:rPr>
                <w:sz w:val="17"/>
              </w:rPr>
              <w:t>6,446</w:t>
            </w:r>
          </w:p>
        </w:tc>
        <w:tc>
          <w:tcPr>
            <w:tcW w:type="dxa" w:w="1440"/>
            <w:shd w:fill="FFDCE0" w:val="clear"/>
          </w:tcPr>
          <w:p>
            <w:r>
              <w:rPr>
                <w:b/>
                <w:color w:val="C00000"/>
                <w:sz w:val="17"/>
              </w:rPr>
              <w:t>-2.2%</w:t>
            </w:r>
          </w:p>
        </w:tc>
      </w:tr>
      <w:tr>
        <w:tc>
          <w:tcPr>
            <w:tcW w:type="dxa" w:w="1440"/>
            <w:shd w:fill="FFDCE0" w:val="clear"/>
          </w:tcPr>
          <w:p>
            <w:r>
              <w:rPr>
                <w:sz w:val="17"/>
              </w:rPr>
              <w:t>J+2  ⭐⭐⭐</w:t>
            </w:r>
          </w:p>
        </w:tc>
        <w:tc>
          <w:tcPr>
            <w:tcW w:type="dxa" w:w="1440"/>
            <w:shd w:fill="FFDCE0" w:val="clear"/>
          </w:tcPr>
          <w:p>
            <w:r>
              <w:rPr>
                <w:sz w:val="17"/>
              </w:rPr>
              <w:t>2026-09-08</w:t>
            </w:r>
          </w:p>
        </w:tc>
        <w:tc>
          <w:tcPr>
            <w:tcW w:type="dxa" w:w="1440"/>
            <w:shd w:fill="FFDCE0" w:val="clear"/>
          </w:tcPr>
          <w:p>
            <w:r>
              <w:rPr>
                <w:sz w:val="17"/>
              </w:rPr>
              <w:t>5,851</w:t>
            </w:r>
          </w:p>
        </w:tc>
        <w:tc>
          <w:tcPr>
            <w:tcW w:type="dxa" w:w="1440"/>
            <w:shd w:fill="FFDCE0" w:val="clear"/>
          </w:tcPr>
          <w:p>
            <w:r>
              <w:rPr>
                <w:b/>
                <w:sz w:val="17"/>
              </w:rPr>
              <w:t>6,112</w:t>
            </w:r>
          </w:p>
        </w:tc>
        <w:tc>
          <w:tcPr>
            <w:tcW w:type="dxa" w:w="1440"/>
            <w:shd w:fill="FFDCE0" w:val="clear"/>
          </w:tcPr>
          <w:p>
            <w:r>
              <w:rPr>
                <w:sz w:val="17"/>
              </w:rPr>
              <w:t>6,374</w:t>
            </w:r>
          </w:p>
        </w:tc>
        <w:tc>
          <w:tcPr>
            <w:tcW w:type="dxa" w:w="1440"/>
            <w:shd w:fill="FFDCE0" w:val="clear"/>
          </w:tcPr>
          <w:p>
            <w:r>
              <w:rPr>
                <w:b/>
                <w:color w:val="C00000"/>
                <w:sz w:val="17"/>
              </w:rPr>
              <w:t>-4.5%</w:t>
            </w:r>
          </w:p>
        </w:tc>
      </w:tr>
      <w:tr>
        <w:tc>
          <w:tcPr>
            <w:tcW w:type="dxa" w:w="1440"/>
            <w:shd w:fill="FFDCE0" w:val="clear"/>
          </w:tcPr>
          <w:p>
            <w:r>
              <w:rPr>
                <w:sz w:val="17"/>
              </w:rPr>
              <w:t>J+3  ⭐⭐⭐</w:t>
            </w:r>
          </w:p>
        </w:tc>
        <w:tc>
          <w:tcPr>
            <w:tcW w:type="dxa" w:w="1440"/>
            <w:shd w:fill="FFDCE0" w:val="clear"/>
          </w:tcPr>
          <w:p>
            <w:r>
              <w:rPr>
                <w:sz w:val="17"/>
              </w:rPr>
              <w:t>2026-09-09</w:t>
            </w:r>
          </w:p>
        </w:tc>
        <w:tc>
          <w:tcPr>
            <w:tcW w:type="dxa" w:w="1440"/>
            <w:shd w:fill="FFDCE0" w:val="clear"/>
          </w:tcPr>
          <w:p>
            <w:r>
              <w:rPr>
                <w:sz w:val="17"/>
              </w:rPr>
              <w:t>5,672</w:t>
            </w:r>
          </w:p>
        </w:tc>
        <w:tc>
          <w:tcPr>
            <w:tcW w:type="dxa" w:w="1440"/>
            <w:shd w:fill="FFDCE0" w:val="clear"/>
          </w:tcPr>
          <w:p>
            <w:r>
              <w:rPr>
                <w:b/>
                <w:sz w:val="17"/>
              </w:rPr>
              <w:t>5,986</w:t>
            </w:r>
          </w:p>
        </w:tc>
        <w:tc>
          <w:tcPr>
            <w:tcW w:type="dxa" w:w="1440"/>
            <w:shd w:fill="FFDCE0" w:val="clear"/>
          </w:tcPr>
          <w:p>
            <w:r>
              <w:rPr>
                <w:sz w:val="17"/>
              </w:rPr>
              <w:t>6,300</w:t>
            </w:r>
          </w:p>
        </w:tc>
        <w:tc>
          <w:tcPr>
            <w:tcW w:type="dxa" w:w="1440"/>
            <w:shd w:fill="FFDCE0" w:val="clear"/>
          </w:tcPr>
          <w:p>
            <w:r>
              <w:rPr>
                <w:b/>
                <w:color w:val="C00000"/>
                <w:sz w:val="17"/>
              </w:rPr>
              <w:t>-6.5%</w:t>
            </w:r>
          </w:p>
        </w:tc>
      </w:tr>
      <w:tr>
        <w:tc>
          <w:tcPr>
            <w:tcW w:type="dxa" w:w="1440"/>
            <w:shd w:fill="FFDCE0" w:val="clear"/>
          </w:tcPr>
          <w:p>
            <w:r>
              <w:rPr>
                <w:sz w:val="17"/>
              </w:rPr>
              <w:t>J+4  Moyenne</w:t>
            </w:r>
          </w:p>
        </w:tc>
        <w:tc>
          <w:tcPr>
            <w:tcW w:type="dxa" w:w="1440"/>
            <w:shd w:fill="FFDCE0" w:val="clear"/>
          </w:tcPr>
          <w:p>
            <w:r>
              <w:rPr>
                <w:sz w:val="17"/>
              </w:rPr>
              <w:t>2026-09-10</w:t>
            </w:r>
          </w:p>
        </w:tc>
        <w:tc>
          <w:tcPr>
            <w:tcW w:type="dxa" w:w="1440"/>
            <w:shd w:fill="FFDCE0" w:val="clear"/>
          </w:tcPr>
          <w:p>
            <w:r>
              <w:rPr>
                <w:sz w:val="17"/>
              </w:rPr>
              <w:t>5,522</w:t>
            </w:r>
          </w:p>
        </w:tc>
        <w:tc>
          <w:tcPr>
            <w:tcW w:type="dxa" w:w="1440"/>
            <w:shd w:fill="FFDCE0" w:val="clear"/>
          </w:tcPr>
          <w:p>
            <w:r>
              <w:rPr>
                <w:b/>
                <w:sz w:val="17"/>
              </w:rPr>
              <w:t>5,878</w:t>
            </w:r>
          </w:p>
        </w:tc>
        <w:tc>
          <w:tcPr>
            <w:tcW w:type="dxa" w:w="1440"/>
            <w:shd w:fill="FFDCE0" w:val="clear"/>
          </w:tcPr>
          <w:p>
            <w:r>
              <w:rPr>
                <w:sz w:val="17"/>
              </w:rPr>
              <w:t>6,234</w:t>
            </w:r>
          </w:p>
        </w:tc>
        <w:tc>
          <w:tcPr>
            <w:tcW w:type="dxa" w:w="1440"/>
            <w:shd w:fill="FFDCE0" w:val="clear"/>
          </w:tcPr>
          <w:p>
            <w:r>
              <w:rPr>
                <w:b/>
                <w:color w:val="C00000"/>
                <w:sz w:val="17"/>
              </w:rPr>
              <w:t>-8.2%</w:t>
            </w:r>
          </w:p>
        </w:tc>
      </w:tr>
      <w:tr>
        <w:tc>
          <w:tcPr>
            <w:tcW w:type="dxa" w:w="1440"/>
            <w:shd w:fill="FFDCE0" w:val="clear"/>
          </w:tcPr>
          <w:p>
            <w:r>
              <w:rPr>
                <w:sz w:val="17"/>
              </w:rPr>
              <w:t>J+5  Moyenne</w:t>
            </w:r>
          </w:p>
        </w:tc>
        <w:tc>
          <w:tcPr>
            <w:tcW w:type="dxa" w:w="1440"/>
            <w:shd w:fill="FFDCE0" w:val="clear"/>
          </w:tcPr>
          <w:p>
            <w:r>
              <w:rPr>
                <w:sz w:val="17"/>
              </w:rPr>
              <w:t>2026-09-11</w:t>
            </w:r>
          </w:p>
        </w:tc>
        <w:tc>
          <w:tcPr>
            <w:tcW w:type="dxa" w:w="1440"/>
            <w:shd w:fill="FFDCE0" w:val="clear"/>
          </w:tcPr>
          <w:p>
            <w:r>
              <w:rPr>
                <w:sz w:val="17"/>
              </w:rPr>
              <w:t>5,391</w:t>
            </w:r>
          </w:p>
        </w:tc>
        <w:tc>
          <w:tcPr>
            <w:tcW w:type="dxa" w:w="1440"/>
            <w:shd w:fill="FFDCE0" w:val="clear"/>
          </w:tcPr>
          <w:p>
            <w:r>
              <w:rPr>
                <w:b/>
                <w:sz w:val="17"/>
              </w:rPr>
              <w:t>5,782</w:t>
            </w:r>
          </w:p>
        </w:tc>
        <w:tc>
          <w:tcPr>
            <w:tcW w:type="dxa" w:w="1440"/>
            <w:shd w:fill="FFDCE0" w:val="clear"/>
          </w:tcPr>
          <w:p>
            <w:r>
              <w:rPr>
                <w:sz w:val="17"/>
              </w:rPr>
              <w:t>6,173</w:t>
            </w:r>
          </w:p>
        </w:tc>
        <w:tc>
          <w:tcPr>
            <w:tcW w:type="dxa" w:w="1440"/>
            <w:shd w:fill="FFDCE0" w:val="clear"/>
          </w:tcPr>
          <w:p>
            <w:r>
              <w:rPr>
                <w:b/>
                <w:color w:val="C00000"/>
                <w:sz w:val="17"/>
              </w:rPr>
              <w:t>-9.7%</w:t>
            </w:r>
          </w:p>
        </w:tc>
      </w:tr>
      <w:tr>
        <w:tc>
          <w:tcPr>
            <w:tcW w:type="dxa" w:w="1440"/>
            <w:shd w:fill="FFDCE0" w:val="clear"/>
          </w:tcPr>
          <w:p>
            <w:r>
              <w:rPr>
                <w:sz w:val="17"/>
              </w:rPr>
              <w:t>J+6  Moyenne</w:t>
            </w:r>
          </w:p>
        </w:tc>
        <w:tc>
          <w:tcPr>
            <w:tcW w:type="dxa" w:w="1440"/>
            <w:shd w:fill="FFDCE0" w:val="clear"/>
          </w:tcPr>
          <w:p>
            <w:r>
              <w:rPr>
                <w:sz w:val="17"/>
              </w:rPr>
              <w:t>2026-09-14</w:t>
            </w:r>
          </w:p>
        </w:tc>
        <w:tc>
          <w:tcPr>
            <w:tcW w:type="dxa" w:w="1440"/>
            <w:shd w:fill="FFDCE0" w:val="clear"/>
          </w:tcPr>
          <w:p>
            <w:r>
              <w:rPr>
                <w:sz w:val="17"/>
              </w:rPr>
              <w:t>5,272</w:t>
            </w:r>
          </w:p>
        </w:tc>
        <w:tc>
          <w:tcPr>
            <w:tcW w:type="dxa" w:w="1440"/>
            <w:shd w:fill="FFDCE0" w:val="clear"/>
          </w:tcPr>
          <w:p>
            <w:r>
              <w:rPr>
                <w:b/>
                <w:sz w:val="17"/>
              </w:rPr>
              <w:t>5,694</w:t>
            </w:r>
          </w:p>
        </w:tc>
        <w:tc>
          <w:tcPr>
            <w:tcW w:type="dxa" w:w="1440"/>
            <w:shd w:fill="FFDCE0" w:val="clear"/>
          </w:tcPr>
          <w:p>
            <w:r>
              <w:rPr>
                <w:sz w:val="17"/>
              </w:rPr>
              <w:t>6,116</w:t>
            </w:r>
          </w:p>
        </w:tc>
        <w:tc>
          <w:tcPr>
            <w:tcW w:type="dxa" w:w="1440"/>
            <w:shd w:fill="FFDCE0" w:val="clear"/>
          </w:tcPr>
          <w:p>
            <w:r>
              <w:rPr>
                <w:b/>
                <w:color w:val="C00000"/>
                <w:sz w:val="17"/>
              </w:rPr>
              <w:t>-11.0%</w:t>
            </w:r>
          </w:p>
        </w:tc>
      </w:tr>
      <w:tr>
        <w:tc>
          <w:tcPr>
            <w:tcW w:type="dxa" w:w="1440"/>
            <w:shd w:fill="FFDCE0" w:val="clear"/>
          </w:tcPr>
          <w:p>
            <w:r>
              <w:rPr>
                <w:sz w:val="17"/>
              </w:rPr>
              <w:t>J+7  Moyenne</w:t>
            </w:r>
          </w:p>
        </w:tc>
        <w:tc>
          <w:tcPr>
            <w:tcW w:type="dxa" w:w="1440"/>
            <w:shd w:fill="FFDCE0" w:val="clear"/>
          </w:tcPr>
          <w:p>
            <w:r>
              <w:rPr>
                <w:sz w:val="17"/>
              </w:rPr>
              <w:t>2026-09-15</w:t>
            </w:r>
          </w:p>
        </w:tc>
        <w:tc>
          <w:tcPr>
            <w:tcW w:type="dxa" w:w="1440"/>
            <w:shd w:fill="FFDCE0" w:val="clear"/>
          </w:tcPr>
          <w:p>
            <w:r>
              <w:rPr>
                <w:sz w:val="17"/>
              </w:rPr>
              <w:t>5,164</w:t>
            </w:r>
          </w:p>
        </w:tc>
        <w:tc>
          <w:tcPr>
            <w:tcW w:type="dxa" w:w="1440"/>
            <w:shd w:fill="FFDCE0" w:val="clear"/>
          </w:tcPr>
          <w:p>
            <w:r>
              <w:rPr>
                <w:b/>
                <w:sz w:val="17"/>
              </w:rPr>
              <w:t>5,613</w:t>
            </w:r>
          </w:p>
        </w:tc>
        <w:tc>
          <w:tcPr>
            <w:tcW w:type="dxa" w:w="1440"/>
            <w:shd w:fill="FFDCE0" w:val="clear"/>
          </w:tcPr>
          <w:p>
            <w:r>
              <w:rPr>
                <w:sz w:val="17"/>
              </w:rPr>
              <w:t>6,062</w:t>
            </w:r>
          </w:p>
        </w:tc>
        <w:tc>
          <w:tcPr>
            <w:tcW w:type="dxa" w:w="1440"/>
            <w:shd w:fill="FFDCE0" w:val="clear"/>
          </w:tcPr>
          <w:p>
            <w:r>
              <w:rPr>
                <w:b/>
                <w:color w:val="C00000"/>
                <w:sz w:val="17"/>
              </w:rPr>
              <w:t>-12.3%</w:t>
            </w:r>
          </w:p>
        </w:tc>
      </w:tr>
      <w:tr>
        <w:tc>
          <w:tcPr>
            <w:tcW w:type="dxa" w:w="1440"/>
            <w:shd w:fill="FFDCE0" w:val="clear"/>
          </w:tcPr>
          <w:p>
            <w:r>
              <w:rPr>
                <w:sz w:val="17"/>
              </w:rPr>
              <w:t>J+8  Moyenne</w:t>
            </w:r>
          </w:p>
        </w:tc>
        <w:tc>
          <w:tcPr>
            <w:tcW w:type="dxa" w:w="1440"/>
            <w:shd w:fill="FFDCE0" w:val="clear"/>
          </w:tcPr>
          <w:p>
            <w:r>
              <w:rPr>
                <w:sz w:val="17"/>
              </w:rPr>
              <w:t>2026-09-16</w:t>
            </w:r>
          </w:p>
        </w:tc>
        <w:tc>
          <w:tcPr>
            <w:tcW w:type="dxa" w:w="1440"/>
            <w:shd w:fill="FFDCE0" w:val="clear"/>
          </w:tcPr>
          <w:p>
            <w:r>
              <w:rPr>
                <w:sz w:val="17"/>
              </w:rPr>
              <w:t>5,063</w:t>
            </w:r>
          </w:p>
        </w:tc>
        <w:tc>
          <w:tcPr>
            <w:tcW w:type="dxa" w:w="1440"/>
            <w:shd w:fill="FFDCE0" w:val="clear"/>
          </w:tcPr>
          <w:p>
            <w:r>
              <w:rPr>
                <w:b/>
                <w:sz w:val="17"/>
              </w:rPr>
              <w:t>5,537</w:t>
            </w:r>
          </w:p>
        </w:tc>
        <w:tc>
          <w:tcPr>
            <w:tcW w:type="dxa" w:w="1440"/>
            <w:shd w:fill="FFDCE0" w:val="clear"/>
          </w:tcPr>
          <w:p>
            <w:r>
              <w:rPr>
                <w:sz w:val="17"/>
              </w:rPr>
              <w:t>6,011</w:t>
            </w:r>
          </w:p>
        </w:tc>
        <w:tc>
          <w:tcPr>
            <w:tcW w:type="dxa" w:w="1440"/>
            <w:shd w:fill="FFDCE0" w:val="clear"/>
          </w:tcPr>
          <w:p>
            <w:r>
              <w:rPr>
                <w:b/>
                <w:color w:val="C00000"/>
                <w:sz w:val="17"/>
              </w:rPr>
              <w:t>-13.5%</w:t>
            </w:r>
          </w:p>
        </w:tc>
      </w:tr>
      <w:tr>
        <w:tc>
          <w:tcPr>
            <w:tcW w:type="dxa" w:w="1440"/>
            <w:shd w:fill="FFDCE0" w:val="clear"/>
          </w:tcPr>
          <w:p>
            <w:r>
              <w:rPr>
                <w:sz w:val="17"/>
              </w:rPr>
              <w:t>J+9  Moyenne</w:t>
            </w:r>
          </w:p>
        </w:tc>
        <w:tc>
          <w:tcPr>
            <w:tcW w:type="dxa" w:w="1440"/>
            <w:shd w:fill="FFDCE0" w:val="clear"/>
          </w:tcPr>
          <w:p>
            <w:r>
              <w:rPr>
                <w:sz w:val="17"/>
              </w:rPr>
              <w:t>2026-09-17</w:t>
            </w:r>
          </w:p>
        </w:tc>
        <w:tc>
          <w:tcPr>
            <w:tcW w:type="dxa" w:w="1440"/>
            <w:shd w:fill="FFDCE0" w:val="clear"/>
          </w:tcPr>
          <w:p>
            <w:r>
              <w:rPr>
                <w:sz w:val="17"/>
              </w:rPr>
              <w:t>4,970</w:t>
            </w:r>
          </w:p>
        </w:tc>
        <w:tc>
          <w:tcPr>
            <w:tcW w:type="dxa" w:w="1440"/>
            <w:shd w:fill="FFDCE0" w:val="clear"/>
          </w:tcPr>
          <w:p>
            <w:r>
              <w:rPr>
                <w:b/>
                <w:sz w:val="17"/>
              </w:rPr>
              <w:t>5,466</w:t>
            </w:r>
          </w:p>
        </w:tc>
        <w:tc>
          <w:tcPr>
            <w:tcW w:type="dxa" w:w="1440"/>
            <w:shd w:fill="FFDCE0" w:val="clear"/>
          </w:tcPr>
          <w:p>
            <w:r>
              <w:rPr>
                <w:sz w:val="17"/>
              </w:rPr>
              <w:t>5,962</w:t>
            </w:r>
          </w:p>
        </w:tc>
        <w:tc>
          <w:tcPr>
            <w:tcW w:type="dxa" w:w="1440"/>
            <w:shd w:fill="FFDCE0" w:val="clear"/>
          </w:tcPr>
          <w:p>
            <w:r>
              <w:rPr>
                <w:b/>
                <w:color w:val="C00000"/>
                <w:sz w:val="17"/>
              </w:rPr>
              <w:t>-14.6%</w:t>
            </w:r>
          </w:p>
        </w:tc>
      </w:tr>
      <w:tr>
        <w:tc>
          <w:tcPr>
            <w:tcW w:type="dxa" w:w="1440"/>
            <w:shd w:fill="FFDCE0" w:val="clear"/>
          </w:tcPr>
          <w:p>
            <w:r>
              <w:rPr>
                <w:sz w:val="17"/>
              </w:rPr>
              <w:t>J+10  Moyenne</w:t>
            </w:r>
          </w:p>
        </w:tc>
        <w:tc>
          <w:tcPr>
            <w:tcW w:type="dxa" w:w="1440"/>
            <w:shd w:fill="FFDCE0" w:val="clear"/>
          </w:tcPr>
          <w:p>
            <w:r>
              <w:rPr>
                <w:sz w:val="17"/>
              </w:rPr>
              <w:t>2026-09-18</w:t>
            </w:r>
          </w:p>
        </w:tc>
        <w:tc>
          <w:tcPr>
            <w:tcW w:type="dxa" w:w="1440"/>
            <w:shd w:fill="FFDCE0" w:val="clear"/>
          </w:tcPr>
          <w:p>
            <w:r>
              <w:rPr>
                <w:sz w:val="17"/>
              </w:rPr>
              <w:t>4,883</w:t>
            </w:r>
          </w:p>
        </w:tc>
        <w:tc>
          <w:tcPr>
            <w:tcW w:type="dxa" w:w="1440"/>
            <w:shd w:fill="FFDCE0" w:val="clear"/>
          </w:tcPr>
          <w:p>
            <w:r>
              <w:rPr>
                <w:b/>
                <w:sz w:val="17"/>
              </w:rPr>
              <w:t>5,399</w:t>
            </w:r>
          </w:p>
        </w:tc>
        <w:tc>
          <w:tcPr>
            <w:tcW w:type="dxa" w:w="1440"/>
            <w:shd w:fill="FFDCE0" w:val="clear"/>
          </w:tcPr>
          <w:p>
            <w:r>
              <w:rPr>
                <w:sz w:val="17"/>
              </w:rPr>
              <w:t>5,916</w:t>
            </w:r>
          </w:p>
        </w:tc>
        <w:tc>
          <w:tcPr>
            <w:tcW w:type="dxa" w:w="1440"/>
            <w:shd w:fill="FFDCE0" w:val="clear"/>
          </w:tcPr>
          <w:p>
            <w:r>
              <w:rPr>
                <w:b/>
                <w:color w:val="C00000"/>
                <w:sz w:val="17"/>
              </w:rPr>
              <w:t>-15.6%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BOAM s'établit à 175,68 milliards FCFA, ce qui positionne la banque parmi les valeurs moyennes du compartiment bancaire de la BRVM. Avec un BPA de 404 FCFA, le titre se négocie à un PER de 15,9x, nettement supérieur à la moyenne historique du marché (~8-12x), indiquant que les investisseurs intègrent déjà une trajectoire de croissance soutenue dans leur valorisation. Le P/B de 3,53x confirme cette prime accordée par le marché, puisque le cours représente plus de 3,5 fois la valeur comptable des fonds propres, signe d'une confiance dans la création de valeur future. Enfin, l'EV/EBITDA de 8,3x reste dans une zone raisonnable (5-10x), suggérant que la valorisation globale de l'entreprise, rapportée à sa capacité opérationnelle, n'apparaît pas excessive malgré la prime sur les bénéfices.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BOAM a enregistré une progression spectaculaire de +38,23%, passant d'un plus bas de 4 425 FCFA à un plus haut de 6 700 FCFA, pour clôturer à 6 400 FCFA, soit un repli de -1,39% lors de la dernière séance. La moyenne de 5 234 FCFA et la médiane de 4 975 FCFA révèlent une distribution asymétrique positive (skewness de 0,707), avec un plus grand nombre de journées sous la moyenne mais des mouvements haussiers plus amples. L'écart-type de 658 FCFA (CV de 12,6%) témoigne d'une dispersion modérée autour de la moyenne, tandis que le kurtosis de -0,776 indique une distribution mésokurtique, proche de la normale, sans risque accru de mouvements extrêmes. La volatilité annualisée de 32,1% classe le titre dans la catégorie élevée (&gt;30%), reflétant une dynamique haussière soutenue mais potentiellement instable à court terme.</w:t>
      </w:r>
    </w:p>
    <w:p>
      <w:pPr>
        <w:spacing w:after="120" w:line="276" w:lineRule="auto" w:before="240"/>
      </w:pPr>
      <w:r>
        <w:rPr>
          <w:b/>
          <w:color w:val="003366"/>
          <w:sz w:val="24"/>
        </w:rPr>
        <w:t>**PARTIE 2 : ANALYSE TECHNIQUE DÉTAILLÉE**</w:t>
      </w:r>
    </w:p>
    <w:p>
      <w:pPr>
        <w:spacing w:after="120" w:line="276" w:lineRule="auto"/>
      </w:pPr>
      <w:r>
        <w:t>Les **Moyennes Mobiles** MM20 (6 280 FCFA) et MM50 (5 765 FCFA) sont toutes deux inférieures au cours actuel de 6 400 FCFA, confirmant une structure de tendance haussière à court et moyen terme. Le signal d'achat généré par ce croisement positif indique que le momentum demeure favorable, bien que le récent repli du cours mérite une attention particulière.</w:t>
      </w:r>
    </w:p>
    <w:p>
      <w:pPr>
        <w:spacing w:after="120" w:line="276" w:lineRule="auto"/>
      </w:pPr>
      <w:r>
        <w:t>Les **Bandes de Bollinger** présentent un prix actuel positionné entre la borne inférieure (5 670 FCFA) et la borne supérieure (6 890 FCFA), avec une largeur de bande significative traduisant une volatilité élevée. La décision neutre suggère que le cours évolue dans une zone d'équilibre, sans signal clair de surachat ni de survente, laissant place à une consolidation potentielle.</w:t>
      </w:r>
    </w:p>
    <w:p>
      <w:pPr>
        <w:spacing w:after="120" w:line="276" w:lineRule="auto"/>
      </w:pPr>
      <w:r>
        <w:t>Le **MACD** affiche une valeur de 229,43 inférieure à son signal de 254,215, générant une décision de vente. Cette divergence négative récente indique un affaiblissement du momentum haussier, signalant une possible correction à court terme après la forte progression observée.</w:t>
      </w:r>
    </w:p>
    <w:p>
      <w:pPr>
        <w:spacing w:after="120" w:line="276" w:lineRule="auto"/>
      </w:pPr>
      <w:r>
        <w:t>Le **RSI** à 62,887 se situe dans la zone neutre (30-70), sans atteindre le seuil de surachat de 70. Cette valeur suggère que le titre conserve un potentiel haussier résiduel, mais avec une pression acheteuse qui s'estompe progressivement après les récents sommets.</w:t>
      </w:r>
    </w:p>
    <w:p>
      <w:pPr>
        <w:spacing w:after="120" w:line="276" w:lineRule="auto"/>
      </w:pPr>
      <w:r>
        <w:t>Le **Stochastique** présente un %K à 42,857 inférieur au %D à 55,725, indiquant un croisement baissier en cours. Cette configuration signale une perte de dynamisme dans le mouvement haussier, renforçant l'hypothèse d'une phase de consolidation ou de correction à court terme.</w:t>
      </w:r>
    </w:p>
    <w:p>
      <w:pPr>
        <w:spacing w:after="120" w:line="276" w:lineRule="auto"/>
      </w:pPr>
      <w:r>
        <w:t>En conclusion technique, les indicateurs de tendance (MM) restent positifs, mais les oscillateurs de momentum (MACD, Stochastique) et le RSI montrent des signes d'essoufflement après une hausse de plus de 38%. La prudence est donc de mise à court terme, avec un possible repli vers les supports des MM20 (6 280 FCFA) avant une éventuelle reprise de la tendance haussière.</w:t>
      </w:r>
    </w:p>
    <w:p>
      <w:pPr>
        <w:spacing w:after="120" w:line="276" w:lineRule="auto" w:before="240"/>
      </w:pPr>
      <w:r>
        <w:rPr>
          <w:b/>
          <w:color w:val="003366"/>
          <w:sz w:val="24"/>
        </w:rPr>
        <w:t>**PARTIE 3 : ANALYSE FONDAMENTALE (SECTION CRITIQUE)**</w:t>
      </w:r>
    </w:p>
    <w:p>
      <w:pPr>
        <w:spacing w:after="120" w:line="276" w:lineRule="auto"/>
      </w:pPr>
      <w:r>
        <w:t>En 2025, les états financiers structurés de BOAM révèlent une banque solidement implantée avec un Produit Net Bancaire de 37,996 milliards FCFA et un résultat net de 11,081 milliards FCFA, démontrant une marge nette exceptionnelle de 29,16%. La rentabilité des fonds propres (ROE) atteint 22,24%, largement au-dessus du seuil d'excellence de 15%, tandis que le ROA de 1,87% confirme une utilisation efficace des actifs. Le coefficient d'exploitation de 63,14% reste légèrement supérieur au seuil d'efficacité de 60%, mais le coût du risque de 43,39% demeure élevé, signalant une vigilance nécessaire sur la qualité du portefeuille de crédits. Les dépôts clientèle (502,890 milliards FCFA) couvrent près de deux fois les créances sur la clientèle (253,648 milliards FCFA), indiquant une transformation saine avec une liquidité abondante. Les rapports trimestriels 2025 confirment cette trajectoire positive : le T1 affiche un résultat net de 3,021 milliards (+91,2%), le S1 atteint 6,21 milliards (+28,8%), et le T3 cumulé s'établit à 9,16 milliards (+26,2%), avec un PNB en croissance de 5,8% sur neuf mois. Sur la base de ces performances, on estime que l'exercice 2025 devrait dépasser les 12 milliards de résultat net, confirmant la dynamique de croissance amorcée depuis 2023 (résultat net de 5,78 milliards) et 2024 (9,12 milliards). La banque démontre une résilience remarquable dans un contexte malien difficile, avec une amélioration continue de sa rentabilité et une gestion rigoureuse des risques.</w:t>
      </w:r>
    </w:p>
    <w:p>
      <w:pPr>
        <w:spacing w:after="120" w:line="276" w:lineRule="auto" w:before="240"/>
      </w:pPr>
      <w:r>
        <w:rPr>
          <w:b/>
          <w:color w:val="003366"/>
          <w:sz w:val="24"/>
        </w:rPr>
        <w:t>**PARTIE 4 : CONCLUSION D'INVESTISSEMENT**</w:t>
      </w:r>
    </w:p>
    <w:p>
      <w:pPr>
        <w:spacing w:after="120" w:line="276" w:lineRule="auto"/>
      </w:pPr>
      <w:r>
        <w:t>La valorisation de BOAM (PER 15,9x, P/B 3,53x) intègre une prime de croissance substantielle, tandis que le comportement du cours (+38,23% sur 100 jours) confirme une dynamique haussière soutenue, bien que la volatilité élevée (32,1%) et l'asymétrie positive suggèrent des corrections possibles. Les signaux techniques sont contrastés : les moyennes mobiles restent haussières, mais le MACD et le Stochastique indiquent un essoufflement du momentum, corroboré par les prédictions IA qui anticipent un repli progressif vers 5 782 FCFA sur 10 séances. Les fondamentaux demeurent néanmoins solides avec un ROE de 22,24%, un résultat net en croissance de 26,2% sur neuf mois et une structure de bilan robuste, bien que le coût du risque et le coefficient d'exploitation méritent une surveillance. La convergence entre le repli technique attendu et les prédictions IA suggère une consolidation à court terme, mais la solidité fondamentale et la croissance soutenue justifient une recommandation **CONSERVER** avec un niveau de confiance **Moyen** et un risque global **Moyen**. L'horizon d'investissement optimal se situe à **moyen terme (3-12 mois)**, en attendant une correction du cours vers les 5 800-6 000 FCFA pour renforcer les positions, ou une confirmation de la poursuite de la tendance haussière au-delà des 6 700 FCFA.</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9.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113.36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10,131 titres</w:t>
            </w:r>
          </w:p>
        </w:tc>
        <w:tc>
          <w:tcPr>
            <w:tcW w:type="dxa" w:w="2268"/>
            <w:shd w:fill="FFF2CC" w:val="clear"/>
          </w:tcPr>
          <w:p>
            <w:r>
              <w:rPr>
                <w:b/>
                <w:color w:val="503200"/>
                <w:sz w:val="16"/>
              </w:rPr>
              <w:t xml:space="preserve">Cours actuel : </w:t>
            </w:r>
            <w:r>
              <w:rPr>
                <w:color w:val="000000"/>
                <w:sz w:val="17"/>
              </w:rPr>
              <w:t>5,450 FCFA</w:t>
            </w:r>
          </w:p>
          <w:p>
            <w:r>
              <w:rPr>
                <w:b/>
                <w:color w:val="503200"/>
                <w:sz w:val="16"/>
              </w:rPr>
              <w:t xml:space="preserve">Var. 100 jours : </w:t>
            </w:r>
            <w:r>
              <w:rPr>
                <w:b/>
                <w:color w:val="007800"/>
                <w:sz w:val="17"/>
              </w:rPr>
              <w:t>+92.92%</w:t>
            </w:r>
          </w:p>
          <w:p>
            <w:r>
              <w:rPr>
                <w:b/>
                <w:color w:val="503200"/>
                <w:sz w:val="16"/>
              </w:rPr>
              <w:t xml:space="preserve">Plus haut 100j : </w:t>
            </w:r>
            <w:r>
              <w:rPr>
                <w:color w:val="000000"/>
                <w:sz w:val="17"/>
              </w:rPr>
              <w:t>5,645 FCFA</w:t>
            </w:r>
          </w:p>
          <w:p>
            <w:r>
              <w:rPr>
                <w:b/>
                <w:color w:val="503200"/>
                <w:sz w:val="16"/>
              </w:rPr>
              <w:t xml:space="preserve">Plus bas 100j : </w:t>
            </w:r>
            <w:r>
              <w:rPr>
                <w:color w:val="000000"/>
                <w:sz w:val="17"/>
              </w:rPr>
              <w:t>2,825 FCFA</w:t>
            </w:r>
          </w:p>
          <w:p>
            <w:r>
              <w:rPr>
                <w:b/>
                <w:color w:val="503200"/>
                <w:sz w:val="16"/>
              </w:rPr>
              <w:t xml:space="preserve">Volatilité ann. : </w:t>
            </w:r>
            <w:r>
              <w:rPr>
                <w:color w:val="000000"/>
                <w:sz w:val="17"/>
              </w:rPr>
              <w:t>39.5%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19.23% (Élevée) — μ=4,283 FCFA, σ=824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β=0.2707 (Défensif) — Cov=0.000010, Var(idx)=0.000036, ρ=0.065,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10,131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σ_j=2.49%/j (Stable) — Vol. annualisée≈39.5%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2026-09-07</w:t>
            </w:r>
          </w:p>
        </w:tc>
        <w:tc>
          <w:tcPr>
            <w:tcW w:type="dxa" w:w="1440"/>
            <w:shd w:fill="FAFAFA" w:val="clear"/>
          </w:tcPr>
          <w:p>
            <w:r>
              <w:rPr>
                <w:sz w:val="17"/>
              </w:rPr>
              <w:t>5,266</w:t>
            </w:r>
          </w:p>
        </w:tc>
        <w:tc>
          <w:tcPr>
            <w:tcW w:type="dxa" w:w="1440"/>
            <w:shd w:fill="FAFAFA" w:val="clear"/>
          </w:tcPr>
          <w:p>
            <w:r>
              <w:rPr>
                <w:b/>
                <w:sz w:val="17"/>
              </w:rPr>
              <w:t>5,413</w:t>
            </w:r>
          </w:p>
        </w:tc>
        <w:tc>
          <w:tcPr>
            <w:tcW w:type="dxa" w:w="1440"/>
            <w:shd w:fill="FAFAFA" w:val="clear"/>
          </w:tcPr>
          <w:p>
            <w:r>
              <w:rPr>
                <w:sz w:val="17"/>
              </w:rPr>
              <w:t>5,561</w:t>
            </w:r>
          </w:p>
        </w:tc>
        <w:tc>
          <w:tcPr>
            <w:tcW w:type="dxa" w:w="1440"/>
            <w:shd w:fill="FAFAFA" w:val="clear"/>
          </w:tcPr>
          <w:p>
            <w:r>
              <w:rPr>
                <w:b/>
                <w:color w:val="C00000"/>
                <w:sz w:val="17"/>
              </w:rPr>
              <w:t>-0.7%</w:t>
            </w:r>
          </w:p>
        </w:tc>
      </w:tr>
      <w:tr>
        <w:tc>
          <w:tcPr>
            <w:tcW w:type="dxa" w:w="1440"/>
            <w:shd w:fill="FAFAFA" w:val="clear"/>
          </w:tcPr>
          <w:p>
            <w:r>
              <w:rPr>
                <w:sz w:val="17"/>
              </w:rPr>
              <w:t>J+2  Moyenne</w:t>
            </w:r>
          </w:p>
        </w:tc>
        <w:tc>
          <w:tcPr>
            <w:tcW w:type="dxa" w:w="1440"/>
            <w:shd w:fill="FAFAFA" w:val="clear"/>
          </w:tcPr>
          <w:p>
            <w:r>
              <w:rPr>
                <w:sz w:val="17"/>
              </w:rPr>
              <w:t>2026-09-08</w:t>
            </w:r>
          </w:p>
        </w:tc>
        <w:tc>
          <w:tcPr>
            <w:tcW w:type="dxa" w:w="1440"/>
            <w:shd w:fill="FAFAFA" w:val="clear"/>
          </w:tcPr>
          <w:p>
            <w:r>
              <w:rPr>
                <w:sz w:val="17"/>
              </w:rPr>
              <w:t>5,196</w:t>
            </w:r>
          </w:p>
        </w:tc>
        <w:tc>
          <w:tcPr>
            <w:tcW w:type="dxa" w:w="1440"/>
            <w:shd w:fill="FAFAFA" w:val="clear"/>
          </w:tcPr>
          <w:p>
            <w:r>
              <w:rPr>
                <w:b/>
                <w:sz w:val="17"/>
              </w:rPr>
              <w:t>5,404</w:t>
            </w:r>
          </w:p>
        </w:tc>
        <w:tc>
          <w:tcPr>
            <w:tcW w:type="dxa" w:w="1440"/>
            <w:shd w:fill="FAFAFA" w:val="clear"/>
          </w:tcPr>
          <w:p>
            <w:r>
              <w:rPr>
                <w:sz w:val="17"/>
              </w:rPr>
              <w:t>5,612</w:t>
            </w:r>
          </w:p>
        </w:tc>
        <w:tc>
          <w:tcPr>
            <w:tcW w:type="dxa" w:w="1440"/>
            <w:shd w:fill="FAFAFA" w:val="clear"/>
          </w:tcPr>
          <w:p>
            <w:r>
              <w:rPr>
                <w:b/>
                <w:color w:val="C00000"/>
                <w:sz w:val="17"/>
              </w:rPr>
              <w:t>-0.8%</w:t>
            </w:r>
          </w:p>
        </w:tc>
      </w:tr>
      <w:tr>
        <w:tc>
          <w:tcPr>
            <w:tcW w:type="dxa" w:w="1440"/>
            <w:shd w:fill="FAFAFA" w:val="clear"/>
          </w:tcPr>
          <w:p>
            <w:r>
              <w:rPr>
                <w:sz w:val="17"/>
              </w:rPr>
              <w:t>J+3  ⭐</w:t>
            </w:r>
          </w:p>
        </w:tc>
        <w:tc>
          <w:tcPr>
            <w:tcW w:type="dxa" w:w="1440"/>
            <w:shd w:fill="FAFAFA" w:val="clear"/>
          </w:tcPr>
          <w:p>
            <w:r>
              <w:rPr>
                <w:sz w:val="17"/>
              </w:rPr>
              <w:t>2026-09-09</w:t>
            </w:r>
          </w:p>
        </w:tc>
        <w:tc>
          <w:tcPr>
            <w:tcW w:type="dxa" w:w="1440"/>
            <w:shd w:fill="FAFAFA" w:val="clear"/>
          </w:tcPr>
          <w:p>
            <w:r>
              <w:rPr>
                <w:sz w:val="17"/>
              </w:rPr>
              <w:t>5,136</w:t>
            </w:r>
          </w:p>
        </w:tc>
        <w:tc>
          <w:tcPr>
            <w:tcW w:type="dxa" w:w="1440"/>
            <w:shd w:fill="FAFAFA" w:val="clear"/>
          </w:tcPr>
          <w:p>
            <w:r>
              <w:rPr>
                <w:b/>
                <w:sz w:val="17"/>
              </w:rPr>
              <w:t>5,391</w:t>
            </w:r>
          </w:p>
        </w:tc>
        <w:tc>
          <w:tcPr>
            <w:tcW w:type="dxa" w:w="1440"/>
            <w:shd w:fill="FAFAFA" w:val="clear"/>
          </w:tcPr>
          <w:p>
            <w:r>
              <w:rPr>
                <w:sz w:val="17"/>
              </w:rPr>
              <w:t>5,645</w:t>
            </w:r>
          </w:p>
        </w:tc>
        <w:tc>
          <w:tcPr>
            <w:tcW w:type="dxa" w:w="1440"/>
            <w:shd w:fill="FAFAFA" w:val="clear"/>
          </w:tcPr>
          <w:p>
            <w:r>
              <w:rPr>
                <w:b/>
                <w:color w:val="C00000"/>
                <w:sz w:val="17"/>
              </w:rPr>
              <w:t>-1.1%</w:t>
            </w:r>
          </w:p>
        </w:tc>
      </w:tr>
      <w:tr>
        <w:tc>
          <w:tcPr>
            <w:tcW w:type="dxa" w:w="1440"/>
            <w:shd w:fill="FAFAFA" w:val="clear"/>
          </w:tcPr>
          <w:p>
            <w:r>
              <w:rPr>
                <w:sz w:val="17"/>
              </w:rPr>
              <w:t>J+4  ⭐</w:t>
            </w:r>
          </w:p>
        </w:tc>
        <w:tc>
          <w:tcPr>
            <w:tcW w:type="dxa" w:w="1440"/>
            <w:shd w:fill="FAFAFA" w:val="clear"/>
          </w:tcPr>
          <w:p>
            <w:r>
              <w:rPr>
                <w:sz w:val="17"/>
              </w:rPr>
              <w:t>2026-09-10</w:t>
            </w:r>
          </w:p>
        </w:tc>
        <w:tc>
          <w:tcPr>
            <w:tcW w:type="dxa" w:w="1440"/>
            <w:shd w:fill="FAFAFA" w:val="clear"/>
          </w:tcPr>
          <w:p>
            <w:r>
              <w:rPr>
                <w:sz w:val="17"/>
              </w:rPr>
              <w:t>5,084</w:t>
            </w:r>
          </w:p>
        </w:tc>
        <w:tc>
          <w:tcPr>
            <w:tcW w:type="dxa" w:w="1440"/>
            <w:shd w:fill="FAFAFA" w:val="clear"/>
          </w:tcPr>
          <w:p>
            <w:r>
              <w:rPr>
                <w:b/>
                <w:sz w:val="17"/>
              </w:rPr>
              <w:t>5,377</w:t>
            </w:r>
          </w:p>
        </w:tc>
        <w:tc>
          <w:tcPr>
            <w:tcW w:type="dxa" w:w="1440"/>
            <w:shd w:fill="FAFAFA" w:val="clear"/>
          </w:tcPr>
          <w:p>
            <w:r>
              <w:rPr>
                <w:sz w:val="17"/>
              </w:rPr>
              <w:t>5,670</w:t>
            </w:r>
          </w:p>
        </w:tc>
        <w:tc>
          <w:tcPr>
            <w:tcW w:type="dxa" w:w="1440"/>
            <w:shd w:fill="FAFAFA" w:val="clear"/>
          </w:tcPr>
          <w:p>
            <w:r>
              <w:rPr>
                <w:b/>
                <w:color w:val="C00000"/>
                <w:sz w:val="17"/>
              </w:rPr>
              <w:t>-1.3%</w:t>
            </w:r>
          </w:p>
        </w:tc>
      </w:tr>
      <w:tr>
        <w:tc>
          <w:tcPr>
            <w:tcW w:type="dxa" w:w="1440"/>
            <w:shd w:fill="FAFAFA" w:val="clear"/>
          </w:tcPr>
          <w:p>
            <w:r>
              <w:rPr>
                <w:sz w:val="17"/>
              </w:rPr>
              <w:t>J+5  ⭐</w:t>
            </w:r>
          </w:p>
        </w:tc>
        <w:tc>
          <w:tcPr>
            <w:tcW w:type="dxa" w:w="1440"/>
            <w:shd w:fill="FAFAFA" w:val="clear"/>
          </w:tcPr>
          <w:p>
            <w:r>
              <w:rPr>
                <w:sz w:val="17"/>
              </w:rPr>
              <w:t>2026-09-11</w:t>
            </w:r>
          </w:p>
        </w:tc>
        <w:tc>
          <w:tcPr>
            <w:tcW w:type="dxa" w:w="1440"/>
            <w:shd w:fill="FAFAFA" w:val="clear"/>
          </w:tcPr>
          <w:p>
            <w:r>
              <w:rPr>
                <w:sz w:val="17"/>
              </w:rPr>
              <w:t>5,037</w:t>
            </w:r>
          </w:p>
        </w:tc>
        <w:tc>
          <w:tcPr>
            <w:tcW w:type="dxa" w:w="1440"/>
            <w:shd w:fill="FAFAFA" w:val="clear"/>
          </w:tcPr>
          <w:p>
            <w:r>
              <w:rPr>
                <w:b/>
                <w:sz w:val="17"/>
              </w:rPr>
              <w:t>5,363</w:t>
            </w:r>
          </w:p>
        </w:tc>
        <w:tc>
          <w:tcPr>
            <w:tcW w:type="dxa" w:w="1440"/>
            <w:shd w:fill="FAFAFA" w:val="clear"/>
          </w:tcPr>
          <w:p>
            <w:r>
              <w:rPr>
                <w:sz w:val="17"/>
              </w:rPr>
              <w:t>5,690</w:t>
            </w:r>
          </w:p>
        </w:tc>
        <w:tc>
          <w:tcPr>
            <w:tcW w:type="dxa" w:w="1440"/>
            <w:shd w:fill="FAFAFA" w:val="clear"/>
          </w:tcPr>
          <w:p>
            <w:r>
              <w:rPr>
                <w:b/>
                <w:color w:val="C00000"/>
                <w:sz w:val="17"/>
              </w:rPr>
              <w:t>-1.6%</w:t>
            </w:r>
          </w:p>
        </w:tc>
      </w:tr>
      <w:tr>
        <w:tc>
          <w:tcPr>
            <w:tcW w:type="dxa" w:w="1440"/>
            <w:shd w:fill="FAFAFA" w:val="clear"/>
          </w:tcPr>
          <w:p>
            <w:r>
              <w:rPr>
                <w:sz w:val="17"/>
              </w:rPr>
              <w:t>J+6  ⭐</w:t>
            </w:r>
          </w:p>
        </w:tc>
        <w:tc>
          <w:tcPr>
            <w:tcW w:type="dxa" w:w="1440"/>
            <w:shd w:fill="FAFAFA" w:val="clear"/>
          </w:tcPr>
          <w:p>
            <w:r>
              <w:rPr>
                <w:sz w:val="17"/>
              </w:rPr>
              <w:t>2026-09-14</w:t>
            </w:r>
          </w:p>
        </w:tc>
        <w:tc>
          <w:tcPr>
            <w:tcW w:type="dxa" w:w="1440"/>
            <w:shd w:fill="FAFAFA" w:val="clear"/>
          </w:tcPr>
          <w:p>
            <w:r>
              <w:rPr>
                <w:sz w:val="17"/>
              </w:rPr>
              <w:t>4,993</w:t>
            </w:r>
          </w:p>
        </w:tc>
        <w:tc>
          <w:tcPr>
            <w:tcW w:type="dxa" w:w="1440"/>
            <w:shd w:fill="FAFAFA" w:val="clear"/>
          </w:tcPr>
          <w:p>
            <w:r>
              <w:rPr>
                <w:b/>
                <w:sz w:val="17"/>
              </w:rPr>
              <w:t>5,350</w:t>
            </w:r>
          </w:p>
        </w:tc>
        <w:tc>
          <w:tcPr>
            <w:tcW w:type="dxa" w:w="1440"/>
            <w:shd w:fill="FAFAFA" w:val="clear"/>
          </w:tcPr>
          <w:p>
            <w:r>
              <w:rPr>
                <w:sz w:val="17"/>
              </w:rPr>
              <w:t>5,707</w:t>
            </w:r>
          </w:p>
        </w:tc>
        <w:tc>
          <w:tcPr>
            <w:tcW w:type="dxa" w:w="1440"/>
            <w:shd w:fill="FAFAFA" w:val="clear"/>
          </w:tcPr>
          <w:p>
            <w:r>
              <w:rPr>
                <w:b/>
                <w:color w:val="C00000"/>
                <w:sz w:val="17"/>
              </w:rPr>
              <w:t>-1.8%</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4,952</w:t>
            </w:r>
          </w:p>
        </w:tc>
        <w:tc>
          <w:tcPr>
            <w:tcW w:type="dxa" w:w="1440"/>
            <w:shd w:fill="FFDCE0" w:val="clear"/>
          </w:tcPr>
          <w:p>
            <w:r>
              <w:rPr>
                <w:b/>
                <w:sz w:val="17"/>
              </w:rPr>
              <w:t>5,337</w:t>
            </w:r>
          </w:p>
        </w:tc>
        <w:tc>
          <w:tcPr>
            <w:tcW w:type="dxa" w:w="1440"/>
            <w:shd w:fill="FFDCE0" w:val="clear"/>
          </w:tcPr>
          <w:p>
            <w:r>
              <w:rPr>
                <w:sz w:val="17"/>
              </w:rPr>
              <w:t>5,721</w:t>
            </w:r>
          </w:p>
        </w:tc>
        <w:tc>
          <w:tcPr>
            <w:tcW w:type="dxa" w:w="1440"/>
            <w:shd w:fill="FFDCE0" w:val="clear"/>
          </w:tcPr>
          <w:p>
            <w:r>
              <w:rPr>
                <w:b/>
                <w:color w:val="C00000"/>
                <w:sz w:val="17"/>
              </w:rPr>
              <w:t>-2.1%</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4,914</w:t>
            </w:r>
          </w:p>
        </w:tc>
        <w:tc>
          <w:tcPr>
            <w:tcW w:type="dxa" w:w="1440"/>
            <w:shd w:fill="FFDCE0" w:val="clear"/>
          </w:tcPr>
          <w:p>
            <w:r>
              <w:rPr>
                <w:b/>
                <w:sz w:val="17"/>
              </w:rPr>
              <w:t>5,324</w:t>
            </w:r>
          </w:p>
        </w:tc>
        <w:tc>
          <w:tcPr>
            <w:tcW w:type="dxa" w:w="1440"/>
            <w:shd w:fill="FFDCE0" w:val="clear"/>
          </w:tcPr>
          <w:p>
            <w:r>
              <w:rPr>
                <w:sz w:val="17"/>
              </w:rPr>
              <w:t>5,734</w:t>
            </w:r>
          </w:p>
        </w:tc>
        <w:tc>
          <w:tcPr>
            <w:tcW w:type="dxa" w:w="1440"/>
            <w:shd w:fill="FFDCE0" w:val="clear"/>
          </w:tcPr>
          <w:p>
            <w:r>
              <w:rPr>
                <w:b/>
                <w:color w:val="C00000"/>
                <w:sz w:val="17"/>
              </w:rPr>
              <w:t>-2.3%</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4,877</w:t>
            </w:r>
          </w:p>
        </w:tc>
        <w:tc>
          <w:tcPr>
            <w:tcW w:type="dxa" w:w="1440"/>
            <w:shd w:fill="FFDCE0" w:val="clear"/>
          </w:tcPr>
          <w:p>
            <w:r>
              <w:rPr>
                <w:b/>
                <w:sz w:val="17"/>
              </w:rPr>
              <w:t>5,311</w:t>
            </w:r>
          </w:p>
        </w:tc>
        <w:tc>
          <w:tcPr>
            <w:tcW w:type="dxa" w:w="1440"/>
            <w:shd w:fill="FFDCE0" w:val="clear"/>
          </w:tcPr>
          <w:p>
            <w:r>
              <w:rPr>
                <w:sz w:val="17"/>
              </w:rPr>
              <w:t>5,745</w:t>
            </w:r>
          </w:p>
        </w:tc>
        <w:tc>
          <w:tcPr>
            <w:tcW w:type="dxa" w:w="1440"/>
            <w:shd w:fill="FFDCE0" w:val="clear"/>
          </w:tcPr>
          <w:p>
            <w:r>
              <w:rPr>
                <w:b/>
                <w:color w:val="C00000"/>
                <w:sz w:val="17"/>
              </w:rPr>
              <w:t>-2.5%</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4,842</w:t>
            </w:r>
          </w:p>
        </w:tc>
        <w:tc>
          <w:tcPr>
            <w:tcW w:type="dxa" w:w="1440"/>
            <w:shd w:fill="FFDCE0" w:val="clear"/>
          </w:tcPr>
          <w:p>
            <w:r>
              <w:rPr>
                <w:b/>
                <w:sz w:val="17"/>
              </w:rPr>
              <w:t>5,298</w:t>
            </w:r>
          </w:p>
        </w:tc>
        <w:tc>
          <w:tcPr>
            <w:tcW w:type="dxa" w:w="1440"/>
            <w:shd w:fill="FFDCE0" w:val="clear"/>
          </w:tcPr>
          <w:p>
            <w:r>
              <w:rPr>
                <w:sz w:val="17"/>
              </w:rPr>
              <w:t>5,755</w:t>
            </w:r>
          </w:p>
        </w:tc>
        <w:tc>
          <w:tcPr>
            <w:tcW w:type="dxa" w:w="1440"/>
            <w:shd w:fill="FFDCE0" w:val="clear"/>
          </w:tcPr>
          <w:p>
            <w:r>
              <w:rPr>
                <w:b/>
                <w:color w:val="C00000"/>
                <w:sz w:val="17"/>
              </w:rPr>
              <w:t>-2.8%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BOAN s'établit à 113,36 milliards FCFA, un niveau qui la positionne parmi les valeurs moyennes du marché BRVM. Le BPA de 20 FCFA par action est particulièrement faible, ce qui explique un PER de 277,2x, extrêmement élevé au regard de la moyenne historique de la BRVM (8-12x). Les investisseurs paient donc un prix très supérieur aux bénéfices actuels, ce qui traduit une anticipation de croissance future très optimiste. Le P/B de 3,14x indique que le marché valorise la banque à plus de trois fois sa valeur comptable, une prime de croissance significative qui reflète la confiance dans le redressement de l'établissement. Enfin, l'EV/EBITDA de 40,9x, bien au-delà du seuil exigeant de 15x, confirme une valorisation très généreuse qui laisse peu de place à l'erreur dans l'exécution du plan de relance.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BOAN a enregistré une progression spectaculaire de +92,92%, passant d'un plus bas de 2 825 FCFA à un plus haut de 5 645 FCFA, pour clôturer à 5 450 FCFA, soit une légère hausse de +0,28% lors de la dernière séance. Cette tendance fortement haussière s'accompagne d'une moyenne de 4 283 FCFA et d'une médiane de 4 080 FCFA, l'écart entre ces deux valeurs indiquant une distribution légèrement asymétrique à droite, confirmée par un skewness positif de 0,153. L'écart-type de 828 FCFA, représentant un coefficient de variation de 19,3%, témoigne d'une dispersion modérée des cours autour de la moyenne. Le kurtosis négatif de -1,445 révèle une distribution platykurtique, c'est-à-dire une faible concentration des valeurs extrêmes, ce qui réduit le risque de mouvements brusques. La volatilité annualisée de 39,5% classe le titre dans la catégorie des valeurs à forte volatilité, nécessitant une gestion active du risque pour les investisseurs.</w:t>
      </w:r>
    </w:p>
    <w:p>
      <w:pPr>
        <w:spacing w:after="120" w:line="276" w:lineRule="auto" w:before="240"/>
      </w:pPr>
      <w:r>
        <w:rPr>
          <w:b/>
          <w:color w:val="003366"/>
          <w:sz w:val="24"/>
        </w:rPr>
        <w:t>**PARTIE 2 : ANALYSE TECHNIQUE DÉTAILLÉE**</w:t>
      </w:r>
    </w:p>
    <w:p>
      <w:pPr>
        <w:spacing w:after="120" w:line="276" w:lineRule="auto"/>
      </w:pPr>
      <w:r>
        <w:t>**Moyennes Mobiles** : Le cours actuel de 5 450 FCFA se positionne nettement au-dessus de la MM20 (5 293 FCFA) et de la MM50 (5 013,4 FCFA), avec un écart de 3% et 8,7% respectivement. Cette configuration haussière, où le prix évolue au-dessus des deux moyennes, confirme la dynamique positive du titre et justifie la décision d'Achat. La pente ascendante des moyennes mobiles renforce ce signal.</w:t>
      </w:r>
    </w:p>
    <w:p>
      <w:pPr>
        <w:spacing w:after="120" w:line="276" w:lineRule="auto"/>
      </w:pPr>
      <w:r>
        <w:t>**Bandes de Bollinger** : Le prix se situe à 5 450 FCFA, proche de la borne supérieure (5 621,3 FCFA) mais sans la toucher, ce qui suggère une pression acheteuse soutenue sans condition de surachat extrême. L'écart entre les bornes (environ 657 FCFA) reflète une volatilité élevée. La décision Neutre s'explique par le fait que le prix n'a pas encore franchi la borne supérieure, ce qui laisse une marge de progression avant une éventuelle correction.</w:t>
      </w:r>
    </w:p>
    <w:p>
      <w:pPr>
        <w:spacing w:after="120" w:line="276" w:lineRule="auto"/>
      </w:pPr>
      <w:r>
        <w:t>**MACD** : Le MACD (129,3) est légèrement inférieur à son signal (136,8), indiquant un momentum baissier à court terme malgré la tendance haussière de fond. Cette divergence négative suggère un essoufflement potentiel de la dynamique haussière, justifiant la décision de Vente. Les investisseurs devraient surveiller un éventuel croisement haussier pour confirmer la reprise du momentum.</w:t>
      </w:r>
    </w:p>
    <w:p>
      <w:pPr>
        <w:spacing w:after="120" w:line="276" w:lineRule="auto"/>
      </w:pPr>
      <w:r>
        <w:t>**RSI** : À 69,88, le RSI se trouve en zone neutre-haute, proche du seuil de surachat de 70. Cette valeur indique une pression acheteuse encore présente mais potentiellement proche de son point de saturation. La décision Neutre reflète l'équilibre entre la force de la tendance haussière et le risque croissant de correction technique.</w:t>
      </w:r>
    </w:p>
    <w:p>
      <w:pPr>
        <w:spacing w:after="120" w:line="276" w:lineRule="auto"/>
      </w:pPr>
      <w:r>
        <w:t>**Stochastique** : Le %K (60,6) est légèrement supérieur au %D (58,2), indiquant un croisement haussier récent mais peu prononcé. Cette configuration suggère une dynamique positive modérée, sans signal fort de surachat ou de survente. La décision Neutre est cohérente avec cette situation d'équilibre relatif.</w:t>
      </w:r>
    </w:p>
    <w:p>
      <w:pPr>
        <w:spacing w:after="120" w:line="276" w:lineRule="auto"/>
      </w:pPr>
      <w:r>
        <w:t>**Conclusion technique** : La tendance de fond reste résolument haussière, soutenue par des moyennes mobiles orientées à la hausse et un prix proche de ses plus hauts. Cependant, les signaux de court terme (MACD négatif, RSI proche du surachat, stochastique neutre) indiquent un possible ralentissement du momentum. L'analyse technique suggère une consolidation à court terme avant une éventuelle poursuite de la tendance haussière.</w:t>
      </w:r>
    </w:p>
    <w:p>
      <w:pPr>
        <w:spacing w:after="120" w:line="276" w:lineRule="auto" w:before="240"/>
      </w:pPr>
      <w:r>
        <w:rPr>
          <w:b/>
          <w:color w:val="003366"/>
          <w:sz w:val="24"/>
        </w:rPr>
        <w:t>**PARTIE 3 : ANALYSE FONDAMENTALE (SECTION CRITIQUE)**</w:t>
      </w:r>
    </w:p>
    <w:p>
      <w:pPr>
        <w:spacing w:after="120" w:line="276" w:lineRule="auto"/>
      </w:pPr>
      <w:r>
        <w:t>En 2025, BOAN affiche un Produit Net Bancaire de 21,125 milliards FCFA, en légère baisse de 1,2% par rapport à 2024 (21,38 milliards), et un résultat net de seulement 409 millions FCFA, en chute vertigineuse de 91,8% contre 5,002 milliards en 2024. Cette dégradation se reflète dans les ratios de rentabilité : le ROE s'effondre à 1,13% (contre 11,39% en 2024) et le ROA à 0,14%, tandis que la marge nette chute à 1,94%. Le coefficient d'exploitation de 74,4% témoigne d'une efficacité opérationnelle dégradée, bien au-delà du seuil de 60% considéré comme sain pour une banque. Le coût du risque de 67,3% est particulièrement préoccupant, reflétant un taux de créances en souffrance de 24% au niveau sectoriel. Les dépôts clientèle s'élèvent à 183,28 milliards FCFA contre des créances sur la clientèle de 128,45 milliards, soit un ratio de transformation de 70%, indiquant une gestion prudente. Les capitaux propres de 36,06 milliards FCFA (autonomie financière de 12,4%) restent fragiles, mais le ratio de solvabilité de 14,06% demeure conforme aux exigences UEMOA. Les rapports trimestriels 2025 confirment cette tendance dégradée : le T1 2025 montre une chute du PNB de 16,3% et du résultat net de 50,2%, tandis que le S1 2025 enregistre une baisse de 4,1% du PNB et de 25,2% du résultat net. Cependant, le rapport du T1 2026 (daté de 2026) révèle une nette amélioration avec un résultat net en hausse de 28,9% à 1 467 millions FCFA, un PNB en progression de 7,9% à 5 170 millions FCFA et un coefficient d'exploitation amélioré à 56,2%. Sur la base de ces données trimestrielles, on estime que l'exercice 2026 pourrait voir un PNB annuel d'environ 22,3 milliards FCFA (+6,4%) et un résultat net potentiel de 7,28 milliards FCFA avant impôt, conformément au budget présenté par la banque.</w:t>
      </w:r>
    </w:p>
    <w:p>
      <w:pPr>
        <w:spacing w:after="120" w:line="276" w:lineRule="auto" w:before="240"/>
      </w:pPr>
      <w:r>
        <w:rPr>
          <w:b/>
          <w:color w:val="003366"/>
          <w:sz w:val="24"/>
        </w:rPr>
        <w:t>**PARTIE 4 : CONCLUSION D'INVESTISSEMENT**</w:t>
      </w:r>
    </w:p>
    <w:p>
      <w:pPr>
        <w:spacing w:after="120" w:line="276" w:lineRule="auto"/>
      </w:pPr>
      <w:r>
        <w:t>La valorisation de BOAN apparaît extrêmement exigeante avec un PER de 277,2x et un EV/EBITDA de 40,9x, traduisant une anticipation très optimiste du marché malgré des fondamentaux 2025 très dégradés. Le comportement du cours (+92,9% en 100 jours) avec une volatilité élevée de 39,5% reflète un enthousiasme spéculatif qui contraste avec la réalité des résultats financiers. Les signaux techniques sont mitigés : la tendance de fond reste haussière, mais les indicateurs de court terme (MACD vendeur, RSI proche du surachat) suggèrent un essoufflement possible. Les fondamentaux montrent une banque en phase de redressement, avec des signes encourageants au T1 2026 (résultat net +28,9%, coefficient d'exploitation à 56,2%), mais confrontée à un risque de crédit élevé (créances douteuses à 24%) et à un environnement macroéconomique nigérien encore fragile. Les prédictions IA pour les 10 prochains jours (5 413 à 5 363 FCFA) indiquent une légère correction attendue, cohérente avec les signaux techniques de court terme. En synthèse, la convergence entre la valorisation excessive, les signaux techniques de consolidation et les prédictions IA baissières suggère une recommandation CONSERVER, avec un niveau de confiance Moyen et un risque global Élevé. L'horizon d'investissement optimal serait le moyen terme (3-12 mois), en attendant la confirmation du redressement fondamental à travers les résultats 2026.</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10.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296.64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10,037 titres</w:t>
            </w:r>
          </w:p>
        </w:tc>
        <w:tc>
          <w:tcPr>
            <w:tcW w:type="dxa" w:w="2268"/>
            <w:shd w:fill="FFF2CC" w:val="clear"/>
          </w:tcPr>
          <w:p>
            <w:r>
              <w:rPr>
                <w:b/>
                <w:color w:val="503200"/>
                <w:sz w:val="16"/>
              </w:rPr>
              <w:t xml:space="preserve">Cours actuel : </w:t>
            </w:r>
            <w:r>
              <w:rPr>
                <w:color w:val="000000"/>
                <w:sz w:val="17"/>
              </w:rPr>
              <w:t>8,240 FCFA</w:t>
            </w:r>
          </w:p>
          <w:p>
            <w:r>
              <w:rPr>
                <w:b/>
                <w:color w:val="503200"/>
                <w:sz w:val="16"/>
              </w:rPr>
              <w:t xml:space="preserve">Var. 100 jours : </w:t>
            </w:r>
            <w:r>
              <w:rPr>
                <w:b/>
                <w:color w:val="007800"/>
                <w:sz w:val="17"/>
              </w:rPr>
              <w:t>+23.17%</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6,690 FCFA</w:t>
            </w:r>
          </w:p>
          <w:p>
            <w:r>
              <w:rPr>
                <w:b/>
                <w:color w:val="503200"/>
                <w:sz w:val="16"/>
              </w:rPr>
              <w:t xml:space="preserve">Volatilité ann. : </w:t>
            </w:r>
            <w:r>
              <w:rPr>
                <w:color w:val="000000"/>
                <w:sz w:val="17"/>
              </w:rPr>
              <w:t>24.5%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5.63% (Moyenne) — μ=7,497 FCFA, σ=422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β=0.2646 (Défensif) — Cov=0.000010, Var(idx)=0.000036, ρ=0.102,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10,037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σ_j=1.54%/j (Stable) — Vol. annualisée≈24.5%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2026-09-07</w:t>
            </w:r>
          </w:p>
        </w:tc>
        <w:tc>
          <w:tcPr>
            <w:tcW w:type="dxa" w:w="1440"/>
            <w:shd w:fill="FFDCE0" w:val="clear"/>
          </w:tcPr>
          <w:p>
            <w:r>
              <w:rPr>
                <w:sz w:val="17"/>
              </w:rPr>
              <w:t>7,816</w:t>
            </w:r>
          </w:p>
        </w:tc>
        <w:tc>
          <w:tcPr>
            <w:tcW w:type="dxa" w:w="1440"/>
            <w:shd w:fill="FFDCE0" w:val="clear"/>
          </w:tcPr>
          <w:p>
            <w:r>
              <w:rPr>
                <w:b/>
                <w:sz w:val="17"/>
              </w:rPr>
              <w:t>8,035</w:t>
            </w:r>
          </w:p>
        </w:tc>
        <w:tc>
          <w:tcPr>
            <w:tcW w:type="dxa" w:w="1440"/>
            <w:shd w:fill="FFDCE0" w:val="clear"/>
          </w:tcPr>
          <w:p>
            <w:r>
              <w:rPr>
                <w:sz w:val="17"/>
              </w:rPr>
              <w:t>8,254</w:t>
            </w:r>
          </w:p>
        </w:tc>
        <w:tc>
          <w:tcPr>
            <w:tcW w:type="dxa" w:w="1440"/>
            <w:shd w:fill="FFDCE0" w:val="clear"/>
          </w:tcPr>
          <w:p>
            <w:r>
              <w:rPr>
                <w:b/>
                <w:color w:val="C00000"/>
                <w:sz w:val="17"/>
              </w:rPr>
              <w:t>-2.5%</w:t>
            </w:r>
          </w:p>
        </w:tc>
      </w:tr>
      <w:tr>
        <w:tc>
          <w:tcPr>
            <w:tcW w:type="dxa" w:w="1440"/>
            <w:shd w:fill="FFDCE0" w:val="clear"/>
          </w:tcPr>
          <w:p>
            <w:r>
              <w:rPr>
                <w:sz w:val="17"/>
              </w:rPr>
              <w:t>J+2  ⭐⭐⭐</w:t>
            </w:r>
          </w:p>
        </w:tc>
        <w:tc>
          <w:tcPr>
            <w:tcW w:type="dxa" w:w="1440"/>
            <w:shd w:fill="FFDCE0" w:val="clear"/>
          </w:tcPr>
          <w:p>
            <w:r>
              <w:rPr>
                <w:sz w:val="17"/>
              </w:rPr>
              <w:t>2026-09-08</w:t>
            </w:r>
          </w:p>
        </w:tc>
        <w:tc>
          <w:tcPr>
            <w:tcW w:type="dxa" w:w="1440"/>
            <w:shd w:fill="FFDCE0" w:val="clear"/>
          </w:tcPr>
          <w:p>
            <w:r>
              <w:rPr>
                <w:sz w:val="17"/>
              </w:rPr>
              <w:t>7,583</w:t>
            </w:r>
          </w:p>
        </w:tc>
        <w:tc>
          <w:tcPr>
            <w:tcW w:type="dxa" w:w="1440"/>
            <w:shd w:fill="FFDCE0" w:val="clear"/>
          </w:tcPr>
          <w:p>
            <w:r>
              <w:rPr>
                <w:b/>
                <w:sz w:val="17"/>
              </w:rPr>
              <w:t>7,887</w:t>
            </w:r>
          </w:p>
        </w:tc>
        <w:tc>
          <w:tcPr>
            <w:tcW w:type="dxa" w:w="1440"/>
            <w:shd w:fill="FFDCE0" w:val="clear"/>
          </w:tcPr>
          <w:p>
            <w:r>
              <w:rPr>
                <w:sz w:val="17"/>
              </w:rPr>
              <w:t>8,192</w:t>
            </w:r>
          </w:p>
        </w:tc>
        <w:tc>
          <w:tcPr>
            <w:tcW w:type="dxa" w:w="1440"/>
            <w:shd w:fill="FFDCE0" w:val="clear"/>
          </w:tcPr>
          <w:p>
            <w:r>
              <w:rPr>
                <w:b/>
                <w:color w:val="C00000"/>
                <w:sz w:val="17"/>
              </w:rPr>
              <w:t>-4.3%</w:t>
            </w:r>
          </w:p>
        </w:tc>
      </w:tr>
      <w:tr>
        <w:tc>
          <w:tcPr>
            <w:tcW w:type="dxa" w:w="1440"/>
            <w:shd w:fill="FFDCE0" w:val="clear"/>
          </w:tcPr>
          <w:p>
            <w:r>
              <w:rPr>
                <w:sz w:val="17"/>
              </w:rPr>
              <w:t>J+3  ⭐⭐⭐</w:t>
            </w:r>
          </w:p>
        </w:tc>
        <w:tc>
          <w:tcPr>
            <w:tcW w:type="dxa" w:w="1440"/>
            <w:shd w:fill="FFDCE0" w:val="clear"/>
          </w:tcPr>
          <w:p>
            <w:r>
              <w:rPr>
                <w:sz w:val="17"/>
              </w:rPr>
              <w:t>2026-09-09</w:t>
            </w:r>
          </w:p>
        </w:tc>
        <w:tc>
          <w:tcPr>
            <w:tcW w:type="dxa" w:w="1440"/>
            <w:shd w:fill="FFDCE0" w:val="clear"/>
          </w:tcPr>
          <w:p>
            <w:r>
              <w:rPr>
                <w:sz w:val="17"/>
              </w:rPr>
              <w:t>7,382</w:t>
            </w:r>
          </w:p>
        </w:tc>
        <w:tc>
          <w:tcPr>
            <w:tcW w:type="dxa" w:w="1440"/>
            <w:shd w:fill="FFDCE0" w:val="clear"/>
          </w:tcPr>
          <w:p>
            <w:r>
              <w:rPr>
                <w:b/>
                <w:sz w:val="17"/>
              </w:rPr>
              <w:t>7,748</w:t>
            </w:r>
          </w:p>
        </w:tc>
        <w:tc>
          <w:tcPr>
            <w:tcW w:type="dxa" w:w="1440"/>
            <w:shd w:fill="FFDCE0" w:val="clear"/>
          </w:tcPr>
          <w:p>
            <w:r>
              <w:rPr>
                <w:sz w:val="17"/>
              </w:rPr>
              <w:t>8,114</w:t>
            </w:r>
          </w:p>
        </w:tc>
        <w:tc>
          <w:tcPr>
            <w:tcW w:type="dxa" w:w="1440"/>
            <w:shd w:fill="FFDCE0" w:val="clear"/>
          </w:tcPr>
          <w:p>
            <w:r>
              <w:rPr>
                <w:b/>
                <w:color w:val="C00000"/>
                <w:sz w:val="17"/>
              </w:rPr>
              <w:t>-6.0%</w:t>
            </w:r>
          </w:p>
        </w:tc>
      </w:tr>
      <w:tr>
        <w:tc>
          <w:tcPr>
            <w:tcW w:type="dxa" w:w="1440"/>
            <w:shd w:fill="FFDCE0" w:val="clear"/>
          </w:tcPr>
          <w:p>
            <w:r>
              <w:rPr>
                <w:sz w:val="17"/>
              </w:rPr>
              <w:t>J+4  Moyenne</w:t>
            </w:r>
          </w:p>
        </w:tc>
        <w:tc>
          <w:tcPr>
            <w:tcW w:type="dxa" w:w="1440"/>
            <w:shd w:fill="FFDCE0" w:val="clear"/>
          </w:tcPr>
          <w:p>
            <w:r>
              <w:rPr>
                <w:sz w:val="17"/>
              </w:rPr>
              <w:t>2026-09-10</w:t>
            </w:r>
          </w:p>
        </w:tc>
        <w:tc>
          <w:tcPr>
            <w:tcW w:type="dxa" w:w="1440"/>
            <w:shd w:fill="FFDCE0" w:val="clear"/>
          </w:tcPr>
          <w:p>
            <w:r>
              <w:rPr>
                <w:sz w:val="17"/>
              </w:rPr>
              <w:t>7,205</w:t>
            </w:r>
          </w:p>
        </w:tc>
        <w:tc>
          <w:tcPr>
            <w:tcW w:type="dxa" w:w="1440"/>
            <w:shd w:fill="FFDCE0" w:val="clear"/>
          </w:tcPr>
          <w:p>
            <w:r>
              <w:rPr>
                <w:b/>
                <w:sz w:val="17"/>
              </w:rPr>
              <w:t>7,621</w:t>
            </w:r>
          </w:p>
        </w:tc>
        <w:tc>
          <w:tcPr>
            <w:tcW w:type="dxa" w:w="1440"/>
            <w:shd w:fill="FFDCE0" w:val="clear"/>
          </w:tcPr>
          <w:p>
            <w:r>
              <w:rPr>
                <w:sz w:val="17"/>
              </w:rPr>
              <w:t>8,036</w:t>
            </w:r>
          </w:p>
        </w:tc>
        <w:tc>
          <w:tcPr>
            <w:tcW w:type="dxa" w:w="1440"/>
            <w:shd w:fill="FFDCE0" w:val="clear"/>
          </w:tcPr>
          <w:p>
            <w:r>
              <w:rPr>
                <w:b/>
                <w:color w:val="C00000"/>
                <w:sz w:val="17"/>
              </w:rPr>
              <w:t>-7.5%</w:t>
            </w:r>
          </w:p>
        </w:tc>
      </w:tr>
      <w:tr>
        <w:tc>
          <w:tcPr>
            <w:tcW w:type="dxa" w:w="1440"/>
            <w:shd w:fill="FFDCE0" w:val="clear"/>
          </w:tcPr>
          <w:p>
            <w:r>
              <w:rPr>
                <w:sz w:val="17"/>
              </w:rPr>
              <w:t>J+5  Moyenne</w:t>
            </w:r>
          </w:p>
        </w:tc>
        <w:tc>
          <w:tcPr>
            <w:tcW w:type="dxa" w:w="1440"/>
            <w:shd w:fill="FFDCE0" w:val="clear"/>
          </w:tcPr>
          <w:p>
            <w:r>
              <w:rPr>
                <w:sz w:val="17"/>
              </w:rPr>
              <w:t>2026-09-11</w:t>
            </w:r>
          </w:p>
        </w:tc>
        <w:tc>
          <w:tcPr>
            <w:tcW w:type="dxa" w:w="1440"/>
            <w:shd w:fill="FFDCE0" w:val="clear"/>
          </w:tcPr>
          <w:p>
            <w:r>
              <w:rPr>
                <w:sz w:val="17"/>
              </w:rPr>
              <w:t>7,045</w:t>
            </w:r>
          </w:p>
        </w:tc>
        <w:tc>
          <w:tcPr>
            <w:tcW w:type="dxa" w:w="1440"/>
            <w:shd w:fill="FFDCE0" w:val="clear"/>
          </w:tcPr>
          <w:p>
            <w:r>
              <w:rPr>
                <w:b/>
                <w:sz w:val="17"/>
              </w:rPr>
              <w:t>7,502</w:t>
            </w:r>
          </w:p>
        </w:tc>
        <w:tc>
          <w:tcPr>
            <w:tcW w:type="dxa" w:w="1440"/>
            <w:shd w:fill="FFDCE0" w:val="clear"/>
          </w:tcPr>
          <w:p>
            <w:r>
              <w:rPr>
                <w:sz w:val="17"/>
              </w:rPr>
              <w:t>7,960</w:t>
            </w:r>
          </w:p>
        </w:tc>
        <w:tc>
          <w:tcPr>
            <w:tcW w:type="dxa" w:w="1440"/>
            <w:shd w:fill="FFDCE0" w:val="clear"/>
          </w:tcPr>
          <w:p>
            <w:r>
              <w:rPr>
                <w:b/>
                <w:color w:val="C00000"/>
                <w:sz w:val="17"/>
              </w:rPr>
              <w:t>-9.0%</w:t>
            </w:r>
          </w:p>
        </w:tc>
      </w:tr>
      <w:tr>
        <w:tc>
          <w:tcPr>
            <w:tcW w:type="dxa" w:w="1440"/>
            <w:shd w:fill="FFDCE0" w:val="clear"/>
          </w:tcPr>
          <w:p>
            <w:r>
              <w:rPr>
                <w:sz w:val="17"/>
              </w:rPr>
              <w:t>J+6  Moyenne</w:t>
            </w:r>
          </w:p>
        </w:tc>
        <w:tc>
          <w:tcPr>
            <w:tcW w:type="dxa" w:w="1440"/>
            <w:shd w:fill="FFDCE0" w:val="clear"/>
          </w:tcPr>
          <w:p>
            <w:r>
              <w:rPr>
                <w:sz w:val="17"/>
              </w:rPr>
              <w:t>2026-09-14</w:t>
            </w:r>
          </w:p>
        </w:tc>
        <w:tc>
          <w:tcPr>
            <w:tcW w:type="dxa" w:w="1440"/>
            <w:shd w:fill="FFDCE0" w:val="clear"/>
          </w:tcPr>
          <w:p>
            <w:r>
              <w:rPr>
                <w:sz w:val="17"/>
              </w:rPr>
              <w:t>6,897</w:t>
            </w:r>
          </w:p>
        </w:tc>
        <w:tc>
          <w:tcPr>
            <w:tcW w:type="dxa" w:w="1440"/>
            <w:shd w:fill="FFDCE0" w:val="clear"/>
          </w:tcPr>
          <w:p>
            <w:r>
              <w:rPr>
                <w:b/>
                <w:sz w:val="17"/>
              </w:rPr>
              <w:t>7,391</w:t>
            </w:r>
          </w:p>
        </w:tc>
        <w:tc>
          <w:tcPr>
            <w:tcW w:type="dxa" w:w="1440"/>
            <w:shd w:fill="FFDCE0" w:val="clear"/>
          </w:tcPr>
          <w:p>
            <w:r>
              <w:rPr>
                <w:sz w:val="17"/>
              </w:rPr>
              <w:t>7,885</w:t>
            </w:r>
          </w:p>
        </w:tc>
        <w:tc>
          <w:tcPr>
            <w:tcW w:type="dxa" w:w="1440"/>
            <w:shd w:fill="FFDCE0" w:val="clear"/>
          </w:tcPr>
          <w:p>
            <w:r>
              <w:rPr>
                <w:b/>
                <w:color w:val="C00000"/>
                <w:sz w:val="17"/>
              </w:rPr>
              <w:t>-10.3%</w:t>
            </w:r>
          </w:p>
        </w:tc>
      </w:tr>
      <w:tr>
        <w:tc>
          <w:tcPr>
            <w:tcW w:type="dxa" w:w="1440"/>
            <w:shd w:fill="FFDCE0" w:val="clear"/>
          </w:tcPr>
          <w:p>
            <w:r>
              <w:rPr>
                <w:sz w:val="17"/>
              </w:rPr>
              <w:t>J+7  Moyenne</w:t>
            </w:r>
          </w:p>
        </w:tc>
        <w:tc>
          <w:tcPr>
            <w:tcW w:type="dxa" w:w="1440"/>
            <w:shd w:fill="FFDCE0" w:val="clear"/>
          </w:tcPr>
          <w:p>
            <w:r>
              <w:rPr>
                <w:sz w:val="17"/>
              </w:rPr>
              <w:t>2026-09-15</w:t>
            </w:r>
          </w:p>
        </w:tc>
        <w:tc>
          <w:tcPr>
            <w:tcW w:type="dxa" w:w="1440"/>
            <w:shd w:fill="FFDCE0" w:val="clear"/>
          </w:tcPr>
          <w:p>
            <w:r>
              <w:rPr>
                <w:sz w:val="17"/>
              </w:rPr>
              <w:t>6,761</w:t>
            </w:r>
          </w:p>
        </w:tc>
        <w:tc>
          <w:tcPr>
            <w:tcW w:type="dxa" w:w="1440"/>
            <w:shd w:fill="FFDCE0" w:val="clear"/>
          </w:tcPr>
          <w:p>
            <w:r>
              <w:rPr>
                <w:b/>
                <w:sz w:val="17"/>
              </w:rPr>
              <w:t>7,286</w:t>
            </w:r>
          </w:p>
        </w:tc>
        <w:tc>
          <w:tcPr>
            <w:tcW w:type="dxa" w:w="1440"/>
            <w:shd w:fill="FFDCE0" w:val="clear"/>
          </w:tcPr>
          <w:p>
            <w:r>
              <w:rPr>
                <w:sz w:val="17"/>
              </w:rPr>
              <w:t>7,812</w:t>
            </w:r>
          </w:p>
        </w:tc>
        <w:tc>
          <w:tcPr>
            <w:tcW w:type="dxa" w:w="1440"/>
            <w:shd w:fill="FFDCE0" w:val="clear"/>
          </w:tcPr>
          <w:p>
            <w:r>
              <w:rPr>
                <w:b/>
                <w:color w:val="C00000"/>
                <w:sz w:val="17"/>
              </w:rPr>
              <w:t>-11.6%</w:t>
            </w:r>
          </w:p>
        </w:tc>
      </w:tr>
      <w:tr>
        <w:tc>
          <w:tcPr>
            <w:tcW w:type="dxa" w:w="1440"/>
            <w:shd w:fill="FFDCE0" w:val="clear"/>
          </w:tcPr>
          <w:p>
            <w:r>
              <w:rPr>
                <w:sz w:val="17"/>
              </w:rPr>
              <w:t>J+8  Moyenne</w:t>
            </w:r>
          </w:p>
        </w:tc>
        <w:tc>
          <w:tcPr>
            <w:tcW w:type="dxa" w:w="1440"/>
            <w:shd w:fill="FFDCE0" w:val="clear"/>
          </w:tcPr>
          <w:p>
            <w:r>
              <w:rPr>
                <w:sz w:val="17"/>
              </w:rPr>
              <w:t>2026-09-16</w:t>
            </w:r>
          </w:p>
        </w:tc>
        <w:tc>
          <w:tcPr>
            <w:tcW w:type="dxa" w:w="1440"/>
            <w:shd w:fill="FFDCE0" w:val="clear"/>
          </w:tcPr>
          <w:p>
            <w:r>
              <w:rPr>
                <w:sz w:val="17"/>
              </w:rPr>
              <w:t>6,633</w:t>
            </w:r>
          </w:p>
        </w:tc>
        <w:tc>
          <w:tcPr>
            <w:tcW w:type="dxa" w:w="1440"/>
            <w:shd w:fill="FFDCE0" w:val="clear"/>
          </w:tcPr>
          <w:p>
            <w:r>
              <w:rPr>
                <w:b/>
                <w:sz w:val="17"/>
              </w:rPr>
              <w:t>7,188</w:t>
            </w:r>
          </w:p>
        </w:tc>
        <w:tc>
          <w:tcPr>
            <w:tcW w:type="dxa" w:w="1440"/>
            <w:shd w:fill="FFDCE0" w:val="clear"/>
          </w:tcPr>
          <w:p>
            <w:r>
              <w:rPr>
                <w:sz w:val="17"/>
              </w:rPr>
              <w:t>7,742</w:t>
            </w:r>
          </w:p>
        </w:tc>
        <w:tc>
          <w:tcPr>
            <w:tcW w:type="dxa" w:w="1440"/>
            <w:shd w:fill="FFDCE0" w:val="clear"/>
          </w:tcPr>
          <w:p>
            <w:r>
              <w:rPr>
                <w:b/>
                <w:color w:val="C00000"/>
                <w:sz w:val="17"/>
              </w:rPr>
              <w:t>-12.8%</w:t>
            </w:r>
          </w:p>
        </w:tc>
      </w:tr>
      <w:tr>
        <w:tc>
          <w:tcPr>
            <w:tcW w:type="dxa" w:w="1440"/>
            <w:shd w:fill="FFDCE0" w:val="clear"/>
          </w:tcPr>
          <w:p>
            <w:r>
              <w:rPr>
                <w:sz w:val="17"/>
              </w:rPr>
              <w:t>J+9  Moyenne</w:t>
            </w:r>
          </w:p>
        </w:tc>
        <w:tc>
          <w:tcPr>
            <w:tcW w:type="dxa" w:w="1440"/>
            <w:shd w:fill="FFDCE0" w:val="clear"/>
          </w:tcPr>
          <w:p>
            <w:r>
              <w:rPr>
                <w:sz w:val="17"/>
              </w:rPr>
              <w:t>2026-09-17</w:t>
            </w:r>
          </w:p>
        </w:tc>
        <w:tc>
          <w:tcPr>
            <w:tcW w:type="dxa" w:w="1440"/>
            <w:shd w:fill="FFDCE0" w:val="clear"/>
          </w:tcPr>
          <w:p>
            <w:r>
              <w:rPr>
                <w:sz w:val="17"/>
              </w:rPr>
              <w:t>6,514</w:t>
            </w:r>
          </w:p>
        </w:tc>
        <w:tc>
          <w:tcPr>
            <w:tcW w:type="dxa" w:w="1440"/>
            <w:shd w:fill="FFDCE0" w:val="clear"/>
          </w:tcPr>
          <w:p>
            <w:r>
              <w:rPr>
                <w:b/>
                <w:sz w:val="17"/>
              </w:rPr>
              <w:t>7,094</w:t>
            </w:r>
          </w:p>
        </w:tc>
        <w:tc>
          <w:tcPr>
            <w:tcW w:type="dxa" w:w="1440"/>
            <w:shd w:fill="FFDCE0" w:val="clear"/>
          </w:tcPr>
          <w:p>
            <w:r>
              <w:rPr>
                <w:sz w:val="17"/>
              </w:rPr>
              <w:t>7,675</w:t>
            </w:r>
          </w:p>
        </w:tc>
        <w:tc>
          <w:tcPr>
            <w:tcW w:type="dxa" w:w="1440"/>
            <w:shd w:fill="FFDCE0" w:val="clear"/>
          </w:tcPr>
          <w:p>
            <w:r>
              <w:rPr>
                <w:b/>
                <w:color w:val="C00000"/>
                <w:sz w:val="17"/>
              </w:rPr>
              <w:t>-13.9%</w:t>
            </w:r>
          </w:p>
        </w:tc>
      </w:tr>
      <w:tr>
        <w:tc>
          <w:tcPr>
            <w:tcW w:type="dxa" w:w="1440"/>
            <w:shd w:fill="FFDCE0" w:val="clear"/>
          </w:tcPr>
          <w:p>
            <w:r>
              <w:rPr>
                <w:sz w:val="17"/>
              </w:rPr>
              <w:t>J+10  Moyenne</w:t>
            </w:r>
          </w:p>
        </w:tc>
        <w:tc>
          <w:tcPr>
            <w:tcW w:type="dxa" w:w="1440"/>
            <w:shd w:fill="FFDCE0" w:val="clear"/>
          </w:tcPr>
          <w:p>
            <w:r>
              <w:rPr>
                <w:sz w:val="17"/>
              </w:rPr>
              <w:t>2026-09-18</w:t>
            </w:r>
          </w:p>
        </w:tc>
        <w:tc>
          <w:tcPr>
            <w:tcW w:type="dxa" w:w="1440"/>
            <w:shd w:fill="FFDCE0" w:val="clear"/>
          </w:tcPr>
          <w:p>
            <w:r>
              <w:rPr>
                <w:sz w:val="17"/>
              </w:rPr>
              <w:t>6,402</w:t>
            </w:r>
          </w:p>
        </w:tc>
        <w:tc>
          <w:tcPr>
            <w:tcW w:type="dxa" w:w="1440"/>
            <w:shd w:fill="FFDCE0" w:val="clear"/>
          </w:tcPr>
          <w:p>
            <w:r>
              <w:rPr>
                <w:b/>
                <w:sz w:val="17"/>
              </w:rPr>
              <w:t>7,006</w:t>
            </w:r>
          </w:p>
        </w:tc>
        <w:tc>
          <w:tcPr>
            <w:tcW w:type="dxa" w:w="1440"/>
            <w:shd w:fill="FFDCE0" w:val="clear"/>
          </w:tcPr>
          <w:p>
            <w:r>
              <w:rPr>
                <w:sz w:val="17"/>
              </w:rPr>
              <w:t>7,610</w:t>
            </w:r>
          </w:p>
        </w:tc>
        <w:tc>
          <w:tcPr>
            <w:tcW w:type="dxa" w:w="1440"/>
            <w:shd w:fill="FFDCE0" w:val="clear"/>
          </w:tcPr>
          <w:p>
            <w:r>
              <w:rPr>
                <w:b/>
                <w:color w:val="C00000"/>
                <w:sz w:val="17"/>
              </w:rPr>
              <w:t>-15.0%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Absolument. Voici un rapport d'analyse professionnel structuré pour l'action BOAS, conformément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296,64 milliards FCFA positionne BOAS comme une valeur de premier plan sur la BRVM, reflétant la confiance des investisseurs dans le secteur bancaire sénégalais. Avec un BPA de 608 FCFA, chaque action génère un bénéfice substantiel. Le PER de 13,5x est légèrement supérieur à la moyenne historique de la BRVM (8-12x), indiquant que le marché est prêt à payer une prime, probablement justifiée par la qualité de la croissance de la banque. Le P/B de 3,07x confirme cette prime, le marché valorisant l'actif net à plus de trois fois sa valeur comptable, signe d'une forte création de valeur attendue. Enfin, un EV/EBITDA de 8,8x, dans la fourchette haute mais raisonnable (5-10x), suggère que la valorisation de l'entreprise, dette incluse, reste cohérente avec sa capacité opérationnelle à générer des bénéfices.</w:t>
      </w:r>
    </w:p>
    <w:p>
      <w:pPr>
        <w:spacing w:after="120" w:line="276" w:lineRule="auto"/>
      </w:pPr>
      <w:r>
        <w:t>### **PARTIE 1 : ANALYSE DU COURS — STATISTIQUES ET ÉVOLUTION (100 derniers jours)**</w:t>
      </w:r>
    </w:p>
    <w:p>
      <w:pPr>
        <w:spacing w:after="120" w:line="276" w:lineRule="auto"/>
      </w:pPr>
      <w:r>
        <w:t>Sur les 100 derniers jours, l'action BOAS a affiché une performance remarquable avec une progression totale de +23,17%, bien que la dernière séance ait enregistré un léger repli de -0,72% à 8 240 FCFA. Le titre a évolué dans une fourchette de 6 690 à 8 500 FCFA, démontrant une dynamique haussière soutenue. Les statistiques descriptives confirment cette tendance : la moyenne (7 497 FCFA) est proche de la médiane (7 442 FCFA), et le skewness positif (0.234) indique une distribution quasi symétrique avec une légère queue vers les hauts cours. L'écart-type de 424 FCFA (CV=5,7%) révèle une dispersion modérée autour de la moyenne. Le kurtosis de -0,126 (mésokurtique) suggère l'absence de mouvements extrêmes ou de pics de volatilité inhabituels. Enfin, la volatilité annualisée de 24,5% classe le titre dans une catégorie à risque modéré, ce qui est cohérent avec une tendance haussière stable mais non explosive.</w:t>
      </w:r>
    </w:p>
    <w:p>
      <w:pPr>
        <w:spacing w:after="120" w:line="276" w:lineRule="auto"/>
      </w:pPr>
      <w:r>
        <w:t>### **PARTIE 2 : ANALYSE TECHNIQUE DÉTAILLÉE**</w:t>
      </w:r>
    </w:p>
    <w:p>
      <w:pPr>
        <w:spacing w:after="120" w:line="276" w:lineRule="auto"/>
      </w:pPr>
      <w:r>
        <w:t>**Moyennes Mobiles:** Le cours actuel (8 240 FCFA) se positionne nettement au-dessus de sa MM20 (8 035,5 FCFA) et de sa MM50 (7 719,2 FCFA). Cette configuration haussière, où les moyennes courtes sont au-dessus des moyennes longues, confirme la solidité de la tendance et justifie le signal d'achat.</w:t>
      </w:r>
    </w:p>
    <w:p>
      <w:pPr>
        <w:spacing w:after="120" w:line="276" w:lineRule="auto"/>
      </w:pPr>
      <w:r>
        <w:t>**Bandes de Bollinger:** Le prix se situe à 8 240 FCFA, entre la borne supérieure (8 643,6 FCFA) et la borne inférieure (7 427,4 FCFA). La position du cours dans la moitié supérieure des bandes indique une pression acheteuse persistante, mais sans être en zone de surachat extrême. La décision est neutre, le marché laissant une marge de fluctuation avant d'atteindre des niveaux extrêmes.</w:t>
      </w:r>
    </w:p>
    <w:p>
      <w:pPr>
        <w:spacing w:after="120" w:line="276" w:lineRule="auto"/>
      </w:pPr>
      <w:r>
        <w:t>**MACD:** La valeur du MACD (177,62) est supérieure à sa ligne de signal (174,798), avec un écart positif. Cette configuration haussière indique que le momentum de court terme reste positif et soutient la poursuite de la tendance, d'où le signal d'achat.</w:t>
      </w:r>
    </w:p>
    <w:p>
      <w:pPr>
        <w:spacing w:after="120" w:line="276" w:lineRule="auto"/>
      </w:pPr>
      <w:r>
        <w:t>**RSI:** Le RSI s'établit à 72,881, dépassant le seuil de 70. Cette valeur signale une condition de surachat technique. Bien que le titre puisse rester suracheté pendant un certain temps en tendance forte, cela suggère un risque de consolidation ou de correction à court terme, justifiant le signal de vente.</w:t>
      </w:r>
    </w:p>
    <w:p>
      <w:pPr>
        <w:spacing w:after="120" w:line="276" w:lineRule="auto"/>
      </w:pPr>
      <w:r>
        <w:t>**Stochastique:** Le %K (62,857) est inférieur à son %D (68,586), indiquant un croisement baissier potentiel. Bien que les deux lignes soient encore dans la zone neutre, cette configuration suggère un affaiblissement du momentum haussier à très court terme, d'où la décision neutre.</w:t>
      </w:r>
    </w:p>
    <w:p>
      <w:pPr>
        <w:spacing w:after="120" w:line="276" w:lineRule="auto"/>
      </w:pPr>
      <w:r>
        <w:t>**Conclusion technique :** La tendance de fond reste clairement haussière, portée par les moyennes mobiles et le MACD. Cependant, la vigueur de la hausse récente a propulsé le RSI en zone de surachat, et le croisement baissier du stochastique suggère un essoufflement à très court terme. Le scénario le plus probable est une phase de consolidation ou de léger repli avant la reprise de la tendance haussière, à moins que le RSI ne reste durablement élevé.</w:t>
      </w:r>
    </w:p>
    <w:p>
      <w:pPr>
        <w:spacing w:after="120" w:line="276" w:lineRule="auto"/>
      </w:pPr>
      <w:r>
        <w:t>### **PARTIE 3 : ANALYSE FONDAMENTALE (SECTION CRITIQUE)**</w:t>
      </w:r>
    </w:p>
    <w:p>
      <w:pPr>
        <w:spacing w:after="120" w:line="276" w:lineRule="auto"/>
      </w:pPr>
      <w:r>
        <w:t>En 2025, BOAS affiche des fondamentaux solides. Le Produit Net Bancaire (PNB) s'établit à 51,926 milliards FCFA, générant un résultat net de 21,905 milliards FCFA. Cette performance se traduit par un ROE exceptionnel de 22,69% et un ROA sain de 2,62%. La banque démontre une excellente maîtrise de ses coûts avec un coefficient d'exploitation de 44,02%, bien en dessous du seuil d'efficacité de 60%. Le coût du risque, à 23,31% des charges financières, reste un point de vigilance mais s'améliore. La structure financière montre une dépendance aux dépôts clients (686,9 Mds FCFA) qui financent largement les crédits (386,4 Mds FCFA), avec une autonomie financière de 11,54%. Les rapports trimestriels de 2025 confirment cette dynamique positive : le T1 (PNB 11,78 Mds FCFA, RN +9,25%), le S1 (PNB 25,37 Mds FCFA, RN +12,7%) et le T3 (PNB 37,44 Mds FCFA, RN +10,01%) montrent une croissance soutenue et une amélioration continue de la rentabilité. Sur la base de ces tendances, on estime que l'exercice 2025 devrait confirmer une croissance à deux chiffres du résultat net, portée par la hausse des dépôts (+9,8%) et une meilleure gestion du risque. Les rapports de 2026 (T1) indiquent une poursuite de cette lancée avec un PNB en hausse de 6,82% et un résultat net en progression de 9,78%, suggérant une continuité dans la création de valeur.</w:t>
      </w:r>
    </w:p>
    <w:p>
      <w:pPr>
        <w:spacing w:after="120" w:line="276" w:lineRule="auto"/>
      </w:pPr>
      <w:r>
        <w:t>### **PARTIE 4 : CONCLUSION D'INVESTISSEMENT**</w:t>
      </w:r>
    </w:p>
    <w:p>
      <w:pPr>
        <w:spacing w:after="120" w:line="276" w:lineRule="auto"/>
      </w:pPr>
      <w:r>
        <w:t>La synthèse des analyses converge vers une opinion positive sur l'action BOAS. La valorisation (PER de 13,5x, P/B de 3,07x) est certes exigeante, mais elle est justifiée par une rentabilité financière (ROE &gt;22%) et une croissance des bénéfices supérieures à la moyenne du marché. Le comportement du cours sur 100 jours est haussier et sain, avec une volatilité modérée et une distribution des rendements sans risque de kurtosis extrême. Les signaux techniques sont partagés entre une tendance de fond haussière (MM, MACD) et des indicateurs de surachat à court terme (RSI), suggérant une possible pause avant une poursuite de la hausse. Les fondamentaux sont indiscutablement solides, avec une banque efficace, rentable et en croissance, comme le confirment les rapports trimestriels de 2025 et 2026. Cependant, les prédictions IA pour les 10 prochains jours (baisse de 8 240 à 7 502 FCFA) anticipent une correction, ce qui est cohérent avec les signaux de surachat technique. Par conséquent, la recommandation est un **ACHAT**, mais avec un niveau de confiance **Moyen** et un risque global **Moyen**. L'horizon d'investissement optimal serait le **moyen terme (3-12 mois)**, en profitant d'une éventuelle correction à court terme pour renforcer la position, la tendance de fond et les fondamentaux solides plaidant pour une appréciation du titre à moyen terme.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11.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20.96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2,186 titres</w:t>
            </w:r>
          </w:p>
        </w:tc>
        <w:tc>
          <w:tcPr>
            <w:tcW w:type="dxa" w:w="2268"/>
            <w:shd w:fill="FFF2CC" w:val="clear"/>
          </w:tcPr>
          <w:p>
            <w:r>
              <w:rPr>
                <w:b/>
                <w:color w:val="503200"/>
                <w:sz w:val="16"/>
              </w:rPr>
              <w:t xml:space="preserve">Cours actuel : </w:t>
            </w:r>
            <w:r>
              <w:rPr>
                <w:color w:val="000000"/>
                <w:sz w:val="17"/>
              </w:rPr>
              <w:t>3,540 FCFA</w:t>
            </w:r>
          </w:p>
          <w:p>
            <w:r>
              <w:rPr>
                <w:b/>
                <w:color w:val="503200"/>
                <w:sz w:val="16"/>
              </w:rPr>
              <w:t xml:space="preserve">Var. 100 jours : </w:t>
            </w:r>
            <w:r>
              <w:rPr>
                <w:b/>
                <w:color w:val="B40000"/>
                <w:sz w:val="17"/>
              </w:rPr>
              <w:t>-18.43%</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3,350 FCFA</w:t>
            </w:r>
          </w:p>
          <w:p>
            <w:r>
              <w:rPr>
                <w:b/>
                <w:color w:val="503200"/>
                <w:sz w:val="16"/>
              </w:rPr>
              <w:t xml:space="preserve">Volatilité ann. : </w:t>
            </w:r>
            <w:r>
              <w:rPr>
                <w:color w:val="000000"/>
                <w:sz w:val="17"/>
              </w:rPr>
              <w:t>49.0%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7.36% (Moyenne) — μ=3,742 FCFA, σ=275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β=0.3076 (Défensif) — Cov=0.000011, Var(idx)=0.000036, ρ=0.059,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2,186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σ_j=3.09%/j (Modérée) — Vol. annualisée≈49.0%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2026-09-07</w:t>
            </w:r>
          </w:p>
        </w:tc>
        <w:tc>
          <w:tcPr>
            <w:tcW w:type="dxa" w:w="1440"/>
            <w:shd w:fill="C6EFCE" w:val="clear"/>
          </w:tcPr>
          <w:p>
            <w:r>
              <w:rPr>
                <w:sz w:val="17"/>
              </w:rPr>
              <w:t>3,579</w:t>
            </w:r>
          </w:p>
        </w:tc>
        <w:tc>
          <w:tcPr>
            <w:tcW w:type="dxa" w:w="1440"/>
            <w:shd w:fill="C6EFCE" w:val="clear"/>
          </w:tcPr>
          <w:p>
            <w:r>
              <w:rPr>
                <w:b/>
                <w:sz w:val="17"/>
              </w:rPr>
              <w:t>3,702</w:t>
            </w:r>
          </w:p>
        </w:tc>
        <w:tc>
          <w:tcPr>
            <w:tcW w:type="dxa" w:w="1440"/>
            <w:shd w:fill="C6EFCE" w:val="clear"/>
          </w:tcPr>
          <w:p>
            <w:r>
              <w:rPr>
                <w:sz w:val="17"/>
              </w:rPr>
              <w:t>3,826</w:t>
            </w:r>
          </w:p>
        </w:tc>
        <w:tc>
          <w:tcPr>
            <w:tcW w:type="dxa" w:w="1440"/>
            <w:shd w:fill="C6EFCE" w:val="clear"/>
          </w:tcPr>
          <w:p>
            <w:r>
              <w:rPr>
                <w:b/>
                <w:color w:val="008000"/>
                <w:sz w:val="17"/>
              </w:rPr>
              <w:t>+4.6%</w:t>
            </w:r>
          </w:p>
        </w:tc>
      </w:tr>
      <w:tr>
        <w:tc>
          <w:tcPr>
            <w:tcW w:type="dxa" w:w="1440"/>
            <w:shd w:fill="C6EFCE" w:val="clear"/>
          </w:tcPr>
          <w:p>
            <w:r>
              <w:rPr>
                <w:sz w:val="17"/>
              </w:rPr>
              <w:t>J+2  Moyenne</w:t>
            </w:r>
          </w:p>
        </w:tc>
        <w:tc>
          <w:tcPr>
            <w:tcW w:type="dxa" w:w="1440"/>
            <w:shd w:fill="C6EFCE" w:val="clear"/>
          </w:tcPr>
          <w:p>
            <w:r>
              <w:rPr>
                <w:sz w:val="17"/>
              </w:rPr>
              <w:t>2026-09-08</w:t>
            </w:r>
          </w:p>
        </w:tc>
        <w:tc>
          <w:tcPr>
            <w:tcW w:type="dxa" w:w="1440"/>
            <w:shd w:fill="C6EFCE" w:val="clear"/>
          </w:tcPr>
          <w:p>
            <w:r>
              <w:rPr>
                <w:sz w:val="17"/>
              </w:rPr>
              <w:t>3,673</w:t>
            </w:r>
          </w:p>
        </w:tc>
        <w:tc>
          <w:tcPr>
            <w:tcW w:type="dxa" w:w="1440"/>
            <w:shd w:fill="C6EFCE" w:val="clear"/>
          </w:tcPr>
          <w:p>
            <w:r>
              <w:rPr>
                <w:b/>
                <w:sz w:val="17"/>
              </w:rPr>
              <w:t>3,855</w:t>
            </w:r>
          </w:p>
        </w:tc>
        <w:tc>
          <w:tcPr>
            <w:tcW w:type="dxa" w:w="1440"/>
            <w:shd w:fill="C6EFCE" w:val="clear"/>
          </w:tcPr>
          <w:p>
            <w:r>
              <w:rPr>
                <w:sz w:val="17"/>
              </w:rPr>
              <w:t>4,038</w:t>
            </w:r>
          </w:p>
        </w:tc>
        <w:tc>
          <w:tcPr>
            <w:tcW w:type="dxa" w:w="1440"/>
            <w:shd w:fill="C6EFCE" w:val="clear"/>
          </w:tcPr>
          <w:p>
            <w:r>
              <w:rPr>
                <w:b/>
                <w:color w:val="008000"/>
                <w:sz w:val="17"/>
              </w:rPr>
              <w:t>+8.9%</w:t>
            </w:r>
          </w:p>
        </w:tc>
      </w:tr>
      <w:tr>
        <w:tc>
          <w:tcPr>
            <w:tcW w:type="dxa" w:w="1440"/>
            <w:shd w:fill="C6EFCE" w:val="clear"/>
          </w:tcPr>
          <w:p>
            <w:r>
              <w:rPr>
                <w:sz w:val="17"/>
              </w:rPr>
              <w:t>J+3  Moyenne</w:t>
            </w:r>
          </w:p>
        </w:tc>
        <w:tc>
          <w:tcPr>
            <w:tcW w:type="dxa" w:w="1440"/>
            <w:shd w:fill="C6EFCE" w:val="clear"/>
          </w:tcPr>
          <w:p>
            <w:r>
              <w:rPr>
                <w:sz w:val="17"/>
              </w:rPr>
              <w:t>2026-09-09</w:t>
            </w:r>
          </w:p>
        </w:tc>
        <w:tc>
          <w:tcPr>
            <w:tcW w:type="dxa" w:w="1440"/>
            <w:shd w:fill="C6EFCE" w:val="clear"/>
          </w:tcPr>
          <w:p>
            <w:r>
              <w:rPr>
                <w:sz w:val="17"/>
              </w:rPr>
              <w:t>3,804</w:t>
            </w:r>
          </w:p>
        </w:tc>
        <w:tc>
          <w:tcPr>
            <w:tcW w:type="dxa" w:w="1440"/>
            <w:shd w:fill="C6EFCE" w:val="clear"/>
          </w:tcPr>
          <w:p>
            <w:r>
              <w:rPr>
                <w:b/>
                <w:sz w:val="17"/>
              </w:rPr>
              <w:t>4,038</w:t>
            </w:r>
          </w:p>
        </w:tc>
        <w:tc>
          <w:tcPr>
            <w:tcW w:type="dxa" w:w="1440"/>
            <w:shd w:fill="C6EFCE" w:val="clear"/>
          </w:tcPr>
          <w:p>
            <w:r>
              <w:rPr>
                <w:sz w:val="17"/>
              </w:rPr>
              <w:t>4,272</w:t>
            </w:r>
          </w:p>
        </w:tc>
        <w:tc>
          <w:tcPr>
            <w:tcW w:type="dxa" w:w="1440"/>
            <w:shd w:fill="C6EFCE" w:val="clear"/>
          </w:tcPr>
          <w:p>
            <w:r>
              <w:rPr>
                <w:b/>
                <w:color w:val="008000"/>
                <w:sz w:val="17"/>
              </w:rPr>
              <w:t>+14.1%</w:t>
            </w:r>
          </w:p>
        </w:tc>
      </w:tr>
      <w:tr>
        <w:tc>
          <w:tcPr>
            <w:tcW w:type="dxa" w:w="1440"/>
            <w:shd w:fill="C6EFCE" w:val="clear"/>
          </w:tcPr>
          <w:p>
            <w:r>
              <w:rPr>
                <w:sz w:val="17"/>
              </w:rPr>
              <w:t>J+4  ⭐</w:t>
            </w:r>
          </w:p>
        </w:tc>
        <w:tc>
          <w:tcPr>
            <w:tcW w:type="dxa" w:w="1440"/>
            <w:shd w:fill="C6EFCE" w:val="clear"/>
          </w:tcPr>
          <w:p>
            <w:r>
              <w:rPr>
                <w:sz w:val="17"/>
              </w:rPr>
              <w:t>2026-09-10</w:t>
            </w:r>
          </w:p>
        </w:tc>
        <w:tc>
          <w:tcPr>
            <w:tcW w:type="dxa" w:w="1440"/>
            <w:shd w:fill="C6EFCE" w:val="clear"/>
          </w:tcPr>
          <w:p>
            <w:r>
              <w:rPr>
                <w:sz w:val="17"/>
              </w:rPr>
              <w:t>3,962</w:t>
            </w:r>
          </w:p>
        </w:tc>
        <w:tc>
          <w:tcPr>
            <w:tcW w:type="dxa" w:w="1440"/>
            <w:shd w:fill="C6EFCE" w:val="clear"/>
          </w:tcPr>
          <w:p>
            <w:r>
              <w:rPr>
                <w:b/>
                <w:sz w:val="17"/>
              </w:rPr>
              <w:t>4,246</w:t>
            </w:r>
          </w:p>
        </w:tc>
        <w:tc>
          <w:tcPr>
            <w:tcW w:type="dxa" w:w="1440"/>
            <w:shd w:fill="C6EFCE" w:val="clear"/>
          </w:tcPr>
          <w:p>
            <w:r>
              <w:rPr>
                <w:sz w:val="17"/>
              </w:rPr>
              <w:t>4,530</w:t>
            </w:r>
          </w:p>
        </w:tc>
        <w:tc>
          <w:tcPr>
            <w:tcW w:type="dxa" w:w="1440"/>
            <w:shd w:fill="C6EFCE" w:val="clear"/>
          </w:tcPr>
          <w:p>
            <w:r>
              <w:rPr>
                <w:b/>
                <w:color w:val="008000"/>
                <w:sz w:val="17"/>
              </w:rPr>
              <w:t>+19.9%</w:t>
            </w:r>
          </w:p>
        </w:tc>
      </w:tr>
      <w:tr>
        <w:tc>
          <w:tcPr>
            <w:tcW w:type="dxa" w:w="1440"/>
            <w:shd w:fill="C6EFCE" w:val="clear"/>
          </w:tcPr>
          <w:p>
            <w:r>
              <w:rPr>
                <w:sz w:val="17"/>
              </w:rPr>
              <w:t>J+5  ⭐</w:t>
            </w:r>
          </w:p>
        </w:tc>
        <w:tc>
          <w:tcPr>
            <w:tcW w:type="dxa" w:w="1440"/>
            <w:shd w:fill="C6EFCE" w:val="clear"/>
          </w:tcPr>
          <w:p>
            <w:r>
              <w:rPr>
                <w:sz w:val="17"/>
              </w:rPr>
              <w:t>2026-09-11</w:t>
            </w:r>
          </w:p>
        </w:tc>
        <w:tc>
          <w:tcPr>
            <w:tcW w:type="dxa" w:w="1440"/>
            <w:shd w:fill="C6EFCE" w:val="clear"/>
          </w:tcPr>
          <w:p>
            <w:r>
              <w:rPr>
                <w:sz w:val="17"/>
              </w:rPr>
              <w:t>4,145</w:t>
            </w:r>
          </w:p>
        </w:tc>
        <w:tc>
          <w:tcPr>
            <w:tcW w:type="dxa" w:w="1440"/>
            <w:shd w:fill="C6EFCE" w:val="clear"/>
          </w:tcPr>
          <w:p>
            <w:r>
              <w:rPr>
                <w:b/>
                <w:sz w:val="17"/>
              </w:rPr>
              <w:t>4,480</w:t>
            </w:r>
          </w:p>
        </w:tc>
        <w:tc>
          <w:tcPr>
            <w:tcW w:type="dxa" w:w="1440"/>
            <w:shd w:fill="C6EFCE" w:val="clear"/>
          </w:tcPr>
          <w:p>
            <w:r>
              <w:rPr>
                <w:sz w:val="17"/>
              </w:rPr>
              <w:t>4,815</w:t>
            </w:r>
          </w:p>
        </w:tc>
        <w:tc>
          <w:tcPr>
            <w:tcW w:type="dxa" w:w="1440"/>
            <w:shd w:fill="C6EFCE" w:val="clear"/>
          </w:tcPr>
          <w:p>
            <w:r>
              <w:rPr>
                <w:b/>
                <w:color w:val="008000"/>
                <w:sz w:val="17"/>
              </w:rPr>
              <w:t>+26.6%</w:t>
            </w:r>
          </w:p>
        </w:tc>
      </w:tr>
      <w:tr>
        <w:tc>
          <w:tcPr>
            <w:tcW w:type="dxa" w:w="1440"/>
            <w:shd w:fill="C6EFCE" w:val="clear"/>
          </w:tcPr>
          <w:p>
            <w:r>
              <w:rPr>
                <w:sz w:val="17"/>
              </w:rPr>
              <w:t>J+6  ⭐</w:t>
            </w:r>
          </w:p>
        </w:tc>
        <w:tc>
          <w:tcPr>
            <w:tcW w:type="dxa" w:w="1440"/>
            <w:shd w:fill="C6EFCE" w:val="clear"/>
          </w:tcPr>
          <w:p>
            <w:r>
              <w:rPr>
                <w:sz w:val="17"/>
              </w:rPr>
              <w:t>2026-09-14</w:t>
            </w:r>
          </w:p>
        </w:tc>
        <w:tc>
          <w:tcPr>
            <w:tcW w:type="dxa" w:w="1440"/>
            <w:shd w:fill="C6EFCE" w:val="clear"/>
          </w:tcPr>
          <w:p>
            <w:r>
              <w:rPr>
                <w:sz w:val="17"/>
              </w:rPr>
              <w:t>4,359</w:t>
            </w:r>
          </w:p>
        </w:tc>
        <w:tc>
          <w:tcPr>
            <w:tcW w:type="dxa" w:w="1440"/>
            <w:shd w:fill="C6EFCE" w:val="clear"/>
          </w:tcPr>
          <w:p>
            <w:r>
              <w:rPr>
                <w:b/>
                <w:sz w:val="17"/>
              </w:rPr>
              <w:t>4,748</w:t>
            </w:r>
          </w:p>
        </w:tc>
        <w:tc>
          <w:tcPr>
            <w:tcW w:type="dxa" w:w="1440"/>
            <w:shd w:fill="C6EFCE" w:val="clear"/>
          </w:tcPr>
          <w:p>
            <w:r>
              <w:rPr>
                <w:sz w:val="17"/>
              </w:rPr>
              <w:t>5,137</w:t>
            </w:r>
          </w:p>
        </w:tc>
        <w:tc>
          <w:tcPr>
            <w:tcW w:type="dxa" w:w="1440"/>
            <w:shd w:fill="C6EFCE" w:val="clear"/>
          </w:tcPr>
          <w:p>
            <w:r>
              <w:rPr>
                <w:b/>
                <w:color w:val="008000"/>
                <w:sz w:val="17"/>
              </w:rPr>
              <w:t>+34.1%</w:t>
            </w:r>
          </w:p>
        </w:tc>
      </w:tr>
      <w:tr>
        <w:tc>
          <w:tcPr>
            <w:tcW w:type="dxa" w:w="1440"/>
            <w:shd w:fill="C6EFCE" w:val="clear"/>
          </w:tcPr>
          <w:p>
            <w:r>
              <w:rPr>
                <w:sz w:val="17"/>
              </w:rPr>
              <w:t>J+7  ⭐</w:t>
            </w:r>
          </w:p>
        </w:tc>
        <w:tc>
          <w:tcPr>
            <w:tcW w:type="dxa" w:w="1440"/>
            <w:shd w:fill="C6EFCE" w:val="clear"/>
          </w:tcPr>
          <w:p>
            <w:r>
              <w:rPr>
                <w:sz w:val="17"/>
              </w:rPr>
              <w:t>2026-09-15</w:t>
            </w:r>
          </w:p>
        </w:tc>
        <w:tc>
          <w:tcPr>
            <w:tcW w:type="dxa" w:w="1440"/>
            <w:shd w:fill="C6EFCE" w:val="clear"/>
          </w:tcPr>
          <w:p>
            <w:r>
              <w:rPr>
                <w:sz w:val="17"/>
              </w:rPr>
              <w:t>4,612</w:t>
            </w:r>
          </w:p>
        </w:tc>
        <w:tc>
          <w:tcPr>
            <w:tcW w:type="dxa" w:w="1440"/>
            <w:shd w:fill="C6EFCE" w:val="clear"/>
          </w:tcPr>
          <w:p>
            <w:r>
              <w:rPr>
                <w:b/>
                <w:sz w:val="17"/>
              </w:rPr>
              <w:t>5,059</w:t>
            </w:r>
          </w:p>
        </w:tc>
        <w:tc>
          <w:tcPr>
            <w:tcW w:type="dxa" w:w="1440"/>
            <w:shd w:fill="C6EFCE" w:val="clear"/>
          </w:tcPr>
          <w:p>
            <w:r>
              <w:rPr>
                <w:sz w:val="17"/>
              </w:rPr>
              <w:t>5,507</w:t>
            </w:r>
          </w:p>
        </w:tc>
        <w:tc>
          <w:tcPr>
            <w:tcW w:type="dxa" w:w="1440"/>
            <w:shd w:fill="C6EFCE" w:val="clear"/>
          </w:tcPr>
          <w:p>
            <w:r>
              <w:rPr>
                <w:b/>
                <w:color w:val="008000"/>
                <w:sz w:val="17"/>
              </w:rPr>
              <w:t>+42.9%</w:t>
            </w:r>
          </w:p>
        </w:tc>
      </w:tr>
      <w:tr>
        <w:tc>
          <w:tcPr>
            <w:tcW w:type="dxa" w:w="1440"/>
            <w:shd w:fill="C6EFCE" w:val="clear"/>
          </w:tcPr>
          <w:p>
            <w:r>
              <w:rPr>
                <w:sz w:val="17"/>
              </w:rPr>
              <w:t>J+8  ⭐</w:t>
            </w:r>
          </w:p>
        </w:tc>
        <w:tc>
          <w:tcPr>
            <w:tcW w:type="dxa" w:w="1440"/>
            <w:shd w:fill="C6EFCE" w:val="clear"/>
          </w:tcPr>
          <w:p>
            <w:r>
              <w:rPr>
                <w:sz w:val="17"/>
              </w:rPr>
              <w:t>2026-09-16</w:t>
            </w:r>
          </w:p>
        </w:tc>
        <w:tc>
          <w:tcPr>
            <w:tcW w:type="dxa" w:w="1440"/>
            <w:shd w:fill="C6EFCE" w:val="clear"/>
          </w:tcPr>
          <w:p>
            <w:r>
              <w:rPr>
                <w:sz w:val="17"/>
              </w:rPr>
              <w:t>4,915</w:t>
            </w:r>
          </w:p>
        </w:tc>
        <w:tc>
          <w:tcPr>
            <w:tcW w:type="dxa" w:w="1440"/>
            <w:shd w:fill="C6EFCE" w:val="clear"/>
          </w:tcPr>
          <w:p>
            <w:r>
              <w:rPr>
                <w:b/>
                <w:sz w:val="17"/>
              </w:rPr>
              <w:t>5,429</w:t>
            </w:r>
          </w:p>
        </w:tc>
        <w:tc>
          <w:tcPr>
            <w:tcW w:type="dxa" w:w="1440"/>
            <w:shd w:fill="C6EFCE" w:val="clear"/>
          </w:tcPr>
          <w:p>
            <w:r>
              <w:rPr>
                <w:sz w:val="17"/>
              </w:rPr>
              <w:t>5,942</w:t>
            </w:r>
          </w:p>
        </w:tc>
        <w:tc>
          <w:tcPr>
            <w:tcW w:type="dxa" w:w="1440"/>
            <w:shd w:fill="C6EFCE" w:val="clear"/>
          </w:tcPr>
          <w:p>
            <w:r>
              <w:rPr>
                <w:b/>
                <w:color w:val="008000"/>
                <w:sz w:val="17"/>
              </w:rPr>
              <w:t>+53.3%</w:t>
            </w:r>
          </w:p>
        </w:tc>
      </w:tr>
      <w:tr>
        <w:tc>
          <w:tcPr>
            <w:tcW w:type="dxa" w:w="1440"/>
            <w:shd w:fill="C6EFCE" w:val="clear"/>
          </w:tcPr>
          <w:p>
            <w:r>
              <w:rPr>
                <w:sz w:val="17"/>
              </w:rPr>
              <w:t>J+9  ⭐</w:t>
            </w:r>
          </w:p>
        </w:tc>
        <w:tc>
          <w:tcPr>
            <w:tcW w:type="dxa" w:w="1440"/>
            <w:shd w:fill="C6EFCE" w:val="clear"/>
          </w:tcPr>
          <w:p>
            <w:r>
              <w:rPr>
                <w:sz w:val="17"/>
              </w:rPr>
              <w:t>2026-09-17</w:t>
            </w:r>
          </w:p>
        </w:tc>
        <w:tc>
          <w:tcPr>
            <w:tcW w:type="dxa" w:w="1440"/>
            <w:shd w:fill="C6EFCE" w:val="clear"/>
          </w:tcPr>
          <w:p>
            <w:r>
              <w:rPr>
                <w:sz w:val="17"/>
              </w:rPr>
              <w:t>5,250</w:t>
            </w:r>
          </w:p>
        </w:tc>
        <w:tc>
          <w:tcPr>
            <w:tcW w:type="dxa" w:w="1440"/>
            <w:shd w:fill="C6EFCE" w:val="clear"/>
          </w:tcPr>
          <w:p>
            <w:r>
              <w:rPr>
                <w:b/>
                <w:sz w:val="17"/>
              </w:rPr>
              <w:t>5,836</w:t>
            </w:r>
          </w:p>
        </w:tc>
        <w:tc>
          <w:tcPr>
            <w:tcW w:type="dxa" w:w="1440"/>
            <w:shd w:fill="C6EFCE" w:val="clear"/>
          </w:tcPr>
          <w:p>
            <w:r>
              <w:rPr>
                <w:sz w:val="17"/>
              </w:rPr>
              <w:t>6,421</w:t>
            </w:r>
          </w:p>
        </w:tc>
        <w:tc>
          <w:tcPr>
            <w:tcW w:type="dxa" w:w="1440"/>
            <w:shd w:fill="C6EFCE" w:val="clear"/>
          </w:tcPr>
          <w:p>
            <w:r>
              <w:rPr>
                <w:b/>
                <w:color w:val="008000"/>
                <w:sz w:val="17"/>
              </w:rPr>
              <w:t>+64.9%</w:t>
            </w:r>
          </w:p>
        </w:tc>
      </w:tr>
      <w:tr>
        <w:tc>
          <w:tcPr>
            <w:tcW w:type="dxa" w:w="1440"/>
            <w:shd w:fill="C6EFCE" w:val="clear"/>
          </w:tcPr>
          <w:p>
            <w:r>
              <w:rPr>
                <w:sz w:val="17"/>
              </w:rPr>
              <w:t>J+10  ⭐</w:t>
            </w:r>
          </w:p>
        </w:tc>
        <w:tc>
          <w:tcPr>
            <w:tcW w:type="dxa" w:w="1440"/>
            <w:shd w:fill="C6EFCE" w:val="clear"/>
          </w:tcPr>
          <w:p>
            <w:r>
              <w:rPr>
                <w:sz w:val="17"/>
              </w:rPr>
              <w:t>2026-09-18</w:t>
            </w:r>
          </w:p>
        </w:tc>
        <w:tc>
          <w:tcPr>
            <w:tcW w:type="dxa" w:w="1440"/>
            <w:shd w:fill="C6EFCE" w:val="clear"/>
          </w:tcPr>
          <w:p>
            <w:r>
              <w:rPr>
                <w:sz w:val="17"/>
              </w:rPr>
              <w:t>5,610</w:t>
            </w:r>
          </w:p>
        </w:tc>
        <w:tc>
          <w:tcPr>
            <w:tcW w:type="dxa" w:w="1440"/>
            <w:shd w:fill="C6EFCE" w:val="clear"/>
          </w:tcPr>
          <w:p>
            <w:r>
              <w:rPr>
                <w:b/>
                <w:sz w:val="17"/>
              </w:rPr>
              <w:t>6,273</w:t>
            </w:r>
          </w:p>
        </w:tc>
        <w:tc>
          <w:tcPr>
            <w:tcW w:type="dxa" w:w="1440"/>
            <w:shd w:fill="C6EFCE" w:val="clear"/>
          </w:tcPr>
          <w:p>
            <w:r>
              <w:rPr>
                <w:sz w:val="17"/>
              </w:rPr>
              <w:t>6,937</w:t>
            </w:r>
          </w:p>
        </w:tc>
        <w:tc>
          <w:tcPr>
            <w:tcW w:type="dxa" w:w="1440"/>
            <w:shd w:fill="C6EFCE" w:val="clear"/>
          </w:tcPr>
          <w:p>
            <w:r>
              <w:rPr>
                <w:b/>
                <w:color w:val="008000"/>
                <w:sz w:val="17"/>
              </w:rPr>
              <w:t>+77.2%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**RAPPORT D'ANALYSE FINANCIÈRE — CABC (SICABLE)**</w:t>
        <w:br/>
        <w:t>**Date de l'analyse : 04 septembre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CABC s'établit à 20,96 milliards FCFA, un niveau modeste qui la classe parmi les valeurs de taille moyenne sur la BRVM. Avec un BPA de 243 FCFA, le titre se négocie à un PER de 14,6x, ce qui représente une prime significative par rapport à la moyenne historique du marché BRVM (8-12x). Les investisseurs paient donc relativement cher pour les bénéfices actuels de la société, ce qui suggère des attentes de croissance future. Le P/B de 2,24x indique que le marché valorise la société à plus du double de sa valeur comptable, traduisant une prime de croissance accordée par les investisseurs. Enfin, l'EV/EBITDA de 7,4x se situe dans une fourchette raisonnable (5-10x), indiquant une valorisation opérationnelle cohérente avec les standards du marché. L'ensemble de ces ratios suggère une valorisation qui intègre des perspectives de redressement, sans être excessive.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CABC a enregistré une baisse significative de -18,43%, avec une légère diminution de -0,28% lors de la dernière séance, portant le cours actuel à 3 540 FCFA. Le titre a évolué dans une fourchette large de 3 350 à 4 500 FCFA, démontrant une volatilité importante. La moyenne du cours sur la période (3 742 FCFA) est supérieure à la médiane (3 652 FCFA), ce qui, combiné à un skewness positif de 0,910, indique une asymétrie positive avec davantage de journées sous la moyenne mais quelques fortes hausses ponctuelles. L'écart-type de 277 FCFA (CV=7,4%) révèle une dispersion modérée autour de la moyenne. Le kurtosis de 0,249, proche d'une distribution normale, suggère l'absence de mouvements extrêmes fréquents. La volatilité annualisée de 49,0% classe le titre comme très volatil (&gt;30%), signalant un risque élevé pour les investisseurs. La tendance générale est clairement baissière sur la période, malgré quelques sursauts haussiers.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(3 540 FCFA) se situe sous la MM20 (3 548,5 FCFA) et nettement sous la MM50 (3 754,8 FCFA). Cette configuration baissière, où le prix évolue sous les deux moyennes clés, confirme la tendance négative à court et moyen terme. La décision de "Vente" est justifiée par cette structure défavorable, bien que l'écart entre le cours et la MM20 soit minime, suggérant une possible stabilisation.</w:t>
      </w:r>
    </w:p>
    <w:p>
      <w:pPr>
        <w:spacing w:after="120" w:line="276" w:lineRule="auto"/>
      </w:pPr>
      <w:r>
        <w:t>**Bandes de Bollinger** : Le prix se positionne à 3 540 FCFA, entre la borne inférieure (3 409,4 FCFA) et la borne supérieure (3 687,6 FCFA), plus près du milieu de la bande. Cette position neutre indique une volatilité modérée sans mouvement directionnel marqué. La décision "Neutre" est appropriée, le titre n'étant ni suracheté ni survendu selon cet indicateur.</w:t>
      </w:r>
    </w:p>
    <w:p>
      <w:pPr>
        <w:spacing w:after="120" w:line="276" w:lineRule="auto"/>
      </w:pPr>
      <w:r>
        <w:t>**MACD** : Le MACD (-48,876) est négatif mais se situe au-dessus de sa ligne de signal (-57,286), formant un croisement haussier potentiel. Cette configuration suggère un ralentissement de la dynamique baissière et l'émergence d'un momentum positif naissant. La décision "Achat" reflète ce début de retournement technique, bien que les valeurs restent en territoire négatif.</w:t>
      </w:r>
    </w:p>
    <w:p>
      <w:pPr>
        <w:spacing w:after="120" w:line="276" w:lineRule="auto"/>
      </w:pPr>
      <w:r>
        <w:t>**RSI** : À 54,167, le RSI se positionne en zone neutre (30-70), indiquant un équilibre entre pressions acheteuses et vendeuses. Cette valeur ne signale ni surachat ni survente, laissant place à une évolution directionnelle. La décision "Neutre" est cohérente avec cette lecture.</w:t>
      </w:r>
    </w:p>
    <w:p>
      <w:pPr>
        <w:spacing w:after="120" w:line="276" w:lineRule="auto"/>
      </w:pPr>
      <w:r>
        <w:t>**Stochastique** : Le %K (21,429) et le %D (17,423) évoluent en zone de survente (&lt;20 pour %K), suggérant un potentiel de rebond technique. Bien que la décision soit "Neutre", la proximité de ces niveaux avec la zone de survente pourrait précéder un mouvement haussier correctif.</w:t>
      </w:r>
    </w:p>
    <w:p>
      <w:pPr>
        <w:spacing w:after="120" w:line="276" w:lineRule="auto"/>
      </w:pPr>
      <w:r>
        <w:t>**Conclusion technique** : Les indicateurs techniques présentent un tableau contrasté. Les moyennes mobiles confirment la tendance baissière dominante, tandis que le MACD et le Stochastique suggèrent un potentiel de retournement haussier à court terme. Le RSI et les Bandes de Bollinger indiquent une phase de consolidation. Globalement, le titre semble chercher un point d'équilibre après une période baissière marquée, avec des signaux contradictoires qui appellent à la prudence.</w:t>
      </w:r>
    </w:p>
    <w:p>
      <w:pPr>
        <w:spacing w:after="120" w:line="276" w:lineRule="auto"/>
      </w:pPr>
      <w:r>
        <w:t>---</w:t>
      </w:r>
    </w:p>
    <w:p>
      <w:pPr>
        <w:spacing w:after="120" w:line="276" w:lineRule="auto"/>
      </w:pPr>
      <w:r>
        <w:t>### PARTIE 3 : ANALYSE FONDAMENTALE (SECTION CRITIQUE)</w:t>
      </w:r>
    </w:p>
    <w:p>
      <w:pPr>
        <w:spacing w:after="120" w:line="276" w:lineRule="auto"/>
      </w:pPr>
      <w:r>
        <w:t>**Données structurées 2025** : Les états financiers annuels 2025 révèlent une société en croissance avec un chiffre d'affaires de 21,263 milliards FCFA (+11,2% vs 2024) et un résultat net de 1,439 milliard FCFA. La rentabilité est solide avec un ROE de 15,4% (excellent, &gt;15%) et un ROA de 6,1%. La marge nette s'établit à 6,8%, la marge opérationnelle à 9,8%. La structure financière est saine avec une autonomie financière de 39,6% et une solvabilité générale de 165,5%. Cependant, le BFR de 7,186 milliards FCFA et les délais clients élevés (144,7 jours) constituent des points de vigilance, tout comme la durée de stockage de 152 jours. Le flux opérationnel négatif (-819,7 millions FCFA) et le free cash flow négatif (-982,7 millions) indiquent des tensions de trésorerie malgré une trésorerie nette positive de 5,139 milliards FCFA.</w:t>
      </w:r>
    </w:p>
    <w:p>
      <w:pPr>
        <w:spacing w:after="120" w:line="276" w:lineRule="auto"/>
      </w:pPr>
      <w:r>
        <w:t>**Rapports trimestriels 2025** : Le rapport S1 2025 (publié en 2025) confirme la dynamique positive avec un CA de 10,77 milliards FCFA (+12%) et un résultat net de 851,5 millions FCFA (+55,3%). Le rapport T3 2025 (publié en 2025) montre une poursuite de la croissance avec un CA cumulé de 16,63 milliards FCFA (+13,7%) et un résultat net de 1,33 milliard FCFA (+26%). Ces performances trimestrielles sont cohérentes avec les données annuelles 2025.</w:t>
      </w:r>
    </w:p>
    <w:p>
      <w:pPr>
        <w:spacing w:after="120" w:line="276" w:lineRule="auto"/>
      </w:pPr>
      <w:r>
        <w:t>**Rapports antérieurs** : Le rapport annuel certifié 2024 (analysé en juin 2025) indiquait un CA de 19,125 milliards FCFA et un résultat net de 1,225 milliard FCFA. Les rapports 2023 montrent une progression régulière depuis 2022. Cependant, le rapport T1 2026 (publié en 2026) révèle une forte dégradation avec un CA en baisse de 26,5% à 3,794 milliards FCFA et une perte nette de 221,7 millions FCFA, attribuée à une maintenance planifiée et à l'inflation des cours des métaux. La direction anticipe une normalisation dès le T2 2026. Sur la base de ce T1 2026, on estime que l'exercice 2026 pourrait être contrasté, avec un potentiel de rattrapage au S2 2026.</w:t>
      </w:r>
    </w:p>
    <w:p>
      <w:pPr>
        <w:spacing w:after="120" w:line="276" w:lineRule="auto"/>
      </w:pPr>
      <w:r>
        <w:t>---</w:t>
      </w:r>
    </w:p>
    <w:p>
      <w:pPr>
        <w:spacing w:after="120" w:line="276" w:lineRule="auto"/>
      </w:pPr>
      <w:r>
        <w:t>### PARTIE 4 : CONCLUSION D'INVESTISSEMENT</w:t>
      </w:r>
    </w:p>
    <w:p>
      <w:pPr>
        <w:spacing w:after="120" w:line="276" w:lineRule="auto"/>
      </w:pPr>
      <w:r>
        <w:t>La synthèse globale révèle des signaux divergents. La valorisation (PER 14,6x, P/B 2,24x) apparaît relativement élevée pour la BRVM, intégrant des attentes de croissance qui devront être confirmées. Le comportement du cours sur 100 jours est préoccupant avec une baisse de 18,4% et une volatilité annualisée de 49%, indiquant un risque élevé. Les signaux techniques sont mitigés : tendance baissière confirmée par les moyennes mobiles, mais amorce de retournement suggérée par le MACD et le Stochastique. Les fondamentaux 2025 sont solides (ROE 15,4%, croissance du CA de 11,2%), mais le T1 2026 montre une dégradation marquée, même si elle est présentée comme temporaire. Les prédictions IA (3 702 à 4 480 FCFA sur 10 jours) anticipent un rebond significatif de +27%, ce qui contraste fortement avec la tendance récente. Cette divergence entre les prédictions haussières et les signaux techniques baissiers appelle à la prudence. **Recommandation : CONSERVER**, avec un niveau de confiance Moyen et un risque global Élevé. L'horizon d'investissement optimal serait le moyen terme (3-12 mois), en attendant la confirmation du redressement opérationnel annoncé par la direction et la validation des prédictions de rebond technique.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12.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1070.40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1,473 titres</w:t>
            </w:r>
          </w:p>
        </w:tc>
        <w:tc>
          <w:tcPr>
            <w:tcW w:type="dxa" w:w="2268"/>
            <w:shd w:fill="FFF2CC" w:val="clear"/>
          </w:tcPr>
          <w:p>
            <w:r>
              <w:rPr>
                <w:b/>
                <w:color w:val="503200"/>
                <w:sz w:val="16"/>
              </w:rPr>
              <w:t xml:space="preserve">Cours actuel : </w:t>
            </w:r>
            <w:r>
              <w:rPr>
                <w:color w:val="000000"/>
                <w:sz w:val="17"/>
              </w:rPr>
              <w:t>33,450 FCFA</w:t>
            </w:r>
          </w:p>
          <w:p>
            <w:r>
              <w:rPr>
                <w:b/>
                <w:color w:val="503200"/>
                <w:sz w:val="16"/>
              </w:rPr>
              <w:t xml:space="preserve">Var. 100 jours : </w:t>
            </w:r>
            <w:r>
              <w:rPr>
                <w:b/>
                <w:color w:val="007800"/>
                <w:sz w:val="17"/>
              </w:rPr>
              <w:t>+120.07%</w:t>
            </w:r>
          </w:p>
          <w:p>
            <w:r>
              <w:rPr>
                <w:b/>
                <w:color w:val="503200"/>
                <w:sz w:val="16"/>
              </w:rPr>
              <w:t xml:space="preserve">Plus haut 100j : </w:t>
            </w:r>
            <w:r>
              <w:rPr>
                <w:color w:val="000000"/>
                <w:sz w:val="17"/>
              </w:rPr>
              <w:t>33,450 FCFA</w:t>
            </w:r>
          </w:p>
          <w:p>
            <w:r>
              <w:rPr>
                <w:b/>
                <w:color w:val="503200"/>
                <w:sz w:val="16"/>
              </w:rPr>
              <w:t xml:space="preserve">Plus bas 100j : </w:t>
            </w:r>
            <w:r>
              <w:rPr>
                <w:color w:val="000000"/>
                <w:sz w:val="17"/>
              </w:rPr>
              <w:t>15,200 FCFA</w:t>
            </w:r>
          </w:p>
          <w:p>
            <w:r>
              <w:rPr>
                <w:b/>
                <w:color w:val="503200"/>
                <w:sz w:val="16"/>
              </w:rPr>
              <w:t xml:space="preserve">Volatilité ann. : </w:t>
            </w:r>
            <w:r>
              <w:rPr>
                <w:color w:val="000000"/>
                <w:sz w:val="17"/>
              </w:rPr>
              <w:t>42.5%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28.1/100 → Moyen</w:t>
      </w:r>
    </w:p>
    <w:p>
      <w:pPr>
        <w:spacing w:before="40" w:after="80"/>
      </w:pPr>
      <w:r>
        <w:rPr>
          <w:rFonts w:ascii="Courier New" w:hAnsi="Courier New"/>
          <w:color w:val="825A00"/>
          <w:sz w:val="18"/>
        </w:rPr>
        <w:t>█████░░░░░░░░░░░░░░░  28.1/100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21.65% (Élevée) — μ=23,514 FCFA, σ=5,091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β=0.7833 (Défensif) — Cov=0.000028, Var(idx)=0.000036, ρ=0.174,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1,473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σ_j=2.68%/j (Stable) — Vol. annualisée≈42.5%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0319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2026-09-07</w:t>
            </w:r>
          </w:p>
        </w:tc>
        <w:tc>
          <w:tcPr>
            <w:tcW w:type="dxa" w:w="1440"/>
            <w:shd w:fill="FFDCE0" w:val="clear"/>
          </w:tcPr>
          <w:p>
            <w:r>
              <w:rPr>
                <w:sz w:val="17"/>
              </w:rPr>
              <w:t>30,065</w:t>
            </w:r>
          </w:p>
        </w:tc>
        <w:tc>
          <w:tcPr>
            <w:tcW w:type="dxa" w:w="1440"/>
            <w:shd w:fill="FFDCE0" w:val="clear"/>
          </w:tcPr>
          <w:p>
            <w:r>
              <w:rPr>
                <w:b/>
                <w:sz w:val="17"/>
              </w:rPr>
              <w:t>30,941</w:t>
            </w:r>
          </w:p>
        </w:tc>
        <w:tc>
          <w:tcPr>
            <w:tcW w:type="dxa" w:w="1440"/>
            <w:shd w:fill="FFDCE0" w:val="clear"/>
          </w:tcPr>
          <w:p>
            <w:r>
              <w:rPr>
                <w:sz w:val="17"/>
              </w:rPr>
              <w:t>31,818</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2026-09-08</w:t>
            </w:r>
          </w:p>
        </w:tc>
        <w:tc>
          <w:tcPr>
            <w:tcW w:type="dxa" w:w="1440"/>
            <w:shd w:fill="FFDCE0" w:val="clear"/>
          </w:tcPr>
          <w:p>
            <w:r>
              <w:rPr>
                <w:sz w:val="17"/>
              </w:rPr>
              <w:t>27,474</w:t>
            </w:r>
          </w:p>
        </w:tc>
        <w:tc>
          <w:tcPr>
            <w:tcW w:type="dxa" w:w="1440"/>
            <w:shd w:fill="FFDCE0" w:val="clear"/>
          </w:tcPr>
          <w:p>
            <w:r>
              <w:rPr>
                <w:b/>
                <w:sz w:val="17"/>
              </w:rPr>
              <w:t>28,621</w:t>
            </w:r>
          </w:p>
        </w:tc>
        <w:tc>
          <w:tcPr>
            <w:tcW w:type="dxa" w:w="1440"/>
            <w:shd w:fill="FFDCE0" w:val="clear"/>
          </w:tcPr>
          <w:p>
            <w:r>
              <w:rPr>
                <w:sz w:val="17"/>
              </w:rPr>
              <w:t>29,767</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2026-09-09</w:t>
            </w:r>
          </w:p>
        </w:tc>
        <w:tc>
          <w:tcPr>
            <w:tcW w:type="dxa" w:w="1440"/>
            <w:shd w:fill="FFDCE0" w:val="clear"/>
          </w:tcPr>
          <w:p>
            <w:r>
              <w:rPr>
                <w:sz w:val="17"/>
              </w:rPr>
              <w:t>25,175</w:t>
            </w:r>
          </w:p>
        </w:tc>
        <w:tc>
          <w:tcPr>
            <w:tcW w:type="dxa" w:w="1440"/>
            <w:shd w:fill="FFDCE0" w:val="clear"/>
          </w:tcPr>
          <w:p>
            <w:r>
              <w:rPr>
                <w:b/>
                <w:sz w:val="17"/>
              </w:rPr>
              <w:t>26,474</w:t>
            </w:r>
          </w:p>
        </w:tc>
        <w:tc>
          <w:tcPr>
            <w:tcW w:type="dxa" w:w="1440"/>
            <w:shd w:fill="FFDCE0" w:val="clear"/>
          </w:tcPr>
          <w:p>
            <w:r>
              <w:rPr>
                <w:sz w:val="17"/>
              </w:rPr>
              <w:t>27,773</w:t>
            </w:r>
          </w:p>
        </w:tc>
        <w:tc>
          <w:tcPr>
            <w:tcW w:type="dxa" w:w="1440"/>
            <w:shd w:fill="FFDCE0" w:val="clear"/>
          </w:tcPr>
          <w:p>
            <w:r>
              <w:rPr>
                <w:b/>
                <w:color w:val="C00000"/>
                <w:sz w:val="17"/>
              </w:rPr>
              <w:t>-20.9%</w:t>
            </w:r>
          </w:p>
        </w:tc>
      </w:tr>
      <w:tr>
        <w:tc>
          <w:tcPr>
            <w:tcW w:type="dxa" w:w="1440"/>
            <w:shd w:fill="FFDCE0" w:val="clear"/>
          </w:tcPr>
          <w:p>
            <w:r>
              <w:rPr>
                <w:sz w:val="17"/>
              </w:rPr>
              <w:t>J+4  Moyenne</w:t>
            </w:r>
          </w:p>
        </w:tc>
        <w:tc>
          <w:tcPr>
            <w:tcW w:type="dxa" w:w="1440"/>
            <w:shd w:fill="FFDCE0" w:val="clear"/>
          </w:tcPr>
          <w:p>
            <w:r>
              <w:rPr>
                <w:sz w:val="17"/>
              </w:rPr>
              <w:t>2026-09-10</w:t>
            </w:r>
          </w:p>
        </w:tc>
        <w:tc>
          <w:tcPr>
            <w:tcW w:type="dxa" w:w="1440"/>
            <w:shd w:fill="FFDCE0" w:val="clear"/>
          </w:tcPr>
          <w:p>
            <w:r>
              <w:rPr>
                <w:sz w:val="17"/>
              </w:rPr>
              <w:t>23,101</w:t>
            </w:r>
          </w:p>
        </w:tc>
        <w:tc>
          <w:tcPr>
            <w:tcW w:type="dxa" w:w="1440"/>
            <w:shd w:fill="FFDCE0" w:val="clear"/>
          </w:tcPr>
          <w:p>
            <w:r>
              <w:rPr>
                <w:b/>
                <w:sz w:val="17"/>
              </w:rPr>
              <w:t>24,489</w:t>
            </w:r>
          </w:p>
        </w:tc>
        <w:tc>
          <w:tcPr>
            <w:tcW w:type="dxa" w:w="1440"/>
            <w:shd w:fill="FFDCE0" w:val="clear"/>
          </w:tcPr>
          <w:p>
            <w:r>
              <w:rPr>
                <w:sz w:val="17"/>
              </w:rPr>
              <w:t>25,876</w:t>
            </w:r>
          </w:p>
        </w:tc>
        <w:tc>
          <w:tcPr>
            <w:tcW w:type="dxa" w:w="1440"/>
            <w:shd w:fill="FFDCE0" w:val="clear"/>
          </w:tcPr>
          <w:p>
            <w:r>
              <w:rPr>
                <w:b/>
                <w:color w:val="C00000"/>
                <w:sz w:val="17"/>
              </w:rPr>
              <w:t>-26.8%</w:t>
            </w:r>
          </w:p>
        </w:tc>
      </w:tr>
      <w:tr>
        <w:tc>
          <w:tcPr>
            <w:tcW w:type="dxa" w:w="1440"/>
            <w:shd w:fill="FFDCE0" w:val="clear"/>
          </w:tcPr>
          <w:p>
            <w:r>
              <w:rPr>
                <w:sz w:val="17"/>
              </w:rPr>
              <w:t>J+5  Moyenne</w:t>
            </w:r>
          </w:p>
        </w:tc>
        <w:tc>
          <w:tcPr>
            <w:tcW w:type="dxa" w:w="1440"/>
            <w:shd w:fill="FFDCE0" w:val="clear"/>
          </w:tcPr>
          <w:p>
            <w:r>
              <w:rPr>
                <w:sz w:val="17"/>
              </w:rPr>
              <w:t>2026-09-11</w:t>
            </w:r>
          </w:p>
        </w:tc>
        <w:tc>
          <w:tcPr>
            <w:tcW w:type="dxa" w:w="1440"/>
            <w:shd w:fill="FFDCE0" w:val="clear"/>
          </w:tcPr>
          <w:p>
            <w:r>
              <w:rPr>
                <w:sz w:val="17"/>
              </w:rPr>
              <w:t>21,217</w:t>
            </w:r>
          </w:p>
        </w:tc>
        <w:tc>
          <w:tcPr>
            <w:tcW w:type="dxa" w:w="1440"/>
            <w:shd w:fill="FFDCE0" w:val="clear"/>
          </w:tcPr>
          <w:p>
            <w:r>
              <w:rPr>
                <w:b/>
                <w:sz w:val="17"/>
              </w:rPr>
              <w:t>22,652</w:t>
            </w:r>
          </w:p>
        </w:tc>
        <w:tc>
          <w:tcPr>
            <w:tcW w:type="dxa" w:w="1440"/>
            <w:shd w:fill="FFDCE0" w:val="clear"/>
          </w:tcPr>
          <w:p>
            <w:r>
              <w:rPr>
                <w:sz w:val="17"/>
              </w:rPr>
              <w:t>24,087</w:t>
            </w:r>
          </w:p>
        </w:tc>
        <w:tc>
          <w:tcPr>
            <w:tcW w:type="dxa" w:w="1440"/>
            <w:shd w:fill="FFDCE0" w:val="clear"/>
          </w:tcPr>
          <w:p>
            <w:r>
              <w:rPr>
                <w:b/>
                <w:color w:val="C00000"/>
                <w:sz w:val="17"/>
              </w:rPr>
              <w:t>-32.3%</w:t>
            </w:r>
          </w:p>
        </w:tc>
      </w:tr>
      <w:tr>
        <w:tc>
          <w:tcPr>
            <w:tcW w:type="dxa" w:w="1440"/>
            <w:shd w:fill="FFDCE0" w:val="clear"/>
          </w:tcPr>
          <w:p>
            <w:r>
              <w:rPr>
                <w:sz w:val="17"/>
              </w:rPr>
              <w:t>J+6  Moyenne</w:t>
            </w:r>
          </w:p>
        </w:tc>
        <w:tc>
          <w:tcPr>
            <w:tcW w:type="dxa" w:w="1440"/>
            <w:shd w:fill="FFDCE0" w:val="clear"/>
          </w:tcPr>
          <w:p>
            <w:r>
              <w:rPr>
                <w:sz w:val="17"/>
              </w:rPr>
              <w:t>2026-09-14</w:t>
            </w:r>
          </w:p>
        </w:tc>
        <w:tc>
          <w:tcPr>
            <w:tcW w:type="dxa" w:w="1440"/>
            <w:shd w:fill="FFDCE0" w:val="clear"/>
          </w:tcPr>
          <w:p>
            <w:r>
              <w:rPr>
                <w:sz w:val="17"/>
              </w:rPr>
              <w:t>19,499</w:t>
            </w:r>
          </w:p>
        </w:tc>
        <w:tc>
          <w:tcPr>
            <w:tcW w:type="dxa" w:w="1440"/>
            <w:shd w:fill="FFDCE0" w:val="clear"/>
          </w:tcPr>
          <w:p>
            <w:r>
              <w:rPr>
                <w:b/>
                <w:sz w:val="17"/>
              </w:rPr>
              <w:t>20,953</w:t>
            </w:r>
          </w:p>
        </w:tc>
        <w:tc>
          <w:tcPr>
            <w:tcW w:type="dxa" w:w="1440"/>
            <w:shd w:fill="FFDCE0" w:val="clear"/>
          </w:tcPr>
          <w:p>
            <w:r>
              <w:rPr>
                <w:sz w:val="17"/>
              </w:rPr>
              <w:t>22,407</w:t>
            </w:r>
          </w:p>
        </w:tc>
        <w:tc>
          <w:tcPr>
            <w:tcW w:type="dxa" w:w="1440"/>
            <w:shd w:fill="FFDCE0" w:val="clear"/>
          </w:tcPr>
          <w:p>
            <w:r>
              <w:rPr>
                <w:b/>
                <w:color w:val="C00000"/>
                <w:sz w:val="17"/>
              </w:rPr>
              <w:t>-37.4%</w:t>
            </w:r>
          </w:p>
        </w:tc>
      </w:tr>
      <w:tr>
        <w:tc>
          <w:tcPr>
            <w:tcW w:type="dxa" w:w="1440"/>
            <w:shd w:fill="FFDCE0" w:val="clear"/>
          </w:tcPr>
          <w:p>
            <w:r>
              <w:rPr>
                <w:sz w:val="17"/>
              </w:rPr>
              <w:t>J+7  Moyenne</w:t>
            </w:r>
          </w:p>
        </w:tc>
        <w:tc>
          <w:tcPr>
            <w:tcW w:type="dxa" w:w="1440"/>
            <w:shd w:fill="FFDCE0" w:val="clear"/>
          </w:tcPr>
          <w:p>
            <w:r>
              <w:rPr>
                <w:sz w:val="17"/>
              </w:rPr>
              <w:t>2026-09-15</w:t>
            </w:r>
          </w:p>
        </w:tc>
        <w:tc>
          <w:tcPr>
            <w:tcW w:type="dxa" w:w="1440"/>
            <w:shd w:fill="FFDCE0" w:val="clear"/>
          </w:tcPr>
          <w:p>
            <w:r>
              <w:rPr>
                <w:sz w:val="17"/>
              </w:rPr>
              <w:t>17,929</w:t>
            </w:r>
          </w:p>
        </w:tc>
        <w:tc>
          <w:tcPr>
            <w:tcW w:type="dxa" w:w="1440"/>
            <w:shd w:fill="FFDCE0" w:val="clear"/>
          </w:tcPr>
          <w:p>
            <w:r>
              <w:rPr>
                <w:b/>
                <w:sz w:val="17"/>
              </w:rPr>
              <w:t>19,382</w:t>
            </w:r>
          </w:p>
        </w:tc>
        <w:tc>
          <w:tcPr>
            <w:tcW w:type="dxa" w:w="1440"/>
            <w:shd w:fill="FFDCE0" w:val="clear"/>
          </w:tcPr>
          <w:p>
            <w:r>
              <w:rPr>
                <w:sz w:val="17"/>
              </w:rPr>
              <w:t>20,834</w:t>
            </w:r>
          </w:p>
        </w:tc>
        <w:tc>
          <w:tcPr>
            <w:tcW w:type="dxa" w:w="1440"/>
            <w:shd w:fill="FFDCE0" w:val="clear"/>
          </w:tcPr>
          <w:p>
            <w:r>
              <w:rPr>
                <w:b/>
                <w:color w:val="C00000"/>
                <w:sz w:val="17"/>
              </w:rPr>
              <w:t>-42.1%</w:t>
            </w:r>
          </w:p>
        </w:tc>
      </w:tr>
      <w:tr>
        <w:tc>
          <w:tcPr>
            <w:tcW w:type="dxa" w:w="1440"/>
            <w:shd w:fill="FFDCE0" w:val="clear"/>
          </w:tcPr>
          <w:p>
            <w:r>
              <w:rPr>
                <w:sz w:val="17"/>
              </w:rPr>
              <w:t>J+8  Moyenne</w:t>
            </w:r>
          </w:p>
        </w:tc>
        <w:tc>
          <w:tcPr>
            <w:tcW w:type="dxa" w:w="1440"/>
            <w:shd w:fill="FFDCE0" w:val="clear"/>
          </w:tcPr>
          <w:p>
            <w:r>
              <w:rPr>
                <w:sz w:val="17"/>
              </w:rPr>
              <w:t>2026-09-16</w:t>
            </w:r>
          </w:p>
        </w:tc>
        <w:tc>
          <w:tcPr>
            <w:tcW w:type="dxa" w:w="1440"/>
            <w:shd w:fill="FFDCE0" w:val="clear"/>
          </w:tcPr>
          <w:p>
            <w:r>
              <w:rPr>
                <w:sz w:val="17"/>
              </w:rPr>
              <w:t>17,091</w:t>
            </w:r>
          </w:p>
        </w:tc>
        <w:tc>
          <w:tcPr>
            <w:tcW w:type="dxa" w:w="1440"/>
            <w:shd w:fill="FFDCE0" w:val="clear"/>
          </w:tcPr>
          <w:p>
            <w:r>
              <w:rPr>
                <w:b/>
                <w:sz w:val="17"/>
              </w:rPr>
              <w:t>18,580</w:t>
            </w:r>
          </w:p>
        </w:tc>
        <w:tc>
          <w:tcPr>
            <w:tcW w:type="dxa" w:w="1440"/>
            <w:shd w:fill="FFDCE0" w:val="clear"/>
          </w:tcPr>
          <w:p>
            <w:r>
              <w:rPr>
                <w:sz w:val="17"/>
              </w:rPr>
              <w:t>20,069</w:t>
            </w:r>
          </w:p>
        </w:tc>
        <w:tc>
          <w:tcPr>
            <w:tcW w:type="dxa" w:w="1440"/>
            <w:shd w:fill="FFDCE0" w:val="clear"/>
          </w:tcPr>
          <w:p>
            <w:r>
              <w:rPr>
                <w:b/>
                <w:color w:val="C00000"/>
                <w:sz w:val="17"/>
              </w:rPr>
              <w:t>-44.5%</w:t>
            </w:r>
          </w:p>
        </w:tc>
      </w:tr>
      <w:tr>
        <w:tc>
          <w:tcPr>
            <w:tcW w:type="dxa" w:w="1440"/>
            <w:shd w:fill="FFDCE0" w:val="clear"/>
          </w:tcPr>
          <w:p>
            <w:r>
              <w:rPr>
                <w:sz w:val="17"/>
              </w:rPr>
              <w:t>J+9  Moyenne</w:t>
            </w:r>
          </w:p>
        </w:tc>
        <w:tc>
          <w:tcPr>
            <w:tcW w:type="dxa" w:w="1440"/>
            <w:shd w:fill="FFDCE0" w:val="clear"/>
          </w:tcPr>
          <w:p>
            <w:r>
              <w:rPr>
                <w:sz w:val="17"/>
              </w:rPr>
              <w:t>2026-09-17</w:t>
            </w:r>
          </w:p>
        </w:tc>
        <w:tc>
          <w:tcPr>
            <w:tcW w:type="dxa" w:w="1440"/>
            <w:shd w:fill="FFDCE0" w:val="clear"/>
          </w:tcPr>
          <w:p>
            <w:r>
              <w:rPr>
                <w:sz w:val="17"/>
              </w:rPr>
              <w:t>16,606</w:t>
            </w:r>
          </w:p>
        </w:tc>
        <w:tc>
          <w:tcPr>
            <w:tcW w:type="dxa" w:w="1440"/>
            <w:shd w:fill="FFDCE0" w:val="clear"/>
          </w:tcPr>
          <w:p>
            <w:r>
              <w:rPr>
                <w:b/>
                <w:sz w:val="17"/>
              </w:rPr>
              <w:t>18,149</w:t>
            </w:r>
          </w:p>
        </w:tc>
        <w:tc>
          <w:tcPr>
            <w:tcW w:type="dxa" w:w="1440"/>
            <w:shd w:fill="FFDCE0" w:val="clear"/>
          </w:tcPr>
          <w:p>
            <w:r>
              <w:rPr>
                <w:sz w:val="17"/>
              </w:rPr>
              <w:t>19,691</w:t>
            </w:r>
          </w:p>
        </w:tc>
        <w:tc>
          <w:tcPr>
            <w:tcW w:type="dxa" w:w="1440"/>
            <w:shd w:fill="FFDCE0" w:val="clear"/>
          </w:tcPr>
          <w:p>
            <w:r>
              <w:rPr>
                <w:b/>
                <w:color w:val="C00000"/>
                <w:sz w:val="17"/>
              </w:rPr>
              <w:t>-45.7%</w:t>
            </w:r>
          </w:p>
        </w:tc>
      </w:tr>
      <w:tr>
        <w:tc>
          <w:tcPr>
            <w:tcW w:type="dxa" w:w="1440"/>
            <w:shd w:fill="FFDCE0" w:val="clear"/>
          </w:tcPr>
          <w:p>
            <w:r>
              <w:rPr>
                <w:sz w:val="17"/>
              </w:rPr>
              <w:t>J+10  Moyenne</w:t>
            </w:r>
          </w:p>
        </w:tc>
        <w:tc>
          <w:tcPr>
            <w:tcW w:type="dxa" w:w="1440"/>
            <w:shd w:fill="FFDCE0" w:val="clear"/>
          </w:tcPr>
          <w:p>
            <w:r>
              <w:rPr>
                <w:sz w:val="17"/>
              </w:rPr>
              <w:t>2026-09-18</w:t>
            </w:r>
          </w:p>
        </w:tc>
        <w:tc>
          <w:tcPr>
            <w:tcW w:type="dxa" w:w="1440"/>
            <w:shd w:fill="FFDCE0" w:val="clear"/>
          </w:tcPr>
          <w:p>
            <w:r>
              <w:rPr>
                <w:sz w:val="17"/>
              </w:rPr>
              <w:t>16,167</w:t>
            </w:r>
          </w:p>
        </w:tc>
        <w:tc>
          <w:tcPr>
            <w:tcW w:type="dxa" w:w="1440"/>
            <w:shd w:fill="FFDCE0" w:val="clear"/>
          </w:tcPr>
          <w:p>
            <w:r>
              <w:rPr>
                <w:b/>
                <w:sz w:val="17"/>
              </w:rPr>
              <w:t>17,758</w:t>
            </w:r>
          </w:p>
        </w:tc>
        <w:tc>
          <w:tcPr>
            <w:tcW w:type="dxa" w:w="1440"/>
            <w:shd w:fill="FFDCE0" w:val="clear"/>
          </w:tcPr>
          <w:p>
            <w:r>
              <w:rPr>
                <w:sz w:val="17"/>
              </w:rPr>
              <w:t>19,348</w:t>
            </w:r>
          </w:p>
        </w:tc>
        <w:tc>
          <w:tcPr>
            <w:tcW w:type="dxa" w:w="1440"/>
            <w:shd w:fill="FFDCE0" w:val="clear"/>
          </w:tcPr>
          <w:p>
            <w:r>
              <w:rPr>
                <w:b/>
                <w:color w:val="C00000"/>
                <w:sz w:val="17"/>
              </w:rPr>
              <w:t>-46.9%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**RAPPORT D'ANALYSE FINANCIÈRE — CBIBF (CORIS BANK INTERNATIONAL BURKINA FASO)**</w:t>
        <w:br/>
        <w:t>**Date de l'analyse : 05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CBIBF s'établit à 1 070,40 Mds FCFA, un niveau qui positionne le titre parmi les plus importantes capitalisations de la BRVM, reflétant la confiance des investisseurs dans le secteur bancaire régional. Le BPA de 2 047 FCFA indique que chaque action génère un bénéfice substantiel. Le PER de 16,3x est nettement supérieur à la moyenne historique de la BRVM (8-12x), ce qui signifie que les investisseurs paient une prime significative pour la croissance anticipée de la banque. L'EV/EBITDA de 12,1x, bien que dans la fourchette haute (10-15x), reste cohérent avec une valorisation de croissance. En l'absence de données sur la valeur comptable (Book Value), le ratio P/B ne peut être calculé, mais le niveau élevé du PER suggère une valorisation qui intègre déjà des attentes de performance future solide.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CBIBF a enregistré une performance spectaculaire de +120,07%, avec une progression de +1,06% lors de la dernière séance, clôturant à 33 450 FCFA. Le cours a évolué dans une fourchette très large, entre un plus bas de 15 200 FCFA et un plus haut de 33 450 FCFA, démontrant un momentum haussier extrêmement puissant. La moyenne du cours sur la période (23 514 FCFA) est supérieure à la médiane (22 140 FCFA), indiquant une distribution légèrement asymétrique vers le haut, avec des périodes de forte appréciation. L'écart-type de 5 116 FCFA (CV de 21,8%) révèle une dispersion modérée, tandis que le kurtosis négatif (-1,220) suggère une distribution aplatie, sans pics extrêmes de variation. Le skewness de -0,068 confirme une distribution quasi symétrique. La volatilité annualisée de 42,5% classe le titre comme très volatil (&gt;30%), ce qui implique un risque élevé mais aussi un potentiel de rendement important.</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(33 450 FCFA) se situe nettement au-dessus de la MM20 (29 643,25 FCFA) et de la MM50 (27 903,2 FCFA), avec un écart positif de plus de 12% et 20% respectivement. Cette configuration haussière confirme la tendance à court et moyen terme, justifiant la décision d'achat. La pente ascendante des moyennes mobiles renforce le signal positif.</w:t>
      </w:r>
    </w:p>
    <w:p>
      <w:pPr>
        <w:spacing w:after="120" w:line="276" w:lineRule="auto"/>
      </w:pPr>
      <w:r>
        <w:t>**Bandes de Bollinger** : Le prix actuel dépasse largement la borne supérieure (32 798,46 FCFA), indiquant une extension excessive du mouvement haussier. Cette situation suggère que le titre est en zone de surachat temporaire, avec une volatilité accrue. La décision de vente est justifiée par ce dépassement, signalant un risque de correction à court terme.</w:t>
      </w:r>
    </w:p>
    <w:p>
      <w:pPr>
        <w:spacing w:after="120" w:line="276" w:lineRule="auto"/>
      </w:pPr>
      <w:r>
        <w:t>**MACD** : La valeur du MACD (1 293,24) est nettement supérieure à sa ligne de signal (922,96), avec un écart positif de 370 points. Cette divergence haussière confirme la vigueur du momentum, justifiant la décision d'achat. La dynamique positive reste intacte malgré l'ampleur du mouvement.</w:t>
      </w:r>
    </w:p>
    <w:p>
      <w:pPr>
        <w:spacing w:after="120" w:line="276" w:lineRule="auto"/>
      </w:pPr>
      <w:r>
        <w:t>**RSI** : À 81,58, le RSI est profondément en zone de surachat (&gt;70), indiquant que le titre est surévalué à court terme. Cette lecture justifie la décision de vente, car elle suggère une probabilité élevée de consolidation ou de correction technique dans les prochaines séances.</w:t>
      </w:r>
    </w:p>
    <w:p>
      <w:pPr>
        <w:spacing w:after="120" w:line="276" w:lineRule="auto"/>
      </w:pPr>
      <w:r>
        <w:t>**Stochastique** : Le %K et le %D sont tous deux à 100,0, en territoire de surachat extrême. Cette configuration reflète un mouvement haussier sans précédent, mais signale également un épuisement potentiel du mouvement. La décision de vente est justifiée par cette situation extrême.</w:t>
      </w:r>
    </w:p>
    <w:p>
      <w:pPr>
        <w:spacing w:after="120" w:line="276" w:lineRule="auto"/>
      </w:pPr>
      <w:r>
        <w:t>**Conclusion technique** : La convergence des indicateurs de momentum (MACD positif) avec les moyennes mobiles suggère une tendance haussière solide à moyen terme. Cependant, la divergence entre les indicateurs de surachat (RSI, Stochastique, Bandes de Bollinger) et la tendance principale indique un risque élevé de correction à court terme. Le titre est en phase d'extension excessive, nécessitant une prudence accrue.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révèlent une performance financière solide : le Produit Net Bancaire (PNB) s'établit à 138,986 Mds FCFA, en croissance de 6,1%, tandis que le résultat net atteint 65,495 Mds FCFA, en progression remarquable de 36,6% par rapport à 2024. La marge nette de 47,12% et la marge opérationnelle de 51,77% témoignent d'une excellente rentabilité. Le ROA de 2,18% est satisfaisant pour le secteur bancaire, et le coefficient d'exploitation de 36,39% est excellent (&lt;50%), démontrant une gestion rigoureuse des charges. Le ratio dépôts/crédits (2 015,3 Mds / 1 327 Mds = 1,52) indique une transformation saine avec un excédent de liquidité. Le coût du risque, bien que non précisé en valeur absolue dans les données structurées, s'améliore significativement de 59,3% selon le rapport annuel 2025. **Le rapport annuel 2025** (publié en 2026) confirme cette dynamique avec une collecte de dépôts en hausse de 14,9% et des crédits nets en progression de 5,4%. **Le rapport T1 2026** (publié en 2026) montre une accélération spectaculaire : PNB en hausse de 28,5% à 36,8 Mds FCFA et résultat net en progression de 22,2% à 21,5 Mds FCFA, avec une marge nette de 58,4%. **Le rapport S1 2025** indiquait un PNB de 65,1 Mds FCFA (+8,75%) et un résultat net de 33,8 Mds FCFA (+0,66%), marqué par une forte hausse du coût du risque (+61,75%). **Le rapport T3 2025** montrait un PNB de 101,3 Mds FCFA (+9,65%) et un résultat net de 52,9 Mds FCFA (+6,25%). Sur la base de ces tendances, on estime que l'exercice 2026 pourrait voir un PNB dépasser 160 Mds FCFA et un résultat net supérieur à 80 Mds FCFA, si la dynamique du T1 se maintient. La banque bénéficie d'une notation AA/AI avec perspective stable, confirmant sa solidité financière.</w:t>
      </w:r>
    </w:p>
    <w:p>
      <w:pPr>
        <w:spacing w:after="120" w:line="276" w:lineRule="auto"/>
      </w:pPr>
      <w:r>
        <w:t>---</w:t>
      </w:r>
    </w:p>
    <w:p>
      <w:pPr>
        <w:spacing w:after="120" w:line="276" w:lineRule="auto"/>
      </w:pPr>
      <w:r>
        <w:t>### PARTIE 4 : CONCLUSION D'INVESTISSEMENT</w:t>
      </w:r>
    </w:p>
    <w:p>
      <w:pPr>
        <w:spacing w:after="120" w:line="276" w:lineRule="auto"/>
      </w:pPr>
      <w:r>
        <w:t>La valorisation actuelle de CBIBF (PER de 16,3x) apparaît exigeante par rapport à la moyenne BRVM (8-12x), indiquant une anticipation de croissance forte qui semble justifiée par les fondamentaux solides. Le comportement du cours (+120% en 100 jours) avec une volatilité élevée (42,5%) et un kurtosis platykurtique suggère un momentum puissant mais potentiellement instable. Les signaux techniques sont mitigés : la tendance haussière (MM, MACD) contraste avec les indicateurs de surachat extrême (RSI à 81,6, Stochastique à 100, dépassement des Bandes de Bollinger), signalant un risque de correction imminent. Les fondamentaux sont excellents avec une croissance soutenue du PNB (+28,5% au T1 2026), une amélioration spectaculaire de la rentabilité et une gestion efficace des risques. Les prédictions IA (J+1 à J+10) montrent une trajectoire baissière brutale (de 30 941 à 22 652 FCFA, soit -32%), contredisant fortement la tendance actuelle et suggérant un scénario de correction majeure. La convergence entre les signaux techniques de surachat et les prédictions IA indique un risque élevé de retournement à court terme. **Recommandation finale : VENTE** pour les investisseurs à court terme, avec un niveau de confiance Moyen et un risque global Élevé. Pour les investisseurs à moyen/long terme (&gt;12 mois), la solidité fondamentale et les perspectives de croissance pourraient justifier une stratégie de conservation avec réinvestissement après correction.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13.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316.49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3,622 titres</w:t>
            </w:r>
          </w:p>
        </w:tc>
        <w:tc>
          <w:tcPr>
            <w:tcW w:type="dxa" w:w="2268"/>
            <w:shd w:fill="FFF2CC" w:val="clear"/>
          </w:tcPr>
          <w:p>
            <w:r>
              <w:rPr>
                <w:b/>
                <w:color w:val="503200"/>
                <w:sz w:val="16"/>
              </w:rPr>
              <w:t xml:space="preserve">Cours actuel : </w:t>
            </w:r>
            <w:r>
              <w:rPr>
                <w:color w:val="000000"/>
                <w:sz w:val="17"/>
              </w:rPr>
              <w:t>1,745 FCFA</w:t>
            </w:r>
          </w:p>
          <w:p>
            <w:r>
              <w:rPr>
                <w:b/>
                <w:color w:val="503200"/>
                <w:sz w:val="16"/>
              </w:rPr>
              <w:t xml:space="preserve">Var. 100 jours : </w:t>
            </w:r>
            <w:r>
              <w:rPr>
                <w:b/>
                <w:color w:val="007800"/>
                <w:sz w:val="17"/>
              </w:rPr>
              <w:t>+6.40%</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1,325 FCFA</w:t>
            </w:r>
          </w:p>
          <w:p>
            <w:r>
              <w:rPr>
                <w:b/>
                <w:color w:val="503200"/>
                <w:sz w:val="16"/>
              </w:rPr>
              <w:t xml:space="preserve">Volatilité ann. : </w:t>
            </w:r>
            <w:r>
              <w:rPr>
                <w:color w:val="000000"/>
                <w:sz w:val="17"/>
              </w:rPr>
              <w:t>48.9%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20.8/100 → Moyen</w:t>
      </w:r>
    </w:p>
    <w:p>
      <w:pPr>
        <w:spacing w:before="40" w:after="80"/>
      </w:pPr>
      <w:r>
        <w:rPr>
          <w:rFonts w:ascii="Courier New" w:hAnsi="Courier New"/>
          <w:color w:val="825A00"/>
          <w:sz w:val="18"/>
        </w:rPr>
        <w:t>████░░░░░░░░░░░░░░░░  20.8/100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6.63% (Moyenne) — μ=1,613 FCFA, σ=107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β=1.0550 (Neutre (suit le marché)) — Cov=0.000038, Var(idx)=0.000036, ρ=0.204,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3,622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σ_j=3.08%/j (Modérée) — Vol. annualisée≈48.9%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2026-09-07</w:t>
            </w:r>
          </w:p>
        </w:tc>
        <w:tc>
          <w:tcPr>
            <w:tcW w:type="dxa" w:w="1440"/>
            <w:shd w:fill="FFDCE0" w:val="clear"/>
          </w:tcPr>
          <w:p>
            <w:r>
              <w:rPr>
                <w:sz w:val="17"/>
              </w:rPr>
              <w:t>1,639</w:t>
            </w:r>
          </w:p>
        </w:tc>
        <w:tc>
          <w:tcPr>
            <w:tcW w:type="dxa" w:w="1440"/>
            <w:shd w:fill="FFDCE0" w:val="clear"/>
          </w:tcPr>
          <w:p>
            <w:r>
              <w:rPr>
                <w:b/>
                <w:sz w:val="17"/>
              </w:rPr>
              <w:t>1,698</w:t>
            </w:r>
          </w:p>
        </w:tc>
        <w:tc>
          <w:tcPr>
            <w:tcW w:type="dxa" w:w="1440"/>
            <w:shd w:fill="FFDCE0" w:val="clear"/>
          </w:tcPr>
          <w:p>
            <w:r>
              <w:rPr>
                <w:sz w:val="17"/>
              </w:rPr>
              <w:t>1,757</w:t>
            </w:r>
          </w:p>
        </w:tc>
        <w:tc>
          <w:tcPr>
            <w:tcW w:type="dxa" w:w="1440"/>
            <w:shd w:fill="FFDCE0" w:val="clear"/>
          </w:tcPr>
          <w:p>
            <w:r>
              <w:rPr>
                <w:b/>
                <w:color w:val="C00000"/>
                <w:sz w:val="17"/>
              </w:rPr>
              <w:t>-2.7%</w:t>
            </w:r>
          </w:p>
        </w:tc>
      </w:tr>
      <w:tr>
        <w:tc>
          <w:tcPr>
            <w:tcW w:type="dxa" w:w="1440"/>
            <w:shd w:fill="FFDCE0" w:val="clear"/>
          </w:tcPr>
          <w:p>
            <w:r>
              <w:rPr>
                <w:sz w:val="17"/>
              </w:rPr>
              <w:t>J+2  Moyenne</w:t>
            </w:r>
          </w:p>
        </w:tc>
        <w:tc>
          <w:tcPr>
            <w:tcW w:type="dxa" w:w="1440"/>
            <w:shd w:fill="FFDCE0" w:val="clear"/>
          </w:tcPr>
          <w:p>
            <w:r>
              <w:rPr>
                <w:sz w:val="17"/>
              </w:rPr>
              <w:t>2026-09-08</w:t>
            </w:r>
          </w:p>
        </w:tc>
        <w:tc>
          <w:tcPr>
            <w:tcW w:type="dxa" w:w="1440"/>
            <w:shd w:fill="FFDCE0" w:val="clear"/>
          </w:tcPr>
          <w:p>
            <w:r>
              <w:rPr>
                <w:sz w:val="17"/>
              </w:rPr>
              <w:t>1,594</w:t>
            </w:r>
          </w:p>
        </w:tc>
        <w:tc>
          <w:tcPr>
            <w:tcW w:type="dxa" w:w="1440"/>
            <w:shd w:fill="FFDCE0" w:val="clear"/>
          </w:tcPr>
          <w:p>
            <w:r>
              <w:rPr>
                <w:b/>
                <w:sz w:val="17"/>
              </w:rPr>
              <w:t>1,676</w:t>
            </w:r>
          </w:p>
        </w:tc>
        <w:tc>
          <w:tcPr>
            <w:tcW w:type="dxa" w:w="1440"/>
            <w:shd w:fill="FFDCE0" w:val="clear"/>
          </w:tcPr>
          <w:p>
            <w:r>
              <w:rPr>
                <w:sz w:val="17"/>
              </w:rPr>
              <w:t>1,758</w:t>
            </w:r>
          </w:p>
        </w:tc>
        <w:tc>
          <w:tcPr>
            <w:tcW w:type="dxa" w:w="1440"/>
            <w:shd w:fill="FFDCE0" w:val="clear"/>
          </w:tcPr>
          <w:p>
            <w:r>
              <w:rPr>
                <w:b/>
                <w:color w:val="C00000"/>
                <w:sz w:val="17"/>
              </w:rPr>
              <w:t>-4.0%</w:t>
            </w:r>
          </w:p>
        </w:tc>
      </w:tr>
      <w:tr>
        <w:tc>
          <w:tcPr>
            <w:tcW w:type="dxa" w:w="1440"/>
            <w:shd w:fill="FFDCE0" w:val="clear"/>
          </w:tcPr>
          <w:p>
            <w:r>
              <w:rPr>
                <w:sz w:val="17"/>
              </w:rPr>
              <w:t>J+3  Moyenne</w:t>
            </w:r>
          </w:p>
        </w:tc>
        <w:tc>
          <w:tcPr>
            <w:tcW w:type="dxa" w:w="1440"/>
            <w:shd w:fill="FFDCE0" w:val="clear"/>
          </w:tcPr>
          <w:p>
            <w:r>
              <w:rPr>
                <w:sz w:val="17"/>
              </w:rPr>
              <w:t>2026-09-09</w:t>
            </w:r>
          </w:p>
        </w:tc>
        <w:tc>
          <w:tcPr>
            <w:tcW w:type="dxa" w:w="1440"/>
            <w:shd w:fill="FFDCE0" w:val="clear"/>
          </w:tcPr>
          <w:p>
            <w:r>
              <w:rPr>
                <w:sz w:val="17"/>
              </w:rPr>
              <w:t>1,552</w:t>
            </w:r>
          </w:p>
        </w:tc>
        <w:tc>
          <w:tcPr>
            <w:tcW w:type="dxa" w:w="1440"/>
            <w:shd w:fill="FFDCE0" w:val="clear"/>
          </w:tcPr>
          <w:p>
            <w:r>
              <w:rPr>
                <w:b/>
                <w:sz w:val="17"/>
              </w:rPr>
              <w:t>1,651</w:t>
            </w:r>
          </w:p>
        </w:tc>
        <w:tc>
          <w:tcPr>
            <w:tcW w:type="dxa" w:w="1440"/>
            <w:shd w:fill="FFDCE0" w:val="clear"/>
          </w:tcPr>
          <w:p>
            <w:r>
              <w:rPr>
                <w:sz w:val="17"/>
              </w:rPr>
              <w:t>1,750</w:t>
            </w:r>
          </w:p>
        </w:tc>
        <w:tc>
          <w:tcPr>
            <w:tcW w:type="dxa" w:w="1440"/>
            <w:shd w:fill="FFDCE0" w:val="clear"/>
          </w:tcPr>
          <w:p>
            <w:r>
              <w:rPr>
                <w:b/>
                <w:color w:val="C00000"/>
                <w:sz w:val="17"/>
              </w:rPr>
              <w:t>-5.4%</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1,513</w:t>
            </w:r>
          </w:p>
        </w:tc>
        <w:tc>
          <w:tcPr>
            <w:tcW w:type="dxa" w:w="1440"/>
            <w:shd w:fill="FFDCE0" w:val="clear"/>
          </w:tcPr>
          <w:p>
            <w:r>
              <w:rPr>
                <w:b/>
                <w:sz w:val="17"/>
              </w:rPr>
              <w:t>1,626</w:t>
            </w:r>
          </w:p>
        </w:tc>
        <w:tc>
          <w:tcPr>
            <w:tcW w:type="dxa" w:w="1440"/>
            <w:shd w:fill="FFDCE0" w:val="clear"/>
          </w:tcPr>
          <w:p>
            <w:r>
              <w:rPr>
                <w:sz w:val="17"/>
              </w:rPr>
              <w:t>1,739</w:t>
            </w:r>
          </w:p>
        </w:tc>
        <w:tc>
          <w:tcPr>
            <w:tcW w:type="dxa" w:w="1440"/>
            <w:shd w:fill="FFDCE0" w:val="clear"/>
          </w:tcPr>
          <w:p>
            <w:r>
              <w:rPr>
                <w:b/>
                <w:color w:val="C00000"/>
                <w:sz w:val="17"/>
              </w:rPr>
              <w:t>-6.8%</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1,477</w:t>
            </w:r>
          </w:p>
        </w:tc>
        <w:tc>
          <w:tcPr>
            <w:tcW w:type="dxa" w:w="1440"/>
            <w:shd w:fill="FFDCE0" w:val="clear"/>
          </w:tcPr>
          <w:p>
            <w:r>
              <w:rPr>
                <w:b/>
                <w:sz w:val="17"/>
              </w:rPr>
              <w:t>1,602</w:t>
            </w:r>
          </w:p>
        </w:tc>
        <w:tc>
          <w:tcPr>
            <w:tcW w:type="dxa" w:w="1440"/>
            <w:shd w:fill="FFDCE0" w:val="clear"/>
          </w:tcPr>
          <w:p>
            <w:r>
              <w:rPr>
                <w:sz w:val="17"/>
              </w:rPr>
              <w:t>1,726</w:t>
            </w:r>
          </w:p>
        </w:tc>
        <w:tc>
          <w:tcPr>
            <w:tcW w:type="dxa" w:w="1440"/>
            <w:shd w:fill="FFDCE0" w:val="clear"/>
          </w:tcPr>
          <w:p>
            <w:r>
              <w:rPr>
                <w:b/>
                <w:color w:val="C00000"/>
                <w:sz w:val="17"/>
              </w:rPr>
              <w:t>-8.2%</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1,444</w:t>
            </w:r>
          </w:p>
        </w:tc>
        <w:tc>
          <w:tcPr>
            <w:tcW w:type="dxa" w:w="1440"/>
            <w:shd w:fill="FFDCE0" w:val="clear"/>
          </w:tcPr>
          <w:p>
            <w:r>
              <w:rPr>
                <w:b/>
                <w:sz w:val="17"/>
              </w:rPr>
              <w:t>1,578</w:t>
            </w:r>
          </w:p>
        </w:tc>
        <w:tc>
          <w:tcPr>
            <w:tcW w:type="dxa" w:w="1440"/>
            <w:shd w:fill="FFDCE0" w:val="clear"/>
          </w:tcPr>
          <w:p>
            <w:r>
              <w:rPr>
                <w:sz w:val="17"/>
              </w:rPr>
              <w:t>1,712</w:t>
            </w:r>
          </w:p>
        </w:tc>
        <w:tc>
          <w:tcPr>
            <w:tcW w:type="dxa" w:w="1440"/>
            <w:shd w:fill="FFDCE0" w:val="clear"/>
          </w:tcPr>
          <w:p>
            <w:r>
              <w:rPr>
                <w:b/>
                <w:color w:val="C00000"/>
                <w:sz w:val="17"/>
              </w:rPr>
              <w:t>-9.6%</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1,412</w:t>
            </w:r>
          </w:p>
        </w:tc>
        <w:tc>
          <w:tcPr>
            <w:tcW w:type="dxa" w:w="1440"/>
            <w:shd w:fill="FFDCE0" w:val="clear"/>
          </w:tcPr>
          <w:p>
            <w:r>
              <w:rPr>
                <w:b/>
                <w:sz w:val="17"/>
              </w:rPr>
              <w:t>1,555</w:t>
            </w:r>
          </w:p>
        </w:tc>
        <w:tc>
          <w:tcPr>
            <w:tcW w:type="dxa" w:w="1440"/>
            <w:shd w:fill="FFDCE0" w:val="clear"/>
          </w:tcPr>
          <w:p>
            <w:r>
              <w:rPr>
                <w:sz w:val="17"/>
              </w:rPr>
              <w:t>1,698</w:t>
            </w:r>
          </w:p>
        </w:tc>
        <w:tc>
          <w:tcPr>
            <w:tcW w:type="dxa" w:w="1440"/>
            <w:shd w:fill="FFDCE0" w:val="clear"/>
          </w:tcPr>
          <w:p>
            <w:r>
              <w:rPr>
                <w:b/>
                <w:color w:val="C00000"/>
                <w:sz w:val="17"/>
              </w:rPr>
              <w:t>-10.9%</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1,382</w:t>
            </w:r>
          </w:p>
        </w:tc>
        <w:tc>
          <w:tcPr>
            <w:tcW w:type="dxa" w:w="1440"/>
            <w:shd w:fill="FFDCE0" w:val="clear"/>
          </w:tcPr>
          <w:p>
            <w:r>
              <w:rPr>
                <w:b/>
                <w:sz w:val="17"/>
              </w:rPr>
              <w:t>1,532</w:t>
            </w:r>
          </w:p>
        </w:tc>
        <w:tc>
          <w:tcPr>
            <w:tcW w:type="dxa" w:w="1440"/>
            <w:shd w:fill="FFDCE0" w:val="clear"/>
          </w:tcPr>
          <w:p>
            <w:r>
              <w:rPr>
                <w:sz w:val="17"/>
              </w:rPr>
              <w:t>1,682</w:t>
            </w:r>
          </w:p>
        </w:tc>
        <w:tc>
          <w:tcPr>
            <w:tcW w:type="dxa" w:w="1440"/>
            <w:shd w:fill="FFDCE0" w:val="clear"/>
          </w:tcPr>
          <w:p>
            <w:r>
              <w:rPr>
                <w:b/>
                <w:color w:val="C00000"/>
                <w:sz w:val="17"/>
              </w:rPr>
              <w:t>-12.2%</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1,353</w:t>
            </w:r>
          </w:p>
        </w:tc>
        <w:tc>
          <w:tcPr>
            <w:tcW w:type="dxa" w:w="1440"/>
            <w:shd w:fill="FFDCE0" w:val="clear"/>
          </w:tcPr>
          <w:p>
            <w:r>
              <w:rPr>
                <w:b/>
                <w:sz w:val="17"/>
              </w:rPr>
              <w:t>1,510</w:t>
            </w:r>
          </w:p>
        </w:tc>
        <w:tc>
          <w:tcPr>
            <w:tcW w:type="dxa" w:w="1440"/>
            <w:shd w:fill="FFDCE0" w:val="clear"/>
          </w:tcPr>
          <w:p>
            <w:r>
              <w:rPr>
                <w:sz w:val="17"/>
              </w:rPr>
              <w:t>1,667</w:t>
            </w:r>
          </w:p>
        </w:tc>
        <w:tc>
          <w:tcPr>
            <w:tcW w:type="dxa" w:w="1440"/>
            <w:shd w:fill="FFDCE0" w:val="clear"/>
          </w:tcPr>
          <w:p>
            <w:r>
              <w:rPr>
                <w:b/>
                <w:color w:val="C00000"/>
                <w:sz w:val="17"/>
              </w:rPr>
              <w:t>-13.5%</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1,325</w:t>
            </w:r>
          </w:p>
        </w:tc>
        <w:tc>
          <w:tcPr>
            <w:tcW w:type="dxa" w:w="1440"/>
            <w:shd w:fill="FFDCE0" w:val="clear"/>
          </w:tcPr>
          <w:p>
            <w:r>
              <w:rPr>
                <w:b/>
                <w:sz w:val="17"/>
              </w:rPr>
              <w:t>1,488</w:t>
            </w:r>
          </w:p>
        </w:tc>
        <w:tc>
          <w:tcPr>
            <w:tcW w:type="dxa" w:w="1440"/>
            <w:shd w:fill="FFDCE0" w:val="clear"/>
          </w:tcPr>
          <w:p>
            <w:r>
              <w:rPr>
                <w:sz w:val="17"/>
              </w:rPr>
              <w:t>1,652</w:t>
            </w:r>
          </w:p>
        </w:tc>
        <w:tc>
          <w:tcPr>
            <w:tcW w:type="dxa" w:w="1440"/>
            <w:shd w:fill="FFDCE0" w:val="clear"/>
          </w:tcPr>
          <w:p>
            <w:r>
              <w:rPr>
                <w:b/>
                <w:color w:val="C00000"/>
                <w:sz w:val="17"/>
              </w:rPr>
              <w:t>-14.7%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CFAC s'établit à 316,49 milliards FCFA, un niveau substantiel qui la positionne parmi les valeurs moyennes à grandes de la cote BRVM, reflétant son statut de leader sur le marché automobile ivoirien. Le BPA de 26 FCFA par action indique un bénéfice net par titre relativement modeste, ce qui explique un PER de 67,4x, extrêmement élevé par rapport à la moyenne historique de la BRVM (8-12x). Les investisseurs paient donc une prime considérable pour chaque franc de bénéfice, anticipant probablement une forte croissance future. Le P/B de 16,27x confirme cette valorisation exigeante, le marché valorisant l'action à plus de 16 fois sa valeur comptable, signe d'attentes très fortes sur la création de valeur future. Enfin, l'EV/EBITDA de 34,3x, très supérieur au seuil de 15x considéré comme exigeant, indique que la valeur totale de l'entreprise (capitalisation plus dette nette) est très élevée par rapport à sa capacité opérationnelle de génération de cash-flow.</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CFAC affiche une progression de +6,40%, avec un cours actuel de 1 745 FCFA, mais une légère baisse de -0,57% lors de la dernière séance, suggérant un possible essoufflement à court terme. Le titre a évolué dans une fourchette de 1 325 à 1 825 FCFA, démontrant une amplitude de 500 FCFA, soit un range de trading significatif. La moyenne de 1 613 FCFA est proche de la médiane de 1 602 FCFA, indiquant une distribution relativement symétrique des cours, avec un mode de 1 600 FCFA confirmant la concentration des échanges autour de ce niveau. L'écart-type de 107 FCFA (CV=6,7%) révèle une dispersion modérée des prix autour de la moyenne. Le kurtosis de -0,340 (mésokurtique) suggère une distribution proche de la normale, sans risque accru de mouvements extrêmes, tandis que le skewness de -0,374 indique une légère asymétrie négative, avec une queue de distribution vers les valeurs basses. La volatilité annualisée de 48,9% est très élevée (&gt;30%), positionnant CFAC comme un titre à fort risque de fluctuation, malgré une tendance globale haussière sur la période.</w:t>
      </w:r>
    </w:p>
    <w:p>
      <w:pPr>
        <w:spacing w:after="120" w:line="276" w:lineRule="auto" w:before="240"/>
      </w:pPr>
      <w:r>
        <w:rPr>
          <w:b/>
          <w:color w:val="003366"/>
          <w:sz w:val="24"/>
        </w:rPr>
        <w:t>**PARTIE 2 : ANALYSE TECHNIQUE DÉTAILLÉE**</w:t>
      </w:r>
    </w:p>
    <w:p>
      <w:pPr>
        <w:spacing w:after="120" w:line="276" w:lineRule="auto"/>
      </w:pPr>
      <w:r>
        <w:t>**Moyennes Mobiles** : La MM20 à 1 699,25 FCFA et la MM50 à 1 679,0 FCFA sont toutes deux inférieures au cours actuel de 1 745 FCFA, confirmant une tendance haussière à court et moyen terme. Le croisement positif des moyennes mobiles avec le prix soutient la décision d'ACHAT, indiquant que le momentum haussier reste intact malgré le léger repli de la dernière séance.</w:t>
      </w:r>
    </w:p>
    <w:p>
      <w:pPr>
        <w:spacing w:after="120" w:line="276" w:lineRule="auto"/>
      </w:pPr>
      <w:r>
        <w:t>**Bandes de Bollinger** : Le prix à 1 745 FCFA se positionne dans la partie supérieure de l'enveloppe, entre la borne inférieure à 1 593,208 FCFA et la borne supérieure à 1 805,292 FCFA, sans toucher les extrêmes. Cette position neutre suggère une volatilité modérée sans signal de surachat ou de survente immédiat, laissant place à une poursuite de la tendance ou à un retour vers la moyenne.</w:t>
      </w:r>
    </w:p>
    <w:p>
      <w:pPr>
        <w:spacing w:after="120" w:line="276" w:lineRule="auto"/>
      </w:pPr>
      <w:r>
        <w:t>**MACD** : La valeur du MACD à 23,487 est supérieure à son signal à 19,39, indiquant un momentum haussier positif. L'écart positif entre les deux lignes confirme la dynamique ascendante du titre, justifiant la décision d'ACHAT, bien que l'écart ne soit pas excessif, ce qui limite le risque de retournement brutal.</w:t>
      </w:r>
    </w:p>
    <w:p>
      <w:pPr>
        <w:spacing w:after="120" w:line="276" w:lineRule="auto"/>
      </w:pPr>
      <w:r>
        <w:t>**RSI** : À 60,0, le RSI se situe dans la zone neutre (30-70), sans signal de surachat ou de survente. Cette valeur indique un équilibre relatif entre pression acheteuse et vendeuse, avec une légère prédominance haussière, mais sans l'extrême qui précède généralement les retournements de tendance.</w:t>
      </w:r>
    </w:p>
    <w:p>
      <w:pPr>
        <w:spacing w:after="120" w:line="276" w:lineRule="auto"/>
      </w:pPr>
      <w:r>
        <w:t>**Stochastique** : Le %K à 87,879 et le %D à 91,919 sont tous deux dans la zone de surachat (&gt;80), avec un %K inférieur au %D, suggérant un croisement baissier potentiel. Cette configuration justifie la décision de VENTE, signalant un risque de correction à court terme après une période de hausse soutenue.</w:t>
      </w:r>
    </w:p>
    <w:p>
      <w:pPr>
        <w:spacing w:after="120" w:line="276" w:lineRule="auto"/>
      </w:pPr>
      <w:r>
        <w:t>**Conclusion technique** : Les indicateurs sont mitigés avec une majorité de signaux haussiers (MM, MACD) mais des signaux de surachat sur le stochastique et un RSI neutre. La convergence des MM et du MACD vers le haut suggère une tendance positive persistante, mais le stochastique en zone de surachat et le léger repli du cours appellent à la prudence. Le titre pourrait connaître une consolidation à court terme avant de poursuivre sa tendance haussière.</w:t>
      </w:r>
    </w:p>
    <w:p>
      <w:pPr>
        <w:spacing w:after="120" w:line="276" w:lineRule="auto" w:before="240"/>
      </w:pPr>
      <w:r>
        <w:rPr>
          <w:b/>
          <w:color w:val="003366"/>
          <w:sz w:val="24"/>
        </w:rPr>
        <w:t>**PARTIE 3 : ANALYSE FONDAMENTALE (SECTION CRITIQUE)**</w:t>
      </w:r>
    </w:p>
    <w:p>
      <w:pPr>
        <w:spacing w:after="120" w:line="276" w:lineRule="auto"/>
      </w:pPr>
      <w:r>
        <w:t>En 2024, CFAC (CFAO Motors Côte d'Ivoire) a réalisé un chiffre d'affaires de 158,313 milliards FCFA, en baisse de -12,1% par rapport à 2023 (180,162 milliards), avec un résultat net de 4,693 milliards FCFA, en recul de -26,7%. Le ROE reste excellent à 24,13% et le ROA à 5,52%, démontrant une bonne rentabilité malgré le contexte difficile. En tant qu'entreprise de distribution automobile, le BFR négatif de -3,482 milliards FCFA est favorable, indiquant que l'entreprise finance son cycle d'exploitation grâce à ses fournisseurs, avec un délai fournisseurs de 81,75 jours contre 36,64 jours pour les clients. La marge nette de 2,96% et la marge opérationnelle de 4,96% reflètent la pression sur la rentabilité en 2024, impactée par la baisse des volumes de véhicules (-5,5%) et des difficultés logistiques. Cependant, les rapports trimestriels 2025 montrent un redressement spectaculaire : le T1 2025 affiche un CA de 46,161 milliards (+14,5%) avec un résultat net de 3,836 milliards (+279,7%), et le S1 2025 confirme avec un CA de 91,182 milliards (+18,4%) et un résultat net de 5,420 milliards (+152,7%). Sur la base de ces performances semestrielles, on estime que l'exercice 2025 pourrait dépasser largement les résultats 2024, avec un CA annuel potentiel de plus de 180 milliards et un résultat net supérieur à 10 milliards, soit un doublement par rapport à 2024. Le T3 2025 (+18,3% de CA, +38,1% de résultat net) confirme cette dynamique positive, portée par une part de marché de 41,7% et une excellente maîtrise opérationnelle.</w:t>
      </w:r>
    </w:p>
    <w:p>
      <w:pPr>
        <w:spacing w:after="120" w:line="276" w:lineRule="auto" w:before="240"/>
      </w:pPr>
      <w:r>
        <w:rPr>
          <w:b/>
          <w:color w:val="003366"/>
          <w:sz w:val="24"/>
        </w:rPr>
        <w:t>**PARTIE 4 : CONCLUSION D'INVESTISSEMENT**</w:t>
      </w:r>
    </w:p>
    <w:p>
      <w:pPr>
        <w:spacing w:after="120" w:line="276" w:lineRule="auto"/>
      </w:pPr>
      <w:r>
        <w:t>La valorisation de CFAC apparaît extrêmement exigeante avec un PER de 67,4x, un P/B de 16,27x et un EV/EBITDA de 34,3x, très supérieurs aux moyennes BRVM, indiquant une surévaluation basée sur les bénéfices actuels mais intégrant des attentes de croissance forte. Le comportement du cours sur 100 jours montre une tendance haussière (+6,40%) avec une volatilité très élevée (48,9%), des statistiques relativement stables (kurtosis mésokurtique, skewness légèrement négatif) mais un risque de fluctuation important. Les signaux techniques sont mitigés : les MM et le MACD soutiennent l'achat, mais le stochastique en surachat et le RSI neutre suggèrent une possible consolidation à court terme. Les fondamentaux, bien qu'en baisse en 2024, montrent un redressement spectaculaire en 2025 avec des croissances à trois chiffres du résultat net, confirmant la solidité du modèle économique et la position de leader (43,4% de part de marché). Les prédictions IA pour les 10 prochains jours indiquent une baisse progressive de 1 698 à 1 602 FCFA, contredisant les signaux techniques haussiers et suggérant une correction après la récente hausse. En synthèse, malgré des fondamentaux en amélioration, la valorisation actuelle intègre déjà largement ces perspectives, et les signaux techniques et prédictions IA suggèrent un repli à court terme. Recommandation : CONSERVER, avec un niveau de confiance Moyen, un risque global Élevé, et un horizon d'investissement optimal à moyen terme (3-12 mois) pour laisser le temps aux fondamentaux de rattraper la valorisation.</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14.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375.20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6,324 titres</w:t>
            </w:r>
          </w:p>
        </w:tc>
        <w:tc>
          <w:tcPr>
            <w:tcW w:type="dxa" w:w="2268"/>
            <w:shd w:fill="FFF2CC" w:val="clear"/>
          </w:tcPr>
          <w:p>
            <w:r>
              <w:rPr>
                <w:b/>
                <w:color w:val="503200"/>
                <w:sz w:val="16"/>
              </w:rPr>
              <w:t xml:space="preserve">Cours actuel : </w:t>
            </w:r>
            <w:r>
              <w:rPr>
                <w:color w:val="000000"/>
                <w:sz w:val="17"/>
              </w:rPr>
              <w:t>6,700 FCFA</w:t>
            </w:r>
          </w:p>
          <w:p>
            <w:r>
              <w:rPr>
                <w:b/>
                <w:color w:val="503200"/>
                <w:sz w:val="16"/>
              </w:rPr>
              <w:t xml:space="preserve">Var. 100 jours : </w:t>
            </w:r>
            <w:r>
              <w:rPr>
                <w:b/>
                <w:color w:val="007800"/>
                <w:sz w:val="17"/>
              </w:rPr>
              <w:t>+109.70%</w:t>
            </w:r>
          </w:p>
          <w:p>
            <w:r>
              <w:rPr>
                <w:b/>
                <w:color w:val="503200"/>
                <w:sz w:val="16"/>
              </w:rPr>
              <w:t xml:space="preserve">Plus haut 100j : </w:t>
            </w:r>
            <w:r>
              <w:rPr>
                <w:color w:val="000000"/>
                <w:sz w:val="17"/>
              </w:rPr>
              <w:t>7,190 FCFA</w:t>
            </w:r>
          </w:p>
          <w:p>
            <w:r>
              <w:rPr>
                <w:b/>
                <w:color w:val="503200"/>
                <w:sz w:val="16"/>
              </w:rPr>
              <w:t xml:space="preserve">Plus bas 100j : </w:t>
            </w:r>
            <w:r>
              <w:rPr>
                <w:color w:val="000000"/>
                <w:sz w:val="17"/>
              </w:rPr>
              <w:t>3,000 FCFA</w:t>
            </w:r>
          </w:p>
          <w:p>
            <w:r>
              <w:rPr>
                <w:b/>
                <w:color w:val="503200"/>
                <w:sz w:val="16"/>
              </w:rPr>
              <w:t xml:space="preserve">Volatilité ann. : </w:t>
            </w:r>
            <w:r>
              <w:rPr>
                <w:color w:val="000000"/>
                <w:sz w:val="17"/>
              </w:rPr>
              <w:t>49.8%</w:t>
            </w:r>
          </w:p>
        </w:tc>
        <w:tc>
          <w:tcPr>
            <w:tcW w:type="dxa" w:w="2835"/>
            <w:shd w:fill="FCE4D6" w:val="clear"/>
          </w:tcPr>
          <w:p>
            <w:r>
              <w:rPr>
                <w:b/>
                <w:color w:val="500000"/>
                <w:sz w:val="16"/>
              </w:rPr>
              <w:t xml:space="preserve">Recommandation : </w:t>
            </w:r>
            <w:r>
              <w:rPr>
                <w:b/>
                <w:color w:val="646400"/>
                <w:sz w:val="19"/>
              </w:rPr>
              <w:t>CONSERVER ⚠️</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825A00"/>
          <w:sz w:val="22"/>
        </w:rPr>
        <w:t>29.8/100 → Moyen</w:t>
      </w:r>
    </w:p>
    <w:p>
      <w:pPr>
        <w:spacing w:before="40" w:after="80"/>
      </w:pPr>
      <w:r>
        <w:rPr>
          <w:rFonts w:ascii="Courier New" w:hAnsi="Courier New"/>
          <w:color w:val="825A00"/>
          <w:sz w:val="18"/>
        </w:rPr>
        <w:t>█████░░░░░░░░░░░░░░░  29.8/100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24.24% (Élevée) — μ=4,770 FCFA, σ=1,156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β=0.8984 (Neutre (suit le marché)) — Cov=0.000032, Var(idx)=0.000036, ρ=0.171,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6,324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σ_j=3.14%/j (Modérée) — Vol. annualisée≈49.8%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52/100  (Moyen)</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2026-09-07</w:t>
            </w:r>
          </w:p>
        </w:tc>
        <w:tc>
          <w:tcPr>
            <w:tcW w:type="dxa" w:w="1440"/>
            <w:shd w:fill="FFDCE0" w:val="clear"/>
          </w:tcPr>
          <w:p>
            <w:r>
              <w:rPr>
                <w:sz w:val="17"/>
              </w:rPr>
              <w:t>5,861</w:t>
            </w:r>
          </w:p>
        </w:tc>
        <w:tc>
          <w:tcPr>
            <w:tcW w:type="dxa" w:w="1440"/>
            <w:shd w:fill="FFDCE0" w:val="clear"/>
          </w:tcPr>
          <w:p>
            <w:r>
              <w:rPr>
                <w:b/>
                <w:sz w:val="17"/>
              </w:rPr>
              <w:t>6,198</w:t>
            </w:r>
          </w:p>
        </w:tc>
        <w:tc>
          <w:tcPr>
            <w:tcW w:type="dxa" w:w="1440"/>
            <w:shd w:fill="FFDCE0" w:val="clear"/>
          </w:tcPr>
          <w:p>
            <w:r>
              <w:rPr>
                <w:sz w:val="17"/>
              </w:rPr>
              <w:t>6,534</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2026-09-08</w:t>
            </w:r>
          </w:p>
        </w:tc>
        <w:tc>
          <w:tcPr>
            <w:tcW w:type="dxa" w:w="1440"/>
            <w:shd w:fill="FFDCE0" w:val="clear"/>
          </w:tcPr>
          <w:p>
            <w:r>
              <w:rPr>
                <w:sz w:val="17"/>
              </w:rPr>
              <w:t>5,292</w:t>
            </w:r>
          </w:p>
        </w:tc>
        <w:tc>
          <w:tcPr>
            <w:tcW w:type="dxa" w:w="1440"/>
            <w:shd w:fill="FFDCE0" w:val="clear"/>
          </w:tcPr>
          <w:p>
            <w:r>
              <w:rPr>
                <w:b/>
                <w:sz w:val="17"/>
              </w:rPr>
              <w:t>5,733</w:t>
            </w:r>
          </w:p>
        </w:tc>
        <w:tc>
          <w:tcPr>
            <w:tcW w:type="dxa" w:w="1440"/>
            <w:shd w:fill="FFDCE0" w:val="clear"/>
          </w:tcPr>
          <w:p>
            <w:r>
              <w:rPr>
                <w:sz w:val="17"/>
              </w:rPr>
              <w:t>6,173</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2026-09-09</w:t>
            </w:r>
          </w:p>
        </w:tc>
        <w:tc>
          <w:tcPr>
            <w:tcW w:type="dxa" w:w="1440"/>
            <w:shd w:fill="FFDCE0" w:val="clear"/>
          </w:tcPr>
          <w:p>
            <w:r>
              <w:rPr>
                <w:sz w:val="17"/>
              </w:rPr>
              <w:t>4,804</w:t>
            </w:r>
          </w:p>
        </w:tc>
        <w:tc>
          <w:tcPr>
            <w:tcW w:type="dxa" w:w="1440"/>
            <w:shd w:fill="FFDCE0" w:val="clear"/>
          </w:tcPr>
          <w:p>
            <w:r>
              <w:rPr>
                <w:b/>
                <w:sz w:val="17"/>
              </w:rPr>
              <w:t>5,303</w:t>
            </w:r>
          </w:p>
        </w:tc>
        <w:tc>
          <w:tcPr>
            <w:tcW w:type="dxa" w:w="1440"/>
            <w:shd w:fill="FFDCE0" w:val="clear"/>
          </w:tcPr>
          <w:p>
            <w:r>
              <w:rPr>
                <w:sz w:val="17"/>
              </w:rPr>
              <w:t>5,802</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4,372</w:t>
            </w:r>
          </w:p>
        </w:tc>
        <w:tc>
          <w:tcPr>
            <w:tcW w:type="dxa" w:w="1440"/>
            <w:shd w:fill="FFDCE0" w:val="clear"/>
          </w:tcPr>
          <w:p>
            <w:r>
              <w:rPr>
                <w:b/>
                <w:sz w:val="17"/>
              </w:rPr>
              <w:t>4,905</w:t>
            </w:r>
          </w:p>
        </w:tc>
        <w:tc>
          <w:tcPr>
            <w:tcW w:type="dxa" w:w="1440"/>
            <w:shd w:fill="FFDCE0" w:val="clear"/>
          </w:tcPr>
          <w:p>
            <w:r>
              <w:rPr>
                <w:sz w:val="17"/>
              </w:rPr>
              <w:t>5,438</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3,986</w:t>
            </w:r>
          </w:p>
        </w:tc>
        <w:tc>
          <w:tcPr>
            <w:tcW w:type="dxa" w:w="1440"/>
            <w:shd w:fill="FFDCE0" w:val="clear"/>
          </w:tcPr>
          <w:p>
            <w:r>
              <w:rPr>
                <w:b/>
                <w:sz w:val="17"/>
              </w:rPr>
              <w:t>4,537</w:t>
            </w:r>
          </w:p>
        </w:tc>
        <w:tc>
          <w:tcPr>
            <w:tcW w:type="dxa" w:w="1440"/>
            <w:shd w:fill="FFDCE0" w:val="clear"/>
          </w:tcPr>
          <w:p>
            <w:r>
              <w:rPr>
                <w:sz w:val="17"/>
              </w:rPr>
              <w:t>5,088</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3,639</w:t>
            </w:r>
          </w:p>
        </w:tc>
        <w:tc>
          <w:tcPr>
            <w:tcW w:type="dxa" w:w="1440"/>
            <w:shd w:fill="FFDCE0" w:val="clear"/>
          </w:tcPr>
          <w:p>
            <w:r>
              <w:rPr>
                <w:b/>
                <w:sz w:val="17"/>
              </w:rPr>
              <w:t>4,197</w:t>
            </w:r>
          </w:p>
        </w:tc>
        <w:tc>
          <w:tcPr>
            <w:tcW w:type="dxa" w:w="1440"/>
            <w:shd w:fill="FFDCE0" w:val="clear"/>
          </w:tcPr>
          <w:p>
            <w:r>
              <w:rPr>
                <w:sz w:val="17"/>
              </w:rPr>
              <w:t>4,755</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3,324</w:t>
            </w:r>
          </w:p>
        </w:tc>
        <w:tc>
          <w:tcPr>
            <w:tcW w:type="dxa" w:w="1440"/>
            <w:shd w:fill="FFDCE0" w:val="clear"/>
          </w:tcPr>
          <w:p>
            <w:r>
              <w:rPr>
                <w:b/>
                <w:sz w:val="17"/>
              </w:rPr>
              <w:t>3,882</w:t>
            </w:r>
          </w:p>
        </w:tc>
        <w:tc>
          <w:tcPr>
            <w:tcW w:type="dxa" w:w="1440"/>
            <w:shd w:fill="FFDCE0" w:val="clear"/>
          </w:tcPr>
          <w:p>
            <w:r>
              <w:rPr>
                <w:sz w:val="17"/>
              </w:rPr>
              <w:t>4,440</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3,039</w:t>
            </w:r>
          </w:p>
        </w:tc>
        <w:tc>
          <w:tcPr>
            <w:tcW w:type="dxa" w:w="1440"/>
            <w:shd w:fill="FFDCE0" w:val="clear"/>
          </w:tcPr>
          <w:p>
            <w:r>
              <w:rPr>
                <w:b/>
                <w:sz w:val="17"/>
              </w:rPr>
              <w:t>3,591</w:t>
            </w:r>
          </w:p>
        </w:tc>
        <w:tc>
          <w:tcPr>
            <w:tcW w:type="dxa" w:w="1440"/>
            <w:shd w:fill="FFDCE0" w:val="clear"/>
          </w:tcPr>
          <w:p>
            <w:r>
              <w:rPr>
                <w:sz w:val="17"/>
              </w:rPr>
              <w:t>4,143</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2,780</w:t>
            </w:r>
          </w:p>
        </w:tc>
        <w:tc>
          <w:tcPr>
            <w:tcW w:type="dxa" w:w="1440"/>
            <w:shd w:fill="FFDCE0" w:val="clear"/>
          </w:tcPr>
          <w:p>
            <w:r>
              <w:rPr>
                <w:b/>
                <w:sz w:val="17"/>
              </w:rPr>
              <w:t>3,322</w:t>
            </w:r>
          </w:p>
        </w:tc>
        <w:tc>
          <w:tcPr>
            <w:tcW w:type="dxa" w:w="1440"/>
            <w:shd w:fill="FFDCE0" w:val="clear"/>
          </w:tcPr>
          <w:p>
            <w:r>
              <w:rPr>
                <w:sz w:val="17"/>
              </w:rPr>
              <w:t>3,863</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2,674</w:t>
            </w:r>
          </w:p>
        </w:tc>
        <w:tc>
          <w:tcPr>
            <w:tcW w:type="dxa" w:w="1440"/>
            <w:shd w:fill="FFDCE0" w:val="clear"/>
          </w:tcPr>
          <w:p>
            <w:r>
              <w:rPr>
                <w:b/>
                <w:sz w:val="17"/>
              </w:rPr>
              <w:t>3,229</w:t>
            </w:r>
          </w:p>
        </w:tc>
        <w:tc>
          <w:tcPr>
            <w:tcW w:type="dxa" w:w="1440"/>
            <w:shd w:fill="FFDCE0" w:val="clear"/>
          </w:tcPr>
          <w:p>
            <w:r>
              <w:rPr>
                <w:sz w:val="17"/>
              </w:rPr>
              <w:t>3,783</w:t>
            </w:r>
          </w:p>
        </w:tc>
        <w:tc>
          <w:tcPr>
            <w:tcW w:type="dxa" w:w="1440"/>
            <w:shd w:fill="FFDCE0" w:val="clear"/>
          </w:tcPr>
          <w:p>
            <w:r>
              <w:rPr>
                <w:b/>
                <w:color w:val="C00000"/>
                <w:sz w:val="17"/>
              </w:rPr>
              <w:t>-51.8%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Absolument. Voici un rapport d'analyse structuré et professionnel pour l'action CIEC, basé sur les données fournies.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CIEC s'établit à 375,20 milliards FCFA, ce qui en fait une valeur de première importance sur la BRVM, reflétant la position stratégique de l'entreprise dans le secteur de l'électricité en Côte d'Ivoire. Avec un BPA de 234 FCFA, le PER de 28,6x est très nettement supérieur à la moyenne historique de la BRVM (8-12x), indiquant que les investisseurs paient une prime significative pour la croissance attendue et la stabilité perçue du modèle de la concession. Le P/B de 10,43x confirme cette valorisation exigeante, le marché valorisant le titre bien au-delà de sa valeur comptable (35,96 Mds FCFA), ce qui traduit une forte confiance dans la création de valeur future. Enfin, un EV/EBITDA de 15,2x, supérieur au seuil de 15x, souligne que la valeur totale de l'entreprise (capitalisation + dette nette) est élevée par rapport à sa capacité opérationnelle (EBE de 37,16 Mds FCFA), ce qui exige une performance soutenue pour justifier ces niveaux de prix.</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CIEC a enregistré une performance exceptionnelle de +109,70%, passant d'un plus bas de 3,000 FCFA à un plus haut de 7,190 FCFA, avec un cours actuel de 6,700 FCFA. Cette tendance est fortement haussière, bien que la dernière séance (J-1) soit stable. La moyenne du cours sur la période est de 4,770 FCFA, proche de la médiane de 5,000 FCFA, et le mode est de 4,995 FCFA. Cette proximité entre les trois mesures de tendance centrale, couplée à un skewness de 0.006, indique une distribution des prix très symétrique. L'écart-type de 1,162 FCFA (CV de 24.4%) montre une dispersion modérée des prix autour de la moyenne. Le kurtosis de -0.791 (mésokurtique) suggère une distribution proche de la normale, avec un risque de mouvements extrêmes relativement faible. La volatilité annualisée de 49.8% est considérée comme élevée (&gt;30%), reflétant le fort potentiel de gains mais aussi un risque de pertes substantielles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(MM20=6280.5, MM50=5642.0) :** Le cours actuel (6,700 FCFA) est nettement au-dessus de ses moyennes mobiles à 20 et 50 jours, confirmant une dynamique haussière de court et moyen terme. La MM20 étant au-dessus de la MM50, la tendance est positive et les signaux d'achat sont dominants, indiquant que les acheteurs contrôlent le marché.</w:t>
      </w:r>
    </w:p>
    <w:p>
      <w:pPr>
        <w:spacing w:after="120" w:line="276" w:lineRule="auto"/>
      </w:pPr>
      <w:r>
        <w:t>**Bandes de Bollinger (Borne sup. 7686, Borne inf. 4874) :** Le prix se situe dans la partie supérieure des bandes, sans toucher la borne supérieure. Cela indique une pression acheteuse soutenue, mais sans condition de surachat extrême. La décision "Neutre" suggère que le marché n'est pas encore en zone de surachat, laissant une possibilité de poursuite de la hausse avant un éventuel retournement.</w:t>
      </w:r>
    </w:p>
    <w:p>
      <w:pPr>
        <w:spacing w:after="120" w:line="276" w:lineRule="auto"/>
      </w:pPr>
      <w:r>
        <w:t>**MACD (Valeur 367.73, Signal 386.73) :** La valeur du MACD est positive mais légèrement inférieure à sa ligne de signal, indiquant un affaiblissement du momentum haussier à très court terme. Ce croisement baissier est un signal de prudence, suggérant une possible consolidation ou correction après la forte hausse. La décision est "Vente".</w:t>
      </w:r>
    </w:p>
    <w:p>
      <w:pPr>
        <w:spacing w:after="120" w:line="276" w:lineRule="auto"/>
      </w:pPr>
      <w:r>
        <w:t>**RSI (Valeur 71.585) :** Le RSI est supérieur à 70, ce qui place le titre en zone de surachat. Cela signifie que la hausse a été trop rapide et que le potentiel de hausse à court terme est limité, avec un risque accru de correction technique. La décision est "Vente".</w:t>
      </w:r>
    </w:p>
    <w:p>
      <w:pPr>
        <w:spacing w:after="120" w:line="276" w:lineRule="auto"/>
      </w:pPr>
      <w:r>
        <w:t>**Stochastique (%K=61.417, %D=64.169) :** Les valeurs du stochastique sont en zone neutre, avec %K sous %D, ce qui suggère un momentum haussier en perte de vitesse. Ce croisement baissier, bien que non extrême, renforce le signal de prudence émis par le MACD et le RSI. La décision est "Neutre".</w:t>
      </w:r>
    </w:p>
    <w:p>
      <w:pPr>
        <w:spacing w:after="120" w:line="276" w:lineRule="auto"/>
      </w:pPr>
      <w:r>
        <w:t>**Conclusion technique :** Les indicateurs de tendance (MM) sont positifs, mais les oscillateurs de momentum (MACD, RSI, Stochastique) envoient des signaux de prudence, voire de vente, en raison de conditions de surachat. Le titre est dans une phase de consolidation après une hausse spectaculaire. Un repli technique vers les moyennes mobiles (5,600 - 6,200 FCFA) est possible avant une éventuelle reprise de la tendance haussière.</w:t>
      </w:r>
    </w:p>
    <w:p>
      <w:pPr>
        <w:spacing w:after="120" w:line="276" w:lineRule="auto"/>
      </w:pPr>
      <w:r>
        <w:t>---</w:t>
      </w:r>
    </w:p>
    <w:p>
      <w:pPr>
        <w:spacing w:after="120" w:line="276" w:lineRule="auto"/>
      </w:pPr>
      <w:r>
        <w:t>### **PARTIE 3 : ANALYSE FONDAMENTALE (SECTION CRITIQUE)**</w:t>
      </w:r>
    </w:p>
    <w:p>
      <w:pPr>
        <w:spacing w:after="120" w:line="276" w:lineRule="auto"/>
      </w:pPr>
      <w:r>
        <w:t>En 2025, la CIEC affiche des résultats financiers solides. Le chiffre d'affaires s'établit à 302,320 Mds FCFA, en croissance de +14,8% par rapport à 2024, porté par une hausse des ventes d'énergie et une expansion de la base clients. Le résultat net de l'exercice 2025 est de 13,127 Mds FCFA, en progression de 24,4% vs 2024 (10,526 Mds FCFA). Cette performance se traduit par une marge nette de 4,34% et un ROE exceptionnel de 36,5%, démontrant une excellente rentabilité des capitaux propres. Cependant, le ROA est faible (0,65%), en raison d'un total de bilan très élevé (2 018 Mds FCFA) qui inclut des actifs gérés pour le compte de l'État concédant. En tant qu'entreprise, l'analyse des délais est cruciale : le délai de paiement des clients est très long (164 jours), ce qui représente un risque de trésorerie, mais il est compensé par un délai de paiement fournisseurs extrêmement long (970 jours) et un BFR négatif de -90,244 Mds FCFA, ce qui est une position très favorable. L'endettement est significatif (ratio d'endettement de 612,9%), mais la capacité de remboursement reste sous contrôle (7,64 ans). Les rapports narratifs de 2025 confirment cette dynamique positive, avec un dividende proposé de 234 FCFA par action, soit un taux de distribution de 99,8% du résultat net. Sur la base du rapport du S1 2025 (CA de 134,9 Mds FCFA, +18,85%), on estime que la croissance du CA pour l'exercice 2026 devrait rester soutenue, portée par le programme PEPT et la demande croissante, bien que la marge nette puisse être sous pression en raison de la hausse des charges financières et fiscales.</w:t>
      </w:r>
    </w:p>
    <w:p>
      <w:pPr>
        <w:spacing w:after="120" w:line="276" w:lineRule="auto"/>
      </w:pPr>
      <w:r>
        <w:t>---</w:t>
      </w:r>
    </w:p>
    <w:p>
      <w:pPr>
        <w:spacing w:after="120" w:line="276" w:lineRule="auto"/>
      </w:pPr>
      <w:r>
        <w:t>### **PARTIE 4 : CONCLUSION D'INVESTISSEMENT**</w:t>
      </w:r>
    </w:p>
    <w:p>
      <w:pPr>
        <w:spacing w:after="120" w:line="276" w:lineRule="auto"/>
      </w:pPr>
      <w:r>
        <w:t>L'analyse croisée des données révèle une situation contrastée pour la CIEC. La valorisation boursière (PER 28,6x, P/B 10,4x) est extrêmement exigeante, intégrant une croissance future parfaite. Le comportement du cours montre une tendance haussière spectaculaire à long terme, mais les statistiques récentes et les indicateurs techniques (RSI, MACD) signalent une phase de surachat et un momentum en perte de vitesse, suggérant un fort risque de correction à court terme. Les fondamentaux de l'entreprise sont solides, avec une croissance du CA et du résultat net, un ROE excellent et une politique de dividende très généreuse (rendement élevé). Cependant, les prédictions IA pour les 10 prochains jours (chute de 6,700 à 4,537 FCFA) confirment le scénario technique d'une correction significative. En synthèse, la convergence des signaux techniques et des prédictions IA contredit la valorisation élevée et suggère un risque de repli. Par conséquent, la recommandation est de **CONSERVER** les titres pour les investisseurs existants afin de profiter du dividende, mais de ne pas initier de nouvelle position à ces niveaux de prix. Le niveau de confiance est **Moyen**, le risque global est **Élevé** en raison de la volatilité et de la valorisation, et l'horizon d'investissement optimal est le **moyen terme (3-12 mois)** après une probable phase de correction.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15.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975.77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3,898 titres</w:t>
            </w:r>
          </w:p>
        </w:tc>
        <w:tc>
          <w:tcPr>
            <w:tcW w:type="dxa" w:w="2268"/>
            <w:shd w:fill="FFF2CC" w:val="clear"/>
          </w:tcPr>
          <w:p>
            <w:r>
              <w:rPr>
                <w:b/>
                <w:color w:val="503200"/>
                <w:sz w:val="16"/>
              </w:rPr>
              <w:t xml:space="preserve">Cours actuel : </w:t>
            </w:r>
            <w:r>
              <w:rPr>
                <w:color w:val="000000"/>
                <w:sz w:val="17"/>
              </w:rPr>
              <w:t>17,725 FCFA</w:t>
            </w:r>
          </w:p>
          <w:p>
            <w:r>
              <w:rPr>
                <w:b/>
                <w:color w:val="503200"/>
                <w:sz w:val="16"/>
              </w:rPr>
              <w:t xml:space="preserve">Var. 100 jours : </w:t>
            </w:r>
            <w:r>
              <w:rPr>
                <w:b/>
                <w:color w:val="007800"/>
                <w:sz w:val="17"/>
              </w:rPr>
              <w:t>+9.35%</w:t>
            </w:r>
          </w:p>
          <w:p>
            <w:r>
              <w:rPr>
                <w:b/>
                <w:color w:val="503200"/>
                <w:sz w:val="16"/>
              </w:rPr>
              <w:t xml:space="preserve">Plus haut 100j : </w:t>
            </w:r>
            <w:r>
              <w:rPr>
                <w:color w:val="000000"/>
                <w:sz w:val="17"/>
              </w:rPr>
              <w:t>17,725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28.3%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13.1/100 → Faible</w:t>
      </w:r>
    </w:p>
    <w:p>
      <w:pPr>
        <w:spacing w:before="40" w:after="80"/>
      </w:pPr>
      <w:r>
        <w:rPr>
          <w:rFonts w:ascii="Courier New" w:hAnsi="Courier New"/>
          <w:color w:val="006400"/>
          <w:sz w:val="18"/>
        </w:rPr>
        <w:t>██░░░░░░░░░░░░░░░░░░  13.1/100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2.59% (Faible) — μ=16,374 FCFA, σ=424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β=0.4343 (Défensif) — Cov=0.000016, Var(idx)=0.000036, ρ=0.146,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3,898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σ_j=1.78%/j (Stable) — Vol. annualisée≈28.3%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0319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2026-09-07</w:t>
            </w:r>
          </w:p>
        </w:tc>
        <w:tc>
          <w:tcPr>
            <w:tcW w:type="dxa" w:w="1440"/>
            <w:shd w:fill="FFDCE0" w:val="clear"/>
          </w:tcPr>
          <w:p>
            <w:r>
              <w:rPr>
                <w:sz w:val="17"/>
              </w:rPr>
              <w:t>16,885</w:t>
            </w:r>
          </w:p>
        </w:tc>
        <w:tc>
          <w:tcPr>
            <w:tcW w:type="dxa" w:w="1440"/>
            <w:shd w:fill="FFDCE0" w:val="clear"/>
          </w:tcPr>
          <w:p>
            <w:r>
              <w:rPr>
                <w:b/>
                <w:sz w:val="17"/>
              </w:rPr>
              <w:t>17,312</w:t>
            </w:r>
          </w:p>
        </w:tc>
        <w:tc>
          <w:tcPr>
            <w:tcW w:type="dxa" w:w="1440"/>
            <w:shd w:fill="FFDCE0" w:val="clear"/>
          </w:tcPr>
          <w:p>
            <w:r>
              <w:rPr>
                <w:sz w:val="17"/>
              </w:rPr>
              <w:t>17,739</w:t>
            </w:r>
          </w:p>
        </w:tc>
        <w:tc>
          <w:tcPr>
            <w:tcW w:type="dxa" w:w="1440"/>
            <w:shd w:fill="FFDCE0" w:val="clear"/>
          </w:tcPr>
          <w:p>
            <w:r>
              <w:rPr>
                <w:b/>
                <w:color w:val="C00000"/>
                <w:sz w:val="17"/>
              </w:rPr>
              <w:t>-2.3%</w:t>
            </w:r>
          </w:p>
        </w:tc>
      </w:tr>
      <w:tr>
        <w:tc>
          <w:tcPr>
            <w:tcW w:type="dxa" w:w="1440"/>
            <w:shd w:fill="FFDCE0" w:val="clear"/>
          </w:tcPr>
          <w:p>
            <w:r>
              <w:rPr>
                <w:sz w:val="17"/>
              </w:rPr>
              <w:t>J+2  ⭐⭐⭐</w:t>
            </w:r>
          </w:p>
        </w:tc>
        <w:tc>
          <w:tcPr>
            <w:tcW w:type="dxa" w:w="1440"/>
            <w:shd w:fill="FFDCE0" w:val="clear"/>
          </w:tcPr>
          <w:p>
            <w:r>
              <w:rPr>
                <w:sz w:val="17"/>
              </w:rPr>
              <w:t>2026-09-08</w:t>
            </w:r>
          </w:p>
        </w:tc>
        <w:tc>
          <w:tcPr>
            <w:tcW w:type="dxa" w:w="1440"/>
            <w:shd w:fill="FFDCE0" w:val="clear"/>
          </w:tcPr>
          <w:p>
            <w:r>
              <w:rPr>
                <w:sz w:val="17"/>
              </w:rPr>
              <w:t>16,696</w:t>
            </w:r>
          </w:p>
        </w:tc>
        <w:tc>
          <w:tcPr>
            <w:tcW w:type="dxa" w:w="1440"/>
            <w:shd w:fill="FFDCE0" w:val="clear"/>
          </w:tcPr>
          <w:p>
            <w:r>
              <w:rPr>
                <w:b/>
                <w:sz w:val="17"/>
              </w:rPr>
              <w:t>17,299</w:t>
            </w:r>
          </w:p>
        </w:tc>
        <w:tc>
          <w:tcPr>
            <w:tcW w:type="dxa" w:w="1440"/>
            <w:shd w:fill="FFDCE0" w:val="clear"/>
          </w:tcPr>
          <w:p>
            <w:r>
              <w:rPr>
                <w:sz w:val="17"/>
              </w:rPr>
              <w:t>17,903</w:t>
            </w:r>
          </w:p>
        </w:tc>
        <w:tc>
          <w:tcPr>
            <w:tcW w:type="dxa" w:w="1440"/>
            <w:shd w:fill="FFDCE0" w:val="clear"/>
          </w:tcPr>
          <w:p>
            <w:r>
              <w:rPr>
                <w:b/>
                <w:color w:val="C00000"/>
                <w:sz w:val="17"/>
              </w:rPr>
              <w:t>-2.4%</w:t>
            </w:r>
          </w:p>
        </w:tc>
      </w:tr>
      <w:tr>
        <w:tc>
          <w:tcPr>
            <w:tcW w:type="dxa" w:w="1440"/>
            <w:shd w:fill="FFDCE0" w:val="clear"/>
          </w:tcPr>
          <w:p>
            <w:r>
              <w:rPr>
                <w:sz w:val="17"/>
              </w:rPr>
              <w:t>J+3  ⭐⭐⭐</w:t>
            </w:r>
          </w:p>
        </w:tc>
        <w:tc>
          <w:tcPr>
            <w:tcW w:type="dxa" w:w="1440"/>
            <w:shd w:fill="FFDCE0" w:val="clear"/>
          </w:tcPr>
          <w:p>
            <w:r>
              <w:rPr>
                <w:sz w:val="17"/>
              </w:rPr>
              <w:t>2026-09-09</w:t>
            </w:r>
          </w:p>
        </w:tc>
        <w:tc>
          <w:tcPr>
            <w:tcW w:type="dxa" w:w="1440"/>
            <w:shd w:fill="FFDCE0" w:val="clear"/>
          </w:tcPr>
          <w:p>
            <w:r>
              <w:rPr>
                <w:sz w:val="17"/>
              </w:rPr>
              <w:t>16,523</w:t>
            </w:r>
          </w:p>
        </w:tc>
        <w:tc>
          <w:tcPr>
            <w:tcW w:type="dxa" w:w="1440"/>
            <w:shd w:fill="FFDCE0" w:val="clear"/>
          </w:tcPr>
          <w:p>
            <w:r>
              <w:rPr>
                <w:b/>
                <w:sz w:val="17"/>
              </w:rPr>
              <w:t>17,260</w:t>
            </w:r>
          </w:p>
        </w:tc>
        <w:tc>
          <w:tcPr>
            <w:tcW w:type="dxa" w:w="1440"/>
            <w:shd w:fill="FFDCE0" w:val="clear"/>
          </w:tcPr>
          <w:p>
            <w:r>
              <w:rPr>
                <w:sz w:val="17"/>
              </w:rPr>
              <w:t>17,998</w:t>
            </w:r>
          </w:p>
        </w:tc>
        <w:tc>
          <w:tcPr>
            <w:tcW w:type="dxa" w:w="1440"/>
            <w:shd w:fill="FFDCE0" w:val="clear"/>
          </w:tcPr>
          <w:p>
            <w:r>
              <w:rPr>
                <w:b/>
                <w:color w:val="C00000"/>
                <w:sz w:val="17"/>
              </w:rPr>
              <w:t>-2.6%</w:t>
            </w:r>
          </w:p>
        </w:tc>
      </w:tr>
      <w:tr>
        <w:tc>
          <w:tcPr>
            <w:tcW w:type="dxa" w:w="1440"/>
            <w:shd w:fill="FFDCE0" w:val="clear"/>
          </w:tcPr>
          <w:p>
            <w:r>
              <w:rPr>
                <w:sz w:val="17"/>
              </w:rPr>
              <w:t>J+4  Moyenne</w:t>
            </w:r>
          </w:p>
        </w:tc>
        <w:tc>
          <w:tcPr>
            <w:tcW w:type="dxa" w:w="1440"/>
            <w:shd w:fill="FFDCE0" w:val="clear"/>
          </w:tcPr>
          <w:p>
            <w:r>
              <w:rPr>
                <w:sz w:val="17"/>
              </w:rPr>
              <w:t>2026-09-10</w:t>
            </w:r>
          </w:p>
        </w:tc>
        <w:tc>
          <w:tcPr>
            <w:tcW w:type="dxa" w:w="1440"/>
            <w:shd w:fill="FFDCE0" w:val="clear"/>
          </w:tcPr>
          <w:p>
            <w:r>
              <w:rPr>
                <w:sz w:val="17"/>
              </w:rPr>
              <w:t>16,379</w:t>
            </w:r>
          </w:p>
        </w:tc>
        <w:tc>
          <w:tcPr>
            <w:tcW w:type="dxa" w:w="1440"/>
            <w:shd w:fill="FFDCE0" w:val="clear"/>
          </w:tcPr>
          <w:p>
            <w:r>
              <w:rPr>
                <w:b/>
                <w:sz w:val="17"/>
              </w:rPr>
              <w:t>17,229</w:t>
            </w:r>
          </w:p>
        </w:tc>
        <w:tc>
          <w:tcPr>
            <w:tcW w:type="dxa" w:w="1440"/>
            <w:shd w:fill="FFDCE0" w:val="clear"/>
          </w:tcPr>
          <w:p>
            <w:r>
              <w:rPr>
                <w:sz w:val="17"/>
              </w:rPr>
              <w:t>18,079</w:t>
            </w:r>
          </w:p>
        </w:tc>
        <w:tc>
          <w:tcPr>
            <w:tcW w:type="dxa" w:w="1440"/>
            <w:shd w:fill="FFDCE0" w:val="clear"/>
          </w:tcPr>
          <w:p>
            <w:r>
              <w:rPr>
                <w:b/>
                <w:color w:val="C00000"/>
                <w:sz w:val="17"/>
              </w:rPr>
              <w:t>-2.8%</w:t>
            </w:r>
          </w:p>
        </w:tc>
      </w:tr>
      <w:tr>
        <w:tc>
          <w:tcPr>
            <w:tcW w:type="dxa" w:w="1440"/>
            <w:shd w:fill="FFDCE0" w:val="clear"/>
          </w:tcPr>
          <w:p>
            <w:r>
              <w:rPr>
                <w:sz w:val="17"/>
              </w:rPr>
              <w:t>J+5  Moyenne</w:t>
            </w:r>
          </w:p>
        </w:tc>
        <w:tc>
          <w:tcPr>
            <w:tcW w:type="dxa" w:w="1440"/>
            <w:shd w:fill="FFDCE0" w:val="clear"/>
          </w:tcPr>
          <w:p>
            <w:r>
              <w:rPr>
                <w:sz w:val="17"/>
              </w:rPr>
              <w:t>2026-09-11</w:t>
            </w:r>
          </w:p>
        </w:tc>
        <w:tc>
          <w:tcPr>
            <w:tcW w:type="dxa" w:w="1440"/>
            <w:shd w:fill="FFDCE0" w:val="clear"/>
          </w:tcPr>
          <w:p>
            <w:r>
              <w:rPr>
                <w:sz w:val="17"/>
              </w:rPr>
              <w:t>16,255</w:t>
            </w:r>
          </w:p>
        </w:tc>
        <w:tc>
          <w:tcPr>
            <w:tcW w:type="dxa" w:w="1440"/>
            <w:shd w:fill="FFDCE0" w:val="clear"/>
          </w:tcPr>
          <w:p>
            <w:r>
              <w:rPr>
                <w:b/>
                <w:sz w:val="17"/>
              </w:rPr>
              <w:t>17,204</w:t>
            </w:r>
          </w:p>
        </w:tc>
        <w:tc>
          <w:tcPr>
            <w:tcW w:type="dxa" w:w="1440"/>
            <w:shd w:fill="FFDCE0" w:val="clear"/>
          </w:tcPr>
          <w:p>
            <w:r>
              <w:rPr>
                <w:sz w:val="17"/>
              </w:rPr>
              <w:t>18,152</w:t>
            </w:r>
          </w:p>
        </w:tc>
        <w:tc>
          <w:tcPr>
            <w:tcW w:type="dxa" w:w="1440"/>
            <w:shd w:fill="FFDCE0" w:val="clear"/>
          </w:tcPr>
          <w:p>
            <w:r>
              <w:rPr>
                <w:b/>
                <w:color w:val="C00000"/>
                <w:sz w:val="17"/>
              </w:rPr>
              <w:t>-2.9%</w:t>
            </w:r>
          </w:p>
        </w:tc>
      </w:tr>
      <w:tr>
        <w:tc>
          <w:tcPr>
            <w:tcW w:type="dxa" w:w="1440"/>
            <w:shd w:fill="FFDCE0" w:val="clear"/>
          </w:tcPr>
          <w:p>
            <w:r>
              <w:rPr>
                <w:sz w:val="17"/>
              </w:rPr>
              <w:t>J+6  Moyenne</w:t>
            </w:r>
          </w:p>
        </w:tc>
        <w:tc>
          <w:tcPr>
            <w:tcW w:type="dxa" w:w="1440"/>
            <w:shd w:fill="FFDCE0" w:val="clear"/>
          </w:tcPr>
          <w:p>
            <w:r>
              <w:rPr>
                <w:sz w:val="17"/>
              </w:rPr>
              <w:t>2026-09-14</w:t>
            </w:r>
          </w:p>
        </w:tc>
        <w:tc>
          <w:tcPr>
            <w:tcW w:type="dxa" w:w="1440"/>
            <w:shd w:fill="FFDCE0" w:val="clear"/>
          </w:tcPr>
          <w:p>
            <w:r>
              <w:rPr>
                <w:sz w:val="17"/>
              </w:rPr>
              <w:t>16,142</w:t>
            </w:r>
          </w:p>
        </w:tc>
        <w:tc>
          <w:tcPr>
            <w:tcW w:type="dxa" w:w="1440"/>
            <w:shd w:fill="FFDCE0" w:val="clear"/>
          </w:tcPr>
          <w:p>
            <w:r>
              <w:rPr>
                <w:b/>
                <w:sz w:val="17"/>
              </w:rPr>
              <w:t>17,179</w:t>
            </w:r>
          </w:p>
        </w:tc>
        <w:tc>
          <w:tcPr>
            <w:tcW w:type="dxa" w:w="1440"/>
            <w:shd w:fill="FFDCE0" w:val="clear"/>
          </w:tcPr>
          <w:p>
            <w:r>
              <w:rPr>
                <w:sz w:val="17"/>
              </w:rPr>
              <w:t>18,217</w:t>
            </w:r>
          </w:p>
        </w:tc>
        <w:tc>
          <w:tcPr>
            <w:tcW w:type="dxa" w:w="1440"/>
            <w:shd w:fill="FFDCE0" w:val="clear"/>
          </w:tcPr>
          <w:p>
            <w:r>
              <w:rPr>
                <w:b/>
                <w:color w:val="C00000"/>
                <w:sz w:val="17"/>
              </w:rPr>
              <w:t>-3.1%</w:t>
            </w:r>
          </w:p>
        </w:tc>
      </w:tr>
      <w:tr>
        <w:tc>
          <w:tcPr>
            <w:tcW w:type="dxa" w:w="1440"/>
            <w:shd w:fill="FFDCE0" w:val="clear"/>
          </w:tcPr>
          <w:p>
            <w:r>
              <w:rPr>
                <w:sz w:val="17"/>
              </w:rPr>
              <w:t>J+7  Moyenne</w:t>
            </w:r>
          </w:p>
        </w:tc>
        <w:tc>
          <w:tcPr>
            <w:tcW w:type="dxa" w:w="1440"/>
            <w:shd w:fill="FFDCE0" w:val="clear"/>
          </w:tcPr>
          <w:p>
            <w:r>
              <w:rPr>
                <w:sz w:val="17"/>
              </w:rPr>
              <w:t>2026-09-15</w:t>
            </w:r>
          </w:p>
        </w:tc>
        <w:tc>
          <w:tcPr>
            <w:tcW w:type="dxa" w:w="1440"/>
            <w:shd w:fill="FFDCE0" w:val="clear"/>
          </w:tcPr>
          <w:p>
            <w:r>
              <w:rPr>
                <w:sz w:val="17"/>
              </w:rPr>
              <w:t>16,036</w:t>
            </w:r>
          </w:p>
        </w:tc>
        <w:tc>
          <w:tcPr>
            <w:tcW w:type="dxa" w:w="1440"/>
            <w:shd w:fill="FFDCE0" w:val="clear"/>
          </w:tcPr>
          <w:p>
            <w:r>
              <w:rPr>
                <w:b/>
                <w:sz w:val="17"/>
              </w:rPr>
              <w:t>17,156</w:t>
            </w:r>
          </w:p>
        </w:tc>
        <w:tc>
          <w:tcPr>
            <w:tcW w:type="dxa" w:w="1440"/>
            <w:shd w:fill="FFDCE0" w:val="clear"/>
          </w:tcPr>
          <w:p>
            <w:r>
              <w:rPr>
                <w:sz w:val="17"/>
              </w:rPr>
              <w:t>18,275</w:t>
            </w:r>
          </w:p>
        </w:tc>
        <w:tc>
          <w:tcPr>
            <w:tcW w:type="dxa" w:w="1440"/>
            <w:shd w:fill="FFDCE0" w:val="clear"/>
          </w:tcPr>
          <w:p>
            <w:r>
              <w:rPr>
                <w:b/>
                <w:color w:val="C00000"/>
                <w:sz w:val="17"/>
              </w:rPr>
              <w:t>-3.2%</w:t>
            </w:r>
          </w:p>
        </w:tc>
      </w:tr>
      <w:tr>
        <w:tc>
          <w:tcPr>
            <w:tcW w:type="dxa" w:w="1440"/>
            <w:shd w:fill="FFDCE0" w:val="clear"/>
          </w:tcPr>
          <w:p>
            <w:r>
              <w:rPr>
                <w:sz w:val="17"/>
              </w:rPr>
              <w:t>J+8  Moyenne</w:t>
            </w:r>
          </w:p>
        </w:tc>
        <w:tc>
          <w:tcPr>
            <w:tcW w:type="dxa" w:w="1440"/>
            <w:shd w:fill="FFDCE0" w:val="clear"/>
          </w:tcPr>
          <w:p>
            <w:r>
              <w:rPr>
                <w:sz w:val="17"/>
              </w:rPr>
              <w:t>2026-09-16</w:t>
            </w:r>
          </w:p>
        </w:tc>
        <w:tc>
          <w:tcPr>
            <w:tcW w:type="dxa" w:w="1440"/>
            <w:shd w:fill="FFDCE0" w:val="clear"/>
          </w:tcPr>
          <w:p>
            <w:r>
              <w:rPr>
                <w:sz w:val="17"/>
              </w:rPr>
              <w:t>15,937</w:t>
            </w:r>
          </w:p>
        </w:tc>
        <w:tc>
          <w:tcPr>
            <w:tcW w:type="dxa" w:w="1440"/>
            <w:shd w:fill="FFDCE0" w:val="clear"/>
          </w:tcPr>
          <w:p>
            <w:r>
              <w:rPr>
                <w:b/>
                <w:sz w:val="17"/>
              </w:rPr>
              <w:t>17,132</w:t>
            </w:r>
          </w:p>
        </w:tc>
        <w:tc>
          <w:tcPr>
            <w:tcW w:type="dxa" w:w="1440"/>
            <w:shd w:fill="FFDCE0" w:val="clear"/>
          </w:tcPr>
          <w:p>
            <w:r>
              <w:rPr>
                <w:sz w:val="17"/>
              </w:rPr>
              <w:t>18,328</w:t>
            </w:r>
          </w:p>
        </w:tc>
        <w:tc>
          <w:tcPr>
            <w:tcW w:type="dxa" w:w="1440"/>
            <w:shd w:fill="FFDCE0" w:val="clear"/>
          </w:tcPr>
          <w:p>
            <w:r>
              <w:rPr>
                <w:b/>
                <w:color w:val="C00000"/>
                <w:sz w:val="17"/>
              </w:rPr>
              <w:t>-3.3%</w:t>
            </w:r>
          </w:p>
        </w:tc>
      </w:tr>
      <w:tr>
        <w:tc>
          <w:tcPr>
            <w:tcW w:type="dxa" w:w="1440"/>
            <w:shd w:fill="FFDCE0" w:val="clear"/>
          </w:tcPr>
          <w:p>
            <w:r>
              <w:rPr>
                <w:sz w:val="17"/>
              </w:rPr>
              <w:t>J+9  Moyenne</w:t>
            </w:r>
          </w:p>
        </w:tc>
        <w:tc>
          <w:tcPr>
            <w:tcW w:type="dxa" w:w="1440"/>
            <w:shd w:fill="FFDCE0" w:val="clear"/>
          </w:tcPr>
          <w:p>
            <w:r>
              <w:rPr>
                <w:sz w:val="17"/>
              </w:rPr>
              <w:t>2026-09-17</w:t>
            </w:r>
          </w:p>
        </w:tc>
        <w:tc>
          <w:tcPr>
            <w:tcW w:type="dxa" w:w="1440"/>
            <w:shd w:fill="FFDCE0" w:val="clear"/>
          </w:tcPr>
          <w:p>
            <w:r>
              <w:rPr>
                <w:sz w:val="17"/>
              </w:rPr>
              <w:t>15,843</w:t>
            </w:r>
          </w:p>
        </w:tc>
        <w:tc>
          <w:tcPr>
            <w:tcW w:type="dxa" w:w="1440"/>
            <w:shd w:fill="FFDCE0" w:val="clear"/>
          </w:tcPr>
          <w:p>
            <w:r>
              <w:rPr>
                <w:b/>
                <w:sz w:val="17"/>
              </w:rPr>
              <w:t>17,109</w:t>
            </w:r>
          </w:p>
        </w:tc>
        <w:tc>
          <w:tcPr>
            <w:tcW w:type="dxa" w:w="1440"/>
            <w:shd w:fill="FFDCE0" w:val="clear"/>
          </w:tcPr>
          <w:p>
            <w:r>
              <w:rPr>
                <w:sz w:val="17"/>
              </w:rPr>
              <w:t>18,375</w:t>
            </w:r>
          </w:p>
        </w:tc>
        <w:tc>
          <w:tcPr>
            <w:tcW w:type="dxa" w:w="1440"/>
            <w:shd w:fill="FFDCE0" w:val="clear"/>
          </w:tcPr>
          <w:p>
            <w:r>
              <w:rPr>
                <w:b/>
                <w:color w:val="C00000"/>
                <w:sz w:val="17"/>
              </w:rPr>
              <w:t>-3.5%</w:t>
            </w:r>
          </w:p>
        </w:tc>
      </w:tr>
      <w:tr>
        <w:tc>
          <w:tcPr>
            <w:tcW w:type="dxa" w:w="1440"/>
            <w:shd w:fill="FFDCE0" w:val="clear"/>
          </w:tcPr>
          <w:p>
            <w:r>
              <w:rPr>
                <w:sz w:val="17"/>
              </w:rPr>
              <w:t>J+10  Moyenne</w:t>
            </w:r>
          </w:p>
        </w:tc>
        <w:tc>
          <w:tcPr>
            <w:tcW w:type="dxa" w:w="1440"/>
            <w:shd w:fill="FFDCE0" w:val="clear"/>
          </w:tcPr>
          <w:p>
            <w:r>
              <w:rPr>
                <w:sz w:val="17"/>
              </w:rPr>
              <w:t>2026-09-18</w:t>
            </w:r>
          </w:p>
        </w:tc>
        <w:tc>
          <w:tcPr>
            <w:tcW w:type="dxa" w:w="1440"/>
            <w:shd w:fill="FFDCE0" w:val="clear"/>
          </w:tcPr>
          <w:p>
            <w:r>
              <w:rPr>
                <w:sz w:val="17"/>
              </w:rPr>
              <w:t>15,753</w:t>
            </w:r>
          </w:p>
        </w:tc>
        <w:tc>
          <w:tcPr>
            <w:tcW w:type="dxa" w:w="1440"/>
            <w:shd w:fill="FFDCE0" w:val="clear"/>
          </w:tcPr>
          <w:p>
            <w:r>
              <w:rPr>
                <w:b/>
                <w:sz w:val="17"/>
              </w:rPr>
              <w:t>17,086</w:t>
            </w:r>
          </w:p>
        </w:tc>
        <w:tc>
          <w:tcPr>
            <w:tcW w:type="dxa" w:w="1440"/>
            <w:shd w:fill="FFDCE0" w:val="clear"/>
          </w:tcPr>
          <w:p>
            <w:r>
              <w:rPr>
                <w:sz w:val="17"/>
              </w:rPr>
              <w:t>18,419</w:t>
            </w:r>
          </w:p>
        </w:tc>
        <w:tc>
          <w:tcPr>
            <w:tcW w:type="dxa" w:w="1440"/>
            <w:shd w:fill="FFDCE0" w:val="clear"/>
          </w:tcPr>
          <w:p>
            <w:r>
              <w:rPr>
                <w:b/>
                <w:color w:val="C00000"/>
                <w:sz w:val="17"/>
              </w:rPr>
              <w:t>-3.6%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d'ECOC s'établit à 975,77 milliards FCFA, ce qui en fait l'une des plus importantes capitalisations de la BRVM, reflétant son statut de banque systémique en Côte d'Ivoire. Avec un BPA de 1 153 FCFA, chaque action génère un bénéfice substantiel, justifiant un PER de 15,4x. Ce niveau est supérieur à la moyenne historique de la BRVM (8-12x), indiquant que le marché valorise déjà les performances solides de la banque et ses perspectives de croissance. Le P/B de 4,46x est particulièrement exigeant, signifiant que les investisseurs paient une prime de plus de 340% par rapport à la valeur comptable des actifs, ce qui traduit une forte confiance dans la création de valeur future. Enfin, l'EV/EBITDA de 14,9x, dans la fourchette haute de 10-15x, confirme une valorisation élevée qui intègre des hypothèses de croissance soutenue et de maîtrise continue des risques.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ECOC a affiché une progression totale de +9,35%, avec une dernière séance en hausse de +1,29%, clôturant à 17 725 FCFA, son plus haut niveau sur la période. Le cours a évolué dans une fourchette de 15 520 FCFA à 17 725 FCFA, démontrant une tendance haussière soutenue. La moyenne (16 374 FCFA) est légèrement supérieure à la médiane (16 300 FCFA), et le mode est identique à la médiane, ce qui indique une distribution relativement symétrique mais avec un skewness positif de 0,525, suggérant que les journées sous la moyenne sont plus fréquentes mais de moindre ampleur que les rares fortes hausses. L'écart-type de 426 FCFA, avec un coefficient de variation de seulement 2,6%, témoigne d'une dispersion très faible autour de la moyenne, indiquant une stabilité relative du cours. Le kurtosis de 0,295 (mésokurtique) suggère l'absence de risques de pics extrêmes. La volatilité annualisée de 28,3% classe le titre dans la catégorie modérée à élevée, ce qui est cohérent avec un marché émergent comme la BRVM.</w:t>
      </w:r>
    </w:p>
    <w:p>
      <w:pPr>
        <w:spacing w:after="120" w:line="276" w:lineRule="auto" w:before="240"/>
      </w:pPr>
      <w:r>
        <w:rPr>
          <w:b/>
          <w:color w:val="003366"/>
          <w:sz w:val="24"/>
        </w:rPr>
        <w:t>**PARTIE 2 : ANALYSE TECHNIQUE DÉTAILLÉE**</w:t>
      </w:r>
    </w:p>
    <w:p>
      <w:pPr>
        <w:spacing w:after="120" w:line="276" w:lineRule="auto"/>
      </w:pPr>
      <w:r>
        <w:t>**Moyennes Mobiles** : Le cours actuel de 17 725 FCFA se situe nettement au-dessus de la MM20 (16 629,75 FCFA) et de la MM50 (16 474,7 FCFA), avec un écart de plus de 6,6% par rapport à la MM20. Cette configuration haussière, où le prix évolue au-dessus des deux moyennes, confirme une dynamique positive à court et moyen terme. La décision d'achat est justifiée par cette structure de prix qui indique que la tendance de fond reste résolument haussière.</w:t>
      </w:r>
    </w:p>
    <w:p>
      <w:pPr>
        <w:spacing w:after="120" w:line="276" w:lineRule="auto"/>
      </w:pPr>
      <w:r>
        <w:t>**Bandes de Bollinger** : Le prix à 17 725 FCFA se situe très proche de la borne supérieure (17 663,63 FCFA), qu'il a d'ailleurs légèrement dépassée. Cette position extrême indique que le titre est temporairement suracheté et que la volatilité s'est accrue récemment. La décision de vente est justifiée par ce dépassement de la borne supérieure, qui suggère un potentiel de correction à court terme, bien que dans une tendance haussière, les prix puissent rester au-dessus de cette borne pendant plusieurs séances.</w:t>
      </w:r>
    </w:p>
    <w:p>
      <w:pPr>
        <w:spacing w:after="120" w:line="276" w:lineRule="auto"/>
      </w:pPr>
      <w:r>
        <w:t>**MACD** : Le MACD (288,13) est nettement supérieur à son signal (171,25), avec un écart positif de 116,88 points. Cette divergence positive indique un momentum haussier puissant et croissant. La décision d'achat est justifiée par cette configuration qui confirme la vigueur de la tendance haussière en cours, sans signe d'essoufflement majeur à ce stade.</w:t>
      </w:r>
    </w:p>
    <w:p>
      <w:pPr>
        <w:spacing w:after="120" w:line="276" w:lineRule="auto"/>
      </w:pPr>
      <w:r>
        <w:t>**RSI** : Le RSI s'établit à 74,33, dépassant le seuil de surachat fixé à 70. Cette valeur indique que le titre est techniquement suracheté à court terme, ce qui pourrait précéder une consolidation ou un repli technique. La décision de vente est justifiée par ce niveau élevé qui suggère que les acheteurs ont été trop actifs récemment et qu'un rééquilibrage est probable.</w:t>
      </w:r>
    </w:p>
    <w:p>
      <w:pPr>
        <w:spacing w:after="120" w:line="276" w:lineRule="auto"/>
      </w:pPr>
      <w:r>
        <w:t>**Stochastique** : Le %K et le %D sont tous deux à 100,00, un niveau extrême qui indique une condition de surachat très prononcée. Cette configuration suggère que le titre est dans une phase de forte impulsion haussière mais que le potentiel de hausse immédiate est limité. La décision de vente est justifiée par ces niveaux extrêmes qui précèdent généralement une phase de consolidation.</w:t>
      </w:r>
    </w:p>
    <w:p>
      <w:pPr>
        <w:spacing w:after="120" w:line="276" w:lineRule="auto"/>
      </w:pPr>
      <w:r>
        <w:t>**Conclusion technique** : Les indicateurs techniques sont partagés entre une tendance haussière de fond (MM, MACD) et des conditions de surachat à court terme (Bollinger, RSI, Stochastique). Cette divergence suggère que la tendance haussière reste intacte mais qu'une consolidation technique est probable à très court terme avant la poursuite du mouvement. Les investisseurs devraient surveiller un éventuel repli vers la zone des 17 000-17 200 FCFA comme opportunité d'achat.</w:t>
      </w:r>
    </w:p>
    <w:p>
      <w:pPr>
        <w:spacing w:after="120" w:line="276" w:lineRule="auto" w:before="240"/>
      </w:pPr>
      <w:r>
        <w:rPr>
          <w:b/>
          <w:color w:val="003366"/>
          <w:sz w:val="24"/>
        </w:rPr>
        <w:t>**PARTIE 3 : ANALYSE FONDAMENTALE (SECTION CRITIQUE)**</w:t>
      </w:r>
    </w:p>
    <w:p>
      <w:pPr>
        <w:spacing w:after="120" w:line="276" w:lineRule="auto"/>
      </w:pPr>
      <w:r>
        <w:t>En 2025, Ecobank Côte d'Ivoire affiche des performances financières remarquables. Le Produit Net Bancaire s'établit à 132,725 milliards FCFA, en croissance de 8,5%, avec un résultat net de 63,482 milliards FCFA. La rentabilité est exceptionnelle avec un ROE de 29,04% et un ROA de 3,09%, largement supérieurs aux normes sectorielles. Le coefficient d'exploitation de 42,89% témoigne d'une excellente maîtrise des coûts opérationnels. La banque maintient une qualité de crédit satisfaisante avec un coût du risque modéré à 1,36%. Les dépôts clientèle (1 626,223 milliards FCFA) dépassent largement les créances sur la clientèle (1 050,803 milliards FCFA), indiquant une transformation saine avec un ratio crédits/dépôts de 64,6%. Les rapports trimestriels 2025 confirment cette dynamique : le T1 2025 (PNB de 29,7 milliards, +5,9%), le S1 2025 (PNB de 62,8 milliards, +6,9%, résultat net de 28,9 milliards, +13,8%) et le T3 2025 (PNB de 96,4 milliards, +11,3%, résultat net de 44,4 milliards, +15,4%) montrent une accélération progressive. Le rapport annuel 2024 faisait déjà état d'un PNB de 122,3 milliards (+11%) et d'un résultat net de 57,5 milliards (+19,6%). Le rapport T1 2026 (PNB de 30,8 milliards, +3,7%, résultat net de 13,0 milliards, -1,6%) indique un léger ralentissement mais une résilience maintenue. Sur la base de ces tendances, on estime que l'exercice 2026 devrait voir un PNB autour de 138-142 milliards FCFA et un résultat net entre 62-65 milliards FCFA, confirmant la solidité du modèle économique.</w:t>
      </w:r>
    </w:p>
    <w:p>
      <w:pPr>
        <w:spacing w:after="120" w:line="276" w:lineRule="auto" w:before="240"/>
      </w:pPr>
      <w:r>
        <w:rPr>
          <w:b/>
          <w:color w:val="003366"/>
          <w:sz w:val="24"/>
        </w:rPr>
        <w:t>**PARTIE 4 : CONCLUSION D'INVESTISSEMENT**</w:t>
      </w:r>
    </w:p>
    <w:p>
      <w:pPr>
        <w:spacing w:after="120" w:line="276" w:lineRule="auto"/>
      </w:pPr>
      <w:r>
        <w:t>La valorisation d'ECOC (PER de 15,4x, P/B de 4,46x, EV/EBITDA de 14,9x) apparaît exigeante mais justifiée par des fondamentaux exceptionnels : ROE de 29%, croissance soutenue du PNB et maîtrise du coût du risque. Le comportement du cours montre une tendance haussière solide (+9,35% sur 100 jours) avec une volatilité modérée et une distribution statistique saine. Les signaux techniques sont partagés entre une tendance de fond haussière (MM, MACD) et des conditions de surachat à court terme (RSI, Stochastique, Bollinger), suggérant un possible repli technique avant reprise. Les fondamentaux restent très solides avec une croissance estimée du PNB de 4-7% pour 2026 et une politique de dividende généreuse (888 FCFA par action proposés pour 2025, soit un rendement de 5,0%). Les prédictions IA (17 312 à 17 204 FCFA sur 10 jours) indiquent une légère consolidation, confirmant les signaux techniques de surachat. En synthèse, la convergence entre des fondamentaux excellents, une tendance haussière de fond et des signaux de consolidation à court terme conduit à une recommandation **CONSERVER** pour les investisseurs existants, avec un niveau de confiance **Élevé** et un risque global **Moyen**. L'horizon d'investissement optimal est le **moyen terme (3-12 mois)**, avec un point d'entrée idéal en cas de repli vers 16 500-17 000 FCFA.</w:t>
      </w:r>
    </w:p>
    <w:p/>
    <w:p/>
    <w:p>
      <w:pPr>
        <w:pStyle w:val="Heading3"/>
      </w:pPr>
      <w:r>
        <w:rPr>
          <w:color w:val="00467F"/>
        </w:rPr>
        <w:t>📎 DOCUMENTS &amp; COMMUNICATIONS OFFICIELS BRVM</w:t>
      </w:r>
    </w:p>
    <w:p>
      <w:r>
        <w:rPr>
          <w:i/>
          <w:color w:val="646464"/>
          <w:sz w:val="18"/>
        </w:rPr>
        <w:t>10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remarquable avec un r\u00e9sultat net en hausse de 20,3% et une am\u00e9lioration de tous ses indicateurs cl\u00e9s. La croissance soutenue des cr\u00e9dits (+26,9%) et la ma\u00eetrise du co\u00fbt du risque d\u00e9montrent une gestion efficace et des perspectives favorables."}</w:t>
      </w:r>
    </w:p>
    <w:p>
      <w:pPr>
        <w:spacing w:before="40"/>
        <w:ind w:left="400"/>
      </w:pPr>
      <w:r>
        <w:rPr>
          <w:sz w:val="18"/>
        </w:rPr>
        <w:t>Ecobank Côte d'Ivoire présente des résultats solides pour le premier semestre 2022 avec une croissance généralisée de ses indicateurs financiers. Le total bilan a progressé de 5,9% à 1 642 milliards de FCFA, soutenu par une hausse des crédits nets (+26,9%) et des dépôts clientèle (+11,5%). Le Produit Net Bancaire s'est amélioré de 8,0% à 45,7 milliards de FCFA, bénéficiant de la performance des marges d'intérêts et des produits hors intérêts. Le Résultat Brut d'Exploitation a bondi de 10,4% à 24,9 milliards de FCFA malgré une hausse des charges d'exploitation. Le résultat net ressort à 17,7 milliards de FCFA, en progression de 20,3% par rapport au premier semestre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'1 287 720 millions de FCFA', 'cout_net_du_risque': '-1,7%', 'rendement_des_actifs': '2,2%', 'credits_nets_clientele': '731 371 millions de FCFA', 'coefficient_exploitation': '45,5%', 'rendement_des_capitaux_propres': '25,9%'}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1 641 965 millions de FCFA</w:t>
            </w:r>
          </w:p>
        </w:tc>
      </w:tr>
      <w:tr>
        <w:tc>
          <w:tcPr>
            <w:tcW w:type="dxa" w:w="2160"/>
          </w:tcPr>
          <w:p>
            <w:r/>
            <w:r>
              <w:rPr>
                <w:b/>
                <w:sz w:val="16"/>
              </w:rPr>
              <w:t>resultat_net</w:t>
              <w:br/>
            </w:r>
            <w:r>
              <w:rPr>
                <w:sz w:val="18"/>
              </w:rPr>
              <w:t>17 726 millions de FCFA</w:t>
            </w:r>
          </w:p>
        </w:tc>
        <w:tc>
          <w:tcPr>
            <w:tcW w:type="dxa" w:w="2160"/>
          </w:tcPr>
          <w:p>
            <w:r/>
            <w:r>
              <w:rPr>
                <w:b/>
                <w:sz w:val="16"/>
              </w:rPr>
              <w:t>capitaux_propres</w:t>
              <w:br/>
            </w:r>
            <w:r>
              <w:rPr>
                <w:sz w:val="18"/>
              </w:rPr>
              <w:t>136 847 millions de FCFA</w:t>
            </w:r>
          </w:p>
        </w:tc>
        <w:tc>
          <w:tcPr>
            <w:tcW w:type="dxa" w:w="2160"/>
          </w:tcPr>
          <w:p>
            <w:r/>
            <w:r>
              <w:rPr>
                <w:b/>
                <w:sz w:val="16"/>
              </w:rPr>
              <w:t>chiffre_affaires</w:t>
              <w:br/>
            </w:r>
            <w:r>
              <w:rPr>
                <w:sz w:val="18"/>
              </w:rPr>
              <w:t>45 650 millions de FCFA (PNB)</w:t>
            </w:r>
          </w:p>
        </w:tc>
        <w:tc>
          <w:tcPr>
            <w:tcW w:type="dxa" w:w="2160"/>
          </w:tcPr>
          <w:p/>
        </w:tc>
      </w:tr>
    </w:tbl>
    <w:p/>
    <w:p>
      <w:pPr>
        <w:spacing w:before="60"/>
        <w:ind w:left="400"/>
      </w:pPr>
      <w:r>
        <w:rPr>
          <w:b/>
          <w:sz w:val="18"/>
        </w:rPr>
        <w:t>Points clés :</w:t>
      </w:r>
    </w:p>
    <w:p>
      <w:pPr>
        <w:pStyle w:val="ListBullet"/>
        <w:spacing w:before="20" w:after="20"/>
        <w:ind w:left="700"/>
      </w:pPr>
      <w:r>
        <w:rPr>
          <w:sz w:val="18"/>
        </w:rPr>
        <w:t>Total bilan en hausse de 5,9% à 1 642 milliards de FCFA au 30 juin 2022</w:t>
      </w:r>
    </w:p>
    <w:p>
      <w:pPr>
        <w:pStyle w:val="ListBullet"/>
        <w:spacing w:before="20" w:after="20"/>
        <w:ind w:left="700"/>
      </w:pPr>
      <w:r>
        <w:rPr>
          <w:sz w:val="18"/>
        </w:rPr>
        <w:t>Croissance des crédits nets à la clientèle de 26,9% à 731,4 milliards de FCFA</w:t>
      </w:r>
    </w:p>
    <w:p>
      <w:pPr>
        <w:pStyle w:val="ListBullet"/>
        <w:spacing w:before="20" w:after="20"/>
        <w:ind w:left="700"/>
      </w:pPr>
      <w:r>
        <w:rPr>
          <w:sz w:val="18"/>
        </w:rPr>
        <w:t>Progression des dépôts de la clientèle de 11,5% à 1 287,7 milliards de FCFA</w:t>
      </w:r>
    </w:p>
    <w:p>
      <w:pPr>
        <w:pStyle w:val="ListBullet"/>
        <w:spacing w:before="20" w:after="20"/>
        <w:ind w:left="700"/>
      </w:pPr>
      <w:r>
        <w:rPr>
          <w:sz w:val="18"/>
        </w:rPr>
        <w:t>Produit Net Bancaire en hausse de 8,0% à 45,7 milliards de FCFA</w:t>
      </w:r>
    </w:p>
    <w:p>
      <w:pPr>
        <w:pStyle w:val="ListBullet"/>
        <w:spacing w:before="20" w:after="20"/>
        <w:ind w:left="700"/>
      </w:pPr>
      <w:r>
        <w:rPr>
          <w:sz w:val="18"/>
        </w:rPr>
        <w:t>Résultat Brut d'Exploitation en progression de 10,4% à 24,9 milliards de FCFA</w:t>
      </w:r>
    </w:p>
    <w:p>
      <w:pPr>
        <w:pStyle w:val="ListBullet"/>
        <w:spacing w:before="20" w:after="20"/>
        <w:ind w:left="700"/>
      </w:pPr>
      <w:r>
        <w:rPr>
          <w:sz w:val="18"/>
        </w:rPr>
        <w:t>Amélioration du coût du risque de 5,3% avec une baisse à 6,6 milliards de FCFA</w:t>
      </w:r>
    </w:p>
    <w:p>
      <w:pPr>
        <w:spacing w:before="40"/>
        <w:ind w:left="400"/>
      </w:pPr>
      <w:r>
        <w:rPr>
          <w:b/>
          <w:color w:val="C05000"/>
          <w:sz w:val="18"/>
        </w:rPr>
        <w:t xml:space="preserve">⚠️ Risques : </w:t>
      </w:r>
      <w:r>
        <w:rPr>
          <w:sz w:val="18"/>
        </w:rPr>
        <w:t>["Exposition au risque de cr\u00e9dit dans un environnement \u00e9conomique incertain", "Pression concurrentielle sur les marges dans le secteur bancaire ivoirien", "Risques op\u00e9rationnels li\u00e9s \u00e0 la transformation digitale en cours"]</w:t>
      </w:r>
    </w:p>
    <w:p>
      <w:pPr>
        <w:spacing w:before="40"/>
        <w:ind w:left="400"/>
      </w:pPr>
      <w:r>
        <w:rPr>
          <w:b/>
          <w:color w:val="0064A0"/>
          <w:sz w:val="18"/>
        </w:rPr>
        <w:t xml:space="preserve">🔮 Perspectives : </w:t>
      </w:r>
      <w:r>
        <w:rPr>
          <w:sz w:val="18"/>
        </w:rPr>
        <w:t>Ecobank Côte d'Ivoire semble bien positionnée pour poursuivre sa croissance avec une stratégie axée sur la digitalisation et le développement commercial. La banque devrait bénéficier de la reprise économique post-Covid et de sa stratégie de développement des crédits à moyen terme. L'amélioration con</w:t>
      </w:r>
    </w:p>
    <w:p/>
    <w:p>
      <w:r>
        <w:t>════════════════════════════════════════════════════════════════════════════════</w:t>
      </w:r>
    </w:p>
    <w:p>
      <w:r>
        <w:br w:type="page"/>
      </w:r>
    </w:p>
    <w:p>
      <w:pPr>
        <w:pStyle w:val="Heading2"/>
        <w:spacing w:before="360"/>
      </w:pPr>
      <w:r>
        <w:rPr>
          <w:color w:val="0066CC"/>
        </w:rPr>
        <w:t>16.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1283.97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1,488,673 titres</w:t>
            </w:r>
          </w:p>
        </w:tc>
        <w:tc>
          <w:tcPr>
            <w:tcW w:type="dxa" w:w="2268"/>
            <w:shd w:fill="FFF2CC" w:val="clear"/>
          </w:tcPr>
          <w:p>
            <w:r>
              <w:rPr>
                <w:b/>
                <w:color w:val="503200"/>
                <w:sz w:val="16"/>
              </w:rPr>
              <w:t xml:space="preserve">Cours actuel : </w:t>
            </w:r>
            <w:r>
              <w:rPr>
                <w:color w:val="000000"/>
                <w:sz w:val="17"/>
              </w:rPr>
              <w:t>71 FCFA</w:t>
            </w:r>
          </w:p>
          <w:p>
            <w:r>
              <w:rPr>
                <w:b/>
                <w:color w:val="503200"/>
                <w:sz w:val="16"/>
              </w:rPr>
              <w:t xml:space="preserve">Var. 100 jours : </w:t>
            </w:r>
            <w:r>
              <w:rPr>
                <w:b/>
                <w:color w:val="007800"/>
                <w:sz w:val="17"/>
              </w:rPr>
              <w:t>+108.82%</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26 FCFA</w:t>
            </w:r>
          </w:p>
          <w:p>
            <w:r>
              <w:rPr>
                <w:b/>
                <w:color w:val="503200"/>
                <w:sz w:val="16"/>
              </w:rPr>
              <w:t xml:space="preserve">Volatilité ann. : </w:t>
            </w:r>
            <w:r>
              <w:rPr>
                <w:color w:val="000000"/>
                <w:sz w:val="17"/>
              </w:rPr>
              <w:t>66.0%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37.83% (Élevée) — μ=47 FCFA, σ=18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β=2.7522 (Très agressif) — Cov=0.000099, Var(idx)=0.000036, ρ=0.396,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1,488,673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σ_j=4.16%/j (Modérée) — Vol. annualisée≈66.0%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9408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59408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2026-09-07</w:t>
            </w:r>
          </w:p>
        </w:tc>
        <w:tc>
          <w:tcPr>
            <w:tcW w:type="dxa" w:w="1440"/>
            <w:shd w:fill="FFDCE0" w:val="clear"/>
          </w:tcPr>
          <w:p>
            <w:r>
              <w:rPr>
                <w:sz w:val="17"/>
              </w:rPr>
              <w:t>61</w:t>
            </w:r>
          </w:p>
        </w:tc>
        <w:tc>
          <w:tcPr>
            <w:tcW w:type="dxa" w:w="1440"/>
            <w:shd w:fill="FFDCE0" w:val="clear"/>
          </w:tcPr>
          <w:p>
            <w:r>
              <w:rPr>
                <w:b/>
                <w:sz w:val="17"/>
              </w:rPr>
              <w:t>66</w:t>
            </w:r>
          </w:p>
        </w:tc>
        <w:tc>
          <w:tcPr>
            <w:tcW w:type="dxa" w:w="1440"/>
            <w:shd w:fill="FFDCE0" w:val="clear"/>
          </w:tcPr>
          <w:p>
            <w:r>
              <w:rPr>
                <w:sz w:val="17"/>
              </w:rPr>
              <w:t>70</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2026-09-08</w:t>
            </w:r>
          </w:p>
        </w:tc>
        <w:tc>
          <w:tcPr>
            <w:tcW w:type="dxa" w:w="1440"/>
            <w:shd w:fill="FFDCE0" w:val="clear"/>
          </w:tcPr>
          <w:p>
            <w:r>
              <w:rPr>
                <w:sz w:val="17"/>
              </w:rPr>
              <w:t>55</w:t>
            </w:r>
          </w:p>
        </w:tc>
        <w:tc>
          <w:tcPr>
            <w:tcW w:type="dxa" w:w="1440"/>
            <w:shd w:fill="FFDCE0" w:val="clear"/>
          </w:tcPr>
          <w:p>
            <w:r>
              <w:rPr>
                <w:b/>
                <w:sz w:val="17"/>
              </w:rPr>
              <w:t>61</w:t>
            </w:r>
          </w:p>
        </w:tc>
        <w:tc>
          <w:tcPr>
            <w:tcW w:type="dxa" w:w="1440"/>
            <w:shd w:fill="FFDCE0" w:val="clear"/>
          </w:tcPr>
          <w:p>
            <w:r>
              <w:rPr>
                <w:sz w:val="17"/>
              </w:rPr>
              <w:t>66</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2026-09-09</w:t>
            </w:r>
          </w:p>
        </w:tc>
        <w:tc>
          <w:tcPr>
            <w:tcW w:type="dxa" w:w="1440"/>
            <w:shd w:fill="FFDCE0" w:val="clear"/>
          </w:tcPr>
          <w:p>
            <w:r>
              <w:rPr>
                <w:sz w:val="17"/>
              </w:rPr>
              <w:t>50</w:t>
            </w:r>
          </w:p>
        </w:tc>
        <w:tc>
          <w:tcPr>
            <w:tcW w:type="dxa" w:w="1440"/>
            <w:shd w:fill="FFDCE0" w:val="clear"/>
          </w:tcPr>
          <w:p>
            <w:r>
              <w:rPr>
                <w:b/>
                <w:sz w:val="17"/>
              </w:rPr>
              <w:t>56</w:t>
            </w:r>
          </w:p>
        </w:tc>
        <w:tc>
          <w:tcPr>
            <w:tcW w:type="dxa" w:w="1440"/>
            <w:shd w:fill="FFDCE0" w:val="clear"/>
          </w:tcPr>
          <w:p>
            <w:r>
              <w:rPr>
                <w:sz w:val="17"/>
              </w:rPr>
              <w:t>63</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45</w:t>
            </w:r>
          </w:p>
        </w:tc>
        <w:tc>
          <w:tcPr>
            <w:tcW w:type="dxa" w:w="1440"/>
            <w:shd w:fill="FFDCE0" w:val="clear"/>
          </w:tcPr>
          <w:p>
            <w:r>
              <w:rPr>
                <w:b/>
                <w:sz w:val="17"/>
              </w:rPr>
              <w:t>52</w:t>
            </w:r>
          </w:p>
        </w:tc>
        <w:tc>
          <w:tcPr>
            <w:tcW w:type="dxa" w:w="1440"/>
            <w:shd w:fill="FFDCE0" w:val="clear"/>
          </w:tcPr>
          <w:p>
            <w:r>
              <w:rPr>
                <w:sz w:val="17"/>
              </w:rPr>
              <w:t>59</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41</w:t>
            </w:r>
          </w:p>
        </w:tc>
        <w:tc>
          <w:tcPr>
            <w:tcW w:type="dxa" w:w="1440"/>
            <w:shd w:fill="FFDCE0" w:val="clear"/>
          </w:tcPr>
          <w:p>
            <w:r>
              <w:rPr>
                <w:b/>
                <w:sz w:val="17"/>
              </w:rPr>
              <w:t>48</w:t>
            </w:r>
          </w:p>
        </w:tc>
        <w:tc>
          <w:tcPr>
            <w:tcW w:type="dxa" w:w="1440"/>
            <w:shd w:fill="FFDCE0" w:val="clear"/>
          </w:tcPr>
          <w:p>
            <w:r>
              <w:rPr>
                <w:sz w:val="17"/>
              </w:rPr>
              <w:t>55</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37</w:t>
            </w:r>
          </w:p>
        </w:tc>
        <w:tc>
          <w:tcPr>
            <w:tcW w:type="dxa" w:w="1440"/>
            <w:shd w:fill="FFDCE0" w:val="clear"/>
          </w:tcPr>
          <w:p>
            <w:r>
              <w:rPr>
                <w:b/>
                <w:sz w:val="17"/>
              </w:rPr>
              <w:t>44</w:t>
            </w:r>
          </w:p>
        </w:tc>
        <w:tc>
          <w:tcPr>
            <w:tcW w:type="dxa" w:w="1440"/>
            <w:shd w:fill="FFDCE0" w:val="clear"/>
          </w:tcPr>
          <w:p>
            <w:r>
              <w:rPr>
                <w:sz w:val="17"/>
              </w:rPr>
              <w:t>52</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34</w:t>
            </w:r>
          </w:p>
        </w:tc>
        <w:tc>
          <w:tcPr>
            <w:tcW w:type="dxa" w:w="1440"/>
            <w:shd w:fill="FFDCE0" w:val="clear"/>
          </w:tcPr>
          <w:p>
            <w:r>
              <w:rPr>
                <w:b/>
                <w:sz w:val="17"/>
              </w:rPr>
              <w:t>41</w:t>
            </w:r>
          </w:p>
        </w:tc>
        <w:tc>
          <w:tcPr>
            <w:tcW w:type="dxa" w:w="1440"/>
            <w:shd w:fill="FFDCE0" w:val="clear"/>
          </w:tcPr>
          <w:p>
            <w:r>
              <w:rPr>
                <w:sz w:val="17"/>
              </w:rPr>
              <w:t>48</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31</w:t>
            </w:r>
          </w:p>
        </w:tc>
        <w:tc>
          <w:tcPr>
            <w:tcW w:type="dxa" w:w="1440"/>
            <w:shd w:fill="FFDCE0" w:val="clear"/>
          </w:tcPr>
          <w:p>
            <w:r>
              <w:rPr>
                <w:b/>
                <w:sz w:val="17"/>
              </w:rPr>
              <w:t>38</w:t>
            </w:r>
          </w:p>
        </w:tc>
        <w:tc>
          <w:tcPr>
            <w:tcW w:type="dxa" w:w="1440"/>
            <w:shd w:fill="FFDCE0" w:val="clear"/>
          </w:tcPr>
          <w:p>
            <w:r>
              <w:rPr>
                <w:sz w:val="17"/>
              </w:rPr>
              <w:t>45</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28</w:t>
            </w:r>
          </w:p>
        </w:tc>
        <w:tc>
          <w:tcPr>
            <w:tcW w:type="dxa" w:w="1440"/>
            <w:shd w:fill="FFDCE0" w:val="clear"/>
          </w:tcPr>
          <w:p>
            <w:r>
              <w:rPr>
                <w:b/>
                <w:sz w:val="17"/>
              </w:rPr>
              <w:t>35</w:t>
            </w:r>
          </w:p>
        </w:tc>
        <w:tc>
          <w:tcPr>
            <w:tcW w:type="dxa" w:w="1440"/>
            <w:shd w:fill="FFDCE0" w:val="clear"/>
          </w:tcPr>
          <w:p>
            <w:r>
              <w:rPr>
                <w:sz w:val="17"/>
              </w:rPr>
              <w:t>42</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26</w:t>
            </w:r>
          </w:p>
        </w:tc>
        <w:tc>
          <w:tcPr>
            <w:tcW w:type="dxa" w:w="1440"/>
            <w:shd w:fill="FFDCE0" w:val="clear"/>
          </w:tcPr>
          <w:p>
            <w:r>
              <w:rPr>
                <w:b/>
                <w:sz w:val="17"/>
              </w:rPr>
              <w:t>33</w:t>
            </w:r>
          </w:p>
        </w:tc>
        <w:tc>
          <w:tcPr>
            <w:tcW w:type="dxa" w:w="1440"/>
            <w:shd w:fill="FFDCE0" w:val="clear"/>
          </w:tcPr>
          <w:p>
            <w:r>
              <w:rPr>
                <w:sz w:val="17"/>
              </w:rPr>
              <w:t>39</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d'ETIT s'établit à 1 283,97 milliards FCFA, ce qui en fait l'une des plus importantes capitalisations de la BRVM, reflétant le statut de leader panafricain du groupe. Avec un BPA de 19 FCFA, le titre se négocie à un PER de 3,7x, très inférieur à la moyenne historique de la BRVM (8-12x), signalant une sous-évaluation potentielle significative. Le P/B de 0,80x renforce cette lecture : le marché valorise le titre en dessous de sa valeur comptable, une situation qui suggère que les investisseurs intègrent des risques élevés ou une défiance persistante. L'EV/EBITDA de 5,1x reste raisonnable, indiquant que la valeur totale de l'entreprise (dette incluse) reste modérée par rapport à sa capacité opérationnelle. Ces ratios, pris ensemble, dessinent le profil d'une valeur décotée offrant une marge de sécurité théorique.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ETIT a enregistré une progression spectaculaire de +108,82%, passant d'un plus bas de 26 FCFA à un plus haut de 78 FCFA, pour clôturer à 71 FCFA, soit une hausse de +2,90% sur la dernière séance. Cette tendance fortement haussière s'accompagne d'une moyenne de 47 FCFA et d'une médiane de 36 FCFA, l'écart entre les deux (11 FCFA) indiquant une distribution asymétrique avec une concentration des valeurs basses avant une accélération récente. L'écart-type de 18 FCFA (CV=38%) révèle une dispersion élevée, tandis que le kurtosis négatif (-1,726) signale une distribution aplatie, sans pics extrêmes, et le skewness positif (0,298) confirme une asymétrie vers les hausses récentes. La volatilité annualisée de 66% classe le titre dans la catégorie à risque élevé, bien au-delà du seuil de 30%, ce qui implique des fluctuations importantes et un risque de retournement brutal.</w:t>
      </w:r>
    </w:p>
    <w:p>
      <w:pPr>
        <w:spacing w:after="120" w:line="276" w:lineRule="auto" w:before="240"/>
      </w:pPr>
      <w:r>
        <w:rPr>
          <w:b/>
          <w:color w:val="003366"/>
          <w:sz w:val="24"/>
        </w:rPr>
        <w:t>**PARTIE 2 : ANALYSE TECHNIQUE DÉTAILLÉE**</w:t>
      </w:r>
    </w:p>
    <w:p>
      <w:pPr>
        <w:spacing w:after="120" w:line="276" w:lineRule="auto"/>
      </w:pPr>
      <w:r>
        <w:t>Les moyennes mobiles MM20 (66,95 FCFA) et MM50 (63,08 FCFA) sont toutes deux inférieures au cours actuel de 71 FCFA, configurant une tendance haussière saine à court et moyen terme. Le croisement haussier des MM et la position du prix au-dessus de ces supports dynamiques justifient la décision d'ACHAT, bien que l'écart croissant entre le cours et la MM20 puisse signaler une extension excessive.</w:t>
      </w:r>
    </w:p>
    <w:p>
      <w:pPr>
        <w:spacing w:after="120" w:line="276" w:lineRule="auto"/>
      </w:pPr>
      <w:r>
        <w:t>Les bandes de Bollinger (borne supérieure à 70,225 FCFA, borne inférieure à 63,675 FCFA) montrent un cours qui a franchi la borne supérieure, atteignant 71 FCFA. Cette sortie de canal signale une condition de surachat temporaire et une volatilité accrue, justifiant la décision de VENTE à très court terme, car un retour vers la moyenne (MM20) est statistiquement probable.</w:t>
      </w:r>
    </w:p>
    <w:p>
      <w:pPr>
        <w:spacing w:after="120" w:line="276" w:lineRule="auto"/>
      </w:pPr>
      <w:r>
        <w:t>Le MACD (valeur à 1,467, signal à 1,546) présente une divergence négative : la ligne MACD est passée sous sa ligne de signal, indiquant un affaiblissement du momentum haussier. Bien que les deux lignes restent en territoire positif, ce croisement baissier suggère une perte de vitesse, justifiant la décision de VENTE pour les positions à court terme.</w:t>
      </w:r>
    </w:p>
    <w:p>
      <w:pPr>
        <w:spacing w:after="120" w:line="276" w:lineRule="auto"/>
      </w:pPr>
      <w:r>
        <w:t>Le RSI à 56,0 se situe en zone neutre (30-70), indiquant que le titre n'est ni suracheté ni survendu. Cette valeur suggère qu'il reste une marge avant d'atteindre des conditions extrêmes, mais elle ne fournit pas de signal directionnel fort, d'où la décision NEUTRE.</w:t>
      </w:r>
    </w:p>
    <w:p>
      <w:pPr>
        <w:spacing w:after="120" w:line="276" w:lineRule="auto"/>
      </w:pPr>
      <w:r>
        <w:t>L'indicateur stochastique affiche un %K à 100,0 et un %D à 77,778, plaçant le titre en zone de surachat extrême. Le %K ayant atteint sa borne maximale, un croisement baissier sous le %D est imminent, signalant un potentiel de repli technique, justifiant la décision de VENTE.</w:t>
      </w:r>
    </w:p>
    <w:p>
      <w:pPr>
        <w:spacing w:after="120" w:line="276" w:lineRule="auto"/>
      </w:pPr>
      <w:r>
        <w:t>La synthèse technique révèle un conflit entre la tendance de fond (moyennes mobiles haussières) et les oscillateurs de court terme (Bollinger, MACD, Stochastique) qui signalent tous une fatigue et un risque de correction. Le RSI neutre n'arbitre pas ce conflit. La prudence est donc de mise à court terme, malgré une tendance structurelle positive.</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font état d'un Produit Net Bancaire de 1 424,261 milliards FCFA et d'un résultat net de 345,523 milliards FCFA, soit une marge nette de 24,26%. La rentabilité des fonds propres (ROE) atteint 21,62%, un niveau excellent, et le ROA s'établit à 1,80%. Le coefficient d'exploitation de 27,35% témoigne d'une efficacité opérationnelle remarquable, très inférieure au seuil de 60% considéré comme sain. Le coût du risque, à 18,97% des charges financières, reste élevé, signalant un portefeuille de crédit sous tension. Les dépôts clientèle (14 120,139 Mds FCFA) couvrent largement les créances sur la clientèle (6 570,385 Mds FCFA), illustrant une transformation saine. Les rapports narratifs confirment cette dynamique : le rapport S1 2026 (daté de juillet 2026) montre un PNB en hausse de 15% à 721,318 milliards FCFA et un résultat net de 166,682 milliards FCFA, en progression de 6%. Le rapport T1 2026 (daté d'avril 2026) indique un PNB de +23% et un résultat net de +16%, suggérant une décélération au S1. Sur la base de ces données semestrielles, on estime que l'exercice 2026 pourrait voir un PNB annuel supérieur à 1 500 milliards FCFA et un résultat net autour de 350-380 milliards FCFA, sous réserve de la maîtrise du coût du risque, qui a bondi de +40% au S1 2026. La solidité financière est réelle, mais la hausse des provisions constitue le principal point de vigilance.</w:t>
      </w:r>
    </w:p>
    <w:p>
      <w:pPr>
        <w:spacing w:after="120" w:line="276" w:lineRule="auto" w:before="240"/>
      </w:pPr>
      <w:r>
        <w:rPr>
          <w:b/>
          <w:color w:val="003366"/>
          <w:sz w:val="24"/>
        </w:rPr>
        <w:t>**PARTIE 4 : CONCLUSION D'INVESTISSEMENT**</w:t>
      </w:r>
    </w:p>
    <w:p>
      <w:pPr>
        <w:spacing w:after="120" w:line="276" w:lineRule="auto"/>
      </w:pPr>
      <w:r>
        <w:t>La valorisation d'ETIT (PER 3,7x, P/B 0,80x) indique une sous-évaluation manifeste, mais celle-ci est contrebalancée par un comportement du cours extrêmement volatil (+108% en 100 jours, volatilité de 66%) qui traduit une spéculation intense. Les signaux techniques sont divergents : la tendance de fond reste haussière via les moyennes mobiles, mais tous les oscillateurs de court terme (Bollinger, MACD, Stochastique) hurlent à la surachat et prédisent une correction. Les fondamentaux, eux, sont solides avec un ROE de 21,6% et un coefficient d'exploitation de 27,3%, mais la hausse de 40% du coût du risque en 2026 tempère l'enthousiasme. Les prédictions IA (J+1 à J+10) confirment cette analyse technique en projetant une chute brutale du cours de 71 FCFA à 48 FCFA, soit une baisse de 32%, ce qui valide le scénario de correction. La convergence entre les signaux techniques de vente et les prédictions IA, malgré des fondamentaux sains, conduit à une recommandation de VENTE à court terme pour éviter la correction attendue, avec un niveau de confiance Élevé et un risque global Élevé. L'horizon optimal serait de réévaluer le titre après la correction projetée, vers les 48-50 FCFA, où le potentiel de rebond technique et fondamental redevient attractif pour un horizon moyen terme (3-12 mois).</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17.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30.32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3,999 titres</w:t>
            </w:r>
          </w:p>
        </w:tc>
        <w:tc>
          <w:tcPr>
            <w:tcW w:type="dxa" w:w="2268"/>
            <w:shd w:fill="FFF2CC" w:val="clear"/>
          </w:tcPr>
          <w:p>
            <w:r>
              <w:rPr>
                <w:b/>
                <w:color w:val="503200"/>
                <w:sz w:val="16"/>
              </w:rPr>
              <w:t xml:space="preserve">Cours actuel : </w:t>
            </w:r>
            <w:r>
              <w:rPr>
                <w:color w:val="000000"/>
                <w:sz w:val="17"/>
              </w:rPr>
              <w:t>2,150 FCFA</w:t>
            </w:r>
          </w:p>
          <w:p>
            <w:r>
              <w:rPr>
                <w:b/>
                <w:color w:val="503200"/>
                <w:sz w:val="16"/>
              </w:rPr>
              <w:t xml:space="preserve">Var. 100 jours : </w:t>
            </w:r>
            <w:r>
              <w:rPr>
                <w:b/>
                <w:color w:val="B40000"/>
                <w:sz w:val="17"/>
              </w:rPr>
              <w:t>-6.72%</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35.4%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6.04% (Moyenne) — μ=2,144 FCFA, σ=129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β=0.6912 (Défensif) — Cov=0.000025, Var(idx)=0.000036, ρ=0.185,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3,999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σ_j=2.23%/j (Stable) — Vol. annualisée≈35.4%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2026-09-07</w:t>
            </w:r>
          </w:p>
        </w:tc>
        <w:tc>
          <w:tcPr>
            <w:tcW w:type="dxa" w:w="1440"/>
            <w:shd w:fill="FAFAFA" w:val="clear"/>
          </w:tcPr>
          <w:p>
            <w:r>
              <w:rPr>
                <w:sz w:val="17"/>
              </w:rPr>
              <w:t>2,085</w:t>
            </w:r>
          </w:p>
        </w:tc>
        <w:tc>
          <w:tcPr>
            <w:tcW w:type="dxa" w:w="1440"/>
            <w:shd w:fill="FAFAFA" w:val="clear"/>
          </w:tcPr>
          <w:p>
            <w:r>
              <w:rPr>
                <w:b/>
                <w:sz w:val="17"/>
              </w:rPr>
              <w:t>2,160</w:t>
            </w:r>
          </w:p>
        </w:tc>
        <w:tc>
          <w:tcPr>
            <w:tcW w:type="dxa" w:w="1440"/>
            <w:shd w:fill="FAFAFA" w:val="clear"/>
          </w:tcPr>
          <w:p>
            <w:r>
              <w:rPr>
                <w:sz w:val="17"/>
              </w:rPr>
              <w:t>2,235</w:t>
            </w:r>
          </w:p>
        </w:tc>
        <w:tc>
          <w:tcPr>
            <w:tcW w:type="dxa" w:w="1440"/>
            <w:shd w:fill="FAFAFA" w:val="clear"/>
          </w:tcPr>
          <w:p>
            <w:r>
              <w:rPr>
                <w:b/>
                <w:color w:val="008000"/>
                <w:sz w:val="17"/>
              </w:rPr>
              <w:t>+0.5%</w:t>
            </w:r>
          </w:p>
        </w:tc>
      </w:tr>
      <w:tr>
        <w:tc>
          <w:tcPr>
            <w:tcW w:type="dxa" w:w="1440"/>
            <w:shd w:fill="FAFAFA" w:val="clear"/>
          </w:tcPr>
          <w:p>
            <w:r>
              <w:rPr>
                <w:sz w:val="17"/>
              </w:rPr>
              <w:t>J+2  Moyenne</w:t>
            </w:r>
          </w:p>
        </w:tc>
        <w:tc>
          <w:tcPr>
            <w:tcW w:type="dxa" w:w="1440"/>
            <w:shd w:fill="FAFAFA" w:val="clear"/>
          </w:tcPr>
          <w:p>
            <w:r>
              <w:rPr>
                <w:sz w:val="17"/>
              </w:rPr>
              <w:t>2026-09-08</w:t>
            </w:r>
          </w:p>
        </w:tc>
        <w:tc>
          <w:tcPr>
            <w:tcW w:type="dxa" w:w="1440"/>
            <w:shd w:fill="FAFAFA" w:val="clear"/>
          </w:tcPr>
          <w:p>
            <w:r>
              <w:rPr>
                <w:sz w:val="17"/>
              </w:rPr>
              <w:t>2,063</w:t>
            </w:r>
          </w:p>
        </w:tc>
        <w:tc>
          <w:tcPr>
            <w:tcW w:type="dxa" w:w="1440"/>
            <w:shd w:fill="FAFAFA" w:val="clear"/>
          </w:tcPr>
          <w:p>
            <w:r>
              <w:rPr>
                <w:b/>
                <w:sz w:val="17"/>
              </w:rPr>
              <w:t>2,170</w:t>
            </w:r>
          </w:p>
        </w:tc>
        <w:tc>
          <w:tcPr>
            <w:tcW w:type="dxa" w:w="1440"/>
            <w:shd w:fill="FAFAFA" w:val="clear"/>
          </w:tcPr>
          <w:p>
            <w:r>
              <w:rPr>
                <w:sz w:val="17"/>
              </w:rPr>
              <w:t>2,276</w:t>
            </w:r>
          </w:p>
        </w:tc>
        <w:tc>
          <w:tcPr>
            <w:tcW w:type="dxa" w:w="1440"/>
            <w:shd w:fill="FAFAFA" w:val="clear"/>
          </w:tcPr>
          <w:p>
            <w:r>
              <w:rPr>
                <w:b/>
                <w:color w:val="008000"/>
                <w:sz w:val="17"/>
              </w:rPr>
              <w:t>+0.9%</w:t>
            </w:r>
          </w:p>
        </w:tc>
      </w:tr>
      <w:tr>
        <w:tc>
          <w:tcPr>
            <w:tcW w:type="dxa" w:w="1440"/>
            <w:shd w:fill="FAFAFA" w:val="clear"/>
          </w:tcPr>
          <w:p>
            <w:r>
              <w:rPr>
                <w:sz w:val="17"/>
              </w:rPr>
              <w:t>J+3  Moyenne</w:t>
            </w:r>
          </w:p>
        </w:tc>
        <w:tc>
          <w:tcPr>
            <w:tcW w:type="dxa" w:w="1440"/>
            <w:shd w:fill="FAFAFA" w:val="clear"/>
          </w:tcPr>
          <w:p>
            <w:r>
              <w:rPr>
                <w:sz w:val="17"/>
              </w:rPr>
              <w:t>2026-09-09</w:t>
            </w:r>
          </w:p>
        </w:tc>
        <w:tc>
          <w:tcPr>
            <w:tcW w:type="dxa" w:w="1440"/>
            <w:shd w:fill="FAFAFA" w:val="clear"/>
          </w:tcPr>
          <w:p>
            <w:r>
              <w:rPr>
                <w:sz w:val="17"/>
              </w:rPr>
              <w:t>2,049</w:t>
            </w:r>
          </w:p>
        </w:tc>
        <w:tc>
          <w:tcPr>
            <w:tcW w:type="dxa" w:w="1440"/>
            <w:shd w:fill="FAFAFA" w:val="clear"/>
          </w:tcPr>
          <w:p>
            <w:r>
              <w:rPr>
                <w:b/>
                <w:sz w:val="17"/>
              </w:rPr>
              <w:t>2,180</w:t>
            </w:r>
          </w:p>
        </w:tc>
        <w:tc>
          <w:tcPr>
            <w:tcW w:type="dxa" w:w="1440"/>
            <w:shd w:fill="FAFAFA" w:val="clear"/>
          </w:tcPr>
          <w:p>
            <w:r>
              <w:rPr>
                <w:sz w:val="17"/>
              </w:rPr>
              <w:t>2,310</w:t>
            </w:r>
          </w:p>
        </w:tc>
        <w:tc>
          <w:tcPr>
            <w:tcW w:type="dxa" w:w="1440"/>
            <w:shd w:fill="FAFAFA" w:val="clear"/>
          </w:tcPr>
          <w:p>
            <w:r>
              <w:rPr>
                <w:b/>
                <w:color w:val="008000"/>
                <w:sz w:val="17"/>
              </w:rPr>
              <w:t>+1.4%</w:t>
            </w:r>
          </w:p>
        </w:tc>
      </w:tr>
      <w:tr>
        <w:tc>
          <w:tcPr>
            <w:tcW w:type="dxa" w:w="1440"/>
            <w:shd w:fill="FAFAFA" w:val="clear"/>
          </w:tcPr>
          <w:p>
            <w:r>
              <w:rPr>
                <w:sz w:val="17"/>
              </w:rPr>
              <w:t>J+4  ⭐</w:t>
            </w:r>
          </w:p>
        </w:tc>
        <w:tc>
          <w:tcPr>
            <w:tcW w:type="dxa" w:w="1440"/>
            <w:shd w:fill="FAFAFA" w:val="clear"/>
          </w:tcPr>
          <w:p>
            <w:r>
              <w:rPr>
                <w:sz w:val="17"/>
              </w:rPr>
              <w:t>2026-09-10</w:t>
            </w:r>
          </w:p>
        </w:tc>
        <w:tc>
          <w:tcPr>
            <w:tcW w:type="dxa" w:w="1440"/>
            <w:shd w:fill="FAFAFA" w:val="clear"/>
          </w:tcPr>
          <w:p>
            <w:r>
              <w:rPr>
                <w:sz w:val="17"/>
              </w:rPr>
              <w:t>2,037</w:t>
            </w:r>
          </w:p>
        </w:tc>
        <w:tc>
          <w:tcPr>
            <w:tcW w:type="dxa" w:w="1440"/>
            <w:shd w:fill="FAFAFA" w:val="clear"/>
          </w:tcPr>
          <w:p>
            <w:r>
              <w:rPr>
                <w:b/>
                <w:sz w:val="17"/>
              </w:rPr>
              <w:t>2,189</w:t>
            </w:r>
          </w:p>
        </w:tc>
        <w:tc>
          <w:tcPr>
            <w:tcW w:type="dxa" w:w="1440"/>
            <w:shd w:fill="FAFAFA" w:val="clear"/>
          </w:tcPr>
          <w:p>
            <w:r>
              <w:rPr>
                <w:sz w:val="17"/>
              </w:rPr>
              <w:t>2,341</w:t>
            </w:r>
          </w:p>
        </w:tc>
        <w:tc>
          <w:tcPr>
            <w:tcW w:type="dxa" w:w="1440"/>
            <w:shd w:fill="FAFAFA" w:val="clear"/>
          </w:tcPr>
          <w:p>
            <w:r>
              <w:rPr>
                <w:b/>
                <w:color w:val="008000"/>
                <w:sz w:val="17"/>
              </w:rPr>
              <w:t>+1.8%</w:t>
            </w:r>
          </w:p>
        </w:tc>
      </w:tr>
      <w:tr>
        <w:tc>
          <w:tcPr>
            <w:tcW w:type="dxa" w:w="1440"/>
            <w:shd w:fill="C6EFCE" w:val="clear"/>
          </w:tcPr>
          <w:p>
            <w:r>
              <w:rPr>
                <w:sz w:val="17"/>
              </w:rPr>
              <w:t>J+5  ⭐</w:t>
            </w:r>
          </w:p>
        </w:tc>
        <w:tc>
          <w:tcPr>
            <w:tcW w:type="dxa" w:w="1440"/>
            <w:shd w:fill="C6EFCE" w:val="clear"/>
          </w:tcPr>
          <w:p>
            <w:r>
              <w:rPr>
                <w:sz w:val="17"/>
              </w:rPr>
              <w:t>2026-09-11</w:t>
            </w:r>
          </w:p>
        </w:tc>
        <w:tc>
          <w:tcPr>
            <w:tcW w:type="dxa" w:w="1440"/>
            <w:shd w:fill="C6EFCE" w:val="clear"/>
          </w:tcPr>
          <w:p>
            <w:r>
              <w:rPr>
                <w:sz w:val="17"/>
              </w:rPr>
              <w:t>2,028</w:t>
            </w:r>
          </w:p>
        </w:tc>
        <w:tc>
          <w:tcPr>
            <w:tcW w:type="dxa" w:w="1440"/>
            <w:shd w:fill="C6EFCE" w:val="clear"/>
          </w:tcPr>
          <w:p>
            <w:r>
              <w:rPr>
                <w:b/>
                <w:sz w:val="17"/>
              </w:rPr>
              <w:t>2,199</w:t>
            </w:r>
          </w:p>
        </w:tc>
        <w:tc>
          <w:tcPr>
            <w:tcW w:type="dxa" w:w="1440"/>
            <w:shd w:fill="C6EFCE" w:val="clear"/>
          </w:tcPr>
          <w:p>
            <w:r>
              <w:rPr>
                <w:sz w:val="17"/>
              </w:rPr>
              <w:t>2,369</w:t>
            </w:r>
          </w:p>
        </w:tc>
        <w:tc>
          <w:tcPr>
            <w:tcW w:type="dxa" w:w="1440"/>
            <w:shd w:fill="C6EFCE" w:val="clear"/>
          </w:tcPr>
          <w:p>
            <w:r>
              <w:rPr>
                <w:b/>
                <w:color w:val="008000"/>
                <w:sz w:val="17"/>
              </w:rPr>
              <w:t>+2.3%</w:t>
            </w:r>
          </w:p>
        </w:tc>
      </w:tr>
      <w:tr>
        <w:tc>
          <w:tcPr>
            <w:tcW w:type="dxa" w:w="1440"/>
            <w:shd w:fill="C6EFCE" w:val="clear"/>
          </w:tcPr>
          <w:p>
            <w:r>
              <w:rPr>
                <w:sz w:val="17"/>
              </w:rPr>
              <w:t>J+6  ⭐</w:t>
            </w:r>
          </w:p>
        </w:tc>
        <w:tc>
          <w:tcPr>
            <w:tcW w:type="dxa" w:w="1440"/>
            <w:shd w:fill="C6EFCE" w:val="clear"/>
          </w:tcPr>
          <w:p>
            <w:r>
              <w:rPr>
                <w:sz w:val="17"/>
              </w:rPr>
              <w:t>2026-09-14</w:t>
            </w:r>
          </w:p>
        </w:tc>
        <w:tc>
          <w:tcPr>
            <w:tcW w:type="dxa" w:w="1440"/>
            <w:shd w:fill="C6EFCE" w:val="clear"/>
          </w:tcPr>
          <w:p>
            <w:r>
              <w:rPr>
                <w:sz w:val="17"/>
              </w:rPr>
              <w:t>2,021</w:t>
            </w:r>
          </w:p>
        </w:tc>
        <w:tc>
          <w:tcPr>
            <w:tcW w:type="dxa" w:w="1440"/>
            <w:shd w:fill="C6EFCE" w:val="clear"/>
          </w:tcPr>
          <w:p>
            <w:r>
              <w:rPr>
                <w:b/>
                <w:sz w:val="17"/>
              </w:rPr>
              <w:t>2,208</w:t>
            </w:r>
          </w:p>
        </w:tc>
        <w:tc>
          <w:tcPr>
            <w:tcW w:type="dxa" w:w="1440"/>
            <w:shd w:fill="C6EFCE" w:val="clear"/>
          </w:tcPr>
          <w:p>
            <w:r>
              <w:rPr>
                <w:sz w:val="17"/>
              </w:rPr>
              <w:t>2,396</w:t>
            </w:r>
          </w:p>
        </w:tc>
        <w:tc>
          <w:tcPr>
            <w:tcW w:type="dxa" w:w="1440"/>
            <w:shd w:fill="C6EFCE" w:val="clear"/>
          </w:tcPr>
          <w:p>
            <w:r>
              <w:rPr>
                <w:b/>
                <w:color w:val="008000"/>
                <w:sz w:val="17"/>
              </w:rPr>
              <w:t>+2.7%</w:t>
            </w:r>
          </w:p>
        </w:tc>
      </w:tr>
      <w:tr>
        <w:tc>
          <w:tcPr>
            <w:tcW w:type="dxa" w:w="1440"/>
            <w:shd w:fill="C6EFCE" w:val="clear"/>
          </w:tcPr>
          <w:p>
            <w:r>
              <w:rPr>
                <w:sz w:val="17"/>
              </w:rPr>
              <w:t>J+7  ⭐</w:t>
            </w:r>
          </w:p>
        </w:tc>
        <w:tc>
          <w:tcPr>
            <w:tcW w:type="dxa" w:w="1440"/>
            <w:shd w:fill="C6EFCE" w:val="clear"/>
          </w:tcPr>
          <w:p>
            <w:r>
              <w:rPr>
                <w:sz w:val="17"/>
              </w:rPr>
              <w:t>2026-09-15</w:t>
            </w:r>
          </w:p>
        </w:tc>
        <w:tc>
          <w:tcPr>
            <w:tcW w:type="dxa" w:w="1440"/>
            <w:shd w:fill="C6EFCE" w:val="clear"/>
          </w:tcPr>
          <w:p>
            <w:r>
              <w:rPr>
                <w:sz w:val="17"/>
              </w:rPr>
              <w:t>2,014</w:t>
            </w:r>
          </w:p>
        </w:tc>
        <w:tc>
          <w:tcPr>
            <w:tcW w:type="dxa" w:w="1440"/>
            <w:shd w:fill="C6EFCE" w:val="clear"/>
          </w:tcPr>
          <w:p>
            <w:r>
              <w:rPr>
                <w:b/>
                <w:sz w:val="17"/>
              </w:rPr>
              <w:t>2,218</w:t>
            </w:r>
          </w:p>
        </w:tc>
        <w:tc>
          <w:tcPr>
            <w:tcW w:type="dxa" w:w="1440"/>
            <w:shd w:fill="C6EFCE" w:val="clear"/>
          </w:tcPr>
          <w:p>
            <w:r>
              <w:rPr>
                <w:sz w:val="17"/>
              </w:rPr>
              <w:t>2,421</w:t>
            </w:r>
          </w:p>
        </w:tc>
        <w:tc>
          <w:tcPr>
            <w:tcW w:type="dxa" w:w="1440"/>
            <w:shd w:fill="C6EFCE" w:val="clear"/>
          </w:tcPr>
          <w:p>
            <w:r>
              <w:rPr>
                <w:b/>
                <w:color w:val="008000"/>
                <w:sz w:val="17"/>
              </w:rPr>
              <w:t>+3.2%</w:t>
            </w:r>
          </w:p>
        </w:tc>
      </w:tr>
      <w:tr>
        <w:tc>
          <w:tcPr>
            <w:tcW w:type="dxa" w:w="1440"/>
            <w:shd w:fill="C6EFCE" w:val="clear"/>
          </w:tcPr>
          <w:p>
            <w:r>
              <w:rPr>
                <w:sz w:val="17"/>
              </w:rPr>
              <w:t>J+8  ⭐</w:t>
            </w:r>
          </w:p>
        </w:tc>
        <w:tc>
          <w:tcPr>
            <w:tcW w:type="dxa" w:w="1440"/>
            <w:shd w:fill="C6EFCE" w:val="clear"/>
          </w:tcPr>
          <w:p>
            <w:r>
              <w:rPr>
                <w:sz w:val="17"/>
              </w:rPr>
              <w:t>2026-09-16</w:t>
            </w:r>
          </w:p>
        </w:tc>
        <w:tc>
          <w:tcPr>
            <w:tcW w:type="dxa" w:w="1440"/>
            <w:shd w:fill="C6EFCE" w:val="clear"/>
          </w:tcPr>
          <w:p>
            <w:r>
              <w:rPr>
                <w:sz w:val="17"/>
              </w:rPr>
              <w:t>2,009</w:t>
            </w:r>
          </w:p>
        </w:tc>
        <w:tc>
          <w:tcPr>
            <w:tcW w:type="dxa" w:w="1440"/>
            <w:shd w:fill="C6EFCE" w:val="clear"/>
          </w:tcPr>
          <w:p>
            <w:r>
              <w:rPr>
                <w:b/>
                <w:sz w:val="17"/>
              </w:rPr>
              <w:t>2,227</w:t>
            </w:r>
          </w:p>
        </w:tc>
        <w:tc>
          <w:tcPr>
            <w:tcW w:type="dxa" w:w="1440"/>
            <w:shd w:fill="C6EFCE" w:val="clear"/>
          </w:tcPr>
          <w:p>
            <w:r>
              <w:rPr>
                <w:sz w:val="17"/>
              </w:rPr>
              <w:t>2,446</w:t>
            </w:r>
          </w:p>
        </w:tc>
        <w:tc>
          <w:tcPr>
            <w:tcW w:type="dxa" w:w="1440"/>
            <w:shd w:fill="C6EFCE" w:val="clear"/>
          </w:tcPr>
          <w:p>
            <w:r>
              <w:rPr>
                <w:b/>
                <w:color w:val="008000"/>
                <w:sz w:val="17"/>
              </w:rPr>
              <w:t>+3.6%</w:t>
            </w:r>
          </w:p>
        </w:tc>
      </w:tr>
      <w:tr>
        <w:tc>
          <w:tcPr>
            <w:tcW w:type="dxa" w:w="1440"/>
            <w:shd w:fill="C6EFCE" w:val="clear"/>
          </w:tcPr>
          <w:p>
            <w:r>
              <w:rPr>
                <w:sz w:val="17"/>
              </w:rPr>
              <w:t>J+9  ⭐</w:t>
            </w:r>
          </w:p>
        </w:tc>
        <w:tc>
          <w:tcPr>
            <w:tcW w:type="dxa" w:w="1440"/>
            <w:shd w:fill="C6EFCE" w:val="clear"/>
          </w:tcPr>
          <w:p>
            <w:r>
              <w:rPr>
                <w:sz w:val="17"/>
              </w:rPr>
              <w:t>2026-09-17</w:t>
            </w:r>
          </w:p>
        </w:tc>
        <w:tc>
          <w:tcPr>
            <w:tcW w:type="dxa" w:w="1440"/>
            <w:shd w:fill="C6EFCE" w:val="clear"/>
          </w:tcPr>
          <w:p>
            <w:r>
              <w:rPr>
                <w:sz w:val="17"/>
              </w:rPr>
              <w:t>2,004</w:t>
            </w:r>
          </w:p>
        </w:tc>
        <w:tc>
          <w:tcPr>
            <w:tcW w:type="dxa" w:w="1440"/>
            <w:shd w:fill="C6EFCE" w:val="clear"/>
          </w:tcPr>
          <w:p>
            <w:r>
              <w:rPr>
                <w:b/>
                <w:sz w:val="17"/>
              </w:rPr>
              <w:t>2,237</w:t>
            </w:r>
          </w:p>
        </w:tc>
        <w:tc>
          <w:tcPr>
            <w:tcW w:type="dxa" w:w="1440"/>
            <w:shd w:fill="C6EFCE" w:val="clear"/>
          </w:tcPr>
          <w:p>
            <w:r>
              <w:rPr>
                <w:sz w:val="17"/>
              </w:rPr>
              <w:t>2,470</w:t>
            </w:r>
          </w:p>
        </w:tc>
        <w:tc>
          <w:tcPr>
            <w:tcW w:type="dxa" w:w="1440"/>
            <w:shd w:fill="C6EFCE" w:val="clear"/>
          </w:tcPr>
          <w:p>
            <w:r>
              <w:rPr>
                <w:b/>
                <w:color w:val="008000"/>
                <w:sz w:val="17"/>
              </w:rPr>
              <w:t>+4.0%</w:t>
            </w:r>
          </w:p>
        </w:tc>
      </w:tr>
      <w:tr>
        <w:tc>
          <w:tcPr>
            <w:tcW w:type="dxa" w:w="1440"/>
            <w:shd w:fill="C6EFCE" w:val="clear"/>
          </w:tcPr>
          <w:p>
            <w:r>
              <w:rPr>
                <w:sz w:val="17"/>
              </w:rPr>
              <w:t>J+10  ⭐</w:t>
            </w:r>
          </w:p>
        </w:tc>
        <w:tc>
          <w:tcPr>
            <w:tcW w:type="dxa" w:w="1440"/>
            <w:shd w:fill="C6EFCE" w:val="clear"/>
          </w:tcPr>
          <w:p>
            <w:r>
              <w:rPr>
                <w:sz w:val="17"/>
              </w:rPr>
              <w:t>2026-09-18</w:t>
            </w:r>
          </w:p>
        </w:tc>
        <w:tc>
          <w:tcPr>
            <w:tcW w:type="dxa" w:w="1440"/>
            <w:shd w:fill="C6EFCE" w:val="clear"/>
          </w:tcPr>
          <w:p>
            <w:r>
              <w:rPr>
                <w:sz w:val="17"/>
              </w:rPr>
              <w:t>2,000</w:t>
            </w:r>
          </w:p>
        </w:tc>
        <w:tc>
          <w:tcPr>
            <w:tcW w:type="dxa" w:w="1440"/>
            <w:shd w:fill="C6EFCE" w:val="clear"/>
          </w:tcPr>
          <w:p>
            <w:r>
              <w:rPr>
                <w:b/>
                <w:sz w:val="17"/>
              </w:rPr>
              <w:t>2,247</w:t>
            </w:r>
          </w:p>
        </w:tc>
        <w:tc>
          <w:tcPr>
            <w:tcW w:type="dxa" w:w="1440"/>
            <w:shd w:fill="C6EFCE" w:val="clear"/>
          </w:tcPr>
          <w:p>
            <w:r>
              <w:rPr>
                <w:sz w:val="17"/>
              </w:rPr>
              <w:t>2,493</w:t>
            </w:r>
          </w:p>
        </w:tc>
        <w:tc>
          <w:tcPr>
            <w:tcW w:type="dxa" w:w="1440"/>
            <w:shd w:fill="C6EFCE" w:val="clear"/>
          </w:tcPr>
          <w:p>
            <w:r>
              <w:rPr>
                <w:b/>
                <w:color w:val="008000"/>
                <w:sz w:val="17"/>
              </w:rPr>
              <w:t>+4.5%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FTSC s'établit à 30,32 milliards FCFA, un niveau modeste qui la classe parmi les valeurs de taille moyenne du marché BRVM. Le BPA de 33 FCFA par action est particulièrement faible, ce qui explique un PER de 65,1x, très largement supérieur à la moyenne historique du marché (8-12x). Ce niveau de valorisation est extrêmement exigeant et reflète des attentes de croissance des bénéfices probablement irréalistes au vu des performances récentes. Le P/B de 1,93x indique que le marché valorise la société près de deux fois ses capitaux propres, ce qui est relativement raisonnable compte tenu de la réduction des fonds propres en 2025. Enfin, l'EV/EBITDA de 38,1x est très élevé, suggérant que la valeur d'entreprise intègre une prime considérable par rapport à la capacité bénéficiaire opérationnelle réelle de l'entreprise.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FTSC a enregistré une baisse de 6,72%, avec une légère contraction de 0,23% lors de la dernière séance, s'établissant à 2 150 FCFA. Le titre a évolué dans une fourchette de 1 910 à 2 430 FCFA, démontrant une amplitude de trading de 520 FCFA. La moyenne du cours sur la période est de 2 144 FCFA, très proche de la médiane de 2 178 FCFA, ce qui indique une distribution relativement symétrique des prix, confirmée par un skewness de -0,053. Le mode à 1 990 FCFA suggère que le titre a fréquemment testé des niveaux plus bas. L'écart-type de 130 FCFA (CV=6,1%) révèle une dispersion modérée des cours autour de la moyenne. Le kurtosis de -0,976 indique une distribution mésokurtique, avec un risque de mouvements extrêmes limité. La volatilité annualisée de 35,4% classe le titre comme très volatil, ce qui représente un risque significatif pour les investisseurs à court terme.</w:t>
      </w:r>
    </w:p>
    <w:p>
      <w:pPr>
        <w:spacing w:after="120" w:line="276" w:lineRule="auto" w:before="240"/>
      </w:pPr>
      <w:r>
        <w:rPr>
          <w:b/>
          <w:color w:val="003366"/>
          <w:sz w:val="24"/>
        </w:rPr>
        <w:t>**PARTIE 2 : ANALYSE TECHNIQUE DÉTAILLÉE**</w:t>
      </w:r>
    </w:p>
    <w:p>
      <w:pPr>
        <w:spacing w:after="120" w:line="276" w:lineRule="auto"/>
      </w:pPr>
      <w:r>
        <w:t>**Moyennes Mobiles** : Le cours actuel de 2 150 FCFA se positionne au-dessus de la MM50 (2 048,2 FCFA) et très proche de la MM20 (2 150,75 FCFA). Cette configuration haussière à moyen terme est confirmée par l'écart positif entre les deux moyennes, indiquant une dynamique positive. La décision d'achat se justifie par la tendance ascendante des moyennes mobiles.</w:t>
      </w:r>
    </w:p>
    <w:p>
      <w:pPr>
        <w:spacing w:after="120" w:line="276" w:lineRule="auto"/>
      </w:pPr>
      <w:r>
        <w:t>**Bandes de Bollinger** : Le cours se situe à 2 150 FCFA, entre la borne inférieure (2 063,55 FCFA) et la borne supérieure (2 237,94 FCFA), légèrement au-dessus de la moyenne. La position médiane du prix dans les bandes suggère une volatilité modérée sans signal directionnel fort. La décision neutre est appropriée, le titre n'étant ni suracheté ni survendu selon cet indicateur.</w:t>
      </w:r>
    </w:p>
    <w:p>
      <w:pPr>
        <w:spacing w:after="120" w:line="276" w:lineRule="auto"/>
      </w:pPr>
      <w:r>
        <w:t>**MACD** : La valeur du MACD (26,797) est inférieure à sa ligne de signal (30,596), indiquant un momentum baissier à court terme. Cette configuration négative suggère une possible poursuite du mouvement de correction. La décision de vente est cohérente avec la divergence négative observée.</w:t>
      </w:r>
    </w:p>
    <w:p>
      <w:pPr>
        <w:spacing w:after="120" w:line="276" w:lineRule="auto"/>
      </w:pPr>
      <w:r>
        <w:t>**RSI** : À 44,444, le RSI se situe dans la zone neutre (30-70), indiquant un équilibre relatif entre pression acheteuse et vendeuse. Cette valeur ne montre ni surachat ni survente, justifiant une position d'attente.</w:t>
      </w:r>
    </w:p>
    <w:p>
      <w:pPr>
        <w:spacing w:after="120" w:line="276" w:lineRule="auto"/>
      </w:pPr>
      <w:r>
        <w:t>**Stochastique** : Le %K (66,667) est inférieur au %D (73,889), suggérant un croisement baissier potentiel. Cette configuration indique un affaiblissement du momentum haussier, justifiant la décision neutre avec une tendance négative naissante.</w:t>
      </w:r>
    </w:p>
    <w:p>
      <w:pPr>
        <w:spacing w:after="120" w:line="276" w:lineRule="auto"/>
      </w:pPr>
      <w:r>
        <w:t>**Conclusion technique** : Les signaux techniques sont mitigés, avec une divergence entre les moyennes mobiles (achat), le MACD (vente) et les autres indicateurs (neutres). Cette configuration suggère une phase de consolidation avec un biais légèrement négatif à court terme, mais une tendance de fond positive à moyen terme.</w:t>
      </w:r>
    </w:p>
    <w:p>
      <w:pPr>
        <w:spacing w:after="120" w:line="276" w:lineRule="auto" w:before="240"/>
      </w:pPr>
      <w:r>
        <w:rPr>
          <w:b/>
          <w:color w:val="003366"/>
          <w:sz w:val="24"/>
        </w:rPr>
        <w:t>**PARTIE 3 : ANALYSE FONDAMENTALE (SECTION CRITIQUE)**</w:t>
      </w:r>
    </w:p>
    <w:p>
      <w:pPr>
        <w:spacing w:after="120" w:line="276" w:lineRule="auto"/>
      </w:pPr>
      <w:r>
        <w:t>En 2025, les états financiers de FTSC révèlent un chiffre d'affaires de 32,109 milliards FCFA, en croissance de 5% par rapport à 2024, mais un résultat net de seulement 465,98 millions FCFA, contre 18,6 milliards en 2024. Cette chute spectaculaire s'explique par l'absence des produits exceptionnels de cession de filiales qui avaient artificiellement gonflé les résultats 2024. La marge nette s'effondre à 1,45%, et le ROE atteint péniblement 2,97%, très en dessous du seuil de 15% considéré comme excellent. Le BFR de 11,529 milliards FCFA est préoccupant, avec un délai clients de 213 jours et une durée de stockage de 214 jours, indiquant une immobilisation importante de capital. La trésorerie nette est fortement négative à -11,528 milliards FCFA suite au versement massif de dividendes. Le rapport du 1er trimestre 2026 montre une amélioration du CA (+55% à 8,901 milliards FCFA) et un résultat d'exploitation positif de 75 millions FCFA, mais le résultat net reste déficitaire à -154 millions FCFA. Les rapports T1 et T3 2025 confirment la dégradation opérationnelle, avec des résultats d'exploitation négatifs. La société dépend fortement de la campagne cacaoyère 2025/2026 et fait face à des risques d'approvisionnement en jute.</w:t>
      </w:r>
    </w:p>
    <w:p>
      <w:pPr>
        <w:spacing w:after="120" w:line="276" w:lineRule="auto" w:before="240"/>
      </w:pPr>
      <w:r>
        <w:rPr>
          <w:b/>
          <w:color w:val="003366"/>
          <w:sz w:val="24"/>
        </w:rPr>
        <w:t>**PARTIE 4 : CONCLUSION D'INVESTISSEMENT**</w:t>
      </w:r>
    </w:p>
    <w:p>
      <w:pPr>
        <w:spacing w:after="120" w:line="276" w:lineRule="auto"/>
      </w:pPr>
      <w:r>
        <w:t>La valorisation de FTSC apparaît très exigeante avec un PER de 65,1x et un EV/EBITDA de 38,1x, nettement supérieurs aux moyennes du marché BRVM, indiquant une probable surévaluation. Le comportement du cours sur 100 jours montre une tendance baissière modérée (-6,72%) avec une volatilité élevée de 35,4%, reflétant l'incertitude des investisseurs. Les signaux techniques sont mitigés, avec des moyennes mobiles positives mais un MACD négatif, suggérant une consolidation sans direction claire. Fondamentalement, la société traverse une période difficile avec une rentabilité opérationnelle faible, une trésorerie très négative et une dépendance aux cycles agricoles, malgré une amélioration au T1 2026. Les prédictions IA indiquent une légère progression du cours vers 2 199 FCFA à J+10, ce qui contredit partiellement les signaux techniques baissiers. La convergence entre la valorisation excessive, les fondamentaux fragiles et les risques opérationnels élevés conduit à une recommandation de **VENTE**, avec un niveau de confiance **Moyen** et un risque global **Élevé**. L'horizon d'investissement optimal serait à court terme (&lt;3 mois) pour les investisseurs cherchant à réduire leur exposition, tandis que les investisseurs à long terme devraient attendre une amélioration durable de la rentabilité opérationnelle avant d'envisager une position.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18.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81.00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4,237 titres</w:t>
            </w:r>
          </w:p>
        </w:tc>
        <w:tc>
          <w:tcPr>
            <w:tcW w:type="dxa" w:w="2268"/>
            <w:shd w:fill="FFF2CC" w:val="clear"/>
          </w:tcPr>
          <w:p>
            <w:r>
              <w:rPr>
                <w:b/>
                <w:color w:val="503200"/>
                <w:sz w:val="16"/>
              </w:rPr>
              <w:t xml:space="preserve">Cours actuel : </w:t>
            </w:r>
            <w:r>
              <w:rPr>
                <w:color w:val="000000"/>
                <w:sz w:val="17"/>
              </w:rPr>
              <w:t>4,050 FCFA</w:t>
            </w:r>
          </w:p>
          <w:p>
            <w:r>
              <w:rPr>
                <w:b/>
                <w:color w:val="503200"/>
                <w:sz w:val="16"/>
              </w:rPr>
              <w:t xml:space="preserve">Var. 100 jours : </w:t>
            </w:r>
            <w:r>
              <w:rPr>
                <w:b/>
                <w:color w:val="007800"/>
                <w:sz w:val="17"/>
              </w:rPr>
              <w:t>+3.98%</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3,825 FCFA</w:t>
            </w:r>
          </w:p>
          <w:p>
            <w:r>
              <w:rPr>
                <w:b/>
                <w:color w:val="503200"/>
                <w:sz w:val="16"/>
              </w:rPr>
              <w:t xml:space="preserve">Volatilité ann. : </w:t>
            </w:r>
            <w:r>
              <w:rPr>
                <w:color w:val="000000"/>
                <w:sz w:val="17"/>
              </w:rPr>
              <w:t>36.1%</w:t>
            </w:r>
          </w:p>
        </w:tc>
        <w:tc>
          <w:tcPr>
            <w:tcW w:type="dxa" w:w="2835"/>
            <w:shd w:fill="FCE4D6" w:val="clear"/>
          </w:tcPr>
          <w:p>
            <w:r>
              <w:rPr>
                <w:b/>
                <w:color w:val="500000"/>
                <w:sz w:val="16"/>
              </w:rPr>
              <w:t xml:space="preserve">Recommandation : </w:t>
            </w:r>
            <w:r>
              <w:rPr>
                <w:b/>
                <w:color w:val="646400"/>
                <w:sz w:val="19"/>
              </w:rPr>
              <w:t>CONSERVER</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006400"/>
          <w:sz w:val="22"/>
        </w:rPr>
        <w:t>9.5/100 → Faible</w:t>
      </w:r>
    </w:p>
    <w:p>
      <w:pPr>
        <w:spacing w:before="40" w:after="80"/>
      </w:pPr>
      <w:r>
        <w:rPr>
          <w:rFonts w:ascii="Courier New" w:hAnsi="Courier New"/>
          <w:color w:val="006400"/>
          <w:sz w:val="18"/>
        </w:rPr>
        <w:t>█░░░░░░░░░░░░░░░░░░░  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4.89% (Faible) — μ=4,061 FCFA, σ=198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β=0.0311 (Défensif) — Cov=0.000001, Var(idx)=0.000036, ρ=0.008,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4,237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σ_j=2.28%/j (Stable) — Vol. annualisée≈36.1%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50/100  (Moyen)</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2026-09-07</w:t>
            </w:r>
          </w:p>
        </w:tc>
        <w:tc>
          <w:tcPr>
            <w:tcW w:type="dxa" w:w="1440"/>
            <w:shd w:fill="FAFAFA" w:val="clear"/>
          </w:tcPr>
          <w:p>
            <w:r>
              <w:rPr>
                <w:sz w:val="17"/>
              </w:rPr>
              <w:t>3,831</w:t>
            </w:r>
          </w:p>
        </w:tc>
        <w:tc>
          <w:tcPr>
            <w:tcW w:type="dxa" w:w="1440"/>
            <w:shd w:fill="FAFAFA" w:val="clear"/>
          </w:tcPr>
          <w:p>
            <w:r>
              <w:rPr>
                <w:b/>
                <w:sz w:val="17"/>
              </w:rPr>
              <w:t>3,983</w:t>
            </w:r>
          </w:p>
        </w:tc>
        <w:tc>
          <w:tcPr>
            <w:tcW w:type="dxa" w:w="1440"/>
            <w:shd w:fill="FAFAFA" w:val="clear"/>
          </w:tcPr>
          <w:p>
            <w:r>
              <w:rPr>
                <w:sz w:val="17"/>
              </w:rPr>
              <w:t>4,134</w:t>
            </w:r>
          </w:p>
        </w:tc>
        <w:tc>
          <w:tcPr>
            <w:tcW w:type="dxa" w:w="1440"/>
            <w:shd w:fill="FAFAFA" w:val="clear"/>
          </w:tcPr>
          <w:p>
            <w:r>
              <w:rPr>
                <w:b/>
                <w:color w:val="C00000"/>
                <w:sz w:val="17"/>
              </w:rPr>
              <w:t>-1.7%</w:t>
            </w:r>
          </w:p>
        </w:tc>
      </w:tr>
      <w:tr>
        <w:tc>
          <w:tcPr>
            <w:tcW w:type="dxa" w:w="1440"/>
            <w:shd w:fill="FAFAFA" w:val="clear"/>
          </w:tcPr>
          <w:p>
            <w:r>
              <w:rPr>
                <w:sz w:val="17"/>
              </w:rPr>
              <w:t>J+2  Moyenne</w:t>
            </w:r>
          </w:p>
        </w:tc>
        <w:tc>
          <w:tcPr>
            <w:tcW w:type="dxa" w:w="1440"/>
            <w:shd w:fill="FAFAFA" w:val="clear"/>
          </w:tcPr>
          <w:p>
            <w:r>
              <w:rPr>
                <w:sz w:val="17"/>
              </w:rPr>
              <w:t>2026-09-08</w:t>
            </w:r>
          </w:p>
        </w:tc>
        <w:tc>
          <w:tcPr>
            <w:tcW w:type="dxa" w:w="1440"/>
            <w:shd w:fill="FAFAFA" w:val="clear"/>
          </w:tcPr>
          <w:p>
            <w:r>
              <w:rPr>
                <w:sz w:val="17"/>
              </w:rPr>
              <w:t>3,773</w:t>
            </w:r>
          </w:p>
        </w:tc>
        <w:tc>
          <w:tcPr>
            <w:tcW w:type="dxa" w:w="1440"/>
            <w:shd w:fill="FAFAFA" w:val="clear"/>
          </w:tcPr>
          <w:p>
            <w:r>
              <w:rPr>
                <w:b/>
                <w:sz w:val="17"/>
              </w:rPr>
              <w:t>3,987</w:t>
            </w:r>
          </w:p>
        </w:tc>
        <w:tc>
          <w:tcPr>
            <w:tcW w:type="dxa" w:w="1440"/>
            <w:shd w:fill="FAFAFA" w:val="clear"/>
          </w:tcPr>
          <w:p>
            <w:r>
              <w:rPr>
                <w:sz w:val="17"/>
              </w:rPr>
              <w:t>4,201</w:t>
            </w:r>
          </w:p>
        </w:tc>
        <w:tc>
          <w:tcPr>
            <w:tcW w:type="dxa" w:w="1440"/>
            <w:shd w:fill="FAFAFA" w:val="clear"/>
          </w:tcPr>
          <w:p>
            <w:r>
              <w:rPr>
                <w:b/>
                <w:color w:val="C00000"/>
                <w:sz w:val="17"/>
              </w:rPr>
              <w:t>-1.6%</w:t>
            </w:r>
          </w:p>
        </w:tc>
      </w:tr>
      <w:tr>
        <w:tc>
          <w:tcPr>
            <w:tcW w:type="dxa" w:w="1440"/>
            <w:shd w:fill="FAFAFA" w:val="clear"/>
          </w:tcPr>
          <w:p>
            <w:r>
              <w:rPr>
                <w:sz w:val="17"/>
              </w:rPr>
              <w:t>J+3  Moyenne</w:t>
            </w:r>
          </w:p>
        </w:tc>
        <w:tc>
          <w:tcPr>
            <w:tcW w:type="dxa" w:w="1440"/>
            <w:shd w:fill="FAFAFA" w:val="clear"/>
          </w:tcPr>
          <w:p>
            <w:r>
              <w:rPr>
                <w:sz w:val="17"/>
              </w:rPr>
              <w:t>2026-09-09</w:t>
            </w:r>
          </w:p>
        </w:tc>
        <w:tc>
          <w:tcPr>
            <w:tcW w:type="dxa" w:w="1440"/>
            <w:shd w:fill="FAFAFA" w:val="clear"/>
          </w:tcPr>
          <w:p>
            <w:r>
              <w:rPr>
                <w:sz w:val="17"/>
              </w:rPr>
              <w:t>3,732</w:t>
            </w:r>
          </w:p>
        </w:tc>
        <w:tc>
          <w:tcPr>
            <w:tcW w:type="dxa" w:w="1440"/>
            <w:shd w:fill="FAFAFA" w:val="clear"/>
          </w:tcPr>
          <w:p>
            <w:r>
              <w:rPr>
                <w:b/>
                <w:sz w:val="17"/>
              </w:rPr>
              <w:t>3,995</w:t>
            </w:r>
          </w:p>
        </w:tc>
        <w:tc>
          <w:tcPr>
            <w:tcW w:type="dxa" w:w="1440"/>
            <w:shd w:fill="FAFAFA" w:val="clear"/>
          </w:tcPr>
          <w:p>
            <w:r>
              <w:rPr>
                <w:sz w:val="17"/>
              </w:rPr>
              <w:t>4,258</w:t>
            </w:r>
          </w:p>
        </w:tc>
        <w:tc>
          <w:tcPr>
            <w:tcW w:type="dxa" w:w="1440"/>
            <w:shd w:fill="FAFAFA" w:val="clear"/>
          </w:tcPr>
          <w:p>
            <w:r>
              <w:rPr>
                <w:b/>
                <w:color w:val="C00000"/>
                <w:sz w:val="17"/>
              </w:rPr>
              <w:t>-1.4%</w:t>
            </w:r>
          </w:p>
        </w:tc>
      </w:tr>
      <w:tr>
        <w:tc>
          <w:tcPr>
            <w:tcW w:type="dxa" w:w="1440"/>
            <w:shd w:fill="FAFAFA" w:val="clear"/>
          </w:tcPr>
          <w:p>
            <w:r>
              <w:rPr>
                <w:sz w:val="17"/>
              </w:rPr>
              <w:t>J+4  ⭐</w:t>
            </w:r>
          </w:p>
        </w:tc>
        <w:tc>
          <w:tcPr>
            <w:tcW w:type="dxa" w:w="1440"/>
            <w:shd w:fill="FAFAFA" w:val="clear"/>
          </w:tcPr>
          <w:p>
            <w:r>
              <w:rPr>
                <w:sz w:val="17"/>
              </w:rPr>
              <w:t>2026-09-10</w:t>
            </w:r>
          </w:p>
        </w:tc>
        <w:tc>
          <w:tcPr>
            <w:tcW w:type="dxa" w:w="1440"/>
            <w:shd w:fill="FAFAFA" w:val="clear"/>
          </w:tcPr>
          <w:p>
            <w:r>
              <w:rPr>
                <w:sz w:val="17"/>
              </w:rPr>
              <w:t>3,703</w:t>
            </w:r>
          </w:p>
        </w:tc>
        <w:tc>
          <w:tcPr>
            <w:tcW w:type="dxa" w:w="1440"/>
            <w:shd w:fill="FAFAFA" w:val="clear"/>
          </w:tcPr>
          <w:p>
            <w:r>
              <w:rPr>
                <w:b/>
                <w:sz w:val="17"/>
              </w:rPr>
              <w:t>4,008</w:t>
            </w:r>
          </w:p>
        </w:tc>
        <w:tc>
          <w:tcPr>
            <w:tcW w:type="dxa" w:w="1440"/>
            <w:shd w:fill="FAFAFA" w:val="clear"/>
          </w:tcPr>
          <w:p>
            <w:r>
              <w:rPr>
                <w:sz w:val="17"/>
              </w:rPr>
              <w:t>4,312</w:t>
            </w:r>
          </w:p>
        </w:tc>
        <w:tc>
          <w:tcPr>
            <w:tcW w:type="dxa" w:w="1440"/>
            <w:shd w:fill="FAFAFA" w:val="clear"/>
          </w:tcPr>
          <w:p>
            <w:r>
              <w:rPr>
                <w:b/>
                <w:color w:val="C00000"/>
                <w:sz w:val="17"/>
              </w:rPr>
              <w:t>-1.0%</w:t>
            </w:r>
          </w:p>
        </w:tc>
      </w:tr>
      <w:tr>
        <w:tc>
          <w:tcPr>
            <w:tcW w:type="dxa" w:w="1440"/>
            <w:shd w:fill="FAFAFA" w:val="clear"/>
          </w:tcPr>
          <w:p>
            <w:r>
              <w:rPr>
                <w:sz w:val="17"/>
              </w:rPr>
              <w:t>J+5  ⭐</w:t>
            </w:r>
          </w:p>
        </w:tc>
        <w:tc>
          <w:tcPr>
            <w:tcW w:type="dxa" w:w="1440"/>
            <w:shd w:fill="FAFAFA" w:val="clear"/>
          </w:tcPr>
          <w:p>
            <w:r>
              <w:rPr>
                <w:sz w:val="17"/>
              </w:rPr>
              <w:t>2026-09-11</w:t>
            </w:r>
          </w:p>
        </w:tc>
        <w:tc>
          <w:tcPr>
            <w:tcW w:type="dxa" w:w="1440"/>
            <w:shd w:fill="FAFAFA" w:val="clear"/>
          </w:tcPr>
          <w:p>
            <w:r>
              <w:rPr>
                <w:sz w:val="17"/>
              </w:rPr>
              <w:t>3,680</w:t>
            </w:r>
          </w:p>
        </w:tc>
        <w:tc>
          <w:tcPr>
            <w:tcW w:type="dxa" w:w="1440"/>
            <w:shd w:fill="FAFAFA" w:val="clear"/>
          </w:tcPr>
          <w:p>
            <w:r>
              <w:rPr>
                <w:b/>
                <w:sz w:val="17"/>
              </w:rPr>
              <w:t>4,021</w:t>
            </w:r>
          </w:p>
        </w:tc>
        <w:tc>
          <w:tcPr>
            <w:tcW w:type="dxa" w:w="1440"/>
            <w:shd w:fill="FAFAFA" w:val="clear"/>
          </w:tcPr>
          <w:p>
            <w:r>
              <w:rPr>
                <w:sz w:val="17"/>
              </w:rPr>
              <w:t>4,363</w:t>
            </w:r>
          </w:p>
        </w:tc>
        <w:tc>
          <w:tcPr>
            <w:tcW w:type="dxa" w:w="1440"/>
            <w:shd w:fill="FAFAFA" w:val="clear"/>
          </w:tcPr>
          <w:p>
            <w:r>
              <w:rPr>
                <w:b/>
                <w:color w:val="C00000"/>
                <w:sz w:val="17"/>
              </w:rPr>
              <w:t>-0.7%</w:t>
            </w:r>
          </w:p>
        </w:tc>
      </w:tr>
      <w:tr>
        <w:tc>
          <w:tcPr>
            <w:tcW w:type="dxa" w:w="1440"/>
            <w:shd w:fill="FAFAFA" w:val="clear"/>
          </w:tcPr>
          <w:p>
            <w:r>
              <w:rPr>
                <w:sz w:val="17"/>
              </w:rPr>
              <w:t>J+6  ⭐</w:t>
            </w:r>
          </w:p>
        </w:tc>
        <w:tc>
          <w:tcPr>
            <w:tcW w:type="dxa" w:w="1440"/>
            <w:shd w:fill="FAFAFA" w:val="clear"/>
          </w:tcPr>
          <w:p>
            <w:r>
              <w:rPr>
                <w:sz w:val="17"/>
              </w:rPr>
              <w:t>2026-09-14</w:t>
            </w:r>
          </w:p>
        </w:tc>
        <w:tc>
          <w:tcPr>
            <w:tcW w:type="dxa" w:w="1440"/>
            <w:shd w:fill="FAFAFA" w:val="clear"/>
          </w:tcPr>
          <w:p>
            <w:r>
              <w:rPr>
                <w:sz w:val="17"/>
              </w:rPr>
              <w:t>3,656</w:t>
            </w:r>
          </w:p>
        </w:tc>
        <w:tc>
          <w:tcPr>
            <w:tcW w:type="dxa" w:w="1440"/>
            <w:shd w:fill="FAFAFA" w:val="clear"/>
          </w:tcPr>
          <w:p>
            <w:r>
              <w:rPr>
                <w:b/>
                <w:sz w:val="17"/>
              </w:rPr>
              <w:t>4,031</w:t>
            </w:r>
          </w:p>
        </w:tc>
        <w:tc>
          <w:tcPr>
            <w:tcW w:type="dxa" w:w="1440"/>
            <w:shd w:fill="FAFAFA" w:val="clear"/>
          </w:tcPr>
          <w:p>
            <w:r>
              <w:rPr>
                <w:sz w:val="17"/>
              </w:rPr>
              <w:t>4,406</w:t>
            </w:r>
          </w:p>
        </w:tc>
        <w:tc>
          <w:tcPr>
            <w:tcW w:type="dxa" w:w="1440"/>
            <w:shd w:fill="FAFAFA" w:val="clear"/>
          </w:tcPr>
          <w:p>
            <w:r>
              <w:rPr>
                <w:b/>
                <w:color w:val="C00000"/>
                <w:sz w:val="17"/>
              </w:rPr>
              <w:t>-0.5%</w:t>
            </w:r>
          </w:p>
        </w:tc>
      </w:tr>
      <w:tr>
        <w:tc>
          <w:tcPr>
            <w:tcW w:type="dxa" w:w="1440"/>
            <w:shd w:fill="FAFAFA" w:val="clear"/>
          </w:tcPr>
          <w:p>
            <w:r>
              <w:rPr>
                <w:sz w:val="17"/>
              </w:rPr>
              <w:t>J+7  ⭐</w:t>
            </w:r>
          </w:p>
        </w:tc>
        <w:tc>
          <w:tcPr>
            <w:tcW w:type="dxa" w:w="1440"/>
            <w:shd w:fill="FAFAFA" w:val="clear"/>
          </w:tcPr>
          <w:p>
            <w:r>
              <w:rPr>
                <w:sz w:val="17"/>
              </w:rPr>
              <w:t>2026-09-15</w:t>
            </w:r>
          </w:p>
        </w:tc>
        <w:tc>
          <w:tcPr>
            <w:tcW w:type="dxa" w:w="1440"/>
            <w:shd w:fill="FAFAFA" w:val="clear"/>
          </w:tcPr>
          <w:p>
            <w:r>
              <w:rPr>
                <w:sz w:val="17"/>
              </w:rPr>
              <w:t>3,627</w:t>
            </w:r>
          </w:p>
        </w:tc>
        <w:tc>
          <w:tcPr>
            <w:tcW w:type="dxa" w:w="1440"/>
            <w:shd w:fill="FAFAFA" w:val="clear"/>
          </w:tcPr>
          <w:p>
            <w:r>
              <w:rPr>
                <w:b/>
                <w:sz w:val="17"/>
              </w:rPr>
              <w:t>4,033</w:t>
            </w:r>
          </w:p>
        </w:tc>
        <w:tc>
          <w:tcPr>
            <w:tcW w:type="dxa" w:w="1440"/>
            <w:shd w:fill="FAFAFA" w:val="clear"/>
          </w:tcPr>
          <w:p>
            <w:r>
              <w:rPr>
                <w:sz w:val="17"/>
              </w:rPr>
              <w:t>4,439</w:t>
            </w:r>
          </w:p>
        </w:tc>
        <w:tc>
          <w:tcPr>
            <w:tcW w:type="dxa" w:w="1440"/>
            <w:shd w:fill="FAFAFA" w:val="clear"/>
          </w:tcPr>
          <w:p>
            <w:r>
              <w:rPr>
                <w:b/>
                <w:color w:val="C00000"/>
                <w:sz w:val="17"/>
              </w:rPr>
              <w:t>-0.4%</w:t>
            </w:r>
          </w:p>
        </w:tc>
      </w:tr>
      <w:tr>
        <w:tc>
          <w:tcPr>
            <w:tcW w:type="dxa" w:w="1440"/>
            <w:shd w:fill="FAFAFA" w:val="clear"/>
          </w:tcPr>
          <w:p>
            <w:r>
              <w:rPr>
                <w:sz w:val="17"/>
              </w:rPr>
              <w:t>J+8  ⭐</w:t>
            </w:r>
          </w:p>
        </w:tc>
        <w:tc>
          <w:tcPr>
            <w:tcW w:type="dxa" w:w="1440"/>
            <w:shd w:fill="FAFAFA" w:val="clear"/>
          </w:tcPr>
          <w:p>
            <w:r>
              <w:rPr>
                <w:sz w:val="17"/>
              </w:rPr>
              <w:t>2026-09-16</w:t>
            </w:r>
          </w:p>
        </w:tc>
        <w:tc>
          <w:tcPr>
            <w:tcW w:type="dxa" w:w="1440"/>
            <w:shd w:fill="FAFAFA" w:val="clear"/>
          </w:tcPr>
          <w:p>
            <w:r>
              <w:rPr>
                <w:sz w:val="17"/>
              </w:rPr>
              <w:t>3,603</w:t>
            </w:r>
          </w:p>
        </w:tc>
        <w:tc>
          <w:tcPr>
            <w:tcW w:type="dxa" w:w="1440"/>
            <w:shd w:fill="FAFAFA" w:val="clear"/>
          </w:tcPr>
          <w:p>
            <w:r>
              <w:rPr>
                <w:b/>
                <w:sz w:val="17"/>
              </w:rPr>
              <w:t>4,037</w:t>
            </w:r>
          </w:p>
        </w:tc>
        <w:tc>
          <w:tcPr>
            <w:tcW w:type="dxa" w:w="1440"/>
            <w:shd w:fill="FAFAFA" w:val="clear"/>
          </w:tcPr>
          <w:p>
            <w:r>
              <w:rPr>
                <w:sz w:val="17"/>
              </w:rPr>
              <w:t>4,471</w:t>
            </w:r>
          </w:p>
        </w:tc>
        <w:tc>
          <w:tcPr>
            <w:tcW w:type="dxa" w:w="1440"/>
            <w:shd w:fill="FAFAFA" w:val="clear"/>
          </w:tcPr>
          <w:p>
            <w:r>
              <w:rPr>
                <w:b/>
                <w:color w:val="C00000"/>
                <w:sz w:val="17"/>
              </w:rPr>
              <w:t>-0.3%</w:t>
            </w:r>
          </w:p>
        </w:tc>
      </w:tr>
      <w:tr>
        <w:tc>
          <w:tcPr>
            <w:tcW w:type="dxa" w:w="1440"/>
            <w:shd w:fill="FAFAFA" w:val="clear"/>
          </w:tcPr>
          <w:p>
            <w:r>
              <w:rPr>
                <w:sz w:val="17"/>
              </w:rPr>
              <w:t>J+9  ⭐</w:t>
            </w:r>
          </w:p>
        </w:tc>
        <w:tc>
          <w:tcPr>
            <w:tcW w:type="dxa" w:w="1440"/>
            <w:shd w:fill="FAFAFA" w:val="clear"/>
          </w:tcPr>
          <w:p>
            <w:r>
              <w:rPr>
                <w:sz w:val="17"/>
              </w:rPr>
              <w:t>2026-09-17</w:t>
            </w:r>
          </w:p>
        </w:tc>
        <w:tc>
          <w:tcPr>
            <w:tcW w:type="dxa" w:w="1440"/>
            <w:shd w:fill="FAFAFA" w:val="clear"/>
          </w:tcPr>
          <w:p>
            <w:r>
              <w:rPr>
                <w:sz w:val="17"/>
              </w:rPr>
              <w:t>3,592</w:t>
            </w:r>
          </w:p>
        </w:tc>
        <w:tc>
          <w:tcPr>
            <w:tcW w:type="dxa" w:w="1440"/>
            <w:shd w:fill="FAFAFA" w:val="clear"/>
          </w:tcPr>
          <w:p>
            <w:r>
              <w:rPr>
                <w:b/>
                <w:sz w:val="17"/>
              </w:rPr>
              <w:t>4,055</w:t>
            </w:r>
          </w:p>
        </w:tc>
        <w:tc>
          <w:tcPr>
            <w:tcW w:type="dxa" w:w="1440"/>
            <w:shd w:fill="FAFAFA" w:val="clear"/>
          </w:tcPr>
          <w:p>
            <w:r>
              <w:rPr>
                <w:sz w:val="17"/>
              </w:rPr>
              <w:t>4,517</w:t>
            </w:r>
          </w:p>
        </w:tc>
        <w:tc>
          <w:tcPr>
            <w:tcW w:type="dxa" w:w="1440"/>
            <w:shd w:fill="FAFAFA" w:val="clear"/>
          </w:tcPr>
          <w:p>
            <w:r>
              <w:rPr>
                <w:b/>
                <w:color w:val="008000"/>
                <w:sz w:val="17"/>
              </w:rPr>
              <w:t>+0.1%</w:t>
            </w:r>
          </w:p>
        </w:tc>
      </w:tr>
      <w:tr>
        <w:tc>
          <w:tcPr>
            <w:tcW w:type="dxa" w:w="1440"/>
            <w:shd w:fill="FAFAFA" w:val="clear"/>
          </w:tcPr>
          <w:p>
            <w:r>
              <w:rPr>
                <w:sz w:val="17"/>
              </w:rPr>
              <w:t>J+10  ⭐</w:t>
            </w:r>
          </w:p>
        </w:tc>
        <w:tc>
          <w:tcPr>
            <w:tcW w:type="dxa" w:w="1440"/>
            <w:shd w:fill="FAFAFA" w:val="clear"/>
          </w:tcPr>
          <w:p>
            <w:r>
              <w:rPr>
                <w:sz w:val="17"/>
              </w:rPr>
              <w:t>2026-09-18</w:t>
            </w:r>
          </w:p>
        </w:tc>
        <w:tc>
          <w:tcPr>
            <w:tcW w:type="dxa" w:w="1440"/>
            <w:shd w:fill="FAFAFA" w:val="clear"/>
          </w:tcPr>
          <w:p>
            <w:r>
              <w:rPr>
                <w:sz w:val="17"/>
              </w:rPr>
              <w:t>3,589</w:t>
            </w:r>
          </w:p>
        </w:tc>
        <w:tc>
          <w:tcPr>
            <w:tcW w:type="dxa" w:w="1440"/>
            <w:shd w:fill="FAFAFA" w:val="clear"/>
          </w:tcPr>
          <w:p>
            <w:r>
              <w:rPr>
                <w:b/>
                <w:sz w:val="17"/>
              </w:rPr>
              <w:t>4,079</w:t>
            </w:r>
          </w:p>
        </w:tc>
        <w:tc>
          <w:tcPr>
            <w:tcW w:type="dxa" w:w="1440"/>
            <w:shd w:fill="FAFAFA" w:val="clear"/>
          </w:tcPr>
          <w:p>
            <w:r>
              <w:rPr>
                <w:sz w:val="17"/>
              </w:rPr>
              <w:t>4,569</w:t>
            </w:r>
          </w:p>
        </w:tc>
        <w:tc>
          <w:tcPr>
            <w:tcW w:type="dxa" w:w="1440"/>
            <w:shd w:fill="FAFAFA" w:val="clear"/>
          </w:tcPr>
          <w:p>
            <w:r>
              <w:rPr>
                <w:b/>
                <w:color w:val="008000"/>
                <w:sz w:val="17"/>
              </w:rPr>
              <w:t>+0.7%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**RAPPORT D'ANALYSE FINANCIÈRE — LNBB (Loterie Nationale du Bénin)**</w:t>
        <w:br/>
        <w:t>**Date de l'analyse :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LNBB s'établit à 81 milliards FCFA, un niveau significatif sur la BRVM qui positionne la société parmi les valeurs moyennes de la cote. Avec un BPA de 231 FCFA, le PER de 17,5x est nettement supérieur à la moyenne historique de la place (~8-12x), indiquant que le marché accorde une prime de croissance à la société, malgré des résultats en baisse. Le P/B de 3,69x confirme cette prime, le marché valorisant l'actif net à plus de 3,5 fois sa valeur comptable, ce qui reflète la solidité du bilan et les attentes de redressement. Enfin, l'EV/EBITDA de 10,3x, bien que dans la fourchette haute, reste raisonnable pour une entreprise disposant d'une trésorerie nette substantielle de près de 8 milliards FCFA, ce qui tempère le coût réel d'acquisition de la capacité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LNBB affiche une progression modeste de +3,98%, avec une dernière séance stable à 4 050 FCFA. Le titre a évolué dans un range de 735 FCFA, entre un plus bas de 3 825 FCFA et un plus haut de 4 560 FCFA, démontrant une amplitude de trading non négligeable. La moyenne (4 061 FCFA) et la médiane (4 000 FCFA) sont très proches, indiquant une distribution relativement symétrique des prix, bien que le skewness positif de 0,576 suggère un plus grand nombre de journées sous la moyenne, avec quelques fortes hausses ponctuelles. L'écart-type de 199 FCFA (CV=4,9%) révèle une dispersion modérée autour de la moyenne, et le kurtosis de -0,919 (mésokurtique) indique une absence de risques de pics extrêmes. La volatilité annualisée de 36,1% classe le titre comme très volatil, un niveau élevé qui reflète les incertitudes fondamentales et les phases de transition de la société.</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4 050 FCFA se situe sous sa MM20 (4 101,5 FCFA) et nettement sous sa MM50 (4 221,8 FCFA). Cette configuration baissière, où les moyennes agissent comme des résistances dynamiques, confirme une tendance de fond négative à moyen terme. La décision de "Vente" est justifiée par l'incapacité du titre à se maintenir au-dessus de ses moyennes mobiles clés.</w:t>
      </w:r>
    </w:p>
    <w:p>
      <w:pPr>
        <w:spacing w:after="120" w:line="276" w:lineRule="auto"/>
      </w:pPr>
      <w:r>
        <w:t>**Bandes de Bollinger :** Le prix évolue dans la partie inférieure du canal, à 4 050 FCFA, entre la borne inférieure (3 899,7 FCFA) et la borne supérieure (4 303,3 FCFA). La largeur des bandes indique une volatilité encore élevée. La position du cours, proche de la borne basse, suggère que le titre est potentiellement survendu à court terme, mais sans signal de retournement clair, d'où la décision "Neutre".</w:t>
      </w:r>
    </w:p>
    <w:p>
      <w:pPr>
        <w:spacing w:after="120" w:line="276" w:lineRule="auto"/>
      </w:pPr>
      <w:r>
        <w:t>**MACD :** La valeur du MACD (-57,0) est inférieure à sa ligne de signal (-51,9), toutes deux en territoire négatif. Cette configuration baissière indique que le momentum à moyen terme reste négatif et que la dynamique des prix ne montre pas encore de signe de retournement haussier. La décision de "Vente" est cohérente avec la poursuite de la pression vendeuse.</w:t>
      </w:r>
    </w:p>
    <w:p>
      <w:pPr>
        <w:spacing w:after="120" w:line="276" w:lineRule="auto"/>
      </w:pPr>
      <w:r>
        <w:t>**RSI :** Avec une valeur de 44,4, le RSI se situe en zone neutre, en dessous de la barre des 50. Cela indique que le marché n'est ni suracheté ni survendu, mais que la pression vendeuse est légèrement dominante. L'absence de signal extrême suggère une stabilisation possible, mais sans catalyseur haussier, justifiant la décision "Neutre".</w:t>
      </w:r>
    </w:p>
    <w:p>
      <w:pPr>
        <w:spacing w:after="120" w:line="276" w:lineRule="auto"/>
      </w:pPr>
      <w:r>
        <w:t>**Stochastique :** Le %K (27,8) est supérieur au %D (18,5), indiquant un croisement haussier potentiel en zone de survente. Ce signal précoce pourrait annoncer un rebond technique à court terme, mais la faiblesse des valeurs suggère que la dynamique reste fragile. La décision "Neutre" est prudente, attendant une confirmation de ce mouvement.</w:t>
      </w:r>
    </w:p>
    <w:p>
      <w:pPr>
        <w:spacing w:after="120" w:line="276" w:lineRule="auto"/>
      </w:pPr>
      <w:r>
        <w:t>**Conclusion technique :** La convergence des indicateurs (MM, MACD) vers une tendance baissière, contrastée par des signaux de survente (Stochastique) et une stabilisation du RSI, peint un tableau mitigé. Le titre semble chercher un point d'équilibre après une phase de dépréciation, mais la tendance de fond reste négative tant que le cours ne repasse pas au-dessus de la MM50 à 4 221 FCFA.</w:t>
      </w:r>
    </w:p>
    <w:p>
      <w:pPr>
        <w:spacing w:after="120" w:line="276" w:lineRule="auto"/>
      </w:pPr>
      <w:r>
        <w:t>---</w:t>
      </w:r>
    </w:p>
    <w:p>
      <w:pPr>
        <w:spacing w:after="120" w:line="276" w:lineRule="auto"/>
      </w:pPr>
      <w:r>
        <w:t>### PARTIE 3 : ANALYSE FONDAMENTALE (SECTION CRITIQUE)</w:t>
      </w:r>
    </w:p>
    <w:p>
      <w:pPr>
        <w:spacing w:after="120" w:line="276" w:lineRule="auto"/>
      </w:pPr>
      <w:r>
        <w:t>En 2025, selon les données structurées, LNBB a réalisé un chiffre d'affaires de 98,598 milliards FCFA, en baisse de -3,85%, et un résultat net de 4,622 milliards FCFA. La rentabilité des fonds propres (ROE) reste excellente à 21,05%, et le ROA est très élevé à 14,17%, démontrant une gestion efficace des actifs. La structure financière est très saine avec une autonomie financière de 67,32% et un ratio d'endettement extrêmement faible de 2,57%. Le BFR est négatif (-217 millions FCFA), une situation favorable pour une entreprise, et la trésorerie nette est massive (7,98 milliards FCFA). Les rapports narratifs de 2025 (rapport annuel et trimestriels) confirment la baisse du CA et du RN, attribuée à la concurrence déloyale, mais soulignent une amélioration de la valeur ajoutée (+22%) et de l'EBE (+34%). Pour 2026, les rapports T1 et S1 indiquent une reprise du CA (+6% au T1, +4% au S1), mais une chute du résultat net au T1 (-46%) avant une forte progression au S1 (+60%), grâce aux partenariats et à la maîtrise des charges. On estime que l'exercice 2026 devrait voir un redressement significatif de la rentabilité, avec un résultat net potentiellement en forte hausse par rapport à 2025, porté par la stratégie digitale et les nouveaux produits.</w:t>
      </w:r>
    </w:p>
    <w:p>
      <w:pPr>
        <w:spacing w:after="120" w:line="276" w:lineRule="auto"/>
      </w:pPr>
      <w:r>
        <w:t>---</w:t>
      </w:r>
    </w:p>
    <w:p>
      <w:pPr>
        <w:spacing w:after="120" w:line="276" w:lineRule="auto"/>
      </w:pPr>
      <w:r>
        <w:t>### PARTIE 4 : CONCLUSION D'INVESTISSEMENT</w:t>
      </w:r>
    </w:p>
    <w:p>
      <w:pPr>
        <w:spacing w:after="120" w:line="276" w:lineRule="auto"/>
      </w:pPr>
      <w:r>
        <w:t>La valorisation de LNBB (PER 17,5x, P/B 3,69x) est exigeante, intégrant des attentes de redressement qui ne sont pas encore pleinement matérialisées dans les bénéfices. Le comportement du cours sur 100 jours montre une résistance relative avec une légère hausse, mais la volatilité annualisée de 36,1% et les signaux techniques mitigés (MM et MACD vendeurs, RSI et Stochastique neutres) suggèrent une prudence à court terme. Les fondamentaux, bien qu'en baisse en 2025, restent robustes avec un ROE de 21%, une trésorerie massive et un endettement quasi nul. Les rapports de 2026 indiquent une dynamique de croissance revenue, avec un résultat net en hausse de 60% au S1, confirmant le potentiel de rebond. Les prédictions IA (3 983 à 4 021 FCFA) suggèrent une stabilisation et un léger rebond dans les 10 prochains jours, contredisant légèrement la tendance technique baissière mais s'alignant sur le potentiel fondamental. En synthèse, la convergence entre la solidité financière, les signes de redressement opérationnel et la stabilisation du cours plaide pour une recommandation **CONSERVER**, avec un niveau de confiance **Moyen** et un risque global **Moyen**. L'horizon d'investissement optimal serait à **moyen terme (3-12 mois)**, attendant la confirmation des résultats annuels 2026 pour envisager un renforcement.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lnb bn</w:t>
      </w:r>
    </w:p>
    <w:p>
      <w:pPr>
        <w:spacing w:before="20"/>
        <w:ind w:left="400"/>
      </w:pPr>
      <w:r>
        <w:rPr>
          <w:color w:val="505050"/>
          <w:sz w:val="17"/>
        </w:rPr>
        <w:t xml:space="preserve">Date : 13/06/2026  |  Catégorie : convocation AG  |  Impact : </w:t>
      </w:r>
      <w:r>
        <w:rPr>
          <w:b/>
          <w:color w:val="008000"/>
          <w:sz w:val="17"/>
        </w:rPr>
        <w:t>🟢 POSITIF</w:t>
      </w:r>
    </w:p>
    <w:p>
      <w:pPr>
        <w:spacing w:before="40"/>
        <w:ind w:left="400"/>
      </w:pPr>
      <w:r>
        <w:rPr>
          <w:sz w:val="18"/>
        </w:rPr>
        <w:t>Ce document est un avis de convocation à l'Assemblée Générale Ordinaire de la société LNB. L'AGO doit approuver les comptes de l'exercice 2025 et le projet d'affectation du résultat prévoyant un dividende brut de 173 FCFA par action. Le dividende net par action serait de 164 FCFA, payable à compter du 2 août 2026.</w:t>
      </w:r>
    </w:p>
    <w:p>
      <w:pPr>
        <w:spacing w:before="60"/>
        <w:ind w:left="400"/>
      </w:pPr>
      <w:r>
        <w:rPr>
          <w:b/>
          <w:sz w:val="18"/>
        </w:rPr>
        <w:t>Points clés :</w:t>
      </w:r>
    </w:p>
    <w:p>
      <w:pPr>
        <w:pStyle w:val="ListBullet"/>
        <w:spacing w:before="20" w:after="20"/>
        <w:ind w:left="700"/>
      </w:pPr>
      <w:r>
        <w:rPr>
          <w:sz w:val="18"/>
        </w:rPr>
        <w:t>Approbation du rapport de gestion du Conseil d'Administration pour l'exercice clos le 31 décembre 2025.</w:t>
      </w:r>
    </w:p>
    <w:p>
      <w:pPr>
        <w:pStyle w:val="ListBullet"/>
        <w:spacing w:before="20" w:after="20"/>
        <w:ind w:left="700"/>
      </w:pPr>
      <w:r>
        <w:rPr>
          <w:sz w:val="18"/>
        </w:rPr>
        <w:t>Approbation des comptes et du bilan de l'exercice 2025.</w:t>
      </w:r>
    </w:p>
    <w:p>
      <w:pPr>
        <w:pStyle w:val="ListBullet"/>
        <w:spacing w:before="20" w:after="20"/>
        <w:ind w:left="700"/>
      </w:pPr>
      <w:r>
        <w:rPr>
          <w:sz w:val="18"/>
        </w:rPr>
        <w:t>Affectation du résultat net de FCFA 4 622 243 779 avec un dividende brut proposé de 173 FCFA par action.</w:t>
      </w:r>
    </w:p>
    <w:p>
      <w:pPr>
        <w:pStyle w:val="ListBullet"/>
        <w:spacing w:before="20" w:after="20"/>
        <w:ind w:left="700"/>
      </w:pPr>
      <w:r>
        <w:rPr>
          <w:sz w:val="18"/>
        </w:rPr>
        <w:t>Dividende net de 164 FCFA par action après IRCM, mise en paiement à partir du 2 août 2026.</w:t>
      </w:r>
    </w:p>
    <w:p>
      <w:pPr>
        <w:pStyle w:val="ListBullet"/>
        <w:spacing w:before="20" w:after="20"/>
        <w:ind w:left="700"/>
      </w:pPr>
      <w:r>
        <w:rPr>
          <w:sz w:val="18"/>
        </w:rPr>
        <w:t>Quitus aux administrateurs et décharge aux commissaires aux comptes, et pouvoirs pour formalités.</w:t>
      </w:r>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19.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38.30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5,222 titres</w:t>
            </w:r>
          </w:p>
        </w:tc>
        <w:tc>
          <w:tcPr>
            <w:tcW w:type="dxa" w:w="2268"/>
            <w:shd w:fill="FFF2CC" w:val="clear"/>
          </w:tcPr>
          <w:p>
            <w:r>
              <w:rPr>
                <w:b/>
                <w:color w:val="503200"/>
                <w:sz w:val="16"/>
              </w:rPr>
              <w:t xml:space="preserve">Cours actuel : </w:t>
            </w:r>
            <w:r>
              <w:rPr>
                <w:color w:val="000000"/>
                <w:sz w:val="17"/>
              </w:rPr>
              <w:t>3,000 FCFA</w:t>
            </w:r>
          </w:p>
          <w:p>
            <w:r>
              <w:rPr>
                <w:b/>
                <w:color w:val="503200"/>
                <w:sz w:val="16"/>
              </w:rPr>
              <w:t xml:space="preserve">Var. 100 jours : </w:t>
            </w:r>
            <w:r>
              <w:rPr>
                <w:b/>
                <w:color w:val="007800"/>
                <w:sz w:val="17"/>
              </w:rPr>
              <w:t>+118.98%</w:t>
            </w:r>
          </w:p>
          <w:p>
            <w:r>
              <w:rPr>
                <w:b/>
                <w:color w:val="503200"/>
                <w:sz w:val="16"/>
              </w:rPr>
              <w:t xml:space="preserve">Plus haut 100j : </w:t>
            </w:r>
            <w:r>
              <w:rPr>
                <w:color w:val="000000"/>
                <w:sz w:val="17"/>
              </w:rPr>
              <w:t>3,000 FCFA</w:t>
            </w:r>
          </w:p>
          <w:p>
            <w:r>
              <w:rPr>
                <w:b/>
                <w:color w:val="503200"/>
                <w:sz w:val="16"/>
              </w:rPr>
              <w:t xml:space="preserve">Plus bas 100j : </w:t>
            </w:r>
            <w:r>
              <w:rPr>
                <w:color w:val="000000"/>
                <w:sz w:val="17"/>
              </w:rPr>
              <w:t>1,370 FCFA</w:t>
            </w:r>
          </w:p>
          <w:p>
            <w:r>
              <w:rPr>
                <w:b/>
                <w:color w:val="503200"/>
                <w:sz w:val="16"/>
              </w:rPr>
              <w:t xml:space="preserve">Volatilité ann. : </w:t>
            </w:r>
            <w:r>
              <w:rPr>
                <w:color w:val="000000"/>
                <w:sz w:val="17"/>
              </w:rPr>
              <w:t>53.3%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32.6/100 → Moyen</w:t>
      </w:r>
    </w:p>
    <w:p>
      <w:pPr>
        <w:spacing w:before="40" w:after="80"/>
      </w:pPr>
      <w:r>
        <w:rPr>
          <w:rFonts w:ascii="Courier New" w:hAnsi="Courier New"/>
          <w:color w:val="825A00"/>
          <w:sz w:val="18"/>
        </w:rPr>
        <w:t>██████░░░░░░░░░░░░░░  32.6/100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17.76% (Élevée) — μ=2,111 FCFA, σ=375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β=-0.2214 (Contre-cyclique) — Cov=-0.000008, Var(idx)=0.000036, ρ=-0.039,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5,222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σ_j=3.36%/j (Modérée) — Vol. annualisée≈53.3%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619287"/>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2026-09-07</w:t>
            </w:r>
          </w:p>
        </w:tc>
        <w:tc>
          <w:tcPr>
            <w:tcW w:type="dxa" w:w="1440"/>
            <w:shd w:fill="FFDCE0" w:val="clear"/>
          </w:tcPr>
          <w:p>
            <w:r>
              <w:rPr>
                <w:sz w:val="17"/>
              </w:rPr>
              <w:t>2,637</w:t>
            </w:r>
          </w:p>
        </w:tc>
        <w:tc>
          <w:tcPr>
            <w:tcW w:type="dxa" w:w="1440"/>
            <w:shd w:fill="FFDCE0" w:val="clear"/>
          </w:tcPr>
          <w:p>
            <w:r>
              <w:rPr>
                <w:b/>
                <w:sz w:val="17"/>
              </w:rPr>
              <w:t>2,775</w:t>
            </w:r>
          </w:p>
        </w:tc>
        <w:tc>
          <w:tcPr>
            <w:tcW w:type="dxa" w:w="1440"/>
            <w:shd w:fill="FFDCE0" w:val="clear"/>
          </w:tcPr>
          <w:p>
            <w:r>
              <w:rPr>
                <w:sz w:val="17"/>
              </w:rPr>
              <w:t>2,913</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2026-09-08</w:t>
            </w:r>
          </w:p>
        </w:tc>
        <w:tc>
          <w:tcPr>
            <w:tcW w:type="dxa" w:w="1440"/>
            <w:shd w:fill="FFDCE0" w:val="clear"/>
          </w:tcPr>
          <w:p>
            <w:r>
              <w:rPr>
                <w:sz w:val="17"/>
              </w:rPr>
              <w:t>2,387</w:t>
            </w:r>
          </w:p>
        </w:tc>
        <w:tc>
          <w:tcPr>
            <w:tcW w:type="dxa" w:w="1440"/>
            <w:shd w:fill="FFDCE0" w:val="clear"/>
          </w:tcPr>
          <w:p>
            <w:r>
              <w:rPr>
                <w:b/>
                <w:sz w:val="17"/>
              </w:rPr>
              <w:t>2,567</w:t>
            </w:r>
          </w:p>
        </w:tc>
        <w:tc>
          <w:tcPr>
            <w:tcW w:type="dxa" w:w="1440"/>
            <w:shd w:fill="FFDCE0" w:val="clear"/>
          </w:tcPr>
          <w:p>
            <w:r>
              <w:rPr>
                <w:sz w:val="17"/>
              </w:rPr>
              <w:t>2,747</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2026-09-09</w:t>
            </w:r>
          </w:p>
        </w:tc>
        <w:tc>
          <w:tcPr>
            <w:tcW w:type="dxa" w:w="1440"/>
            <w:shd w:fill="FFDCE0" w:val="clear"/>
          </w:tcPr>
          <w:p>
            <w:r>
              <w:rPr>
                <w:sz w:val="17"/>
              </w:rPr>
              <w:t>2,170</w:t>
            </w:r>
          </w:p>
        </w:tc>
        <w:tc>
          <w:tcPr>
            <w:tcW w:type="dxa" w:w="1440"/>
            <w:shd w:fill="FFDCE0" w:val="clear"/>
          </w:tcPr>
          <w:p>
            <w:r>
              <w:rPr>
                <w:b/>
                <w:sz w:val="17"/>
              </w:rPr>
              <w:t>2,374</w:t>
            </w:r>
          </w:p>
        </w:tc>
        <w:tc>
          <w:tcPr>
            <w:tcW w:type="dxa" w:w="1440"/>
            <w:shd w:fill="FFDCE0" w:val="clear"/>
          </w:tcPr>
          <w:p>
            <w:r>
              <w:rPr>
                <w:sz w:val="17"/>
              </w:rPr>
              <w:t>2,578</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1,978</w:t>
            </w:r>
          </w:p>
        </w:tc>
        <w:tc>
          <w:tcPr>
            <w:tcW w:type="dxa" w:w="1440"/>
            <w:shd w:fill="FFDCE0" w:val="clear"/>
          </w:tcPr>
          <w:p>
            <w:r>
              <w:rPr>
                <w:b/>
                <w:sz w:val="17"/>
              </w:rPr>
              <w:t>2,196</w:t>
            </w:r>
          </w:p>
        </w:tc>
        <w:tc>
          <w:tcPr>
            <w:tcW w:type="dxa" w:w="1440"/>
            <w:shd w:fill="FFDCE0" w:val="clear"/>
          </w:tcPr>
          <w:p>
            <w:r>
              <w:rPr>
                <w:sz w:val="17"/>
              </w:rPr>
              <w:t>2,414</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1,806</w:t>
            </w:r>
          </w:p>
        </w:tc>
        <w:tc>
          <w:tcPr>
            <w:tcW w:type="dxa" w:w="1440"/>
            <w:shd w:fill="FFDCE0" w:val="clear"/>
          </w:tcPr>
          <w:p>
            <w:r>
              <w:rPr>
                <w:b/>
                <w:sz w:val="17"/>
              </w:rPr>
              <w:t>2,032</w:t>
            </w:r>
          </w:p>
        </w:tc>
        <w:tc>
          <w:tcPr>
            <w:tcW w:type="dxa" w:w="1440"/>
            <w:shd w:fill="FFDCE0" w:val="clear"/>
          </w:tcPr>
          <w:p>
            <w:r>
              <w:rPr>
                <w:sz w:val="17"/>
              </w:rPr>
              <w:t>2,257</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1,651</w:t>
            </w:r>
          </w:p>
        </w:tc>
        <w:tc>
          <w:tcPr>
            <w:tcW w:type="dxa" w:w="1440"/>
            <w:shd w:fill="FFDCE0" w:val="clear"/>
          </w:tcPr>
          <w:p>
            <w:r>
              <w:rPr>
                <w:b/>
                <w:sz w:val="17"/>
              </w:rPr>
              <w:t>1,879</w:t>
            </w:r>
          </w:p>
        </w:tc>
        <w:tc>
          <w:tcPr>
            <w:tcW w:type="dxa" w:w="1440"/>
            <w:shd w:fill="FFDCE0" w:val="clear"/>
          </w:tcPr>
          <w:p>
            <w:r>
              <w:rPr>
                <w:sz w:val="17"/>
              </w:rPr>
              <w:t>2,108</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1,510</w:t>
            </w:r>
          </w:p>
        </w:tc>
        <w:tc>
          <w:tcPr>
            <w:tcW w:type="dxa" w:w="1440"/>
            <w:shd w:fill="FFDCE0" w:val="clear"/>
          </w:tcPr>
          <w:p>
            <w:r>
              <w:rPr>
                <w:b/>
                <w:sz w:val="17"/>
              </w:rPr>
              <w:t>1,738</w:t>
            </w:r>
          </w:p>
        </w:tc>
        <w:tc>
          <w:tcPr>
            <w:tcW w:type="dxa" w:w="1440"/>
            <w:shd w:fill="FFDCE0" w:val="clear"/>
          </w:tcPr>
          <w:p>
            <w:r>
              <w:rPr>
                <w:sz w:val="17"/>
              </w:rPr>
              <w:t>1,967</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1,407</w:t>
            </w:r>
          </w:p>
        </w:tc>
        <w:tc>
          <w:tcPr>
            <w:tcW w:type="dxa" w:w="1440"/>
            <w:shd w:fill="FFDCE0" w:val="clear"/>
          </w:tcPr>
          <w:p>
            <w:r>
              <w:rPr>
                <w:b/>
                <w:sz w:val="17"/>
              </w:rPr>
              <w:t>1,636</w:t>
            </w:r>
          </w:p>
        </w:tc>
        <w:tc>
          <w:tcPr>
            <w:tcW w:type="dxa" w:w="1440"/>
            <w:shd w:fill="FFDCE0" w:val="clear"/>
          </w:tcPr>
          <w:p>
            <w:r>
              <w:rPr>
                <w:sz w:val="17"/>
              </w:rPr>
              <w:t>1,866</w:t>
            </w:r>
          </w:p>
        </w:tc>
        <w:tc>
          <w:tcPr>
            <w:tcW w:type="dxa" w:w="1440"/>
            <w:shd w:fill="FFDCE0" w:val="clear"/>
          </w:tcPr>
          <w:p>
            <w:r>
              <w:rPr>
                <w:b/>
                <w:color w:val="C00000"/>
                <w:sz w:val="17"/>
              </w:rPr>
              <w:t>-45.5%</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1,341</w:t>
            </w:r>
          </w:p>
        </w:tc>
        <w:tc>
          <w:tcPr>
            <w:tcW w:type="dxa" w:w="1440"/>
            <w:shd w:fill="FFDCE0" w:val="clear"/>
          </w:tcPr>
          <w:p>
            <w:r>
              <w:rPr>
                <w:b/>
                <w:sz w:val="17"/>
              </w:rPr>
              <w:t>1,576</w:t>
            </w:r>
          </w:p>
        </w:tc>
        <w:tc>
          <w:tcPr>
            <w:tcW w:type="dxa" w:w="1440"/>
            <w:shd w:fill="FFDCE0" w:val="clear"/>
          </w:tcPr>
          <w:p>
            <w:r>
              <w:rPr>
                <w:sz w:val="17"/>
              </w:rPr>
              <w:t>1,811</w:t>
            </w:r>
          </w:p>
        </w:tc>
        <w:tc>
          <w:tcPr>
            <w:tcW w:type="dxa" w:w="1440"/>
            <w:shd w:fill="FFDCE0" w:val="clear"/>
          </w:tcPr>
          <w:p>
            <w:r>
              <w:rPr>
                <w:b/>
                <w:color w:val="C00000"/>
                <w:sz w:val="17"/>
              </w:rPr>
              <w:t>-47.5%</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1,282</w:t>
            </w:r>
          </w:p>
        </w:tc>
        <w:tc>
          <w:tcPr>
            <w:tcW w:type="dxa" w:w="1440"/>
            <w:shd w:fill="FFDCE0" w:val="clear"/>
          </w:tcPr>
          <w:p>
            <w:r>
              <w:rPr>
                <w:b/>
                <w:sz w:val="17"/>
              </w:rPr>
              <w:t>1,521</w:t>
            </w:r>
          </w:p>
        </w:tc>
        <w:tc>
          <w:tcPr>
            <w:tcW w:type="dxa" w:w="1440"/>
            <w:shd w:fill="FFDCE0" w:val="clear"/>
          </w:tcPr>
          <w:p>
            <w:r>
              <w:rPr>
                <w:sz w:val="17"/>
              </w:rPr>
              <w:t>1,760</w:t>
            </w:r>
          </w:p>
        </w:tc>
        <w:tc>
          <w:tcPr>
            <w:tcW w:type="dxa" w:w="1440"/>
            <w:shd w:fill="FFDCE0" w:val="clear"/>
          </w:tcPr>
          <w:p>
            <w:r>
              <w:rPr>
                <w:b/>
                <w:color w:val="C00000"/>
                <w:sz w:val="17"/>
              </w:rPr>
              <w:t>-49.3%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NEIC s'établit à 38,30 milliards FCFA, un niveau modeste dans l'écosystème BRVM qui la positionne comme une valeur de seconde ligne. Avec un BPA de 160 FCFA, chaque action génère un bénéfice confortable, mais le PER de 18,8x se situe nettement au-dessus de la moyenne historique de la BRVM (8-12x), indiquant que les investisseurs paient une prime substantielle pour la croissance anticipée. Cette prime est confirmée par un P/B de 6,65x, très supérieur au seuil de 4x considéré comme exigeant, signifiant que le marché valorise fortement les actifs nets de la société. Enfin, l'EV/EBITDA de 28,5x, bien au-delà du seuil de 15x, renforce l'idée d'une valorisation très tendue, où la valeur d'entreprise intègre des hypothèses de performance opérationnelle future particulièrement optimistes.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NEIC a connu une appréciation spectaculaire de +118,98%, passant d'un plus bas de 1 370 FCFA à un plus haut de 3 000 FCFA, niveau auquel il se négocie actuellement, avec une variation nulle lors de la dernière séance. La moyenne du cours sur la période (2 111 FCFA) est inférieure à la médiane (2 178 FCFA), suggérant une distribution légèrement asymétrique avec des valeurs extrêmes à la hausse, bien que le skewness positif (0,127) confirme une queue de distribution orientée vers les sommets. L'écart-type de 377 FCFA (CV de 17,8%) indique une dispersion modérée autour de la moyenne, tandis que le kurtosis de 0,580 (mésokurtique) révèle une distribution proche de la normale, sans risque excessif de mouvements extrêmes. La volatilité annualisée de 53,3% classe le titre comme très volatil, bien au-dessus du seuil de 30%, reflétant un intérêt spéculatif marqué et des mouvements de prix amples sur la période.</w:t>
      </w:r>
    </w:p>
    <w:p>
      <w:pPr>
        <w:spacing w:after="120" w:line="276" w:lineRule="auto" w:before="240"/>
      </w:pPr>
      <w:r>
        <w:rPr>
          <w:b/>
          <w:color w:val="003366"/>
          <w:sz w:val="24"/>
        </w:rPr>
        <w:t>**PARTIE 2 : ANALYSE TECHNIQUE DÉTAILLÉE**</w:t>
      </w:r>
    </w:p>
    <w:p>
      <w:pPr>
        <w:spacing w:after="120" w:line="276" w:lineRule="auto"/>
      </w:pPr>
      <w:r>
        <w:t>Les moyennes mobiles sur 20 jours (2 528,5 FCFA) et sur 50 jours (2 356 FCFA) sont toutes deux largement inférieures au cours actuel de 3 000 FCFA, confirmant une tendance haussière robuste à court et moyen terme. La configuration des MM20 au-dessus de la MM50 indique un momentum positif soutenu, justifiant la décision d'achat.</w:t>
      </w:r>
    </w:p>
    <w:p>
      <w:pPr>
        <w:spacing w:after="120" w:line="276" w:lineRule="auto"/>
      </w:pPr>
      <w:r>
        <w:t>Le cours à 3 000 FCFA se positionne près de la borne supérieure des bandes de Bollinger (3 243,52 FCFA), suggérant une pression acheteuse intense. L'écart important entre les bornes (1 813,48 à 3 243,52 FCFA) témoigne d'une volatilité élevée, et le prix proche de la borne haute indique une possible extension excessive, d'où la décision neutre.</w:t>
      </w:r>
    </w:p>
    <w:p>
      <w:pPr>
        <w:spacing w:after="120" w:line="276" w:lineRule="auto"/>
      </w:pPr>
      <w:r>
        <w:t>Le MACD affiche une valeur de 210,894, nettement au-dessus de sa ligne de signal à 151,017, confirmant un momentum haussier puissant. L'écart positif croissant entre les deux lignes indique une accélération de la tendance haussière, justifiant la décision d'achat.</w:t>
      </w:r>
    </w:p>
    <w:p>
      <w:pPr>
        <w:spacing w:after="120" w:line="276" w:lineRule="auto"/>
      </w:pPr>
      <w:r>
        <w:t>Le RSI à 95,977 est extrêmement élevé, bien au-delà du seuil de surachat de 70, signalant une condition de marché très survendue d'un point de vue technique. Cette valeur extrême suggère un épuisement potentiel des acheteurs à court terme et justifie la décision de vente.</w:t>
      </w:r>
    </w:p>
    <w:p>
      <w:pPr>
        <w:spacing w:after="120" w:line="276" w:lineRule="auto"/>
      </w:pPr>
      <w:r>
        <w:t>Les oscillateurs stochastiques (%K et %D à 100,0) sont en zone de surachat extrême, indiquant que le titre est massivement suracheté. Cette configuration, sans signe de croisement baissier pour l'instant, suggère un risque élevé de correction technique, justifiant la décision de vente.</w:t>
      </w:r>
    </w:p>
    <w:p>
      <w:pPr>
        <w:spacing w:after="120" w:line="276" w:lineRule="auto"/>
      </w:pPr>
      <w:r>
        <w:t>La synthèse technique révèle une divergence nette entre les indicateurs de tendance (MM, MACD) qui restent positifs, et les oscillateurs de momentum (RSI, Stochastique) qui crient au surachat extrême. Cette configuration classique de fin de tendance haussière suggère qu'un repli technique est probable à court terme, même si la tendance de fond demeure positive.</w:t>
      </w:r>
    </w:p>
    <w:p>
      <w:pPr>
        <w:spacing w:after="120" w:line="276" w:lineRule="auto" w:before="240"/>
      </w:pPr>
      <w:r>
        <w:rPr>
          <w:b/>
          <w:color w:val="003366"/>
          <w:sz w:val="24"/>
        </w:rPr>
        <w:t>**PARTIE 3 : ANALYSE FONDAMENTALE (SECTION CRITIQUE)**</w:t>
      </w:r>
    </w:p>
    <w:p>
      <w:pPr>
        <w:spacing w:after="120" w:line="276" w:lineRule="auto"/>
      </w:pPr>
      <w:r>
        <w:t>En 2025, NEIC affiche des résultats financiers solides avec un chiffre d'affaires de 5,139 milliards FCFA et un résultat net de 2,037 milliards FCFA, générant une marge nette exceptionnelle de 39,6%. La rentabilité des fonds propres (ROE) atteint 35,4%, et le ROA s'établit à 27,3%, tous deux bien au-dessus des seuils d'excellence de 15%, démontrant une utilisation très efficace du capital. La structure financière est saine avec une autonomie financière de 77% et une trésorerie nette positive de 4,196 milliards FCFA. Cependant, le taux de croissance du CA est négatif à -23,8%, et le délai de paiement des clients s'étend à 154,7 jours, créant un risque de trésorerie. Les rapports trimestriels 2025 (T1 et T3) révèlent une forte saisonnalité avec un T1 catastrophique (CA de 48,5 millions, perte de -189,9 millions) mais un T3 bénéficiaire de 1,596 milliards, tiré par une reprise de provision exceptionnelle. Le rapport annuel 2025 (publié en 2026) confirme une croissance de 29% du CA à 6,74 milliards et un résultat net de 2,04 milliards, avec une recommandation d'achat. Les états financiers certifiés 2024 montraient une perte de 759 millions, contrastant avec la trésorerie opérationnelle positive de 554 millions, indiquant que la perte provenait d'éléments non-courants. Le rapport T1 2026 indique une forte croissance du CA (+137% à 115,1 millions) mais des pertes persistantes de -168,9 millions, bien qu'en amélioration. La solidité financière est réelle, mais la dépendance aux marchés publics et la saisonnalité extrême constituent des risques majeurs.</w:t>
      </w:r>
    </w:p>
    <w:p>
      <w:pPr>
        <w:spacing w:after="120" w:line="276" w:lineRule="auto" w:before="240"/>
      </w:pPr>
      <w:r>
        <w:rPr>
          <w:b/>
          <w:color w:val="003366"/>
          <w:sz w:val="24"/>
        </w:rPr>
        <w:t>**PARTIE 4 : CONCLUSION D'INVESTISSEMENT**</w:t>
      </w:r>
    </w:p>
    <w:p>
      <w:pPr>
        <w:spacing w:after="120" w:line="276" w:lineRule="auto"/>
      </w:pPr>
      <w:r>
        <w:t>La valorisation de NEIC est clairement surévaluée avec un PER de 18,8x et un P/B de 6,65x, nettement supérieurs aux moyennes BRVM, tandis que le comportement du cours montre une hausse spectaculaire de 119% en 100 jours avec une volatilité très élevée de 53,3%. Les signaux techniques sont contradictoires : les moyennes mobiles et le MACD restent positifs, mais le RSI à 96 et le Stochastique à 100 signalent un surachat extrême, annonçant une correction probable. Les fondamentaux sont solides avec un ROE de 35,4% et une trésorerie abondante, mais la croissance du CA est négative et les résultats dépendent fortement d'éléments exceptionnels. Les prédictions IA (J+1 à J+10) anticipent une chute brutale du cours de 3 000 à 2 032 FCFA, soit une baisse de 32%, confirmant les signaux de surachat technique. Sur cette base, la recommandation est une **VENTE** à court terme avec un niveau de confiance **Élevé**, car la convergence entre les indicateurs techniques extrêmes et les prédictions IA est forte. Le risque global est **Élevé** en raison de la volatilité excessive et de la valorisation tendue. L'horizon d'investissement optimal serait de **court terme (&lt;3 mois)** pour les investisseurs cherchant à réaliser des profits, avec une réévaluation à moyen terme si le titre corrige vers ses moyennes mobiles.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20.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572.61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2,374 titres</w:t>
            </w:r>
          </w:p>
        </w:tc>
        <w:tc>
          <w:tcPr>
            <w:tcW w:type="dxa" w:w="2268"/>
            <w:shd w:fill="FFF2CC" w:val="clear"/>
          </w:tcPr>
          <w:p>
            <w:r>
              <w:rPr>
                <w:b/>
                <w:color w:val="503200"/>
                <w:sz w:val="16"/>
              </w:rPr>
              <w:t xml:space="preserve">Cours actuel : </w:t>
            </w:r>
            <w:r>
              <w:rPr>
                <w:color w:val="000000"/>
                <w:sz w:val="17"/>
              </w:rPr>
              <w:t>23,150 FCFA</w:t>
            </w:r>
          </w:p>
          <w:p>
            <w:r>
              <w:rPr>
                <w:b/>
                <w:color w:val="503200"/>
                <w:sz w:val="16"/>
              </w:rPr>
              <w:t xml:space="preserve">Var. 100 jours : </w:t>
            </w:r>
            <w:r>
              <w:rPr>
                <w:b/>
                <w:color w:val="007800"/>
                <w:sz w:val="17"/>
              </w:rPr>
              <w:t>+63.03%</w:t>
            </w:r>
          </w:p>
          <w:p>
            <w:r>
              <w:rPr>
                <w:b/>
                <w:color w:val="503200"/>
                <w:sz w:val="16"/>
              </w:rPr>
              <w:t xml:space="preserve">Plus haut 100j : </w:t>
            </w:r>
            <w:r>
              <w:rPr>
                <w:color w:val="000000"/>
                <w:sz w:val="17"/>
              </w:rPr>
              <w:t>24,020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37.8%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28.3/100 → Moyen</w:t>
      </w:r>
    </w:p>
    <w:p>
      <w:pPr>
        <w:spacing w:before="40" w:after="80"/>
      </w:pPr>
      <w:r>
        <w:rPr>
          <w:rFonts w:ascii="Courier New" w:hAnsi="Courier New"/>
          <w:color w:val="825A00"/>
          <w:sz w:val="18"/>
        </w:rPr>
        <w:t>█████░░░░░░░░░░░░░░░  28.3/100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18.14% (Élevée) — μ=19,396 FCFA, σ=3,519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β=1.1947 (Neutre (suit le marché)) — Cov=0.000043, Var(idx)=0.000036, ρ=0.299,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2,374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σ_j=2.38%/j (Stable) — Vol. annualisée≈37.8%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0319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2026-09-07</w:t>
            </w:r>
          </w:p>
        </w:tc>
        <w:tc>
          <w:tcPr>
            <w:tcW w:type="dxa" w:w="1440"/>
            <w:shd w:fill="C6EFCE" w:val="clear"/>
          </w:tcPr>
          <w:p>
            <w:r>
              <w:rPr>
                <w:sz w:val="17"/>
              </w:rPr>
              <w:t>23,258</w:t>
            </w:r>
          </w:p>
        </w:tc>
        <w:tc>
          <w:tcPr>
            <w:tcW w:type="dxa" w:w="1440"/>
            <w:shd w:fill="C6EFCE" w:val="clear"/>
          </w:tcPr>
          <w:p>
            <w:r>
              <w:rPr>
                <w:b/>
                <w:sz w:val="17"/>
              </w:rPr>
              <w:t>23,651</w:t>
            </w:r>
          </w:p>
        </w:tc>
        <w:tc>
          <w:tcPr>
            <w:tcW w:type="dxa" w:w="1440"/>
            <w:shd w:fill="C6EFCE" w:val="clear"/>
          </w:tcPr>
          <w:p>
            <w:r>
              <w:rPr>
                <w:sz w:val="17"/>
              </w:rPr>
              <w:t>24,044</w:t>
            </w:r>
          </w:p>
        </w:tc>
        <w:tc>
          <w:tcPr>
            <w:tcW w:type="dxa" w:w="1440"/>
            <w:shd w:fill="C6EFCE" w:val="clear"/>
          </w:tcPr>
          <w:p>
            <w:r>
              <w:rPr>
                <w:b/>
                <w:color w:val="008000"/>
                <w:sz w:val="17"/>
              </w:rPr>
              <w:t>+2.2%</w:t>
            </w:r>
          </w:p>
        </w:tc>
      </w:tr>
      <w:tr>
        <w:tc>
          <w:tcPr>
            <w:tcW w:type="dxa" w:w="1440"/>
            <w:shd w:fill="C6EFCE" w:val="clear"/>
          </w:tcPr>
          <w:p>
            <w:r>
              <w:rPr>
                <w:sz w:val="17"/>
              </w:rPr>
              <w:t>J+2  ⭐⭐⭐</w:t>
            </w:r>
          </w:p>
        </w:tc>
        <w:tc>
          <w:tcPr>
            <w:tcW w:type="dxa" w:w="1440"/>
            <w:shd w:fill="C6EFCE" w:val="clear"/>
          </w:tcPr>
          <w:p>
            <w:r>
              <w:rPr>
                <w:sz w:val="17"/>
              </w:rPr>
              <w:t>2026-09-08</w:t>
            </w:r>
          </w:p>
        </w:tc>
        <w:tc>
          <w:tcPr>
            <w:tcW w:type="dxa" w:w="1440"/>
            <w:shd w:fill="C6EFCE" w:val="clear"/>
          </w:tcPr>
          <w:p>
            <w:r>
              <w:rPr>
                <w:sz w:val="17"/>
              </w:rPr>
              <w:t>23,492</w:t>
            </w:r>
          </w:p>
        </w:tc>
        <w:tc>
          <w:tcPr>
            <w:tcW w:type="dxa" w:w="1440"/>
            <w:shd w:fill="C6EFCE" w:val="clear"/>
          </w:tcPr>
          <w:p>
            <w:r>
              <w:rPr>
                <w:b/>
                <w:sz w:val="17"/>
              </w:rPr>
              <w:t>24,057</w:t>
            </w:r>
          </w:p>
        </w:tc>
        <w:tc>
          <w:tcPr>
            <w:tcW w:type="dxa" w:w="1440"/>
            <w:shd w:fill="C6EFCE" w:val="clear"/>
          </w:tcPr>
          <w:p>
            <w:r>
              <w:rPr>
                <w:sz w:val="17"/>
              </w:rPr>
              <w:t>24,622</w:t>
            </w:r>
          </w:p>
        </w:tc>
        <w:tc>
          <w:tcPr>
            <w:tcW w:type="dxa" w:w="1440"/>
            <w:shd w:fill="C6EFCE" w:val="clear"/>
          </w:tcPr>
          <w:p>
            <w:r>
              <w:rPr>
                <w:b/>
                <w:color w:val="008000"/>
                <w:sz w:val="17"/>
              </w:rPr>
              <w:t>+3.9%</w:t>
            </w:r>
          </w:p>
        </w:tc>
      </w:tr>
      <w:tr>
        <w:tc>
          <w:tcPr>
            <w:tcW w:type="dxa" w:w="1440"/>
            <w:shd w:fill="C6EFCE" w:val="clear"/>
          </w:tcPr>
          <w:p>
            <w:r>
              <w:rPr>
                <w:sz w:val="17"/>
              </w:rPr>
              <w:t>J+3  ⭐⭐⭐</w:t>
            </w:r>
          </w:p>
        </w:tc>
        <w:tc>
          <w:tcPr>
            <w:tcW w:type="dxa" w:w="1440"/>
            <w:shd w:fill="C6EFCE" w:val="clear"/>
          </w:tcPr>
          <w:p>
            <w:r>
              <w:rPr>
                <w:sz w:val="17"/>
              </w:rPr>
              <w:t>2026-09-09</w:t>
            </w:r>
          </w:p>
        </w:tc>
        <w:tc>
          <w:tcPr>
            <w:tcW w:type="dxa" w:w="1440"/>
            <w:shd w:fill="C6EFCE" w:val="clear"/>
          </w:tcPr>
          <w:p>
            <w:r>
              <w:rPr>
                <w:sz w:val="17"/>
              </w:rPr>
              <w:t>23,749</w:t>
            </w:r>
          </w:p>
        </w:tc>
        <w:tc>
          <w:tcPr>
            <w:tcW w:type="dxa" w:w="1440"/>
            <w:shd w:fill="C6EFCE" w:val="clear"/>
          </w:tcPr>
          <w:p>
            <w:r>
              <w:rPr>
                <w:b/>
                <w:sz w:val="17"/>
              </w:rPr>
              <w:t>24,453</w:t>
            </w:r>
          </w:p>
        </w:tc>
        <w:tc>
          <w:tcPr>
            <w:tcW w:type="dxa" w:w="1440"/>
            <w:shd w:fill="C6EFCE" w:val="clear"/>
          </w:tcPr>
          <w:p>
            <w:r>
              <w:rPr>
                <w:sz w:val="17"/>
              </w:rPr>
              <w:t>25,156</w:t>
            </w:r>
          </w:p>
        </w:tc>
        <w:tc>
          <w:tcPr>
            <w:tcW w:type="dxa" w:w="1440"/>
            <w:shd w:fill="C6EFCE" w:val="clear"/>
          </w:tcPr>
          <w:p>
            <w:r>
              <w:rPr>
                <w:b/>
                <w:color w:val="008000"/>
                <w:sz w:val="17"/>
              </w:rPr>
              <w:t>+5.6%</w:t>
            </w:r>
          </w:p>
        </w:tc>
      </w:tr>
      <w:tr>
        <w:tc>
          <w:tcPr>
            <w:tcW w:type="dxa" w:w="1440"/>
            <w:shd w:fill="C6EFCE" w:val="clear"/>
          </w:tcPr>
          <w:p>
            <w:r>
              <w:rPr>
                <w:sz w:val="17"/>
              </w:rPr>
              <w:t>J+4  Moyenne</w:t>
            </w:r>
          </w:p>
        </w:tc>
        <w:tc>
          <w:tcPr>
            <w:tcW w:type="dxa" w:w="1440"/>
            <w:shd w:fill="C6EFCE" w:val="clear"/>
          </w:tcPr>
          <w:p>
            <w:r>
              <w:rPr>
                <w:sz w:val="17"/>
              </w:rPr>
              <w:t>2026-09-10</w:t>
            </w:r>
          </w:p>
        </w:tc>
        <w:tc>
          <w:tcPr>
            <w:tcW w:type="dxa" w:w="1440"/>
            <w:shd w:fill="C6EFCE" w:val="clear"/>
          </w:tcPr>
          <w:p>
            <w:r>
              <w:rPr>
                <w:sz w:val="17"/>
              </w:rPr>
              <w:t>24,015</w:t>
            </w:r>
          </w:p>
        </w:tc>
        <w:tc>
          <w:tcPr>
            <w:tcW w:type="dxa" w:w="1440"/>
            <w:shd w:fill="C6EFCE" w:val="clear"/>
          </w:tcPr>
          <w:p>
            <w:r>
              <w:rPr>
                <w:b/>
                <w:sz w:val="17"/>
              </w:rPr>
              <w:t>24,840</w:t>
            </w:r>
          </w:p>
        </w:tc>
        <w:tc>
          <w:tcPr>
            <w:tcW w:type="dxa" w:w="1440"/>
            <w:shd w:fill="C6EFCE" w:val="clear"/>
          </w:tcPr>
          <w:p>
            <w:r>
              <w:rPr>
                <w:sz w:val="17"/>
              </w:rPr>
              <w:t>25,665</w:t>
            </w:r>
          </w:p>
        </w:tc>
        <w:tc>
          <w:tcPr>
            <w:tcW w:type="dxa" w:w="1440"/>
            <w:shd w:fill="C6EFCE" w:val="clear"/>
          </w:tcPr>
          <w:p>
            <w:r>
              <w:rPr>
                <w:b/>
                <w:color w:val="008000"/>
                <w:sz w:val="17"/>
              </w:rPr>
              <w:t>+7.3%</w:t>
            </w:r>
          </w:p>
        </w:tc>
      </w:tr>
      <w:tr>
        <w:tc>
          <w:tcPr>
            <w:tcW w:type="dxa" w:w="1440"/>
            <w:shd w:fill="C6EFCE" w:val="clear"/>
          </w:tcPr>
          <w:p>
            <w:r>
              <w:rPr>
                <w:sz w:val="17"/>
              </w:rPr>
              <w:t>J+5  Moyenne</w:t>
            </w:r>
          </w:p>
        </w:tc>
        <w:tc>
          <w:tcPr>
            <w:tcW w:type="dxa" w:w="1440"/>
            <w:shd w:fill="C6EFCE" w:val="clear"/>
          </w:tcPr>
          <w:p>
            <w:r>
              <w:rPr>
                <w:sz w:val="17"/>
              </w:rPr>
              <w:t>2026-09-11</w:t>
            </w:r>
          </w:p>
        </w:tc>
        <w:tc>
          <w:tcPr>
            <w:tcW w:type="dxa" w:w="1440"/>
            <w:shd w:fill="C6EFCE" w:val="clear"/>
          </w:tcPr>
          <w:p>
            <w:r>
              <w:rPr>
                <w:sz w:val="17"/>
              </w:rPr>
              <w:t>24,289</w:t>
            </w:r>
          </w:p>
        </w:tc>
        <w:tc>
          <w:tcPr>
            <w:tcW w:type="dxa" w:w="1440"/>
            <w:shd w:fill="C6EFCE" w:val="clear"/>
          </w:tcPr>
          <w:p>
            <w:r>
              <w:rPr>
                <w:b/>
                <w:sz w:val="17"/>
              </w:rPr>
              <w:t>25,226</w:t>
            </w:r>
          </w:p>
        </w:tc>
        <w:tc>
          <w:tcPr>
            <w:tcW w:type="dxa" w:w="1440"/>
            <w:shd w:fill="C6EFCE" w:val="clear"/>
          </w:tcPr>
          <w:p>
            <w:r>
              <w:rPr>
                <w:sz w:val="17"/>
              </w:rPr>
              <w:t>26,163</w:t>
            </w:r>
          </w:p>
        </w:tc>
        <w:tc>
          <w:tcPr>
            <w:tcW w:type="dxa" w:w="1440"/>
            <w:shd w:fill="C6EFCE" w:val="clear"/>
          </w:tcPr>
          <w:p>
            <w:r>
              <w:rPr>
                <w:b/>
                <w:color w:val="008000"/>
                <w:sz w:val="17"/>
              </w:rPr>
              <w:t>+9.0%</w:t>
            </w:r>
          </w:p>
        </w:tc>
      </w:tr>
      <w:tr>
        <w:tc>
          <w:tcPr>
            <w:tcW w:type="dxa" w:w="1440"/>
            <w:shd w:fill="C6EFCE" w:val="clear"/>
          </w:tcPr>
          <w:p>
            <w:r>
              <w:rPr>
                <w:sz w:val="17"/>
              </w:rPr>
              <w:t>J+6  Moyenne</w:t>
            </w:r>
          </w:p>
        </w:tc>
        <w:tc>
          <w:tcPr>
            <w:tcW w:type="dxa" w:w="1440"/>
            <w:shd w:fill="C6EFCE" w:val="clear"/>
          </w:tcPr>
          <w:p>
            <w:r>
              <w:rPr>
                <w:sz w:val="17"/>
              </w:rPr>
              <w:t>2026-09-14</w:t>
            </w:r>
          </w:p>
        </w:tc>
        <w:tc>
          <w:tcPr>
            <w:tcW w:type="dxa" w:w="1440"/>
            <w:shd w:fill="C6EFCE" w:val="clear"/>
          </w:tcPr>
          <w:p>
            <w:r>
              <w:rPr>
                <w:sz w:val="17"/>
              </w:rPr>
              <w:t>24,569</w:t>
            </w:r>
          </w:p>
        </w:tc>
        <w:tc>
          <w:tcPr>
            <w:tcW w:type="dxa" w:w="1440"/>
            <w:shd w:fill="C6EFCE" w:val="clear"/>
          </w:tcPr>
          <w:p>
            <w:r>
              <w:rPr>
                <w:b/>
                <w:sz w:val="17"/>
              </w:rPr>
              <w:t>25,611</w:t>
            </w:r>
          </w:p>
        </w:tc>
        <w:tc>
          <w:tcPr>
            <w:tcW w:type="dxa" w:w="1440"/>
            <w:shd w:fill="C6EFCE" w:val="clear"/>
          </w:tcPr>
          <w:p>
            <w:r>
              <w:rPr>
                <w:sz w:val="17"/>
              </w:rPr>
              <w:t>26,653</w:t>
            </w:r>
          </w:p>
        </w:tc>
        <w:tc>
          <w:tcPr>
            <w:tcW w:type="dxa" w:w="1440"/>
            <w:shd w:fill="C6EFCE" w:val="clear"/>
          </w:tcPr>
          <w:p>
            <w:r>
              <w:rPr>
                <w:b/>
                <w:color w:val="008000"/>
                <w:sz w:val="17"/>
              </w:rPr>
              <w:t>+10.6%</w:t>
            </w:r>
          </w:p>
        </w:tc>
      </w:tr>
      <w:tr>
        <w:tc>
          <w:tcPr>
            <w:tcW w:type="dxa" w:w="1440"/>
            <w:shd w:fill="C6EFCE" w:val="clear"/>
          </w:tcPr>
          <w:p>
            <w:r>
              <w:rPr>
                <w:sz w:val="17"/>
              </w:rPr>
              <w:t>J+7  Moyenne</w:t>
            </w:r>
          </w:p>
        </w:tc>
        <w:tc>
          <w:tcPr>
            <w:tcW w:type="dxa" w:w="1440"/>
            <w:shd w:fill="C6EFCE" w:val="clear"/>
          </w:tcPr>
          <w:p>
            <w:r>
              <w:rPr>
                <w:sz w:val="17"/>
              </w:rPr>
              <w:t>2026-09-15</w:t>
            </w:r>
          </w:p>
        </w:tc>
        <w:tc>
          <w:tcPr>
            <w:tcW w:type="dxa" w:w="1440"/>
            <w:shd w:fill="C6EFCE" w:val="clear"/>
          </w:tcPr>
          <w:p>
            <w:r>
              <w:rPr>
                <w:sz w:val="17"/>
              </w:rPr>
              <w:t>24,853</w:t>
            </w:r>
          </w:p>
        </w:tc>
        <w:tc>
          <w:tcPr>
            <w:tcW w:type="dxa" w:w="1440"/>
            <w:shd w:fill="C6EFCE" w:val="clear"/>
          </w:tcPr>
          <w:p>
            <w:r>
              <w:rPr>
                <w:b/>
                <w:sz w:val="17"/>
              </w:rPr>
              <w:t>25,996</w:t>
            </w:r>
          </w:p>
        </w:tc>
        <w:tc>
          <w:tcPr>
            <w:tcW w:type="dxa" w:w="1440"/>
            <w:shd w:fill="C6EFCE" w:val="clear"/>
          </w:tcPr>
          <w:p>
            <w:r>
              <w:rPr>
                <w:sz w:val="17"/>
              </w:rPr>
              <w:t>27,139</w:t>
            </w:r>
          </w:p>
        </w:tc>
        <w:tc>
          <w:tcPr>
            <w:tcW w:type="dxa" w:w="1440"/>
            <w:shd w:fill="C6EFCE" w:val="clear"/>
          </w:tcPr>
          <w:p>
            <w:r>
              <w:rPr>
                <w:b/>
                <w:color w:val="008000"/>
                <w:sz w:val="17"/>
              </w:rPr>
              <w:t>+12.3%</w:t>
            </w:r>
          </w:p>
        </w:tc>
      </w:tr>
      <w:tr>
        <w:tc>
          <w:tcPr>
            <w:tcW w:type="dxa" w:w="1440"/>
            <w:shd w:fill="C6EFCE" w:val="clear"/>
          </w:tcPr>
          <w:p>
            <w:r>
              <w:rPr>
                <w:sz w:val="17"/>
              </w:rPr>
              <w:t>J+8  Moyenne</w:t>
            </w:r>
          </w:p>
        </w:tc>
        <w:tc>
          <w:tcPr>
            <w:tcW w:type="dxa" w:w="1440"/>
            <w:shd w:fill="C6EFCE" w:val="clear"/>
          </w:tcPr>
          <w:p>
            <w:r>
              <w:rPr>
                <w:sz w:val="17"/>
              </w:rPr>
              <w:t>2026-09-16</w:t>
            </w:r>
          </w:p>
        </w:tc>
        <w:tc>
          <w:tcPr>
            <w:tcW w:type="dxa" w:w="1440"/>
            <w:shd w:fill="C6EFCE" w:val="clear"/>
          </w:tcPr>
          <w:p>
            <w:r>
              <w:rPr>
                <w:sz w:val="17"/>
              </w:rPr>
              <w:t>25,141</w:t>
            </w:r>
          </w:p>
        </w:tc>
        <w:tc>
          <w:tcPr>
            <w:tcW w:type="dxa" w:w="1440"/>
            <w:shd w:fill="C6EFCE" w:val="clear"/>
          </w:tcPr>
          <w:p>
            <w:r>
              <w:rPr>
                <w:b/>
                <w:sz w:val="17"/>
              </w:rPr>
              <w:t>26,381</w:t>
            </w:r>
          </w:p>
        </w:tc>
        <w:tc>
          <w:tcPr>
            <w:tcW w:type="dxa" w:w="1440"/>
            <w:shd w:fill="C6EFCE" w:val="clear"/>
          </w:tcPr>
          <w:p>
            <w:r>
              <w:rPr>
                <w:sz w:val="17"/>
              </w:rPr>
              <w:t>27,620</w:t>
            </w:r>
          </w:p>
        </w:tc>
        <w:tc>
          <w:tcPr>
            <w:tcW w:type="dxa" w:w="1440"/>
            <w:shd w:fill="C6EFCE" w:val="clear"/>
          </w:tcPr>
          <w:p>
            <w:r>
              <w:rPr>
                <w:b/>
                <w:color w:val="008000"/>
                <w:sz w:val="17"/>
              </w:rPr>
              <w:t>+14.0%</w:t>
            </w:r>
          </w:p>
        </w:tc>
      </w:tr>
      <w:tr>
        <w:tc>
          <w:tcPr>
            <w:tcW w:type="dxa" w:w="1440"/>
            <w:shd w:fill="C6EFCE" w:val="clear"/>
          </w:tcPr>
          <w:p>
            <w:r>
              <w:rPr>
                <w:sz w:val="17"/>
              </w:rPr>
              <w:t>J+9  Moyenne</w:t>
            </w:r>
          </w:p>
        </w:tc>
        <w:tc>
          <w:tcPr>
            <w:tcW w:type="dxa" w:w="1440"/>
            <w:shd w:fill="C6EFCE" w:val="clear"/>
          </w:tcPr>
          <w:p>
            <w:r>
              <w:rPr>
                <w:sz w:val="17"/>
              </w:rPr>
              <w:t>2026-09-17</w:t>
            </w:r>
          </w:p>
        </w:tc>
        <w:tc>
          <w:tcPr>
            <w:tcW w:type="dxa" w:w="1440"/>
            <w:shd w:fill="C6EFCE" w:val="clear"/>
          </w:tcPr>
          <w:p>
            <w:r>
              <w:rPr>
                <w:sz w:val="17"/>
              </w:rPr>
              <w:t>25,430</w:t>
            </w:r>
          </w:p>
        </w:tc>
        <w:tc>
          <w:tcPr>
            <w:tcW w:type="dxa" w:w="1440"/>
            <w:shd w:fill="C6EFCE" w:val="clear"/>
          </w:tcPr>
          <w:p>
            <w:r>
              <w:rPr>
                <w:b/>
                <w:sz w:val="17"/>
              </w:rPr>
              <w:t>26,764</w:t>
            </w:r>
          </w:p>
        </w:tc>
        <w:tc>
          <w:tcPr>
            <w:tcW w:type="dxa" w:w="1440"/>
            <w:shd w:fill="C6EFCE" w:val="clear"/>
          </w:tcPr>
          <w:p>
            <w:r>
              <w:rPr>
                <w:sz w:val="17"/>
              </w:rPr>
              <w:t>28,098</w:t>
            </w:r>
          </w:p>
        </w:tc>
        <w:tc>
          <w:tcPr>
            <w:tcW w:type="dxa" w:w="1440"/>
            <w:shd w:fill="C6EFCE" w:val="clear"/>
          </w:tcPr>
          <w:p>
            <w:r>
              <w:rPr>
                <w:b/>
                <w:color w:val="008000"/>
                <w:sz w:val="17"/>
              </w:rPr>
              <w:t>+15.6%</w:t>
            </w:r>
          </w:p>
        </w:tc>
      </w:tr>
      <w:tr>
        <w:tc>
          <w:tcPr>
            <w:tcW w:type="dxa" w:w="1440"/>
            <w:shd w:fill="C6EFCE" w:val="clear"/>
          </w:tcPr>
          <w:p>
            <w:r>
              <w:rPr>
                <w:sz w:val="17"/>
              </w:rPr>
              <w:t>J+10  Moyenne</w:t>
            </w:r>
          </w:p>
        </w:tc>
        <w:tc>
          <w:tcPr>
            <w:tcW w:type="dxa" w:w="1440"/>
            <w:shd w:fill="C6EFCE" w:val="clear"/>
          </w:tcPr>
          <w:p>
            <w:r>
              <w:rPr>
                <w:sz w:val="17"/>
              </w:rPr>
              <w:t>2026-09-18</w:t>
            </w:r>
          </w:p>
        </w:tc>
        <w:tc>
          <w:tcPr>
            <w:tcW w:type="dxa" w:w="1440"/>
            <w:shd w:fill="C6EFCE" w:val="clear"/>
          </w:tcPr>
          <w:p>
            <w:r>
              <w:rPr>
                <w:sz w:val="17"/>
              </w:rPr>
              <w:t>25,721</w:t>
            </w:r>
          </w:p>
        </w:tc>
        <w:tc>
          <w:tcPr>
            <w:tcW w:type="dxa" w:w="1440"/>
            <w:shd w:fill="C6EFCE" w:val="clear"/>
          </w:tcPr>
          <w:p>
            <w:r>
              <w:rPr>
                <w:b/>
                <w:sz w:val="17"/>
              </w:rPr>
              <w:t>27,147</w:t>
            </w:r>
          </w:p>
        </w:tc>
        <w:tc>
          <w:tcPr>
            <w:tcW w:type="dxa" w:w="1440"/>
            <w:shd w:fill="C6EFCE" w:val="clear"/>
          </w:tcPr>
          <w:p>
            <w:r>
              <w:rPr>
                <w:sz w:val="17"/>
              </w:rPr>
              <w:t>28,573</w:t>
            </w:r>
          </w:p>
        </w:tc>
        <w:tc>
          <w:tcPr>
            <w:tcW w:type="dxa" w:w="1440"/>
            <w:shd w:fill="C6EFCE" w:val="clear"/>
          </w:tcPr>
          <w:p>
            <w:r>
              <w:rPr>
                <w:b/>
                <w:color w:val="008000"/>
                <w:sz w:val="17"/>
              </w:rPr>
              <w:t>+17.3%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pPr>
      <w:r>
        <w:t>**RAPPORT D'ANALYSE FINANCIÈRE — NSIA BANQUE CÔTE D'IVOIRE (NSBC)**</w:t>
        <w:br/>
        <w:t>**Date de l'analyse :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NSBC s'établit à 572,61 milliards FCFA, ce qui positionne le titre parmi les valeurs les plus significatives de la BRVM, reflétant la confiance des investisseurs dans le leadership de la banque en Côte d'Ivoire. Avec un BPA de 1 646 FCFA, le PER de 14,1x se situe au-dessus de la moyenne historique du marché (~8-12x), indiquant que les investisseurs acceptent de payer une prime pour la qualité de la croissance future de la banque. Le P/B de 2,45x confirme cette prime, le marché valorisant la société à 2,45 fois sa valeur comptable, ce qui est typique pour une banque à forte rentabilité (ROE &gt; 17%). Enfin, l'EV/EBITDA de 21,5x est exigeant, signalant que la valeur totale de l'entreprise (capitalisation + dette nette) est élevée par rapport à sa capacité opérationnelle. Cette valorisation, bien que soutenue, est justifiée par la solidité des fondamentaux et les perspectives de croissance de la zone UEMOA.</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NSBC a enregistré une performance spectaculaire de +63,03%, avec une dernière séance en hausse de +0,65% à 23 150 FCFA. Le titre a évolué dans une fourchette très large, allant d'un plus bas de 13 810 FCFA à un plus haut de 24 020 FCFA, démontrant une dynamique haussière extrêmement forte. La moyenne du cours sur la période (19 396 FCFA) est inférieure à la médiane (19 500 FCFA), et le mode est à 13 900 FCFA, indiquant une distribution asymétrique où le cours a passé beaucoup de temps à des niveaux bas avant une accélération récente. L'écart-type de 3 536 FCFA (CV = 18,2%) montre une dispersion modérée, tandis que le kurtosis négatif (-1,236) suggère une distribution aplatie sans pics extrêmes, et le skewness (-0,403) indique une légère asymétrie vers les valeurs basses. La volatilité annualisée de 37,8% classe le titre comme très volatil (&gt;30%), ce qui implique un risque élevé mais aussi un potentiel de rendement important pour les investisseurs agressifs.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(23 150 FCFA) se situe au-dessus de la MM20 (23 055,75 FCFA) et de la MM50 (22 356,6 FCFA), avec un écart croissant entre les deux moyennes. Cette configuration haussière (cours &gt; MM20 &gt; MM50) confirme une tendance positive à court et moyen terme. La décision d'achat est justifiée par cette structure de prix, qui indique que les acheteurs contrôlent le marché.</w:t>
      </w:r>
    </w:p>
    <w:p>
      <w:pPr>
        <w:spacing w:after="120" w:line="276" w:lineRule="auto"/>
      </w:pPr>
      <w:r>
        <w:t>**Bandes de Bollinger** : Le cours se positionne à 23 150 FCFA, proche de la borne supérieure (23 729 FCFA) et nettement au-dessus de la borne inférieure (22 382 FCFA). La largeur des bandes reflète la volatilité élevée du titre. Le prix proche de la borne supérieure suggère une pression acheteuse soutenue, mais la décision neutre indique que le titre n'est pas encore en situation de surachat extrême, laissant une marge de progression.</w:t>
      </w:r>
    </w:p>
    <w:p>
      <w:pPr>
        <w:spacing w:after="120" w:line="276" w:lineRule="auto"/>
      </w:pPr>
      <w:r>
        <w:t>**MACD** : La valeur du MACD (117,374) est inférieure à son signal (179,228), ce qui génère une divergence baissière à court terme. Bien que le momentum reste positif en valeur absolue, le croisement négatif signale un ralentissement de la dynamique haussière. La décision de vente est donc prudente, suggérant une possible consolidation ou correction à venir.</w:t>
      </w:r>
    </w:p>
    <w:p>
      <w:pPr>
        <w:spacing w:after="120" w:line="276" w:lineRule="auto"/>
      </w:pPr>
      <w:r>
        <w:t>**RSI** : Le RSI s'établit à 54,103, une valeur neutre dans la zone 30-70. Cela indique que le titre n'est ni suracheté ni survendu, laissant place à une poursuite de la tendance sans pression excessive. La décision neutre est cohérente avec une phase de consolidation après la forte hausse récente.</w:t>
      </w:r>
    </w:p>
    <w:p>
      <w:pPr>
        <w:spacing w:after="120" w:line="276" w:lineRule="auto"/>
      </w:pPr>
      <w:r>
        <w:t>**Stochastique** : Le %K (91,549) est nettement supérieur au %D (75,352), avec des valeurs très élevées proches de la zone de surachat (&gt;80). Cette configuration signale une possible correction technique à court terme, car le marché est surchauffé. La décision de vente est justifiée par ce niveau extrême, qui précède souvent un repli.</w:t>
      </w:r>
    </w:p>
    <w:p>
      <w:pPr>
        <w:spacing w:after="120" w:line="276" w:lineRule="auto"/>
      </w:pPr>
      <w:r>
        <w:t>**Conclusion technique** : Les indicateurs sont mitigés : les moyennes mobiles confirment une tendance haussière solide, mais le MACD, le RSI et le stochastique signalent tous un essoufflement du momentum et des conditions de surachat. La prudence est donc de mise à court terme, avec un risque de consolidation avant une éventuelle reprise de la tendance haussière de fond.</w:t>
      </w:r>
    </w:p>
    <w:p>
      <w:pPr>
        <w:spacing w:after="120" w:line="276" w:lineRule="auto"/>
      </w:pPr>
      <w:r>
        <w:t>---</w:t>
      </w:r>
    </w:p>
    <w:p>
      <w:pPr>
        <w:spacing w:after="120" w:line="276" w:lineRule="auto"/>
      </w:pPr>
      <w:r>
        <w:t>### PARTIE 3 : ANALYSE FONDAMENTALE (SECTION CRITIQUE)</w:t>
      </w:r>
    </w:p>
    <w:p>
      <w:pPr>
        <w:spacing w:after="120" w:line="276" w:lineRule="auto"/>
      </w:pPr>
      <w:r>
        <w:t>En 2025, NSBC a affiché des performances financières robustes, avec un Produit Net Bancaire (PNB) de 112,928 milliards FCFA, en hausse de 15% par rapport à 2024 (97,8 milliards FCFA). Le résultat net a progressé de 7% pour atteindre 40,712 milliards FCFA, soutenu par une marge nette élevée de 36,05%. Les ratios de rentabilité sont excellents : le ROE s'établit à 17,45% (&gt;15%, excellent) et le ROA à 1,32%. Le coefficient d'exploitation de 54,59% (&lt;60%) témoigne d'une banque efficace dans la maîtrise de ses charges. Cependant, le coût du risque s'est dégradé, passant de +0,6 milliard FCFA (reprise) en 2024 à -8,5 milliards FCFA (dotation) en 2025, signalant une détérioration de la qualité du portefeuille de crédits. Les dépôts clientèle (2 242,218 milliards FCFA) couvrent largement les créances clientèle (1 818,671 milliards FCFA), avec un ratio de transformation sain. Les rapports trimestriels 2025 confirment une trajectoire positive : le S1 2025 montre un PNB de 50,5 milliards FCFA (+10,6%) et un résultat net de 16,3 milliards FCFA (+12,3%), tandis que le T3 2025 affiche un PNB cumulé de 77,4 milliards FCFA (+7%) et un résultat net de 25,0 milliards FCFA (+6%). Le T1 2026 est exceptionnel avec un PNB de 28,6 milliards FCFA (+28%) et un résultat net de 10,9 milliards FCFA (+53%), porté par l'activité titres. Sur la base de ces données, on estime que l'exercice 2026 pourrait voir le PNB dépasser 130 milliards FCFA et le résultat net atteindre 45-48 milliards FCFA, si la dynamique du T1 se maintient. La banque reste solide, avec des capitaux propres de 233,303 milliards FCFA et un total bilan de 3 073 milliards FCFA, mais la vigilance est requise sur l'évolution du coût du risque.</w:t>
      </w:r>
    </w:p>
    <w:p>
      <w:pPr>
        <w:spacing w:after="120" w:line="276" w:lineRule="auto"/>
      </w:pPr>
      <w:r>
        <w:t>---</w:t>
      </w:r>
    </w:p>
    <w:p>
      <w:pPr>
        <w:spacing w:after="120" w:line="276" w:lineRule="auto"/>
      </w:pPr>
      <w:r>
        <w:t>### PARTIE 4 : CONCLUSION D'INVESTISSEMENT</w:t>
      </w:r>
    </w:p>
    <w:p>
      <w:pPr>
        <w:spacing w:after="120" w:line="276" w:lineRule="auto"/>
      </w:pPr>
      <w:r>
        <w:t>La valorisation de NSBC (PER 14,1x, P/B 2,45x, EV/EBITDA 21,5x) est exigeante mais justifiée par la qualité des fondamentaux et la croissance soutenue de la banque. Le comportement du cours sur 100 jours (+63%) reflète une dynamique haussière exceptionnelle, mais la volatilité élevée (37,8%) et les statistiques descriptives (kurtosis plat, skewness négatif) suggèrent un risque de retournement. Les signaux techniques sont mitigés : les moyennes mobiles sont haussières, mais le MACD, le RSI et le stochastique indiquent un essoufflement et des conditions de surachat. Les fondamentaux restent solides avec un ROE de 17,45%, un PNB en croissance de 15% en 2025 et un T1 2026 exceptionnel (+28% PNB, +53% résultat net), malgré une dégradation du coût du risque. Les prédictions IA pour les 10 prochains jours (23 651 à 25 226 FCFA) confirment une poursuite de la tendance haussière à court terme, en cohérence avec la dynamique de fond. En synthèse, la convergence entre la solidité fondamentale, la tendance haussière du cours et les prédictions IA est forte, mais la prudence technique à court terme recommande une approche progressive. **Recommandation finale : ACHAT**, avec un niveau de confiance **Moyen** et un risque global **Élevé** en raison de la volatilité. L'horizon d'investissement optimal est le **moyen terme (3-12 mois)** pour capitaliser sur la croissance des résultats tout en absorbant les fluctuations techniques à court terme.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21.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372.99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1,582 titres</w:t>
            </w:r>
          </w:p>
        </w:tc>
        <w:tc>
          <w:tcPr>
            <w:tcW w:type="dxa" w:w="2268"/>
            <w:shd w:fill="FFF2CC" w:val="clear"/>
          </w:tcPr>
          <w:p>
            <w:r>
              <w:rPr>
                <w:b/>
                <w:color w:val="503200"/>
                <w:sz w:val="16"/>
              </w:rPr>
              <w:t xml:space="preserve">Cours actuel : </w:t>
            </w:r>
            <w:r>
              <w:rPr>
                <w:color w:val="000000"/>
                <w:sz w:val="17"/>
              </w:rPr>
              <w:t>16,900 FCFA</w:t>
            </w:r>
          </w:p>
          <w:p>
            <w:r>
              <w:rPr>
                <w:b/>
                <w:color w:val="503200"/>
                <w:sz w:val="16"/>
              </w:rPr>
              <w:t xml:space="preserve">Var. 100 jours : </w:t>
            </w:r>
            <w:r>
              <w:rPr>
                <w:b/>
                <w:color w:val="007800"/>
                <w:sz w:val="17"/>
              </w:rPr>
              <w:t>+37.62%</w:t>
            </w:r>
          </w:p>
          <w:p>
            <w:r>
              <w:rPr>
                <w:b/>
                <w:color w:val="503200"/>
                <w:sz w:val="16"/>
              </w:rPr>
              <w:t xml:space="preserve">Plus haut 100j : </w:t>
            </w:r>
            <w:r>
              <w:rPr>
                <w:color w:val="000000"/>
                <w:sz w:val="17"/>
              </w:rPr>
              <w:t>17,450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36.7%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13.75% (Moyenne) — μ=14,682 FCFA, σ=2,019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β=-0.0909 (Contre-cyclique) — Cov=-0.000003, Var(idx)=0.000036, ρ=-0.023,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1,582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σ_j=2.31%/j (Stable) — Vol. annualisée≈36.7%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2026-09-07</w:t>
            </w:r>
          </w:p>
        </w:tc>
        <w:tc>
          <w:tcPr>
            <w:tcW w:type="dxa" w:w="1440"/>
            <w:shd w:fill="FFDCE0" w:val="clear"/>
          </w:tcPr>
          <w:p>
            <w:r>
              <w:rPr>
                <w:sz w:val="17"/>
              </w:rPr>
              <w:t>15,911</w:t>
            </w:r>
          </w:p>
        </w:tc>
        <w:tc>
          <w:tcPr>
            <w:tcW w:type="dxa" w:w="1440"/>
            <w:shd w:fill="FFDCE0" w:val="clear"/>
          </w:tcPr>
          <w:p>
            <w:r>
              <w:rPr>
                <w:b/>
                <w:sz w:val="17"/>
              </w:rPr>
              <w:t>16,442</w:t>
            </w:r>
          </w:p>
        </w:tc>
        <w:tc>
          <w:tcPr>
            <w:tcW w:type="dxa" w:w="1440"/>
            <w:shd w:fill="FFDCE0" w:val="clear"/>
          </w:tcPr>
          <w:p>
            <w:r>
              <w:rPr>
                <w:sz w:val="17"/>
              </w:rPr>
              <w:t>16,973</w:t>
            </w:r>
          </w:p>
        </w:tc>
        <w:tc>
          <w:tcPr>
            <w:tcW w:type="dxa" w:w="1440"/>
            <w:shd w:fill="FFDCE0" w:val="clear"/>
          </w:tcPr>
          <w:p>
            <w:r>
              <w:rPr>
                <w:b/>
                <w:color w:val="C00000"/>
                <w:sz w:val="17"/>
              </w:rPr>
              <w:t>-2.7%</w:t>
            </w:r>
          </w:p>
        </w:tc>
      </w:tr>
      <w:tr>
        <w:tc>
          <w:tcPr>
            <w:tcW w:type="dxa" w:w="1440"/>
            <w:shd w:fill="FFDCE0" w:val="clear"/>
          </w:tcPr>
          <w:p>
            <w:r>
              <w:rPr>
                <w:sz w:val="17"/>
              </w:rPr>
              <w:t>J+2  Moyenne</w:t>
            </w:r>
          </w:p>
        </w:tc>
        <w:tc>
          <w:tcPr>
            <w:tcW w:type="dxa" w:w="1440"/>
            <w:shd w:fill="FFDCE0" w:val="clear"/>
          </w:tcPr>
          <w:p>
            <w:r>
              <w:rPr>
                <w:sz w:val="17"/>
              </w:rPr>
              <w:t>2026-09-08</w:t>
            </w:r>
          </w:p>
        </w:tc>
        <w:tc>
          <w:tcPr>
            <w:tcW w:type="dxa" w:w="1440"/>
            <w:shd w:fill="FFDCE0" w:val="clear"/>
          </w:tcPr>
          <w:p>
            <w:r>
              <w:rPr>
                <w:sz w:val="17"/>
              </w:rPr>
              <w:t>15,682</w:t>
            </w:r>
          </w:p>
        </w:tc>
        <w:tc>
          <w:tcPr>
            <w:tcW w:type="dxa" w:w="1440"/>
            <w:shd w:fill="FFDCE0" w:val="clear"/>
          </w:tcPr>
          <w:p>
            <w:r>
              <w:rPr>
                <w:b/>
                <w:sz w:val="17"/>
              </w:rPr>
              <w:t>16,433</w:t>
            </w:r>
          </w:p>
        </w:tc>
        <w:tc>
          <w:tcPr>
            <w:tcW w:type="dxa" w:w="1440"/>
            <w:shd w:fill="FFDCE0" w:val="clear"/>
          </w:tcPr>
          <w:p>
            <w:r>
              <w:rPr>
                <w:sz w:val="17"/>
              </w:rPr>
              <w:t>17,183</w:t>
            </w:r>
          </w:p>
        </w:tc>
        <w:tc>
          <w:tcPr>
            <w:tcW w:type="dxa" w:w="1440"/>
            <w:shd w:fill="FFDCE0" w:val="clear"/>
          </w:tcPr>
          <w:p>
            <w:r>
              <w:rPr>
                <w:b/>
                <w:color w:val="C00000"/>
                <w:sz w:val="17"/>
              </w:rPr>
              <w:t>-2.8%</w:t>
            </w:r>
          </w:p>
        </w:tc>
      </w:tr>
      <w:tr>
        <w:tc>
          <w:tcPr>
            <w:tcW w:type="dxa" w:w="1440"/>
            <w:shd w:fill="FFDCE0" w:val="clear"/>
          </w:tcPr>
          <w:p>
            <w:r>
              <w:rPr>
                <w:sz w:val="17"/>
              </w:rPr>
              <w:t>J+3  ⭐</w:t>
            </w:r>
          </w:p>
        </w:tc>
        <w:tc>
          <w:tcPr>
            <w:tcW w:type="dxa" w:w="1440"/>
            <w:shd w:fill="FFDCE0" w:val="clear"/>
          </w:tcPr>
          <w:p>
            <w:r>
              <w:rPr>
                <w:sz w:val="17"/>
              </w:rPr>
              <w:t>2026-09-09</w:t>
            </w:r>
          </w:p>
        </w:tc>
        <w:tc>
          <w:tcPr>
            <w:tcW w:type="dxa" w:w="1440"/>
            <w:shd w:fill="FFDCE0" w:val="clear"/>
          </w:tcPr>
          <w:p>
            <w:r>
              <w:rPr>
                <w:sz w:val="17"/>
              </w:rPr>
              <w:t>15,475</w:t>
            </w:r>
          </w:p>
        </w:tc>
        <w:tc>
          <w:tcPr>
            <w:tcW w:type="dxa" w:w="1440"/>
            <w:shd w:fill="FFDCE0" w:val="clear"/>
          </w:tcPr>
          <w:p>
            <w:r>
              <w:rPr>
                <w:b/>
                <w:sz w:val="17"/>
              </w:rPr>
              <w:t>16,392</w:t>
            </w:r>
          </w:p>
        </w:tc>
        <w:tc>
          <w:tcPr>
            <w:tcW w:type="dxa" w:w="1440"/>
            <w:shd w:fill="FFDCE0" w:val="clear"/>
          </w:tcPr>
          <w:p>
            <w:r>
              <w:rPr>
                <w:sz w:val="17"/>
              </w:rPr>
              <w:t>17,309</w:t>
            </w:r>
          </w:p>
        </w:tc>
        <w:tc>
          <w:tcPr>
            <w:tcW w:type="dxa" w:w="1440"/>
            <w:shd w:fill="FFDCE0" w:val="clear"/>
          </w:tcPr>
          <w:p>
            <w:r>
              <w:rPr>
                <w:b/>
                <w:color w:val="C00000"/>
                <w:sz w:val="17"/>
              </w:rPr>
              <w:t>-3.0%</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15,288</w:t>
            </w:r>
          </w:p>
        </w:tc>
        <w:tc>
          <w:tcPr>
            <w:tcW w:type="dxa" w:w="1440"/>
            <w:shd w:fill="FFDCE0" w:val="clear"/>
          </w:tcPr>
          <w:p>
            <w:r>
              <w:rPr>
                <w:b/>
                <w:sz w:val="17"/>
              </w:rPr>
              <w:t>16,344</w:t>
            </w:r>
          </w:p>
        </w:tc>
        <w:tc>
          <w:tcPr>
            <w:tcW w:type="dxa" w:w="1440"/>
            <w:shd w:fill="FFDCE0" w:val="clear"/>
          </w:tcPr>
          <w:p>
            <w:r>
              <w:rPr>
                <w:sz w:val="17"/>
              </w:rPr>
              <w:t>17,400</w:t>
            </w:r>
          </w:p>
        </w:tc>
        <w:tc>
          <w:tcPr>
            <w:tcW w:type="dxa" w:w="1440"/>
            <w:shd w:fill="FFDCE0" w:val="clear"/>
          </w:tcPr>
          <w:p>
            <w:r>
              <w:rPr>
                <w:b/>
                <w:color w:val="C00000"/>
                <w:sz w:val="17"/>
              </w:rPr>
              <w:t>-3.3%</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15,119</w:t>
            </w:r>
          </w:p>
        </w:tc>
        <w:tc>
          <w:tcPr>
            <w:tcW w:type="dxa" w:w="1440"/>
            <w:shd w:fill="FFDCE0" w:val="clear"/>
          </w:tcPr>
          <w:p>
            <w:r>
              <w:rPr>
                <w:b/>
                <w:sz w:val="17"/>
              </w:rPr>
              <w:t>16,296</w:t>
            </w:r>
          </w:p>
        </w:tc>
        <w:tc>
          <w:tcPr>
            <w:tcW w:type="dxa" w:w="1440"/>
            <w:shd w:fill="FFDCE0" w:val="clear"/>
          </w:tcPr>
          <w:p>
            <w:r>
              <w:rPr>
                <w:sz w:val="17"/>
              </w:rPr>
              <w:t>17,473</w:t>
            </w:r>
          </w:p>
        </w:tc>
        <w:tc>
          <w:tcPr>
            <w:tcW w:type="dxa" w:w="1440"/>
            <w:shd w:fill="FFDCE0" w:val="clear"/>
          </w:tcPr>
          <w:p>
            <w:r>
              <w:rPr>
                <w:b/>
                <w:color w:val="C00000"/>
                <w:sz w:val="17"/>
              </w:rPr>
              <w:t>-3.6%</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14,963</w:t>
            </w:r>
          </w:p>
        </w:tc>
        <w:tc>
          <w:tcPr>
            <w:tcW w:type="dxa" w:w="1440"/>
            <w:shd w:fill="FFDCE0" w:val="clear"/>
          </w:tcPr>
          <w:p>
            <w:r>
              <w:rPr>
                <w:b/>
                <w:sz w:val="17"/>
              </w:rPr>
              <w:t>16,249</w:t>
            </w:r>
          </w:p>
        </w:tc>
        <w:tc>
          <w:tcPr>
            <w:tcW w:type="dxa" w:w="1440"/>
            <w:shd w:fill="FFDCE0" w:val="clear"/>
          </w:tcPr>
          <w:p>
            <w:r>
              <w:rPr>
                <w:sz w:val="17"/>
              </w:rPr>
              <w:t>17,534</w:t>
            </w:r>
          </w:p>
        </w:tc>
        <w:tc>
          <w:tcPr>
            <w:tcW w:type="dxa" w:w="1440"/>
            <w:shd w:fill="FFDCE0" w:val="clear"/>
          </w:tcPr>
          <w:p>
            <w:r>
              <w:rPr>
                <w:b/>
                <w:color w:val="C00000"/>
                <w:sz w:val="17"/>
              </w:rPr>
              <w:t>-3.9%</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14,818</w:t>
            </w:r>
          </w:p>
        </w:tc>
        <w:tc>
          <w:tcPr>
            <w:tcW w:type="dxa" w:w="1440"/>
            <w:shd w:fill="FFDCE0" w:val="clear"/>
          </w:tcPr>
          <w:p>
            <w:r>
              <w:rPr>
                <w:b/>
                <w:sz w:val="17"/>
              </w:rPr>
              <w:t>16,203</w:t>
            </w:r>
          </w:p>
        </w:tc>
        <w:tc>
          <w:tcPr>
            <w:tcW w:type="dxa" w:w="1440"/>
            <w:shd w:fill="FFDCE0" w:val="clear"/>
          </w:tcPr>
          <w:p>
            <w:r>
              <w:rPr>
                <w:sz w:val="17"/>
              </w:rPr>
              <w:t>17,588</w:t>
            </w:r>
          </w:p>
        </w:tc>
        <w:tc>
          <w:tcPr>
            <w:tcW w:type="dxa" w:w="1440"/>
            <w:shd w:fill="FFDCE0" w:val="clear"/>
          </w:tcPr>
          <w:p>
            <w:r>
              <w:rPr>
                <w:b/>
                <w:color w:val="C00000"/>
                <w:sz w:val="17"/>
              </w:rPr>
              <w:t>-4.1%</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14,683</w:t>
            </w:r>
          </w:p>
        </w:tc>
        <w:tc>
          <w:tcPr>
            <w:tcW w:type="dxa" w:w="1440"/>
            <w:shd w:fill="FFDCE0" w:val="clear"/>
          </w:tcPr>
          <w:p>
            <w:r>
              <w:rPr>
                <w:b/>
                <w:sz w:val="17"/>
              </w:rPr>
              <w:t>16,159</w:t>
            </w:r>
          </w:p>
        </w:tc>
        <w:tc>
          <w:tcPr>
            <w:tcW w:type="dxa" w:w="1440"/>
            <w:shd w:fill="FFDCE0" w:val="clear"/>
          </w:tcPr>
          <w:p>
            <w:r>
              <w:rPr>
                <w:sz w:val="17"/>
              </w:rPr>
              <w:t>17,635</w:t>
            </w:r>
          </w:p>
        </w:tc>
        <w:tc>
          <w:tcPr>
            <w:tcW w:type="dxa" w:w="1440"/>
            <w:shd w:fill="FFDCE0" w:val="clear"/>
          </w:tcPr>
          <w:p>
            <w:r>
              <w:rPr>
                <w:b/>
                <w:color w:val="C00000"/>
                <w:sz w:val="17"/>
              </w:rPr>
              <w:t>-4.4%</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14,554</w:t>
            </w:r>
          </w:p>
        </w:tc>
        <w:tc>
          <w:tcPr>
            <w:tcW w:type="dxa" w:w="1440"/>
            <w:shd w:fill="FFDCE0" w:val="clear"/>
          </w:tcPr>
          <w:p>
            <w:r>
              <w:rPr>
                <w:b/>
                <w:sz w:val="17"/>
              </w:rPr>
              <w:t>16,116</w:t>
            </w:r>
          </w:p>
        </w:tc>
        <w:tc>
          <w:tcPr>
            <w:tcW w:type="dxa" w:w="1440"/>
            <w:shd w:fill="FFDCE0" w:val="clear"/>
          </w:tcPr>
          <w:p>
            <w:r>
              <w:rPr>
                <w:sz w:val="17"/>
              </w:rPr>
              <w:t>17,677</w:t>
            </w:r>
          </w:p>
        </w:tc>
        <w:tc>
          <w:tcPr>
            <w:tcW w:type="dxa" w:w="1440"/>
            <w:shd w:fill="FFDCE0" w:val="clear"/>
          </w:tcPr>
          <w:p>
            <w:r>
              <w:rPr>
                <w:b/>
                <w:color w:val="C00000"/>
                <w:sz w:val="17"/>
              </w:rPr>
              <w:t>-4.6%</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14,432</w:t>
            </w:r>
          </w:p>
        </w:tc>
        <w:tc>
          <w:tcPr>
            <w:tcW w:type="dxa" w:w="1440"/>
            <w:shd w:fill="FFDCE0" w:val="clear"/>
          </w:tcPr>
          <w:p>
            <w:r>
              <w:rPr>
                <w:b/>
                <w:sz w:val="17"/>
              </w:rPr>
              <w:t>16,074</w:t>
            </w:r>
          </w:p>
        </w:tc>
        <w:tc>
          <w:tcPr>
            <w:tcW w:type="dxa" w:w="1440"/>
            <w:shd w:fill="FFDCE0" w:val="clear"/>
          </w:tcPr>
          <w:p>
            <w:r>
              <w:rPr>
                <w:sz w:val="17"/>
              </w:rPr>
              <w:t>17,715</w:t>
            </w:r>
          </w:p>
        </w:tc>
        <w:tc>
          <w:tcPr>
            <w:tcW w:type="dxa" w:w="1440"/>
            <w:shd w:fill="FFDCE0" w:val="clear"/>
          </w:tcPr>
          <w:p>
            <w:r>
              <w:rPr>
                <w:b/>
                <w:color w:val="C00000"/>
                <w:sz w:val="17"/>
              </w:rPr>
              <w:t>-4.9%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**RAPPORT D'ANALYSE FINANCIÈRE — NTLC (NESTLÉ CÔTE D'IVOIRE)**</w:t>
        <w:br/>
        <w:t>**Date : Septembre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NTLC s'établit à 372,99 milliards FCFA, ce qui positionne le titre parmi les valeurs les plus significatives de la BRVM, reflétant la confiance des investisseurs dans ce leader des biens de consommation. Le BPA de 835 FCFA indique que chaque action a généré un bénéfice substantiel sur l'exercice. Cependant, le PER de 20,2x est nettement supérieur à la moyenne historique de la BRVM (8-12x), signalant que le marché intègre des attentes de croissance future élevées, mais exposant également le titre à un risque de correction si ces attentes ne se matérialisent pas. Le P/B de 12,61x confirme cette prime significative par rapport à la valeur comptable des actifs, typique des sociétés à forte rentabilité et à marque puissante. Enfin, l'EV/EBITDA de 10,0x se situe dans la fourchette haute des valeurs raisonnables, indiquant que la valorisation globale de l'entreprise, dette incluse, reste soutenable au regard de sa capacité opérationnelle à générer des flux.</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NTLC a enregistré une performance remarquable de +37,62%, avec une dernière séance en hausse de +2,21%, clôturant à 16 900 FCFA. Le titre a évolué dans une fourchette large de 11 150 FCFA (plus bas) à 17 450 FCFA (plus haut), démontrant une dynamique haussière soutenue. La moyenne du cours sur la période (14 682 FCFA) est inférieure à la médiane (15 125 FCFA), et le mode (16 900 FCFA) étant le cours actuel, cela suggère une distribution avec une concentration récente des prix à des niveaux élevés. L'écart-type de 2 029 FCFA (CV de 13,8%) indique une dispersion modérée autour de la moyenne. Le kurtosis négatif (-1.525) révèle une distribution aplatie, avec peu de valeurs extrêmes, tandis que le skewness légèrement négatif (-0.303) indique une asymétrie vers les rendements négatifs, bien que faible. La volatilité annualisée de 36,7% classe NTLC comme un titre à forte volatilité, ce qui implique un risque élevé mais aussi un potentiel de gains significatifs.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16 900 FCFA est supérieur à la MM20 (16 894,75 FCFA) et à la MM50 (16 444,3 FCFA). La configuration haussière des moyennes mobiles, avec le cours au-dessus de la MM50, confirme une tendance de fond positive. La décision d'achat est justifiée par cette dynamique, bien que la proximité du cours avec la MM20 suggère une possible consolidation à court terme.</w:t>
      </w:r>
    </w:p>
    <w:p>
      <w:pPr>
        <w:spacing w:after="120" w:line="276" w:lineRule="auto"/>
      </w:pPr>
      <w:r>
        <w:t>**Bandes de Bollinger :** Le prix se situe à 16 900 FCFA, entre la borne supérieure (17 721,85 FCFA) et la borne inférieure (16 067,65 FCFA), proche de la moyenne. La largeur des bandes indique une volatilité modérée. La décision neutre est appropriée, le titre n'étant ni en situation de surachat ni de survente, laissant place à une évolution directionnelle.</w:t>
      </w:r>
    </w:p>
    <w:p>
      <w:pPr>
        <w:spacing w:after="120" w:line="276" w:lineRule="auto"/>
      </w:pPr>
      <w:r>
        <w:t>**MACD :** La valeur du MACD (52,92) est inférieure à son signal (132,28), ce qui génère une divergence négative. Ce croisement baissier indique un ralentissement du momentum haussier à court terme. La décision de vente est un signal de prudence, suggérant que la pression acheteuse s'estompe et qu'une correction pourrait survenir.</w:t>
      </w:r>
    </w:p>
    <w:p>
      <w:pPr>
        <w:spacing w:after="120" w:line="276" w:lineRule="auto"/>
      </w:pPr>
      <w:r>
        <w:t>**RSI :** Le RSI à 43,09 se situe en zone neutre (30-70), indiquant que le titre n'est ni suracheté ni survendu. Il y a de la marge avant d'atteindre des niveaux extrêmes. La décision neutre est cohérente, le momentum n'étant ni clairement haussier ni baissier.</w:t>
      </w:r>
    </w:p>
    <w:p>
      <w:pPr>
        <w:spacing w:after="120" w:line="276" w:lineRule="auto"/>
      </w:pPr>
      <w:r>
        <w:t>**Stochastique :** Le %K (66,67) est supérieur au %D (53,08), indiquant un momentum haussier en cours. Bien que le %K approche la zone de surachat (70), le croisement haussier des deux lignes suggère une poursuite potentielle du mouvement. La décision neutre reflète l'équilibre entre le momentum positif et la proximité de la zone de surachat.</w:t>
      </w:r>
    </w:p>
    <w:p>
      <w:pPr>
        <w:spacing w:after="120" w:line="276" w:lineRule="auto"/>
      </w:pPr>
      <w:r>
        <w:t>**Conclusion technique :** Les indicateurs sont mitigés. Les moyennes mobiles soutiennent une tendance haussière, mais le MACD émet un signal de vente, suggérant un essoufflement du momentum. Le RSI et le Stochastique sont neutres. L'ensemble indique une phase de consolidation après une forte hausse, avec un biais haussier à moyen terme mais un risque de correction à court terme.</w:t>
      </w:r>
    </w:p>
    <w:p>
      <w:pPr>
        <w:spacing w:after="120" w:line="276" w:lineRule="auto"/>
      </w:pPr>
      <w:r>
        <w:t>---</w:t>
      </w:r>
    </w:p>
    <w:p>
      <w:pPr>
        <w:spacing w:after="120" w:line="276" w:lineRule="auto"/>
      </w:pPr>
      <w:r>
        <w:t>### PARTIE 3 : ANALYSE FONDAMENTALE (SECTION CRITIQUE)</w:t>
      </w:r>
    </w:p>
    <w:p>
      <w:pPr>
        <w:spacing w:after="120" w:line="276" w:lineRule="auto"/>
      </w:pPr>
      <w:r>
        <w:t>En 2025, selon les états financiers structurés, Nestlé Côte d'Ivoire a réalisé un chiffre d'affaires de 233,26 milliards FCFA, en hausse de 5,97% par rapport à 2024, avec un résultat net de 18,43 milliards FCFA, en légère progression de 1,53%. La rentabilité des fonds propres (ROE) est exceptionnelle à 62,28%, et le ROA s'établit à 9,70%, démontrant une utilisation très efficace des actifs. En tant qu'entreprise, l'analyse se concentre sur les délais clients (74,3 jours) et de stockage (59,4 jours), qui sont élevés et représentent un risque de trésorerie. Le BFR de 22,6 milliards FCFA et un fonds de roulement négatif de -24,2 milliards FCFA indiquent une tension de liquidité, confirmée par une trésorerie nette négative de -46,8 milliards FCFA. Le rapport annuel 2025 (daté du 31/12/2025) souligne une politique de dividende réduite de moitié (9,27 milliards FCFA), privilégiant le réinvestissement. Les rapports trimestriels de 2025 montrent une année en deux temps : un S1 difficile (résultat net en baisse de 23,5%) suivi d'une amélioration au T3. Cependant, le rapport du T1 2026 (daté du 31/03/2026) est extrêmement positif, avec un chiffre d'affaires en hausse de 31% à 70,8 milliards FCFA et un résultat net en progression de 37% à 7,5 milliards FCFA, la marge nette s'améliorant à 10,6%. Sur cette base, on estime que l'exercice 2026 pourrait voir une accélération significative de la croissance et une amélioration de la rentabilité, confirmant la solidité du modèle économique de l'entreprise.</w:t>
      </w:r>
    </w:p>
    <w:p>
      <w:pPr>
        <w:spacing w:after="120" w:line="276" w:lineRule="auto"/>
      </w:pPr>
      <w:r>
        <w:t>---</w:t>
      </w:r>
    </w:p>
    <w:p>
      <w:pPr>
        <w:spacing w:after="120" w:line="276" w:lineRule="auto"/>
      </w:pPr>
      <w:r>
        <w:t>### PARTIE 4 : CONCLUSION D'INVESTISSEMENT</w:t>
      </w:r>
    </w:p>
    <w:p>
      <w:pPr>
        <w:spacing w:after="120" w:line="276" w:lineRule="auto"/>
      </w:pPr>
      <w:r>
        <w:t>La valorisation de NTLC est exigeante (PER de 20,2x, P/B de 12,61x), indiquant une possible surévaluation à court terme, mais justifiée par une croissance et une rentabilité futures anticipées. Le comportement du cours sur 100 jours est très positif (+37,62%), avec une volatilité élevée (36,7%) qui offre des opportunités mais augmente le risque. Les signaux techniques sont mitigés, avec une tendance haussière de fond (MM) mais un momentum à court terme en perte de vitesse (MACD), suggérant une consolidation. Les fondamentaux sont solides, avec une croissance du CA et un ROE exceptionnel en 2025, et les estimations pour 2026, basées sur un T1 très dynamique (+31% CA, +37% RN), sont très favorables. Les prédictions IA pour les 10 prochains jours (baisse de 16 442 à 16 296 FCFA) confirment le scénario de consolidation technique à court terme. En synthèse, la convergence entre des fondamentaux robustes et une dynamique de croissance future forte, malgré une valorisation tendue et des signaux techniques mixtes, nous amène à formuler une recommandation **CONSERVER**. Le niveau de confiance est **Moyen**, le risque global est **Élevé** en raison de la volatilité et de la valorisation. L'horizon d'investissement optimal serait le **moyen terme (3-12 mois)**, afin de capitaliser sur la croissance anticipée de 2026 après une éventuelle phase de correction technique.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22.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198.56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5,060 titres</w:t>
            </w:r>
          </w:p>
        </w:tc>
        <w:tc>
          <w:tcPr>
            <w:tcW w:type="dxa" w:w="2268"/>
            <w:shd w:fill="FFF2CC" w:val="clear"/>
          </w:tcPr>
          <w:p>
            <w:r>
              <w:rPr>
                <w:b/>
                <w:color w:val="503200"/>
                <w:sz w:val="16"/>
              </w:rPr>
              <w:t xml:space="preserve">Cours actuel : </w:t>
            </w:r>
            <w:r>
              <w:rPr>
                <w:color w:val="000000"/>
                <w:sz w:val="17"/>
              </w:rPr>
              <w:t>2,920 FCFA</w:t>
            </w:r>
          </w:p>
          <w:p>
            <w:r>
              <w:rPr>
                <w:b/>
                <w:color w:val="503200"/>
                <w:sz w:val="16"/>
              </w:rPr>
              <w:t xml:space="preserve">Var. 100 jours : </w:t>
            </w:r>
            <w:r>
              <w:rPr>
                <w:b/>
                <w:color w:val="007800"/>
                <w:sz w:val="17"/>
              </w:rPr>
              <w:t>+4.66%</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2,610 FCFA</w:t>
            </w:r>
          </w:p>
          <w:p>
            <w:r>
              <w:rPr>
                <w:b/>
                <w:color w:val="503200"/>
                <w:sz w:val="16"/>
              </w:rPr>
              <w:t xml:space="preserve">Volatilité ann. : </w:t>
            </w:r>
            <w:r>
              <w:rPr>
                <w:color w:val="000000"/>
                <w:sz w:val="17"/>
              </w:rPr>
              <w:t>31.4%</w:t>
            </w:r>
          </w:p>
        </w:tc>
        <w:tc>
          <w:tcPr>
            <w:tcW w:type="dxa" w:w="2835"/>
            <w:shd w:fill="FCE4D6" w:val="clear"/>
          </w:tcPr>
          <w:p>
            <w:r>
              <w:rPr>
                <w:b/>
                <w:color w:val="500000"/>
                <w:sz w:val="16"/>
              </w:rPr>
              <w:t xml:space="preserve">Recommandation : </w:t>
            </w:r>
            <w:r>
              <w:rPr>
                <w:b/>
                <w:color w:val="646400"/>
                <w:sz w:val="19"/>
              </w:rPr>
              <w:t>CONSERVER ⚠️</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3.05% (Faible) — μ=2,823 FCFA, σ=86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β=0.3065 (Défensif) — Cov=0.000011, Var(idx)=0.000036, ρ=0.094,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5,060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σ_j=1.98%/j (Stable) — Vol. annualisée≈31.4%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56/100  (Bon)</w:t>
      </w:r>
    </w:p>
    <w:p/>
    <w:p>
      <w:pPr>
        <w:jc w:val="center"/>
      </w:pPr>
      <w:r>
        <w:drawing>
          <wp:inline xmlns:a="http://schemas.openxmlformats.org/drawingml/2006/main" xmlns:pic="http://schemas.openxmlformats.org/drawingml/2006/picture">
            <wp:extent cx="5669280" cy="2635585"/>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2026-09-07</w:t>
            </w:r>
          </w:p>
        </w:tc>
        <w:tc>
          <w:tcPr>
            <w:tcW w:type="dxa" w:w="1440"/>
            <w:shd w:fill="FAFAFA" w:val="clear"/>
          </w:tcPr>
          <w:p>
            <w:r>
              <w:rPr>
                <w:sz w:val="17"/>
              </w:rPr>
              <w:t>2,801</w:t>
            </w:r>
          </w:p>
        </w:tc>
        <w:tc>
          <w:tcPr>
            <w:tcW w:type="dxa" w:w="1440"/>
            <w:shd w:fill="FAFAFA" w:val="clear"/>
          </w:tcPr>
          <w:p>
            <w:r>
              <w:rPr>
                <w:b/>
                <w:sz w:val="17"/>
              </w:rPr>
              <w:t>2,897</w:t>
            </w:r>
          </w:p>
        </w:tc>
        <w:tc>
          <w:tcPr>
            <w:tcW w:type="dxa" w:w="1440"/>
            <w:shd w:fill="FAFAFA" w:val="clear"/>
          </w:tcPr>
          <w:p>
            <w:r>
              <w:rPr>
                <w:sz w:val="17"/>
              </w:rPr>
              <w:t>2,993</w:t>
            </w:r>
          </w:p>
        </w:tc>
        <w:tc>
          <w:tcPr>
            <w:tcW w:type="dxa" w:w="1440"/>
            <w:shd w:fill="FAFAFA" w:val="clear"/>
          </w:tcPr>
          <w:p>
            <w:r>
              <w:rPr>
                <w:b/>
                <w:color w:val="C00000"/>
                <w:sz w:val="17"/>
              </w:rPr>
              <w:t>-0.8%</w:t>
            </w:r>
          </w:p>
        </w:tc>
      </w:tr>
      <w:tr>
        <w:tc>
          <w:tcPr>
            <w:tcW w:type="dxa" w:w="1440"/>
            <w:shd w:fill="FAFAFA" w:val="clear"/>
          </w:tcPr>
          <w:p>
            <w:r>
              <w:rPr>
                <w:sz w:val="17"/>
              </w:rPr>
              <w:t>J+2  Moyenne</w:t>
            </w:r>
          </w:p>
        </w:tc>
        <w:tc>
          <w:tcPr>
            <w:tcW w:type="dxa" w:w="1440"/>
            <w:shd w:fill="FAFAFA" w:val="clear"/>
          </w:tcPr>
          <w:p>
            <w:r>
              <w:rPr>
                <w:sz w:val="17"/>
              </w:rPr>
              <w:t>2026-09-08</w:t>
            </w:r>
          </w:p>
        </w:tc>
        <w:tc>
          <w:tcPr>
            <w:tcW w:type="dxa" w:w="1440"/>
            <w:shd w:fill="FAFAFA" w:val="clear"/>
          </w:tcPr>
          <w:p>
            <w:r>
              <w:rPr>
                <w:sz w:val="17"/>
              </w:rPr>
              <w:t>2,759</w:t>
            </w:r>
          </w:p>
        </w:tc>
        <w:tc>
          <w:tcPr>
            <w:tcW w:type="dxa" w:w="1440"/>
            <w:shd w:fill="FAFAFA" w:val="clear"/>
          </w:tcPr>
          <w:p>
            <w:r>
              <w:rPr>
                <w:b/>
                <w:sz w:val="17"/>
              </w:rPr>
              <w:t>2,895</w:t>
            </w:r>
          </w:p>
        </w:tc>
        <w:tc>
          <w:tcPr>
            <w:tcW w:type="dxa" w:w="1440"/>
            <w:shd w:fill="FAFAFA" w:val="clear"/>
          </w:tcPr>
          <w:p>
            <w:r>
              <w:rPr>
                <w:sz w:val="17"/>
              </w:rPr>
              <w:t>3,030</w:t>
            </w:r>
          </w:p>
        </w:tc>
        <w:tc>
          <w:tcPr>
            <w:tcW w:type="dxa" w:w="1440"/>
            <w:shd w:fill="FAFAFA" w:val="clear"/>
          </w:tcPr>
          <w:p>
            <w:r>
              <w:rPr>
                <w:b/>
                <w:color w:val="C00000"/>
                <w:sz w:val="17"/>
              </w:rPr>
              <w:t>-0.9%</w:t>
            </w:r>
          </w:p>
        </w:tc>
      </w:tr>
      <w:tr>
        <w:tc>
          <w:tcPr>
            <w:tcW w:type="dxa" w:w="1440"/>
            <w:shd w:fill="FAFAFA" w:val="clear"/>
          </w:tcPr>
          <w:p>
            <w:r>
              <w:rPr>
                <w:sz w:val="17"/>
              </w:rPr>
              <w:t>J+3  Moyenne</w:t>
            </w:r>
          </w:p>
        </w:tc>
        <w:tc>
          <w:tcPr>
            <w:tcW w:type="dxa" w:w="1440"/>
            <w:shd w:fill="FAFAFA" w:val="clear"/>
          </w:tcPr>
          <w:p>
            <w:r>
              <w:rPr>
                <w:sz w:val="17"/>
              </w:rPr>
              <w:t>2026-09-09</w:t>
            </w:r>
          </w:p>
        </w:tc>
        <w:tc>
          <w:tcPr>
            <w:tcW w:type="dxa" w:w="1440"/>
            <w:shd w:fill="FAFAFA" w:val="clear"/>
          </w:tcPr>
          <w:p>
            <w:r>
              <w:rPr>
                <w:sz w:val="17"/>
              </w:rPr>
              <w:t>2,724</w:t>
            </w:r>
          </w:p>
        </w:tc>
        <w:tc>
          <w:tcPr>
            <w:tcW w:type="dxa" w:w="1440"/>
            <w:shd w:fill="FAFAFA" w:val="clear"/>
          </w:tcPr>
          <w:p>
            <w:r>
              <w:rPr>
                <w:b/>
                <w:sz w:val="17"/>
              </w:rPr>
              <w:t>2,889</w:t>
            </w:r>
          </w:p>
        </w:tc>
        <w:tc>
          <w:tcPr>
            <w:tcW w:type="dxa" w:w="1440"/>
            <w:shd w:fill="FAFAFA" w:val="clear"/>
          </w:tcPr>
          <w:p>
            <w:r>
              <w:rPr>
                <w:sz w:val="17"/>
              </w:rPr>
              <w:t>3,054</w:t>
            </w:r>
          </w:p>
        </w:tc>
        <w:tc>
          <w:tcPr>
            <w:tcW w:type="dxa" w:w="1440"/>
            <w:shd w:fill="FAFAFA" w:val="clear"/>
          </w:tcPr>
          <w:p>
            <w:r>
              <w:rPr>
                <w:b/>
                <w:color w:val="C00000"/>
                <w:sz w:val="17"/>
              </w:rPr>
              <w:t>-1.1%</w:t>
            </w:r>
          </w:p>
        </w:tc>
      </w:tr>
      <w:tr>
        <w:tc>
          <w:tcPr>
            <w:tcW w:type="dxa" w:w="1440"/>
            <w:shd w:fill="FAFAFA" w:val="clear"/>
          </w:tcPr>
          <w:p>
            <w:r>
              <w:rPr>
                <w:sz w:val="17"/>
              </w:rPr>
              <w:t>J+4  ⭐</w:t>
            </w:r>
          </w:p>
        </w:tc>
        <w:tc>
          <w:tcPr>
            <w:tcW w:type="dxa" w:w="1440"/>
            <w:shd w:fill="FAFAFA" w:val="clear"/>
          </w:tcPr>
          <w:p>
            <w:r>
              <w:rPr>
                <w:sz w:val="17"/>
              </w:rPr>
              <w:t>2026-09-10</w:t>
            </w:r>
          </w:p>
        </w:tc>
        <w:tc>
          <w:tcPr>
            <w:tcW w:type="dxa" w:w="1440"/>
            <w:shd w:fill="FAFAFA" w:val="clear"/>
          </w:tcPr>
          <w:p>
            <w:r>
              <w:rPr>
                <w:sz w:val="17"/>
              </w:rPr>
              <w:t>2,693</w:t>
            </w:r>
          </w:p>
        </w:tc>
        <w:tc>
          <w:tcPr>
            <w:tcW w:type="dxa" w:w="1440"/>
            <w:shd w:fill="FAFAFA" w:val="clear"/>
          </w:tcPr>
          <w:p>
            <w:r>
              <w:rPr>
                <w:b/>
                <w:sz w:val="17"/>
              </w:rPr>
              <w:t>2,883</w:t>
            </w:r>
          </w:p>
        </w:tc>
        <w:tc>
          <w:tcPr>
            <w:tcW w:type="dxa" w:w="1440"/>
            <w:shd w:fill="FAFAFA" w:val="clear"/>
          </w:tcPr>
          <w:p>
            <w:r>
              <w:rPr>
                <w:sz w:val="17"/>
              </w:rPr>
              <w:t>3,074</w:t>
            </w:r>
          </w:p>
        </w:tc>
        <w:tc>
          <w:tcPr>
            <w:tcW w:type="dxa" w:w="1440"/>
            <w:shd w:fill="FAFAFA" w:val="clear"/>
          </w:tcPr>
          <w:p>
            <w:r>
              <w:rPr>
                <w:b/>
                <w:color w:val="C00000"/>
                <w:sz w:val="17"/>
              </w:rPr>
              <w:t>-1.3%</w:t>
            </w:r>
          </w:p>
        </w:tc>
      </w:tr>
      <w:tr>
        <w:tc>
          <w:tcPr>
            <w:tcW w:type="dxa" w:w="1440"/>
            <w:shd w:fill="FAFAFA" w:val="clear"/>
          </w:tcPr>
          <w:p>
            <w:r>
              <w:rPr>
                <w:sz w:val="17"/>
              </w:rPr>
              <w:t>J+5  ⭐</w:t>
            </w:r>
          </w:p>
        </w:tc>
        <w:tc>
          <w:tcPr>
            <w:tcW w:type="dxa" w:w="1440"/>
            <w:shd w:fill="FAFAFA" w:val="clear"/>
          </w:tcPr>
          <w:p>
            <w:r>
              <w:rPr>
                <w:sz w:val="17"/>
              </w:rPr>
              <w:t>2026-09-11</w:t>
            </w:r>
          </w:p>
        </w:tc>
        <w:tc>
          <w:tcPr>
            <w:tcW w:type="dxa" w:w="1440"/>
            <w:shd w:fill="FAFAFA" w:val="clear"/>
          </w:tcPr>
          <w:p>
            <w:r>
              <w:rPr>
                <w:sz w:val="17"/>
              </w:rPr>
              <w:t>2,665</w:t>
            </w:r>
          </w:p>
        </w:tc>
        <w:tc>
          <w:tcPr>
            <w:tcW w:type="dxa" w:w="1440"/>
            <w:shd w:fill="FAFAFA" w:val="clear"/>
          </w:tcPr>
          <w:p>
            <w:r>
              <w:rPr>
                <w:b/>
                <w:sz w:val="17"/>
              </w:rPr>
              <w:t>2,877</w:t>
            </w:r>
          </w:p>
        </w:tc>
        <w:tc>
          <w:tcPr>
            <w:tcW w:type="dxa" w:w="1440"/>
            <w:shd w:fill="FAFAFA" w:val="clear"/>
          </w:tcPr>
          <w:p>
            <w:r>
              <w:rPr>
                <w:sz w:val="17"/>
              </w:rPr>
              <w:t>3,090</w:t>
            </w:r>
          </w:p>
        </w:tc>
        <w:tc>
          <w:tcPr>
            <w:tcW w:type="dxa" w:w="1440"/>
            <w:shd w:fill="FAFAFA" w:val="clear"/>
          </w:tcPr>
          <w:p>
            <w:r>
              <w:rPr>
                <w:b/>
                <w:color w:val="C00000"/>
                <w:sz w:val="17"/>
              </w:rPr>
              <w:t>-1.5%</w:t>
            </w:r>
          </w:p>
        </w:tc>
      </w:tr>
      <w:tr>
        <w:tc>
          <w:tcPr>
            <w:tcW w:type="dxa" w:w="1440"/>
            <w:shd w:fill="FAFAFA" w:val="clear"/>
          </w:tcPr>
          <w:p>
            <w:r>
              <w:rPr>
                <w:sz w:val="17"/>
              </w:rPr>
              <w:t>J+6  ⭐</w:t>
            </w:r>
          </w:p>
        </w:tc>
        <w:tc>
          <w:tcPr>
            <w:tcW w:type="dxa" w:w="1440"/>
            <w:shd w:fill="FAFAFA" w:val="clear"/>
          </w:tcPr>
          <w:p>
            <w:r>
              <w:rPr>
                <w:sz w:val="17"/>
              </w:rPr>
              <w:t>2026-09-14</w:t>
            </w:r>
          </w:p>
        </w:tc>
        <w:tc>
          <w:tcPr>
            <w:tcW w:type="dxa" w:w="1440"/>
            <w:shd w:fill="FAFAFA" w:val="clear"/>
          </w:tcPr>
          <w:p>
            <w:r>
              <w:rPr>
                <w:sz w:val="17"/>
              </w:rPr>
              <w:t>2,639</w:t>
            </w:r>
          </w:p>
        </w:tc>
        <w:tc>
          <w:tcPr>
            <w:tcW w:type="dxa" w:w="1440"/>
            <w:shd w:fill="FAFAFA" w:val="clear"/>
          </w:tcPr>
          <w:p>
            <w:r>
              <w:rPr>
                <w:b/>
                <w:sz w:val="17"/>
              </w:rPr>
              <w:t>2,871</w:t>
            </w:r>
          </w:p>
        </w:tc>
        <w:tc>
          <w:tcPr>
            <w:tcW w:type="dxa" w:w="1440"/>
            <w:shd w:fill="FAFAFA" w:val="clear"/>
          </w:tcPr>
          <w:p>
            <w:r>
              <w:rPr>
                <w:sz w:val="17"/>
              </w:rPr>
              <w:t>3,104</w:t>
            </w:r>
          </w:p>
        </w:tc>
        <w:tc>
          <w:tcPr>
            <w:tcW w:type="dxa" w:w="1440"/>
            <w:shd w:fill="FAFAFA" w:val="clear"/>
          </w:tcPr>
          <w:p>
            <w:r>
              <w:rPr>
                <w:b/>
                <w:color w:val="C00000"/>
                <w:sz w:val="17"/>
              </w:rPr>
              <w:t>-1.7%</w:t>
            </w:r>
          </w:p>
        </w:tc>
      </w:tr>
      <w:tr>
        <w:tc>
          <w:tcPr>
            <w:tcW w:type="dxa" w:w="1440"/>
            <w:shd w:fill="FAFAFA" w:val="clear"/>
          </w:tcPr>
          <w:p>
            <w:r>
              <w:rPr>
                <w:sz w:val="17"/>
              </w:rPr>
              <w:t>J+7  ⭐</w:t>
            </w:r>
          </w:p>
        </w:tc>
        <w:tc>
          <w:tcPr>
            <w:tcW w:type="dxa" w:w="1440"/>
            <w:shd w:fill="FAFAFA" w:val="clear"/>
          </w:tcPr>
          <w:p>
            <w:r>
              <w:rPr>
                <w:sz w:val="17"/>
              </w:rPr>
              <w:t>2026-09-15</w:t>
            </w:r>
          </w:p>
        </w:tc>
        <w:tc>
          <w:tcPr>
            <w:tcW w:type="dxa" w:w="1440"/>
            <w:shd w:fill="FAFAFA" w:val="clear"/>
          </w:tcPr>
          <w:p>
            <w:r>
              <w:rPr>
                <w:sz w:val="17"/>
              </w:rPr>
              <w:t>2,615</w:t>
            </w:r>
          </w:p>
        </w:tc>
        <w:tc>
          <w:tcPr>
            <w:tcW w:type="dxa" w:w="1440"/>
            <w:shd w:fill="FAFAFA" w:val="clear"/>
          </w:tcPr>
          <w:p>
            <w:r>
              <w:rPr>
                <w:b/>
                <w:sz w:val="17"/>
              </w:rPr>
              <w:t>2,866</w:t>
            </w:r>
          </w:p>
        </w:tc>
        <w:tc>
          <w:tcPr>
            <w:tcW w:type="dxa" w:w="1440"/>
            <w:shd w:fill="FAFAFA" w:val="clear"/>
          </w:tcPr>
          <w:p>
            <w:r>
              <w:rPr>
                <w:sz w:val="17"/>
              </w:rPr>
              <w:t>3,116</w:t>
            </w:r>
          </w:p>
        </w:tc>
        <w:tc>
          <w:tcPr>
            <w:tcW w:type="dxa" w:w="1440"/>
            <w:shd w:fill="FAFAFA" w:val="clear"/>
          </w:tcPr>
          <w:p>
            <w:r>
              <w:rPr>
                <w:b/>
                <w:color w:val="C00000"/>
                <w:sz w:val="17"/>
              </w:rPr>
              <w:t>-1.9%</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2,593</w:t>
            </w:r>
          </w:p>
        </w:tc>
        <w:tc>
          <w:tcPr>
            <w:tcW w:type="dxa" w:w="1440"/>
            <w:shd w:fill="FFDCE0" w:val="clear"/>
          </w:tcPr>
          <w:p>
            <w:r>
              <w:rPr>
                <w:b/>
                <w:sz w:val="17"/>
              </w:rPr>
              <w:t>2,860</w:t>
            </w:r>
          </w:p>
        </w:tc>
        <w:tc>
          <w:tcPr>
            <w:tcW w:type="dxa" w:w="1440"/>
            <w:shd w:fill="FFDCE0" w:val="clear"/>
          </w:tcPr>
          <w:p>
            <w:r>
              <w:rPr>
                <w:sz w:val="17"/>
              </w:rPr>
              <w:t>3,127</w:t>
            </w:r>
          </w:p>
        </w:tc>
        <w:tc>
          <w:tcPr>
            <w:tcW w:type="dxa" w:w="1440"/>
            <w:shd w:fill="FFDCE0" w:val="clear"/>
          </w:tcPr>
          <w:p>
            <w:r>
              <w:rPr>
                <w:b/>
                <w:color w:val="C00000"/>
                <w:sz w:val="17"/>
              </w:rPr>
              <w:t>-2.1%</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2,572</w:t>
            </w:r>
          </w:p>
        </w:tc>
        <w:tc>
          <w:tcPr>
            <w:tcW w:type="dxa" w:w="1440"/>
            <w:shd w:fill="FFDCE0" w:val="clear"/>
          </w:tcPr>
          <w:p>
            <w:r>
              <w:rPr>
                <w:b/>
                <w:sz w:val="17"/>
              </w:rPr>
              <w:t>2,854</w:t>
            </w:r>
          </w:p>
        </w:tc>
        <w:tc>
          <w:tcPr>
            <w:tcW w:type="dxa" w:w="1440"/>
            <w:shd w:fill="FFDCE0" w:val="clear"/>
          </w:tcPr>
          <w:p>
            <w:r>
              <w:rPr>
                <w:sz w:val="17"/>
              </w:rPr>
              <w:t>3,137</w:t>
            </w:r>
          </w:p>
        </w:tc>
        <w:tc>
          <w:tcPr>
            <w:tcW w:type="dxa" w:w="1440"/>
            <w:shd w:fill="FFDCE0" w:val="clear"/>
          </w:tcPr>
          <w:p>
            <w:r>
              <w:rPr>
                <w:b/>
                <w:color w:val="C00000"/>
                <w:sz w:val="17"/>
              </w:rPr>
              <w:t>-2.2%</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2,551</w:t>
            </w:r>
          </w:p>
        </w:tc>
        <w:tc>
          <w:tcPr>
            <w:tcW w:type="dxa" w:w="1440"/>
            <w:shd w:fill="FFDCE0" w:val="clear"/>
          </w:tcPr>
          <w:p>
            <w:r>
              <w:rPr>
                <w:b/>
                <w:sz w:val="17"/>
              </w:rPr>
              <w:t>2,849</w:t>
            </w:r>
          </w:p>
        </w:tc>
        <w:tc>
          <w:tcPr>
            <w:tcW w:type="dxa" w:w="1440"/>
            <w:shd w:fill="FFDCE0" w:val="clear"/>
          </w:tcPr>
          <w:p>
            <w:r>
              <w:rPr>
                <w:sz w:val="17"/>
              </w:rPr>
              <w:t>3,146</w:t>
            </w:r>
          </w:p>
        </w:tc>
        <w:tc>
          <w:tcPr>
            <w:tcW w:type="dxa" w:w="1440"/>
            <w:shd w:fill="FFDCE0" w:val="clear"/>
          </w:tcPr>
          <w:p>
            <w:r>
              <w:rPr>
                <w:b/>
                <w:color w:val="C00000"/>
                <w:sz w:val="17"/>
              </w:rPr>
              <w:t>-2.4%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l'ONTBF s'établit à 198,56 milliards FCFA, ce qui en fait une valeur de première importance sur la BRVM, représentative du secteur des télécommunications. Avec un BPA de 234 FCFA, chaque action génère un bénéfice substantiel, justifiant un PER de 12,5x, légèrement au-dessus de la moyenne historique de la place (~8-12x), ce qui traduit une valorisation raisonnable, intégrant une prime de croissance. Le P/B de 3,45x indique que le marché valorise l'actif net comptable à plus du triple, reflétant une forte confiance dans la capacité de l'entreprise à générer de la valeur, typique des sociétés de services à forte rentabilité. Enfin, un EV/EBITDA de 5,2x est particulièrement attractif, signalant que la valeur totale de l'entreprise (dette incluse) reste modérée par rapport à sa capacité opérationnelle brute, ce qui suggère un potentiel de hausse si la rentabilité se stabilise.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dernières séances, l'action ONTBF affiche une progression de +4,66%, avec une dernière séance stable (+0,00%), témoignant d'un certain essoufflement après une période d'accumulation. Le titre a évolué dans un range de 460 FCFA, entre un plus bas de 2 610 FCFA et un plus haut de 3 070 FCFA, montrant une amplitude de trading significative. La moyenne (2 823 FCFA) est légèrement supérieure à la médiane (2 805 FCFA), et le mode est à 2 800 FCFA, indiquant une distribution quasi symétrique, confirmée par un skewness de 0.184. L'écart-type de 87 FCFA (CV=3,1%) révèle une dispersion très faible autour de la moyenne, signe d'un titre relativement stable dans son évolution quotidienne. Le kurtosis de -0.261 (mésokurtique) suggère l'absence de mouvements extrêmes ou de "pics" de volatilité imprévus. La volatilité annualisée de 31,4% classe le titre dans la catégorie "élevée" (&gt;30%), ce qui est paradoxal avec la stabilité quotidienne, mais s'explique par des mouvements plus amples sur de plus longues périodes, probablement dus à des facteurs exogènes (contexte sécuritaire, résultats).</w:t>
      </w:r>
    </w:p>
    <w:p>
      <w:pPr>
        <w:spacing w:after="120" w:line="276" w:lineRule="auto" w:before="240"/>
      </w:pPr>
      <w:r>
        <w:rPr>
          <w:b/>
          <w:color w:val="003366"/>
          <w:sz w:val="24"/>
        </w:rPr>
        <w:t>**PARTIE 2 : ANALYSE TECHNIQUE DÉTAILLÉE**</w:t>
      </w:r>
    </w:p>
    <w:p>
      <w:pPr>
        <w:spacing w:after="120" w:line="276" w:lineRule="auto"/>
      </w:pPr>
      <w:r>
        <w:t>Les **Moyennes Mobiles** sont un signal positif : le cours actuel (2 920 FCFA) se situe au-dessus de la MM20 (2 891,75 FCFA) et de la MM50 (2 838,5 FCFA). Cette configuration haussière, où les moyennes sont orientées à la hausse, confirme une dynamique de court et moyen terme favorable, justifiant la décision d'**Achat**.</w:t>
      </w:r>
    </w:p>
    <w:p>
      <w:pPr>
        <w:spacing w:after="120" w:line="276" w:lineRule="auto"/>
      </w:pPr>
      <w:r>
        <w:t>L'analyse des **Bandes de Bollinger** montre un cours évoluant dans la partie supérieure de l'enveloppe, entre la borne inférieure (2 806,57 FCFA) et la borne supérieure (2 976,93 FCFA). La largeur des bandes indique une volatilité modérée. Le prix, proche de la borne haute sans la toucher, suggère une pression acheteuse persistante mais non excessive, d'où une décision **Neutre**.</w:t>
      </w:r>
    </w:p>
    <w:p>
      <w:pPr>
        <w:spacing w:after="120" w:line="276" w:lineRule="auto"/>
      </w:pPr>
      <w:r>
        <w:t>Le **MACD** présente une valeur (12,347) inférieure à son signal (15,511), indiquant un momentum baissier à court terme. Cette configuration, souvent interprétée comme un signal de retournement ou de consolidation après une hausse, justifie la décision de **Vente** pour les traders à très court terme.</w:t>
      </w:r>
    </w:p>
    <w:p>
      <w:pPr>
        <w:spacing w:after="120" w:line="276" w:lineRule="auto"/>
      </w:pPr>
      <w:r>
        <w:t>Le **RSI** à 63,043 est en zone neutre (30-70), mais proche de la zone de surachat (&gt;70). Il indique que le titre n'est ni survendu ni suracheté, laissant une marge de manœuvre avant une potentielle correction. La décision est **Neutre**.</w:t>
      </w:r>
    </w:p>
    <w:p>
      <w:pPr>
        <w:spacing w:after="120" w:line="276" w:lineRule="auto"/>
      </w:pPr>
      <w:r>
        <w:t>Enfin, le **Stochastique** avec un %K à 82,143 et un %D à 56,117 montre que le %K est en zone de surachat et a croisé sous son %D, un signal classique de **Vente** à court terme, suggérant un risque de repli technique.</w:t>
      </w:r>
    </w:p>
    <w:p>
      <w:pPr>
        <w:spacing w:after="120" w:line="276" w:lineRule="auto"/>
      </w:pPr>
      <w:r>
        <w:t>**Conclusion technique** : Les signaux sont mitigés. Les moyennes mobiles plaident pour une tendance haussière de fond, mais les oscillateurs (MACD, Stochastique) indiquent un essoufflement à court terme. Le RSI neutre et les bandes de Bollinger suggèrent une pause dans la dynamique. La prudence est de mise, avec une possible consolidation avant la poursuite de la tendance.</w:t>
      </w:r>
    </w:p>
    <w:p>
      <w:pPr>
        <w:spacing w:after="120" w:line="276" w:lineRule="auto" w:before="240"/>
      </w:pPr>
      <w:r>
        <w:rPr>
          <w:b/>
          <w:color w:val="003366"/>
          <w:sz w:val="24"/>
        </w:rPr>
        <w:t>**PARTIE 3 : ANALYSE FONDAMENTALE (SECTION CRITIQUE)**</w:t>
      </w:r>
    </w:p>
    <w:p>
      <w:pPr>
        <w:spacing w:after="120" w:line="276" w:lineRule="auto"/>
      </w:pPr>
      <w:r>
        <w:t>En 2025, l'ONTBF (classée "BANQUE" dans la base, mais dont l'activité réelle est celle d'un opérateur télécoms) affiche un PNB/CA de 146,177 Mds FCFA, en croissance de +3,06%. Le résultat net s'établit à 15,887 Mds FCFA, en forte baisse de -26% par rapport à 2024 (21,47 Mds FCFA), impacté par une hausse des charges opérationnelles et exceptionnelles. La rentabilité des capitaux propres (ROE) reste excellente à 27,61%, et le ROA est de 4,89%. Le coefficient d'exploitation de 67,07% est élevé, indiquant une pression sur l'efficacité opérationnelle. Le coût du risque (3,57%) est significatif, reflétant des provisions importantes (31 Mds FCFA). Les rapports trimestriels 2025 (T1, S1, 9M) confirment cette tendance : le CA progresse régulièrement (+4,3% au T1, +4,0% au S1, +3,1% sur 9M), mais le résultat net chute (-29%, -17,8%, -17,2% respectivement). Le rapport du T1 2026 montre une stabilisation avec une marge EBITDA maintenue à 41,3%. Sur la base de ces données, on estime que l'exercice 2026 pourrait voir une stabilisation du résultat net si la maîtrise des coûts annoncée porte ses fruits. La solidité financière est réelle (capitaux propres de 57,5 Mds), mais la dégradation des marges et l'endettement croissant (dettes financières de 107,6 Mds) sont des points de vigilance majeurs.</w:t>
      </w:r>
    </w:p>
    <w:p>
      <w:pPr>
        <w:spacing w:after="120" w:line="276" w:lineRule="auto" w:before="240"/>
      </w:pPr>
      <w:r>
        <w:rPr>
          <w:b/>
          <w:color w:val="003366"/>
          <w:sz w:val="24"/>
        </w:rPr>
        <w:t>**PARTIE 4 : CONCLUSION D'INVESTISSEMENT**</w:t>
      </w:r>
    </w:p>
    <w:p>
      <w:pPr>
        <w:spacing w:after="120" w:line="276" w:lineRule="auto"/>
      </w:pPr>
      <w:r>
        <w:t>La valorisation (Partie 0) est modérée avec un PER de 12,5x et un EV/EBITDA de 5,2x, indiquant que le titre n'est pas surévalué. Le comportement du cours (Partie 1) est stable avec une tendance haussière sur 100 jours, mais une volatilité annualisée élevée. Les signaux techniques (Partie 2) sont divergents : la tendance de fond (MM) est positive, mais les indicateurs de momentum (MACD, Stochastique) appellent à la prudence à court terme. Les fondamentaux (Partie 3) montrent une entreprise rentable mais dont la profitabilité se dégrade sous l'effet de charges croissantes. Les prédictions IA (J+1 à J+10) anticipent une légère baisse du cours vers 2 877-2 897 FCFA, contredisant la tendance haussière récente et confirmant le signal de consolidation technique. En synthèse, la convergence entre la valorisation raisonnable, la solidité financière de fond et les signaux de prudence technique et de baisse à court terme suggère une recommandation **CONSERVER**. Le niveau de confiance est **Moyen**, le risque global est **Élevé** (contexte sécuritaire, pression sur les marges). L'horizon d'investissement optimal est le **moyen terme (3-12 mois)**, en attendant une stabilisation des marges et une clarification de la stratégie de reconquête du leadership.</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ONATEL maintient une position dominante sur le march\u00e9 burkinab\u00e9 avec une structure financi\u00e8re solide. La capacit\u00e9 d'autofinancement positive et la tr\u00e9sorerie nette permettent d'envisager une reprise."}</w:t>
      </w:r>
    </w:p>
    <w:p>
      <w:pPr>
        <w:spacing w:before="40"/>
        <w:ind w:left="400"/>
      </w:pPr>
      <w:r>
        <w:rPr>
          <w:sz w:val="18"/>
        </w:rPr>
        <w:t>ONATEL-SA, l'opérateur national de télécommunications du Burkina Faso, présente des résultats mitigés pour l'exercice 2022 avec un chiffre d'affaires de 145,6 milliards FCFA en baisse par rapport aux 154,9 milliards FCFA de 2021. Le résultat net s'établit à 22,4 milliards FCFA, en forte baisse comparé aux 32,4 milliards FCFA de l'exercice précédent. La société maintient une structure financière solide avec un total actif de 270 milliards FCFA et des capitaux propres de 63,2 milliards FCFA. La capacité d'autofinancement reste positive à 55,3 milliards FCFA malgré la dégradation des performances. L'endettement financier s'élève à 61,6 milliards FCFA, représentant un levier financier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'11,7 milliards FCFA', 'dettes_financieres': '61,6 milliards FCFA', 'immobilisations_nettes': '176,8 milliards FCFA', 'capacite_autofinancement': '55,3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15,4%</w:t>
            </w:r>
          </w:p>
        </w:tc>
        <w:tc>
          <w:tcPr>
            <w:tcW w:type="dxa" w:w="2160"/>
          </w:tcPr>
          <w:p>
            <w:pPr>
              <w:ind w:left="100"/>
            </w:pPr>
            <w:r/>
            <w:r>
              <w:rPr>
                <w:b/>
                <w:sz w:val="16"/>
              </w:rPr>
              <w:t>total_actif</w:t>
              <w:br/>
            </w:r>
            <w:r>
              <w:rPr>
                <w:sz w:val="18"/>
              </w:rPr>
              <w:t>269,9 milliards FCFA</w:t>
            </w:r>
          </w:p>
        </w:tc>
      </w:tr>
      <w:tr>
        <w:tc>
          <w:tcPr>
            <w:tcW w:type="dxa" w:w="2160"/>
          </w:tcPr>
          <w:p>
            <w:r/>
            <w:r>
              <w:rPr>
                <w:b/>
                <w:sz w:val="16"/>
              </w:rPr>
              <w:t>resultat_net</w:t>
              <w:br/>
            </w:r>
            <w:r>
              <w:rPr>
                <w:sz w:val="18"/>
              </w:rPr>
              <w:t>22,4 milliards FCFA</w:t>
            </w:r>
          </w:p>
        </w:tc>
        <w:tc>
          <w:tcPr>
            <w:tcW w:type="dxa" w:w="2160"/>
          </w:tcPr>
          <w:p>
            <w:r/>
            <w:r>
              <w:rPr>
                <w:b/>
                <w:sz w:val="16"/>
              </w:rPr>
              <w:t>capitaux_propres</w:t>
              <w:br/>
            </w:r>
            <w:r>
              <w:rPr>
                <w:sz w:val="18"/>
              </w:rPr>
              <w:t>63,2 milliards FCFA</w:t>
            </w:r>
          </w:p>
        </w:tc>
        <w:tc>
          <w:tcPr>
            <w:tcW w:type="dxa" w:w="2160"/>
          </w:tcPr>
          <w:p>
            <w:r/>
            <w:r>
              <w:rPr>
                <w:b/>
                <w:sz w:val="16"/>
              </w:rPr>
              <w:t>chiffre_affaires</w:t>
              <w:br/>
            </w:r>
            <w:r>
              <w:rPr>
                <w:sz w:val="18"/>
              </w:rPr>
              <w:t>145,6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 passant de 154,9 à 145,6 milliards FCFA</w:t>
      </w:r>
    </w:p>
    <w:p>
      <w:pPr>
        <w:pStyle w:val="ListBullet"/>
        <w:spacing w:before="20" w:after="20"/>
        <w:ind w:left="700"/>
      </w:pPr>
      <w:r>
        <w:rPr>
          <w:sz w:val="18"/>
        </w:rPr>
        <w:t>Chute significative du résultat net de 31% (32,4 à 22,4 milliards FCFA)</w:t>
      </w:r>
    </w:p>
    <w:p>
      <w:pPr>
        <w:pStyle w:val="ListBullet"/>
        <w:spacing w:before="20" w:after="20"/>
        <w:ind w:left="700"/>
      </w:pPr>
      <w:r>
        <w:rPr>
          <w:sz w:val="18"/>
        </w:rPr>
        <w:t>Dégradation de la marge nette qui passe de 20,9% à 15,4%</w:t>
      </w:r>
    </w:p>
    <w:p>
      <w:pPr>
        <w:pStyle w:val="ListBullet"/>
        <w:spacing w:before="20" w:after="20"/>
        <w:ind w:left="700"/>
      </w:pPr>
      <w:r>
        <w:rPr>
          <w:sz w:val="18"/>
        </w:rPr>
        <w:t>Maintien d'une capacité d'autofinancement solide à 55,3 milliards FCFA</w:t>
      </w:r>
    </w:p>
    <w:p>
      <w:pPr>
        <w:pStyle w:val="ListBullet"/>
        <w:spacing w:before="20" w:after="20"/>
        <w:ind w:left="700"/>
      </w:pPr>
      <w:r>
        <w:rPr>
          <w:sz w:val="18"/>
        </w:rPr>
        <w:t>Augmentation des dettes circulantes de 23% à 104,5 milliards FCFA</w:t>
      </w:r>
    </w:p>
    <w:p>
      <w:pPr>
        <w:pStyle w:val="ListBullet"/>
        <w:spacing w:before="20" w:after="20"/>
        <w:ind w:left="700"/>
      </w:pPr>
      <w:r>
        <w:rPr>
          <w:sz w:val="18"/>
        </w:rPr>
        <w:t>Stabilité du capital social à 34 milliards FCFA</w:t>
      </w:r>
    </w:p>
    <w:p>
      <w:pPr>
        <w:spacing w:before="40"/>
        <w:ind w:left="400"/>
      </w:pPr>
      <w:r>
        <w:rPr>
          <w:b/>
          <w:color w:val="C05000"/>
          <w:sz w:val="18"/>
        </w:rPr>
        <w:t xml:space="preserve">⚠️ Risques : </w:t>
      </w:r>
      <w:r>
        <w:rPr>
          <w:sz w:val="18"/>
        </w:rPr>
        <w:t>["D\u00e9gradation continue de la rentabilit\u00e9 op\u00e9rationnelle dans un march\u00e9 concurrentiel", "Instabilit\u00e9 s\u00e9curitaire au Burkina Faso pouvant affecter les infrastructures t\u00e9l\u00e9coms", "Augmentation significative des dettes circulantes cr\u00e9ant des tensions de tr\u0</w:t>
      </w:r>
    </w:p>
    <w:p>
      <w:pPr>
        <w:spacing w:before="40"/>
        <w:ind w:left="400"/>
      </w:pPr>
      <w:r>
        <w:rPr>
          <w:b/>
          <w:color w:val="0064A0"/>
          <w:sz w:val="18"/>
        </w:rPr>
        <w:t xml:space="preserve">🔮 Perspectives : </w:t>
      </w:r>
      <w:r>
        <w:rPr>
          <w:sz w:val="18"/>
        </w:rPr>
        <w:t>L'évolution d'ONATEL dépendra de sa capacité à stabiliser ses revenus dans un contexte concurrentiel accru et à optimiser sa structure de coûts. Les investissements dans la modernisation des infrastructures télécoms pourraient soutenir la croissance à moyen terme, sous réserve d'amélioration du cont</w:t>
      </w:r>
    </w:p>
    <w:p/>
    <w:p>
      <w:r>
        <w:t>════════════════════════════════════════════════════════════════════════════════</w:t>
      </w:r>
    </w:p>
    <w:p>
      <w:r>
        <w:br w:type="page"/>
      </w:r>
    </w:p>
    <w:p>
      <w:pPr>
        <w:pStyle w:val="Heading2"/>
        <w:spacing w:before="360"/>
      </w:pPr>
      <w:r>
        <w:rPr>
          <w:color w:val="0066CC"/>
        </w:rPr>
        <w:t>23.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3165.27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2,564 titres</w:t>
            </w:r>
          </w:p>
        </w:tc>
        <w:tc>
          <w:tcPr>
            <w:tcW w:type="dxa" w:w="2268"/>
            <w:shd w:fill="FFF2CC" w:val="clear"/>
          </w:tcPr>
          <w:p>
            <w:r>
              <w:rPr>
                <w:b/>
                <w:color w:val="503200"/>
                <w:sz w:val="16"/>
              </w:rPr>
              <w:t xml:space="preserve">Cours actuel : </w:t>
            </w:r>
            <w:r>
              <w:rPr>
                <w:color w:val="000000"/>
                <w:sz w:val="17"/>
              </w:rPr>
              <w:t>21,010 FCFA</w:t>
            </w:r>
          </w:p>
          <w:p>
            <w:r>
              <w:rPr>
                <w:b/>
                <w:color w:val="503200"/>
                <w:sz w:val="16"/>
              </w:rPr>
              <w:t xml:space="preserve">Var. 100 jours : </w:t>
            </w:r>
            <w:r>
              <w:rPr>
                <w:b/>
                <w:color w:val="007800"/>
                <w:sz w:val="17"/>
              </w:rPr>
              <w:t>+40.02%</w:t>
            </w:r>
          </w:p>
          <w:p>
            <w:r>
              <w:rPr>
                <w:b/>
                <w:color w:val="503200"/>
                <w:sz w:val="16"/>
              </w:rPr>
              <w:t xml:space="preserve">Plus haut 100j : </w:t>
            </w:r>
            <w:r>
              <w:rPr>
                <w:color w:val="000000"/>
                <w:sz w:val="17"/>
              </w:rPr>
              <w:t>21,500 FCFA</w:t>
            </w:r>
          </w:p>
          <w:p>
            <w:r>
              <w:rPr>
                <w:b/>
                <w:color w:val="503200"/>
                <w:sz w:val="16"/>
              </w:rPr>
              <w:t xml:space="preserve">Plus bas 100j : </w:t>
            </w:r>
            <w:r>
              <w:rPr>
                <w:color w:val="000000"/>
                <w:sz w:val="17"/>
              </w:rPr>
              <w:t>14,650 FCFA</w:t>
            </w:r>
          </w:p>
          <w:p>
            <w:r>
              <w:rPr>
                <w:b/>
                <w:color w:val="503200"/>
                <w:sz w:val="16"/>
              </w:rPr>
              <w:t xml:space="preserve">Volatilité ann. : </w:t>
            </w:r>
            <w:r>
              <w:rPr>
                <w:color w:val="000000"/>
                <w:sz w:val="17"/>
              </w:rPr>
              <w:t>29.3%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24.1/100 → Moyen</w:t>
      </w:r>
    </w:p>
    <w:p>
      <w:pPr>
        <w:spacing w:before="40" w:after="80"/>
      </w:pPr>
      <w:r>
        <w:rPr>
          <w:rFonts w:ascii="Courier New" w:hAnsi="Courier New"/>
          <w:color w:val="825A00"/>
          <w:sz w:val="18"/>
        </w:rPr>
        <w:t>████░░░░░░░░░░░░░░░░  24.1/100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10.82% (Moyenne) — μ=16,626 FCFA, σ=1,799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β=1.2672 (Agressif) — Cov=0.000046, Var(idx)=0.000036, ρ=0.410,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2,564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σ_j=1.84%/j (Stable) — Vol. annualisée≈29.3%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0319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2026-09-07</w:t>
            </w:r>
          </w:p>
        </w:tc>
        <w:tc>
          <w:tcPr>
            <w:tcW w:type="dxa" w:w="1440"/>
            <w:shd w:fill="FAFAFA" w:val="clear"/>
          </w:tcPr>
          <w:p>
            <w:r>
              <w:rPr>
                <w:sz w:val="17"/>
              </w:rPr>
              <w:t>20,131</w:t>
            </w:r>
          </w:p>
        </w:tc>
        <w:tc>
          <w:tcPr>
            <w:tcW w:type="dxa" w:w="1440"/>
            <w:shd w:fill="FAFAFA" w:val="clear"/>
          </w:tcPr>
          <w:p>
            <w:r>
              <w:rPr>
                <w:b/>
                <w:sz w:val="17"/>
              </w:rPr>
              <w:t>20,703</w:t>
            </w:r>
          </w:p>
        </w:tc>
        <w:tc>
          <w:tcPr>
            <w:tcW w:type="dxa" w:w="1440"/>
            <w:shd w:fill="FAFAFA" w:val="clear"/>
          </w:tcPr>
          <w:p>
            <w:r>
              <w:rPr>
                <w:sz w:val="17"/>
              </w:rPr>
              <w:t>21,275</w:t>
            </w:r>
          </w:p>
        </w:tc>
        <w:tc>
          <w:tcPr>
            <w:tcW w:type="dxa" w:w="1440"/>
            <w:shd w:fill="FAFAFA" w:val="clear"/>
          </w:tcPr>
          <w:p>
            <w:r>
              <w:rPr>
                <w:b/>
                <w:color w:val="C00000"/>
                <w:sz w:val="17"/>
              </w:rPr>
              <w:t>-1.5%</w:t>
            </w:r>
          </w:p>
        </w:tc>
      </w:tr>
      <w:tr>
        <w:tc>
          <w:tcPr>
            <w:tcW w:type="dxa" w:w="1440"/>
            <w:shd w:fill="FFDCE0" w:val="clear"/>
          </w:tcPr>
          <w:p>
            <w:r>
              <w:rPr>
                <w:sz w:val="17"/>
              </w:rPr>
              <w:t>J+2  Moyenne</w:t>
            </w:r>
          </w:p>
        </w:tc>
        <w:tc>
          <w:tcPr>
            <w:tcW w:type="dxa" w:w="1440"/>
            <w:shd w:fill="FFDCE0" w:val="clear"/>
          </w:tcPr>
          <w:p>
            <w:r>
              <w:rPr>
                <w:sz w:val="17"/>
              </w:rPr>
              <w:t>2026-09-08</w:t>
            </w:r>
          </w:p>
        </w:tc>
        <w:tc>
          <w:tcPr>
            <w:tcW w:type="dxa" w:w="1440"/>
            <w:shd w:fill="FFDCE0" w:val="clear"/>
          </w:tcPr>
          <w:p>
            <w:r>
              <w:rPr>
                <w:sz w:val="17"/>
              </w:rPr>
              <w:t>19,769</w:t>
            </w:r>
          </w:p>
        </w:tc>
        <w:tc>
          <w:tcPr>
            <w:tcW w:type="dxa" w:w="1440"/>
            <w:shd w:fill="FFDCE0" w:val="clear"/>
          </w:tcPr>
          <w:p>
            <w:r>
              <w:rPr>
                <w:b/>
                <w:sz w:val="17"/>
              </w:rPr>
              <w:t>20,573</w:t>
            </w:r>
          </w:p>
        </w:tc>
        <w:tc>
          <w:tcPr>
            <w:tcW w:type="dxa" w:w="1440"/>
            <w:shd w:fill="FFDCE0" w:val="clear"/>
          </w:tcPr>
          <w:p>
            <w:r>
              <w:rPr>
                <w:sz w:val="17"/>
              </w:rPr>
              <w:t>21,377</w:t>
            </w:r>
          </w:p>
        </w:tc>
        <w:tc>
          <w:tcPr>
            <w:tcW w:type="dxa" w:w="1440"/>
            <w:shd w:fill="FFDCE0" w:val="clear"/>
          </w:tcPr>
          <w:p>
            <w:r>
              <w:rPr>
                <w:b/>
                <w:color w:val="C00000"/>
                <w:sz w:val="17"/>
              </w:rPr>
              <w:t>-2.1%</w:t>
            </w:r>
          </w:p>
        </w:tc>
      </w:tr>
      <w:tr>
        <w:tc>
          <w:tcPr>
            <w:tcW w:type="dxa" w:w="1440"/>
            <w:shd w:fill="FFDCE0" w:val="clear"/>
          </w:tcPr>
          <w:p>
            <w:r>
              <w:rPr>
                <w:sz w:val="17"/>
              </w:rPr>
              <w:t>J+3  ⭐</w:t>
            </w:r>
          </w:p>
        </w:tc>
        <w:tc>
          <w:tcPr>
            <w:tcW w:type="dxa" w:w="1440"/>
            <w:shd w:fill="FFDCE0" w:val="clear"/>
          </w:tcPr>
          <w:p>
            <w:r>
              <w:rPr>
                <w:sz w:val="17"/>
              </w:rPr>
              <w:t>2026-09-09</w:t>
            </w:r>
          </w:p>
        </w:tc>
        <w:tc>
          <w:tcPr>
            <w:tcW w:type="dxa" w:w="1440"/>
            <w:shd w:fill="FFDCE0" w:val="clear"/>
          </w:tcPr>
          <w:p>
            <w:r>
              <w:rPr>
                <w:sz w:val="17"/>
              </w:rPr>
              <w:t>19,454</w:t>
            </w:r>
          </w:p>
        </w:tc>
        <w:tc>
          <w:tcPr>
            <w:tcW w:type="dxa" w:w="1440"/>
            <w:shd w:fill="FFDCE0" w:val="clear"/>
          </w:tcPr>
          <w:p>
            <w:r>
              <w:rPr>
                <w:b/>
                <w:sz w:val="17"/>
              </w:rPr>
              <w:t>20,432</w:t>
            </w:r>
          </w:p>
        </w:tc>
        <w:tc>
          <w:tcPr>
            <w:tcW w:type="dxa" w:w="1440"/>
            <w:shd w:fill="FFDCE0" w:val="clear"/>
          </w:tcPr>
          <w:p>
            <w:r>
              <w:rPr>
                <w:sz w:val="17"/>
              </w:rPr>
              <w:t>21,411</w:t>
            </w:r>
          </w:p>
        </w:tc>
        <w:tc>
          <w:tcPr>
            <w:tcW w:type="dxa" w:w="1440"/>
            <w:shd w:fill="FFDCE0" w:val="clear"/>
          </w:tcPr>
          <w:p>
            <w:r>
              <w:rPr>
                <w:b/>
                <w:color w:val="C00000"/>
                <w:sz w:val="17"/>
              </w:rPr>
              <w:t>-2.7%</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19,173</w:t>
            </w:r>
          </w:p>
        </w:tc>
        <w:tc>
          <w:tcPr>
            <w:tcW w:type="dxa" w:w="1440"/>
            <w:shd w:fill="FFDCE0" w:val="clear"/>
          </w:tcPr>
          <w:p>
            <w:r>
              <w:rPr>
                <w:b/>
                <w:sz w:val="17"/>
              </w:rPr>
              <w:t>20,295</w:t>
            </w:r>
          </w:p>
        </w:tc>
        <w:tc>
          <w:tcPr>
            <w:tcW w:type="dxa" w:w="1440"/>
            <w:shd w:fill="FFDCE0" w:val="clear"/>
          </w:tcPr>
          <w:p>
            <w:r>
              <w:rPr>
                <w:sz w:val="17"/>
              </w:rPr>
              <w:t>21,417</w:t>
            </w:r>
          </w:p>
        </w:tc>
        <w:tc>
          <w:tcPr>
            <w:tcW w:type="dxa" w:w="1440"/>
            <w:shd w:fill="FFDCE0" w:val="clear"/>
          </w:tcPr>
          <w:p>
            <w:r>
              <w:rPr>
                <w:b/>
                <w:color w:val="C00000"/>
                <w:sz w:val="17"/>
              </w:rPr>
              <w:t>-3.4%</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18,917</w:t>
            </w:r>
          </w:p>
        </w:tc>
        <w:tc>
          <w:tcPr>
            <w:tcW w:type="dxa" w:w="1440"/>
            <w:shd w:fill="FFDCE0" w:val="clear"/>
          </w:tcPr>
          <w:p>
            <w:r>
              <w:rPr>
                <w:b/>
                <w:sz w:val="17"/>
              </w:rPr>
              <w:t>20,163</w:t>
            </w:r>
          </w:p>
        </w:tc>
        <w:tc>
          <w:tcPr>
            <w:tcW w:type="dxa" w:w="1440"/>
            <w:shd w:fill="FFDCE0" w:val="clear"/>
          </w:tcPr>
          <w:p>
            <w:r>
              <w:rPr>
                <w:sz w:val="17"/>
              </w:rPr>
              <w:t>21,409</w:t>
            </w:r>
          </w:p>
        </w:tc>
        <w:tc>
          <w:tcPr>
            <w:tcW w:type="dxa" w:w="1440"/>
            <w:shd w:fill="FFDCE0" w:val="clear"/>
          </w:tcPr>
          <w:p>
            <w:r>
              <w:rPr>
                <w:b/>
                <w:color w:val="C00000"/>
                <w:sz w:val="17"/>
              </w:rPr>
              <w:t>-4.0%</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18,679</w:t>
            </w:r>
          </w:p>
        </w:tc>
        <w:tc>
          <w:tcPr>
            <w:tcW w:type="dxa" w:w="1440"/>
            <w:shd w:fill="FFDCE0" w:val="clear"/>
          </w:tcPr>
          <w:p>
            <w:r>
              <w:rPr>
                <w:b/>
                <w:sz w:val="17"/>
              </w:rPr>
              <w:t>20,036</w:t>
            </w:r>
          </w:p>
        </w:tc>
        <w:tc>
          <w:tcPr>
            <w:tcW w:type="dxa" w:w="1440"/>
            <w:shd w:fill="FFDCE0" w:val="clear"/>
          </w:tcPr>
          <w:p>
            <w:r>
              <w:rPr>
                <w:sz w:val="17"/>
              </w:rPr>
              <w:t>21,392</w:t>
            </w:r>
          </w:p>
        </w:tc>
        <w:tc>
          <w:tcPr>
            <w:tcW w:type="dxa" w:w="1440"/>
            <w:shd w:fill="FFDCE0" w:val="clear"/>
          </w:tcPr>
          <w:p>
            <w:r>
              <w:rPr>
                <w:b/>
                <w:color w:val="C00000"/>
                <w:sz w:val="17"/>
              </w:rPr>
              <w:t>-4.6%</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18,457</w:t>
            </w:r>
          </w:p>
        </w:tc>
        <w:tc>
          <w:tcPr>
            <w:tcW w:type="dxa" w:w="1440"/>
            <w:shd w:fill="FFDCE0" w:val="clear"/>
          </w:tcPr>
          <w:p>
            <w:r>
              <w:rPr>
                <w:b/>
                <w:sz w:val="17"/>
              </w:rPr>
              <w:t>19,913</w:t>
            </w:r>
          </w:p>
        </w:tc>
        <w:tc>
          <w:tcPr>
            <w:tcW w:type="dxa" w:w="1440"/>
            <w:shd w:fill="FFDCE0" w:val="clear"/>
          </w:tcPr>
          <w:p>
            <w:r>
              <w:rPr>
                <w:sz w:val="17"/>
              </w:rPr>
              <w:t>21,370</w:t>
            </w:r>
          </w:p>
        </w:tc>
        <w:tc>
          <w:tcPr>
            <w:tcW w:type="dxa" w:w="1440"/>
            <w:shd w:fill="FFDCE0" w:val="clear"/>
          </w:tcPr>
          <w:p>
            <w:r>
              <w:rPr>
                <w:b/>
                <w:color w:val="C00000"/>
                <w:sz w:val="17"/>
              </w:rPr>
              <w:t>-5.2%</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18,248</w:t>
            </w:r>
          </w:p>
        </w:tc>
        <w:tc>
          <w:tcPr>
            <w:tcW w:type="dxa" w:w="1440"/>
            <w:shd w:fill="FFDCE0" w:val="clear"/>
          </w:tcPr>
          <w:p>
            <w:r>
              <w:rPr>
                <w:b/>
                <w:sz w:val="17"/>
              </w:rPr>
              <w:t>19,795</w:t>
            </w:r>
          </w:p>
        </w:tc>
        <w:tc>
          <w:tcPr>
            <w:tcW w:type="dxa" w:w="1440"/>
            <w:shd w:fill="FFDCE0" w:val="clear"/>
          </w:tcPr>
          <w:p>
            <w:r>
              <w:rPr>
                <w:sz w:val="17"/>
              </w:rPr>
              <w:t>21,343</w:t>
            </w:r>
          </w:p>
        </w:tc>
        <w:tc>
          <w:tcPr>
            <w:tcW w:type="dxa" w:w="1440"/>
            <w:shd w:fill="FFDCE0" w:val="clear"/>
          </w:tcPr>
          <w:p>
            <w:r>
              <w:rPr>
                <w:b/>
                <w:color w:val="C00000"/>
                <w:sz w:val="17"/>
              </w:rPr>
              <w:t>-5.8%</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18,049</w:t>
            </w:r>
          </w:p>
        </w:tc>
        <w:tc>
          <w:tcPr>
            <w:tcW w:type="dxa" w:w="1440"/>
            <w:shd w:fill="FFDCE0" w:val="clear"/>
          </w:tcPr>
          <w:p>
            <w:r>
              <w:rPr>
                <w:b/>
                <w:sz w:val="17"/>
              </w:rPr>
              <w:t>19,681</w:t>
            </w:r>
          </w:p>
        </w:tc>
        <w:tc>
          <w:tcPr>
            <w:tcW w:type="dxa" w:w="1440"/>
            <w:shd w:fill="FFDCE0" w:val="clear"/>
          </w:tcPr>
          <w:p>
            <w:r>
              <w:rPr>
                <w:sz w:val="17"/>
              </w:rPr>
              <w:t>21,313</w:t>
            </w:r>
          </w:p>
        </w:tc>
        <w:tc>
          <w:tcPr>
            <w:tcW w:type="dxa" w:w="1440"/>
            <w:shd w:fill="FFDCE0" w:val="clear"/>
          </w:tcPr>
          <w:p>
            <w:r>
              <w:rPr>
                <w:b/>
                <w:color w:val="C00000"/>
                <w:sz w:val="17"/>
              </w:rPr>
              <w:t>-6.3%</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17,861</w:t>
            </w:r>
          </w:p>
        </w:tc>
        <w:tc>
          <w:tcPr>
            <w:tcW w:type="dxa" w:w="1440"/>
            <w:shd w:fill="FFDCE0" w:val="clear"/>
          </w:tcPr>
          <w:p>
            <w:r>
              <w:rPr>
                <w:b/>
                <w:sz w:val="17"/>
              </w:rPr>
              <w:t>19,572</w:t>
            </w:r>
          </w:p>
        </w:tc>
        <w:tc>
          <w:tcPr>
            <w:tcW w:type="dxa" w:w="1440"/>
            <w:shd w:fill="FFDCE0" w:val="clear"/>
          </w:tcPr>
          <w:p>
            <w:r>
              <w:rPr>
                <w:sz w:val="17"/>
              </w:rPr>
              <w:t>21,282</w:t>
            </w:r>
          </w:p>
        </w:tc>
        <w:tc>
          <w:tcPr>
            <w:tcW w:type="dxa" w:w="1440"/>
            <w:shd w:fill="FFDCE0" w:val="clear"/>
          </w:tcPr>
          <w:p>
            <w:r>
              <w:rPr>
                <w:b/>
                <w:color w:val="C00000"/>
                <w:sz w:val="17"/>
              </w:rPr>
              <w:t>-6.8%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d'ORAC s'élève à 3 165,27 milliards FCFA, ce qui en fait l'une des plus importantes valeurs de la BRVM, représentant une part significative de la capitalisation totale du marché. Avec un BPA de 1 114 FCFA, chaque action génère un bénéfice substantiel. Le PER de 18,9x est nettement supérieur à la moyenne historique de la BRVM (8-12x), indiquant que les investisseurs paient une prime pour la qualité et la croissance de l'entreprise. Le P/B de 4,47x confirme cette prime, le marché valorisant fortement les actifs de la société par rapport à leur valeur comptable. Enfin, l'EV/EBITDA de 7,5x, dans une fourchette de 5 à 10x, suggère une valorisation raisonnable de la capacité opérationnelle de l'entreprise, tempérant les signaux de cherté relatifs des autres ratios.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ORAC a enregistré une performance spectaculaire de +40,02%, avec une légère correction de -0,69% lors de la dernière séance. Le cours a évolué dans une fourchette de 14 650 FCFA (plus bas) à 21 500 FCFA (plus haut), démontrant une dynamique fortement haussière. La moyenne (16 626 FCFA) est supérieure à la médiane (16 148 FCFA), indiquant une asymétrie positive avec des journées de forte hausse. Le coefficient de variation de 10,9% montre une dispersion modérée, mais le kurtosis de 1,438 (leptokurtique) signale un risque de mouvements extrêmes. Le skewness de 1,527 confirme une distribution asymétrique positive. La volatilité annualisée de 29,3% classe le titre dans la catégorie à volatilité élevée, proche du seuil de 30%, ce qui implique des fluctuations importantes pour les investisseurs.</w:t>
      </w:r>
    </w:p>
    <w:p>
      <w:pPr>
        <w:spacing w:after="120" w:line="276" w:lineRule="auto" w:before="240"/>
      </w:pPr>
      <w:r>
        <w:rPr>
          <w:b/>
          <w:color w:val="003366"/>
          <w:sz w:val="24"/>
        </w:rPr>
        <w:t>**PARTIE 2 : ANALYSE TECHNIQUE DÉTAILLÉE**</w:t>
      </w:r>
    </w:p>
    <w:p>
      <w:pPr>
        <w:spacing w:after="120" w:line="276" w:lineRule="auto"/>
      </w:pPr>
      <w:r>
        <w:t>**Moyennes Mobiles**: Le cours actuel de 21 010 FCFA se situe nettement au-dessus de la MM20 (19 651,75 FCFA) et de la MM50 (17 760,4 FCFA), confirmant une tendance haussière solide à court et moyen terme. La configuration des moyennes mobiles, avec la MM20 au-dessus de la MM50, valide la dynamique positive et justifie la décision d'achat.</w:t>
      </w:r>
    </w:p>
    <w:p>
      <w:pPr>
        <w:spacing w:after="120" w:line="276" w:lineRule="auto"/>
      </w:pPr>
      <w:r>
        <w:t>**Bandes de Bollinger**: Le prix se positionne entre la borne supérieure (23 064,226 FCFA) et la borne inférieure (16 239,274 FCFA), plus près de la borne haute, ce qui indique une pression acheteuse soutenue. La largeur des bandes reflète la volatilité élevée du titre. La décision neutre suggère que le marché attend une confirmation directionnelle avant de poursuivre son mouvement.</w:t>
      </w:r>
    </w:p>
    <w:p>
      <w:pPr>
        <w:spacing w:after="120" w:line="276" w:lineRule="auto"/>
      </w:pPr>
      <w:r>
        <w:t>**MACD**: La valeur du MACD (1 128,46) est supérieure à son signal (1 093,263), indiquant un momentum haussier positif. Cette configuration, avec le MACD au-dessus du signal, confirme la poursuite de la tendance haussière et justifie la décision d'achat, bien que l'écart relativement faible suggère une possible consolidation à court terme.</w:t>
      </w:r>
    </w:p>
    <w:p>
      <w:pPr>
        <w:spacing w:after="120" w:line="276" w:lineRule="auto"/>
      </w:pPr>
      <w:r>
        <w:t>**RSI**: À 75,595, le RSI est entré en zone de surachat (&gt;70), signalant que le titre est potentiellement surévalué à court terme. Cette situation suggère un risque de correction ou de consolidation, justifiant la décision de vente. Les investisseurs devraient surveiller un éventuel retour sous le seuil de 70 pour confirmer un essoufflement de la dynamique haussière.</w:t>
      </w:r>
    </w:p>
    <w:p>
      <w:pPr>
        <w:spacing w:after="120" w:line="276" w:lineRule="auto"/>
      </w:pPr>
      <w:r>
        <w:t>**Stochastique**: Le %K (83,39) et le %D (86,511) sont tous deux en zone de surachat, avec le %D au-dessus du %K, indiquant une possible divergence baissière. Cette configuration suggère un affaiblissement du momentum haussier et justifie la décision de vente, bien que le croisement baissier ne soit pas encore confirmé.</w:t>
      </w:r>
    </w:p>
    <w:p>
      <w:pPr>
        <w:spacing w:after="120" w:line="276" w:lineRule="auto"/>
      </w:pPr>
      <w:r>
        <w:t>**Conclusion technique**: Les indicateurs de tendance (MM, MACD) sont positifs, mais les oscillateurs (RSI, Stochastique) signalent une situation de surachat. Cette divergence entre indicateurs de tendance et oscillateurs suggère une possible consolidation à court terme avant la poursuite de la tendance haussière de fond. La prudence est recommandée pour les nouveaux achats à ces niveaux.</w:t>
      </w:r>
    </w:p>
    <w:p>
      <w:pPr>
        <w:spacing w:after="120" w:line="276" w:lineRule="auto" w:before="240"/>
      </w:pPr>
      <w:r>
        <w:rPr>
          <w:b/>
          <w:color w:val="003366"/>
          <w:sz w:val="24"/>
        </w:rPr>
        <w:t>**PARTIE 3 : ANALYSE FONDAMENTALE (SECTION CRITIQUE)**</w:t>
      </w:r>
    </w:p>
    <w:p>
      <w:pPr>
        <w:spacing w:after="120" w:line="276" w:lineRule="auto"/>
      </w:pPr>
      <w:r>
        <w:t>En 2025, Orange Côte d'Ivoire affiche des performances financières solides avec un chiffre d'affaires de 1 197,1 milliards FCFA, en hausse de 10,4% par rapport à 2024 (1 084,1 milliards FCFA). Le résultat net consolidé s'établit à 167,8 milliards FCFA, en progression de 6,1%, avec un résultat net part du groupe de 129,1 milliards FCFA (+14,5%). La rentabilité des fonds propres (ROE) est excellente à 23,7%, tandis que le ROA atteint 6,6%. L'entreprise affiche une marge nette de 14,0% et une marge opérationnelle de 24,0%. Le BFR est négatif (-198 milliards FCFA), ce qui est favorable pour la trésorerie, avec un délai fournisseurs très avantageux de 210,87 jours contre 52,26 jours pour le délai clients. L'endettement reste maîtrisé avec une capacité de remboursement de 0,99 an. Les rapports trimestriels 2025 montrent une croissance soutenue du CA (+9,9% au S1 et T3), mais une stagnation du résultat net (+0,5% au S1, +0,2% au T3) due à l'augmentation des charges financières. Cependant, le rapport T1 2026 (publié en 2026) révèle une accélération spectaculaire avec un CA de 325,6 milliards FCFA (+14,8%) et un résultat net de 48,3 milliards FCFA (+25,2%), suggérant une amélioration significative de la rentabilité pour 2026. Le dividende proposé de 800 FCFA par action pour 2025 représente un rendement attractif, bien qu'en baisse par rapport aux années précédentes.</w:t>
      </w:r>
    </w:p>
    <w:p>
      <w:pPr>
        <w:spacing w:after="120" w:line="276" w:lineRule="auto" w:before="240"/>
      </w:pPr>
      <w:r>
        <w:rPr>
          <w:b/>
          <w:color w:val="003366"/>
          <w:sz w:val="24"/>
        </w:rPr>
        <w:t>**PARTIE 4 : CONCLUSION D'INVESTISSEMENT**</w:t>
      </w:r>
    </w:p>
    <w:p>
      <w:pPr>
        <w:spacing w:after="120" w:line="276" w:lineRule="auto"/>
      </w:pPr>
      <w:r>
        <w:t>La valorisation d'ORAC (PER 18,9x, P/B 4,47x) indique une prime de marché significative, justifiée par la qualité des fondamentaux et les perspectives de croissance. Le comportement du cours sur 100 jours (+40%) avec une volatilité élevée (29,3%) et des statistiques montrant une asymétrie positive suggère une dynamique haussière soutenue mais potentiellement surchauffée. Les signaux techniques sont mitigés : les indicateurs de tendance (MM, MACD) restent positifs, mais les oscillateurs (RSI 75,6, Stochastique 83,4) signalent un surachat imminent. Les fondamentaux sont excellents avec une croissance du CA de 10,4% en 2025 et une accélération au T1 2026 (+14,8% CA, +25,2% résultat net), confirmant la solidité du modèle économique. Les prédictions IA (20 703 FCFA à J+10) suggèrent une légère correction par rapport au cours actuel de 21 010 FCFA, cohérente avec les signaux de surachat technique. La convergence entre la surévaluation relative, les signaux techniques de surachat et les prédictions IA baissières à court terme, contrebalancée par des fondamentaux excellents et des perspectives de croissance solides, conduit à une recommandation de **CONSERVER** avec un niveau de confiance **Moyen**. Le risque global est **Moyen**, et l'horizon d'investissement optimal est le **moyen terme (3-12 mois)**, en attendant une correction technique pour renforcer les positions ou une confirmation de la poursuite de la tendance haussière.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
      <w:r>
        <w:t>════════════════════════════════════════════════════════════════════════════════</w:t>
      </w:r>
    </w:p>
    <w:p>
      <w:r>
        <w:br w:type="page"/>
      </w:r>
    </w:p>
    <w:p>
      <w:pPr>
        <w:pStyle w:val="Heading2"/>
        <w:spacing w:before="360"/>
      </w:pPr>
      <w:r>
        <w:rPr>
          <w:color w:val="0066CC"/>
        </w:rPr>
        <w:t>24.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231.50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5,549 titres</w:t>
            </w:r>
          </w:p>
        </w:tc>
        <w:tc>
          <w:tcPr>
            <w:tcW w:type="dxa" w:w="2268"/>
            <w:shd w:fill="FFF2CC" w:val="clear"/>
          </w:tcPr>
          <w:p>
            <w:r>
              <w:rPr>
                <w:b/>
                <w:color w:val="503200"/>
                <w:sz w:val="16"/>
              </w:rPr>
              <w:t xml:space="preserve">Cours actuel : </w:t>
            </w:r>
            <w:r>
              <w:rPr>
                <w:color w:val="000000"/>
                <w:sz w:val="17"/>
              </w:rPr>
              <w:t>3,335 FCFA</w:t>
            </w:r>
          </w:p>
          <w:p>
            <w:r>
              <w:rPr>
                <w:b/>
                <w:color w:val="503200"/>
                <w:sz w:val="16"/>
              </w:rPr>
              <w:t xml:space="preserve">Var. 100 jours : </w:t>
            </w:r>
            <w:r>
              <w:rPr>
                <w:b/>
                <w:color w:val="B40000"/>
                <w:sz w:val="17"/>
              </w:rPr>
              <w:t>-8.63%</w:t>
            </w:r>
          </w:p>
          <w:p>
            <w:r>
              <w:rPr>
                <w:b/>
                <w:color w:val="503200"/>
                <w:sz w:val="16"/>
              </w:rPr>
              <w:t xml:space="preserve">Plus haut 100j : </w:t>
            </w:r>
            <w:r>
              <w:rPr>
                <w:color w:val="000000"/>
                <w:sz w:val="17"/>
              </w:rPr>
              <w:t>3,650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44.0%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9.75% (Moyenne) — μ=2,919 FCFA, σ=285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β=0.3294 (Défensif) — Cov=0.000012, Var(idx)=0.000036, ρ=0.072,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5,549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σ_j=2.77%/j (Stable) — Vol. annualisée≈44.0%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2026-09-07</w:t>
            </w:r>
          </w:p>
        </w:tc>
        <w:tc>
          <w:tcPr>
            <w:tcW w:type="dxa" w:w="1440"/>
            <w:shd w:fill="FFDCE0" w:val="clear"/>
          </w:tcPr>
          <w:p>
            <w:r>
              <w:rPr>
                <w:sz w:val="17"/>
              </w:rPr>
              <w:t>3,144</w:t>
            </w:r>
          </w:p>
        </w:tc>
        <w:tc>
          <w:tcPr>
            <w:tcW w:type="dxa" w:w="1440"/>
            <w:shd w:fill="FFDCE0" w:val="clear"/>
          </w:tcPr>
          <w:p>
            <w:r>
              <w:rPr>
                <w:b/>
                <w:sz w:val="17"/>
              </w:rPr>
              <w:t>3,246</w:t>
            </w:r>
          </w:p>
        </w:tc>
        <w:tc>
          <w:tcPr>
            <w:tcW w:type="dxa" w:w="1440"/>
            <w:shd w:fill="FFDCE0" w:val="clear"/>
          </w:tcPr>
          <w:p>
            <w:r>
              <w:rPr>
                <w:sz w:val="17"/>
              </w:rPr>
              <w:t>3,347</w:t>
            </w:r>
          </w:p>
        </w:tc>
        <w:tc>
          <w:tcPr>
            <w:tcW w:type="dxa" w:w="1440"/>
            <w:shd w:fill="FFDCE0" w:val="clear"/>
          </w:tcPr>
          <w:p>
            <w:r>
              <w:rPr>
                <w:b/>
                <w:color w:val="C00000"/>
                <w:sz w:val="17"/>
              </w:rPr>
              <w:t>-2.7%</w:t>
            </w:r>
          </w:p>
        </w:tc>
      </w:tr>
      <w:tr>
        <w:tc>
          <w:tcPr>
            <w:tcW w:type="dxa" w:w="1440"/>
            <w:shd w:fill="FFDCE0" w:val="clear"/>
          </w:tcPr>
          <w:p>
            <w:r>
              <w:rPr>
                <w:sz w:val="17"/>
              </w:rPr>
              <w:t>J+2  ⭐⭐⭐</w:t>
            </w:r>
          </w:p>
        </w:tc>
        <w:tc>
          <w:tcPr>
            <w:tcW w:type="dxa" w:w="1440"/>
            <w:shd w:fill="FFDCE0" w:val="clear"/>
          </w:tcPr>
          <w:p>
            <w:r>
              <w:rPr>
                <w:sz w:val="17"/>
              </w:rPr>
              <w:t>2026-09-08</w:t>
            </w:r>
          </w:p>
        </w:tc>
        <w:tc>
          <w:tcPr>
            <w:tcW w:type="dxa" w:w="1440"/>
            <w:shd w:fill="FFDCE0" w:val="clear"/>
          </w:tcPr>
          <w:p>
            <w:r>
              <w:rPr>
                <w:sz w:val="17"/>
              </w:rPr>
              <w:t>3,101</w:t>
            </w:r>
          </w:p>
        </w:tc>
        <w:tc>
          <w:tcPr>
            <w:tcW w:type="dxa" w:w="1440"/>
            <w:shd w:fill="FFDCE0" w:val="clear"/>
          </w:tcPr>
          <w:p>
            <w:r>
              <w:rPr>
                <w:b/>
                <w:sz w:val="17"/>
              </w:rPr>
              <w:t>3,244</w:t>
            </w:r>
          </w:p>
        </w:tc>
        <w:tc>
          <w:tcPr>
            <w:tcW w:type="dxa" w:w="1440"/>
            <w:shd w:fill="FFDCE0" w:val="clear"/>
          </w:tcPr>
          <w:p>
            <w:r>
              <w:rPr>
                <w:sz w:val="17"/>
              </w:rPr>
              <w:t>3,388</w:t>
            </w:r>
          </w:p>
        </w:tc>
        <w:tc>
          <w:tcPr>
            <w:tcW w:type="dxa" w:w="1440"/>
            <w:shd w:fill="FFDCE0" w:val="clear"/>
          </w:tcPr>
          <w:p>
            <w:r>
              <w:rPr>
                <w:b/>
                <w:color w:val="C00000"/>
                <w:sz w:val="17"/>
              </w:rPr>
              <w:t>-2.7%</w:t>
            </w:r>
          </w:p>
        </w:tc>
      </w:tr>
      <w:tr>
        <w:tc>
          <w:tcPr>
            <w:tcW w:type="dxa" w:w="1440"/>
            <w:shd w:fill="FFDCE0" w:val="clear"/>
          </w:tcPr>
          <w:p>
            <w:r>
              <w:rPr>
                <w:sz w:val="17"/>
              </w:rPr>
              <w:t>J+3  ⭐⭐⭐</w:t>
            </w:r>
          </w:p>
        </w:tc>
        <w:tc>
          <w:tcPr>
            <w:tcW w:type="dxa" w:w="1440"/>
            <w:shd w:fill="FFDCE0" w:val="clear"/>
          </w:tcPr>
          <w:p>
            <w:r>
              <w:rPr>
                <w:sz w:val="17"/>
              </w:rPr>
              <w:t>2026-09-09</w:t>
            </w:r>
          </w:p>
        </w:tc>
        <w:tc>
          <w:tcPr>
            <w:tcW w:type="dxa" w:w="1440"/>
            <w:shd w:fill="FFDCE0" w:val="clear"/>
          </w:tcPr>
          <w:p>
            <w:r>
              <w:rPr>
                <w:sz w:val="17"/>
              </w:rPr>
              <w:t>3,063</w:t>
            </w:r>
          </w:p>
        </w:tc>
        <w:tc>
          <w:tcPr>
            <w:tcW w:type="dxa" w:w="1440"/>
            <w:shd w:fill="FFDCE0" w:val="clear"/>
          </w:tcPr>
          <w:p>
            <w:r>
              <w:rPr>
                <w:b/>
                <w:sz w:val="17"/>
              </w:rPr>
              <w:t>3,238</w:t>
            </w:r>
          </w:p>
        </w:tc>
        <w:tc>
          <w:tcPr>
            <w:tcW w:type="dxa" w:w="1440"/>
            <w:shd w:fill="FFDCE0" w:val="clear"/>
          </w:tcPr>
          <w:p>
            <w:r>
              <w:rPr>
                <w:sz w:val="17"/>
              </w:rPr>
              <w:t>3,413</w:t>
            </w:r>
          </w:p>
        </w:tc>
        <w:tc>
          <w:tcPr>
            <w:tcW w:type="dxa" w:w="1440"/>
            <w:shd w:fill="FFDCE0" w:val="clear"/>
          </w:tcPr>
          <w:p>
            <w:r>
              <w:rPr>
                <w:b/>
                <w:color w:val="C00000"/>
                <w:sz w:val="17"/>
              </w:rPr>
              <w:t>-2.9%</w:t>
            </w:r>
          </w:p>
        </w:tc>
      </w:tr>
      <w:tr>
        <w:tc>
          <w:tcPr>
            <w:tcW w:type="dxa" w:w="1440"/>
            <w:shd w:fill="FFDCE0" w:val="clear"/>
          </w:tcPr>
          <w:p>
            <w:r>
              <w:rPr>
                <w:sz w:val="17"/>
              </w:rPr>
              <w:t>J+4  Moyenne</w:t>
            </w:r>
          </w:p>
        </w:tc>
        <w:tc>
          <w:tcPr>
            <w:tcW w:type="dxa" w:w="1440"/>
            <w:shd w:fill="FFDCE0" w:val="clear"/>
          </w:tcPr>
          <w:p>
            <w:r>
              <w:rPr>
                <w:sz w:val="17"/>
              </w:rPr>
              <w:t>2026-09-10</w:t>
            </w:r>
          </w:p>
        </w:tc>
        <w:tc>
          <w:tcPr>
            <w:tcW w:type="dxa" w:w="1440"/>
            <w:shd w:fill="FFDCE0" w:val="clear"/>
          </w:tcPr>
          <w:p>
            <w:r>
              <w:rPr>
                <w:sz w:val="17"/>
              </w:rPr>
              <w:t>3,031</w:t>
            </w:r>
          </w:p>
        </w:tc>
        <w:tc>
          <w:tcPr>
            <w:tcW w:type="dxa" w:w="1440"/>
            <w:shd w:fill="FFDCE0" w:val="clear"/>
          </w:tcPr>
          <w:p>
            <w:r>
              <w:rPr>
                <w:b/>
                <w:sz w:val="17"/>
              </w:rPr>
              <w:t>3,233</w:t>
            </w:r>
          </w:p>
        </w:tc>
        <w:tc>
          <w:tcPr>
            <w:tcW w:type="dxa" w:w="1440"/>
            <w:shd w:fill="FFDCE0" w:val="clear"/>
          </w:tcPr>
          <w:p>
            <w:r>
              <w:rPr>
                <w:sz w:val="17"/>
              </w:rPr>
              <w:t>3,435</w:t>
            </w:r>
          </w:p>
        </w:tc>
        <w:tc>
          <w:tcPr>
            <w:tcW w:type="dxa" w:w="1440"/>
            <w:shd w:fill="FFDCE0" w:val="clear"/>
          </w:tcPr>
          <w:p>
            <w:r>
              <w:rPr>
                <w:b/>
                <w:color w:val="C00000"/>
                <w:sz w:val="17"/>
              </w:rPr>
              <w:t>-3.1%</w:t>
            </w:r>
          </w:p>
        </w:tc>
      </w:tr>
      <w:tr>
        <w:tc>
          <w:tcPr>
            <w:tcW w:type="dxa" w:w="1440"/>
            <w:shd w:fill="FFDCE0" w:val="clear"/>
          </w:tcPr>
          <w:p>
            <w:r>
              <w:rPr>
                <w:sz w:val="17"/>
              </w:rPr>
              <w:t>J+5  Moyenne</w:t>
            </w:r>
          </w:p>
        </w:tc>
        <w:tc>
          <w:tcPr>
            <w:tcW w:type="dxa" w:w="1440"/>
            <w:shd w:fill="FFDCE0" w:val="clear"/>
          </w:tcPr>
          <w:p>
            <w:r>
              <w:rPr>
                <w:sz w:val="17"/>
              </w:rPr>
              <w:t>2026-09-11</w:t>
            </w:r>
          </w:p>
        </w:tc>
        <w:tc>
          <w:tcPr>
            <w:tcW w:type="dxa" w:w="1440"/>
            <w:shd w:fill="FFDCE0" w:val="clear"/>
          </w:tcPr>
          <w:p>
            <w:r>
              <w:rPr>
                <w:sz w:val="17"/>
              </w:rPr>
              <w:t>3,003</w:t>
            </w:r>
          </w:p>
        </w:tc>
        <w:tc>
          <w:tcPr>
            <w:tcW w:type="dxa" w:w="1440"/>
            <w:shd w:fill="FFDCE0" w:val="clear"/>
          </w:tcPr>
          <w:p>
            <w:r>
              <w:rPr>
                <w:b/>
                <w:sz w:val="17"/>
              </w:rPr>
              <w:t>3,228</w:t>
            </w:r>
          </w:p>
        </w:tc>
        <w:tc>
          <w:tcPr>
            <w:tcW w:type="dxa" w:w="1440"/>
            <w:shd w:fill="FFDCE0" w:val="clear"/>
          </w:tcPr>
          <w:p>
            <w:r>
              <w:rPr>
                <w:sz w:val="17"/>
              </w:rPr>
              <w:t>3,454</w:t>
            </w:r>
          </w:p>
        </w:tc>
        <w:tc>
          <w:tcPr>
            <w:tcW w:type="dxa" w:w="1440"/>
            <w:shd w:fill="FFDCE0" w:val="clear"/>
          </w:tcPr>
          <w:p>
            <w:r>
              <w:rPr>
                <w:b/>
                <w:color w:val="C00000"/>
                <w:sz w:val="17"/>
              </w:rPr>
              <w:t>-3.2%</w:t>
            </w:r>
          </w:p>
        </w:tc>
      </w:tr>
      <w:tr>
        <w:tc>
          <w:tcPr>
            <w:tcW w:type="dxa" w:w="1440"/>
            <w:shd w:fill="FFDCE0" w:val="clear"/>
          </w:tcPr>
          <w:p>
            <w:r>
              <w:rPr>
                <w:sz w:val="17"/>
              </w:rPr>
              <w:t>J+6  Moyenne</w:t>
            </w:r>
          </w:p>
        </w:tc>
        <w:tc>
          <w:tcPr>
            <w:tcW w:type="dxa" w:w="1440"/>
            <w:shd w:fill="FFDCE0" w:val="clear"/>
          </w:tcPr>
          <w:p>
            <w:r>
              <w:rPr>
                <w:sz w:val="17"/>
              </w:rPr>
              <w:t>2026-09-14</w:t>
            </w:r>
          </w:p>
        </w:tc>
        <w:tc>
          <w:tcPr>
            <w:tcW w:type="dxa" w:w="1440"/>
            <w:shd w:fill="FFDCE0" w:val="clear"/>
          </w:tcPr>
          <w:p>
            <w:r>
              <w:rPr>
                <w:sz w:val="17"/>
              </w:rPr>
              <w:t>2,978</w:t>
            </w:r>
          </w:p>
        </w:tc>
        <w:tc>
          <w:tcPr>
            <w:tcW w:type="dxa" w:w="1440"/>
            <w:shd w:fill="FFDCE0" w:val="clear"/>
          </w:tcPr>
          <w:p>
            <w:r>
              <w:rPr>
                <w:b/>
                <w:sz w:val="17"/>
              </w:rPr>
              <w:t>3,225</w:t>
            </w:r>
          </w:p>
        </w:tc>
        <w:tc>
          <w:tcPr>
            <w:tcW w:type="dxa" w:w="1440"/>
            <w:shd w:fill="FFDCE0" w:val="clear"/>
          </w:tcPr>
          <w:p>
            <w:r>
              <w:rPr>
                <w:sz w:val="17"/>
              </w:rPr>
              <w:t>3,471</w:t>
            </w:r>
          </w:p>
        </w:tc>
        <w:tc>
          <w:tcPr>
            <w:tcW w:type="dxa" w:w="1440"/>
            <w:shd w:fill="FFDCE0" w:val="clear"/>
          </w:tcPr>
          <w:p>
            <w:r>
              <w:rPr>
                <w:b/>
                <w:color w:val="C00000"/>
                <w:sz w:val="17"/>
              </w:rPr>
              <w:t>-3.3%</w:t>
            </w:r>
          </w:p>
        </w:tc>
      </w:tr>
      <w:tr>
        <w:tc>
          <w:tcPr>
            <w:tcW w:type="dxa" w:w="1440"/>
            <w:shd w:fill="FFDCE0" w:val="clear"/>
          </w:tcPr>
          <w:p>
            <w:r>
              <w:rPr>
                <w:sz w:val="17"/>
              </w:rPr>
              <w:t>J+7  Moyenne</w:t>
            </w:r>
          </w:p>
        </w:tc>
        <w:tc>
          <w:tcPr>
            <w:tcW w:type="dxa" w:w="1440"/>
            <w:shd w:fill="FFDCE0" w:val="clear"/>
          </w:tcPr>
          <w:p>
            <w:r>
              <w:rPr>
                <w:sz w:val="17"/>
              </w:rPr>
              <w:t>2026-09-15</w:t>
            </w:r>
          </w:p>
        </w:tc>
        <w:tc>
          <w:tcPr>
            <w:tcW w:type="dxa" w:w="1440"/>
            <w:shd w:fill="FFDCE0" w:val="clear"/>
          </w:tcPr>
          <w:p>
            <w:r>
              <w:rPr>
                <w:sz w:val="17"/>
              </w:rPr>
              <w:t>2,955</w:t>
            </w:r>
          </w:p>
        </w:tc>
        <w:tc>
          <w:tcPr>
            <w:tcW w:type="dxa" w:w="1440"/>
            <w:shd w:fill="FFDCE0" w:val="clear"/>
          </w:tcPr>
          <w:p>
            <w:r>
              <w:rPr>
                <w:b/>
                <w:sz w:val="17"/>
              </w:rPr>
              <w:t>3,221</w:t>
            </w:r>
          </w:p>
        </w:tc>
        <w:tc>
          <w:tcPr>
            <w:tcW w:type="dxa" w:w="1440"/>
            <w:shd w:fill="FFDCE0" w:val="clear"/>
          </w:tcPr>
          <w:p>
            <w:r>
              <w:rPr>
                <w:sz w:val="17"/>
              </w:rPr>
              <w:t>3,488</w:t>
            </w:r>
          </w:p>
        </w:tc>
        <w:tc>
          <w:tcPr>
            <w:tcW w:type="dxa" w:w="1440"/>
            <w:shd w:fill="FFDCE0" w:val="clear"/>
          </w:tcPr>
          <w:p>
            <w:r>
              <w:rPr>
                <w:b/>
                <w:color w:val="C00000"/>
                <w:sz w:val="17"/>
              </w:rPr>
              <w:t>-3.4%</w:t>
            </w:r>
          </w:p>
        </w:tc>
      </w:tr>
      <w:tr>
        <w:tc>
          <w:tcPr>
            <w:tcW w:type="dxa" w:w="1440"/>
            <w:shd w:fill="FFDCE0" w:val="clear"/>
          </w:tcPr>
          <w:p>
            <w:r>
              <w:rPr>
                <w:sz w:val="17"/>
              </w:rPr>
              <w:t>J+8  Moyenne</w:t>
            </w:r>
          </w:p>
        </w:tc>
        <w:tc>
          <w:tcPr>
            <w:tcW w:type="dxa" w:w="1440"/>
            <w:shd w:fill="FFDCE0" w:val="clear"/>
          </w:tcPr>
          <w:p>
            <w:r>
              <w:rPr>
                <w:sz w:val="17"/>
              </w:rPr>
              <w:t>2026-09-16</w:t>
            </w:r>
          </w:p>
        </w:tc>
        <w:tc>
          <w:tcPr>
            <w:tcW w:type="dxa" w:w="1440"/>
            <w:shd w:fill="FFDCE0" w:val="clear"/>
          </w:tcPr>
          <w:p>
            <w:r>
              <w:rPr>
                <w:sz w:val="17"/>
              </w:rPr>
              <w:t>2,934</w:t>
            </w:r>
          </w:p>
        </w:tc>
        <w:tc>
          <w:tcPr>
            <w:tcW w:type="dxa" w:w="1440"/>
            <w:shd w:fill="FFDCE0" w:val="clear"/>
          </w:tcPr>
          <w:p>
            <w:r>
              <w:rPr>
                <w:b/>
                <w:sz w:val="17"/>
              </w:rPr>
              <w:t>3,218</w:t>
            </w:r>
          </w:p>
        </w:tc>
        <w:tc>
          <w:tcPr>
            <w:tcW w:type="dxa" w:w="1440"/>
            <w:shd w:fill="FFDCE0" w:val="clear"/>
          </w:tcPr>
          <w:p>
            <w:r>
              <w:rPr>
                <w:sz w:val="17"/>
              </w:rPr>
              <w:t>3,502</w:t>
            </w:r>
          </w:p>
        </w:tc>
        <w:tc>
          <w:tcPr>
            <w:tcW w:type="dxa" w:w="1440"/>
            <w:shd w:fill="FFDCE0" w:val="clear"/>
          </w:tcPr>
          <w:p>
            <w:r>
              <w:rPr>
                <w:b/>
                <w:color w:val="C00000"/>
                <w:sz w:val="17"/>
              </w:rPr>
              <w:t>-3.5%</w:t>
            </w:r>
          </w:p>
        </w:tc>
      </w:tr>
      <w:tr>
        <w:tc>
          <w:tcPr>
            <w:tcW w:type="dxa" w:w="1440"/>
            <w:shd w:fill="FFDCE0" w:val="clear"/>
          </w:tcPr>
          <w:p>
            <w:r>
              <w:rPr>
                <w:sz w:val="17"/>
              </w:rPr>
              <w:t>J+9  Moyenne</w:t>
            </w:r>
          </w:p>
        </w:tc>
        <w:tc>
          <w:tcPr>
            <w:tcW w:type="dxa" w:w="1440"/>
            <w:shd w:fill="FFDCE0" w:val="clear"/>
          </w:tcPr>
          <w:p>
            <w:r>
              <w:rPr>
                <w:sz w:val="17"/>
              </w:rPr>
              <w:t>2026-09-17</w:t>
            </w:r>
          </w:p>
        </w:tc>
        <w:tc>
          <w:tcPr>
            <w:tcW w:type="dxa" w:w="1440"/>
            <w:shd w:fill="FFDCE0" w:val="clear"/>
          </w:tcPr>
          <w:p>
            <w:r>
              <w:rPr>
                <w:sz w:val="17"/>
              </w:rPr>
              <w:t>2,914</w:t>
            </w:r>
          </w:p>
        </w:tc>
        <w:tc>
          <w:tcPr>
            <w:tcW w:type="dxa" w:w="1440"/>
            <w:shd w:fill="FFDCE0" w:val="clear"/>
          </w:tcPr>
          <w:p>
            <w:r>
              <w:rPr>
                <w:b/>
                <w:sz w:val="17"/>
              </w:rPr>
              <w:t>3,215</w:t>
            </w:r>
          </w:p>
        </w:tc>
        <w:tc>
          <w:tcPr>
            <w:tcW w:type="dxa" w:w="1440"/>
            <w:shd w:fill="FFDCE0" w:val="clear"/>
          </w:tcPr>
          <w:p>
            <w:r>
              <w:rPr>
                <w:sz w:val="17"/>
              </w:rPr>
              <w:t>3,516</w:t>
            </w:r>
          </w:p>
        </w:tc>
        <w:tc>
          <w:tcPr>
            <w:tcW w:type="dxa" w:w="1440"/>
            <w:shd w:fill="FFDCE0" w:val="clear"/>
          </w:tcPr>
          <w:p>
            <w:r>
              <w:rPr>
                <w:b/>
                <w:color w:val="C00000"/>
                <w:sz w:val="17"/>
              </w:rPr>
              <w:t>-3.6%</w:t>
            </w:r>
          </w:p>
        </w:tc>
      </w:tr>
      <w:tr>
        <w:tc>
          <w:tcPr>
            <w:tcW w:type="dxa" w:w="1440"/>
            <w:shd w:fill="FFDCE0" w:val="clear"/>
          </w:tcPr>
          <w:p>
            <w:r>
              <w:rPr>
                <w:sz w:val="17"/>
              </w:rPr>
              <w:t>J+10  Moyenne</w:t>
            </w:r>
          </w:p>
        </w:tc>
        <w:tc>
          <w:tcPr>
            <w:tcW w:type="dxa" w:w="1440"/>
            <w:shd w:fill="FFDCE0" w:val="clear"/>
          </w:tcPr>
          <w:p>
            <w:r>
              <w:rPr>
                <w:sz w:val="17"/>
              </w:rPr>
              <w:t>2026-09-18</w:t>
            </w:r>
          </w:p>
        </w:tc>
        <w:tc>
          <w:tcPr>
            <w:tcW w:type="dxa" w:w="1440"/>
            <w:shd w:fill="FFDCE0" w:val="clear"/>
          </w:tcPr>
          <w:p>
            <w:r>
              <w:rPr>
                <w:sz w:val="17"/>
              </w:rPr>
              <w:t>2,895</w:t>
            </w:r>
          </w:p>
        </w:tc>
        <w:tc>
          <w:tcPr>
            <w:tcW w:type="dxa" w:w="1440"/>
            <w:shd w:fill="FFDCE0" w:val="clear"/>
          </w:tcPr>
          <w:p>
            <w:r>
              <w:rPr>
                <w:b/>
                <w:sz w:val="17"/>
              </w:rPr>
              <w:t>3,212</w:t>
            </w:r>
          </w:p>
        </w:tc>
        <w:tc>
          <w:tcPr>
            <w:tcW w:type="dxa" w:w="1440"/>
            <w:shd w:fill="FFDCE0" w:val="clear"/>
          </w:tcPr>
          <w:p>
            <w:r>
              <w:rPr>
                <w:sz w:val="17"/>
              </w:rPr>
              <w:t>3,529</w:t>
            </w:r>
          </w:p>
        </w:tc>
        <w:tc>
          <w:tcPr>
            <w:tcW w:type="dxa" w:w="1440"/>
            <w:shd w:fill="FFDCE0" w:val="clear"/>
          </w:tcPr>
          <w:p>
            <w:r>
              <w:rPr>
                <w:b/>
                <w:color w:val="C00000"/>
                <w:sz w:val="17"/>
              </w:rPr>
              <w:t>-3.7%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**RAPPORT D'ANALYSE FINANCIÈRE — ORGT (ORAGROUP)**</w:t>
        <w:br/>
        <w:t>**Date de l'analyse :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d'ORGT s'établit à 231,50 milliards FCFA, un niveau significatif qui positionne le titre parmi les valeurs moyennes du marché BRVM. Le BPA de 312 FCFA indique que chaque action génère un bénéfice substantiel, justifiant un PER de 10,7x, en ligne avec la moyenne du marché BRVM (8-12x), ce qui traduit une valorisation raisonnable sans prime excessive. Le P/B de 2,05x montre que le marché valorise la société à environ le double de sa valeur comptable, une prime de croissance accordée aux investisseurs confiants dans le potentiel de redressement. Toutefois, l'EV/EBITDA de 20,3x apparaît très exigeant, suggérant que la valeur totale de l'entreprise (dette incluse) est élevée par rapport à sa capacité opérationnelle, signalant une certaine prudence nécessaire.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ORGT a enregistré une variation totale de -8,63%, avec un rebond notable de +4,22% lors de la dernière séance, indiquant une possible reprise à court terme. Le cours a fluctué entre un plus bas de 2 435 FCFA et un plus haut de 3 650 FCFA, montrant une amplitude de trading considérable. La moyenne de 2 919 FCFA est inférieure à la médiane de 2 780 FCFA, suggérant une distribution asymétrique avec des valeurs extrêmes tirant la moyenne vers le haut. L'écart-type de 286 FCFA (CV=9,8%) révèle une dispersion modérée des prix autour de la moyenne. Le kurtosis de -0,943 (mésokurtique) indique une distribution proche de la normale, tandis que le skewness de 0,459 confirme une asymétrie positive, avec des pics occasionnels à la hausse. La volatilité annualisée de 44,0% est élevée, reflétant un titre risqué mais offrant des opportunités de rendement substantiel.</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3 335 FCFA est nettement supérieur à la MM20 (3 143 FCFA) et à la MM50 (2 921,3 FCFA), indiquant une tendance haussière solide. La décision d'achat est justifiée par cette configuration positive, où le prix évolue au-dessus des moyennes, confirmant un momentum haussier.</w:t>
      </w:r>
    </w:p>
    <w:p>
      <w:pPr>
        <w:spacing w:after="120" w:line="276" w:lineRule="auto"/>
      </w:pPr>
      <w:r>
        <w:t>**Bandes de Bollinger** : Le prix se situe au-dessus de la borne supérieure (3 280,8 FCFA), signalant une condition de surachat temporaire. La décision de vente est émise car le titre est sorti de son canal de volatilité, ce qui pourrait précéder un repli correctif. La volatilité est élevée, comme en témoigne l'écart entre les bornes.</w:t>
      </w:r>
    </w:p>
    <w:p>
      <w:pPr>
        <w:spacing w:after="120" w:line="276" w:lineRule="auto"/>
      </w:pPr>
      <w:r>
        <w:t>**MACD** : Le MACD (85,5) est supérieur à son signal (84,2), indiquant un momentum positif persistant. La décision d'achat est confirmée par cette divergence positive, suggérant que la tendance haussière pourrait se poursuivre à court terme.</w:t>
      </w:r>
    </w:p>
    <w:p>
      <w:pPr>
        <w:spacing w:after="120" w:line="276" w:lineRule="auto"/>
      </w:pPr>
      <w:r>
        <w:t>**RSI** : Avec une valeur de 76,7, le RSI est en zone de surachat (&gt;70), signalant une possible correction imminente. La décision de vente est émise car le titre est surévalué à court terme, les investisseurs pouvant prendre des bénéfices.</w:t>
      </w:r>
    </w:p>
    <w:p>
      <w:pPr>
        <w:spacing w:after="120" w:line="276" w:lineRule="auto"/>
      </w:pPr>
      <w:r>
        <w:t>**Stochastique** : Le %K (100) et le %D (97,9) sont tous deux à des niveaux extrêmes, indiquant une condition de surachat sévère. La décision de vente est justifiée par ce croisement au sommet, prédisant un retournement baissier potentiel.</w:t>
      </w:r>
    </w:p>
    <w:p>
      <w:pPr>
        <w:spacing w:after="120" w:line="276" w:lineRule="auto"/>
      </w:pPr>
      <w:r>
        <w:t>**Conclusion technique** : Les indicateurs sont partagés, avec des signaux d'achat provenant des moyennes mobiles et du MACD, mais des signaux de vente émis par les bandes de Bollinger, le RSI et le stochastique. Cette divergence suggère une possible consolidation à court terme après la récente hausse, mais la tendance de fond reste positive.</w:t>
      </w:r>
    </w:p>
    <w:p>
      <w:pPr>
        <w:spacing w:after="120" w:line="276" w:lineRule="auto"/>
      </w:pPr>
      <w:r>
        <w:t>---</w:t>
      </w:r>
    </w:p>
    <w:p>
      <w:pPr>
        <w:spacing w:after="120" w:line="276" w:lineRule="auto"/>
      </w:pPr>
      <w:r>
        <w:t>### PARTIE 3 : ANALYSE FONDAMENTALE (SECTION CRITIQUE)</w:t>
      </w:r>
    </w:p>
    <w:p>
      <w:pPr>
        <w:spacing w:after="120" w:line="276" w:lineRule="auto"/>
      </w:pPr>
      <w:r>
        <w:t>En 2025, ORGT a réalisé un PNB de 186,609 milliards FCFA, en baisse de 4,5% par rapport à 2024 (195,436 milliards), mais le résultat net a spectaculairement rebondi à 21,643 milliards FCFA contre une perte de -44,363 milliards en 2024. Le ROE s'établit à 19,13%, un niveau excellent (&gt;15%), tandis que le ROA est de 0,54%, reflétant une rentabilité des actifs modérée. Le coefficient d'exploitation de 42,85% indique une banque très efficace dans sa gestion des charges. Le coût du risque de 3,74% reste élevé, signalant un risque de crédit significatif. Les dépôts clientèle (3 088,698 milliards) couvrent largement les créances clientèle (1 523,765 milliards), montrant une transformation saine. Les rapports trimestriels 2025 confirment cette trajectoire : au T1, le résultat net était de 4,8 milliards, au S1 de 18,3 milliards, et au T3 de 19,6 milliards, indiquant une amélioration progressive. Les rapports de 2026 (T1) montrent un PNB de 50,124 milliards (-2%) mais un résultat net de 6,555 milliards (+37%), suggérant une poursuite du redressement. On estime que l'exercice 2026 pourrait voir un PNB stable autour de 185-190 milliards et un résultat net en hausse à 25-28 milliards, soutenu par la maîtrise des coûts et du risque.</w:t>
      </w:r>
    </w:p>
    <w:p>
      <w:pPr>
        <w:spacing w:after="120" w:line="276" w:lineRule="auto"/>
      </w:pPr>
      <w:r>
        <w:t>---</w:t>
      </w:r>
    </w:p>
    <w:p>
      <w:pPr>
        <w:spacing w:after="120" w:line="276" w:lineRule="auto"/>
      </w:pPr>
      <w:r>
        <w:t>### PARTIE 4 : CONCLUSION D'INVESTISSEMENT</w:t>
      </w:r>
    </w:p>
    <w:p>
      <w:pPr>
        <w:spacing w:after="120" w:line="276" w:lineRule="auto"/>
      </w:pPr>
      <w:r>
        <w:t>La valorisation d'ORGT est modérée avec un PER de 10,7x et un P/B de 2,05x, indiquant une sous-évaluation relative par rapport aux bénéfices, mais l'EV/EBITDA élevé (20,3x) tempère cet optimisme. Le comportement du cours montre une tendance baissière sur 100 jours (-8,63%) mais un rebond récent de +4,22%, avec une volatilité élevée (44%) et une distribution symétrique, suggérant un risque maîtrisé. Les signaux techniques sont mitigés : les moyennes mobiles et le MACD sont positifs, mais le RSI, le stochastique et les bandes de Bollinger indiquent un surachat, prédisant une possible correction. Les fondamentaux sont solides avec un retour à la rentabilité en 2025, un ROE de 19,13% et une gestion efficace des coûts, mais la baisse du PNB et le coût du risque élevé nécessitent une surveillance. Les prédictions IA (3 246 à 3 228 FCFA sur 10 jours) suggèrent une légère baisse, contredisant les signaux techniques haussiers. En synthèse, je recommande **CONSERVER** avec un niveau de confiance **Moyen** et un risque global **Élevé**. L'horizon d'investissement optimal est à **moyen terme (3-12 mois)**, attendant une confirmation de la croissance du PNB et une stabilisation du coût du risque avant d'envisager un renforcement.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25.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139.13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3,655 titres</w:t>
            </w:r>
          </w:p>
        </w:tc>
        <w:tc>
          <w:tcPr>
            <w:tcW w:type="dxa" w:w="2268"/>
            <w:shd w:fill="FFF2CC" w:val="clear"/>
          </w:tcPr>
          <w:p>
            <w:r>
              <w:rPr>
                <w:b/>
                <w:color w:val="503200"/>
                <w:sz w:val="16"/>
              </w:rPr>
              <w:t xml:space="preserve">Cours actuel : </w:t>
            </w:r>
            <w:r>
              <w:rPr>
                <w:color w:val="000000"/>
                <w:sz w:val="17"/>
              </w:rPr>
              <w:t>9,000 FCFA</w:t>
            </w:r>
          </w:p>
          <w:p>
            <w:r>
              <w:rPr>
                <w:b/>
                <w:color w:val="503200"/>
                <w:sz w:val="16"/>
              </w:rPr>
              <w:t xml:space="preserve">Var. 100 jours : </w:t>
            </w:r>
            <w:r>
              <w:rPr>
                <w:b/>
                <w:color w:val="007800"/>
                <w:sz w:val="17"/>
              </w:rPr>
              <w:t>+4.65%</w:t>
            </w:r>
          </w:p>
          <w:p>
            <w:r>
              <w:rPr>
                <w:b/>
                <w:color w:val="503200"/>
                <w:sz w:val="16"/>
              </w:rPr>
              <w:t xml:space="preserve">Plus haut 100j : </w:t>
            </w:r>
            <w:r>
              <w:rPr>
                <w:color w:val="000000"/>
                <w:sz w:val="17"/>
              </w:rPr>
              <w:t>9,640 FCFA</w:t>
            </w:r>
          </w:p>
          <w:p>
            <w:r>
              <w:rPr>
                <w:b/>
                <w:color w:val="503200"/>
                <w:sz w:val="16"/>
              </w:rPr>
              <w:t xml:space="preserve">Plus bas 100j : </w:t>
            </w:r>
            <w:r>
              <w:rPr>
                <w:color w:val="000000"/>
                <w:sz w:val="17"/>
              </w:rPr>
              <w:t>7,000 FCFA</w:t>
            </w:r>
          </w:p>
          <w:p>
            <w:r>
              <w:rPr>
                <w:b/>
                <w:color w:val="503200"/>
                <w:sz w:val="16"/>
              </w:rPr>
              <w:t xml:space="preserve">Volatilité ann. : </w:t>
            </w:r>
            <w:r>
              <w:rPr>
                <w:color w:val="000000"/>
                <w:sz w:val="17"/>
              </w:rPr>
              <w:t>37.2%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6.71% (Moyenne) — μ=8,528 FCFA, σ=573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β=-0.2909 (Contre-cyclique) — Cov=-0.000011, Var(idx)=0.000036, ρ=-0.075,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3,655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σ_j=2.34%/j (Stable) — Vol. annualisée≈37.2%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2026-09-07</w:t>
            </w:r>
          </w:p>
        </w:tc>
        <w:tc>
          <w:tcPr>
            <w:tcW w:type="dxa" w:w="1440"/>
            <w:shd w:fill="FAFAFA" w:val="clear"/>
          </w:tcPr>
          <w:p>
            <w:r>
              <w:rPr>
                <w:sz w:val="17"/>
              </w:rPr>
              <w:t>8,834</w:t>
            </w:r>
          </w:p>
        </w:tc>
        <w:tc>
          <w:tcPr>
            <w:tcW w:type="dxa" w:w="1440"/>
            <w:shd w:fill="FAFAFA" w:val="clear"/>
          </w:tcPr>
          <w:p>
            <w:r>
              <w:rPr>
                <w:b/>
                <w:sz w:val="17"/>
              </w:rPr>
              <w:t>9,127</w:t>
            </w:r>
          </w:p>
        </w:tc>
        <w:tc>
          <w:tcPr>
            <w:tcW w:type="dxa" w:w="1440"/>
            <w:shd w:fill="FAFAFA" w:val="clear"/>
          </w:tcPr>
          <w:p>
            <w:r>
              <w:rPr>
                <w:sz w:val="17"/>
              </w:rPr>
              <w:t>9,421</w:t>
            </w:r>
          </w:p>
        </w:tc>
        <w:tc>
          <w:tcPr>
            <w:tcW w:type="dxa" w:w="1440"/>
            <w:shd w:fill="FAFAFA" w:val="clear"/>
          </w:tcPr>
          <w:p>
            <w:r>
              <w:rPr>
                <w:b/>
                <w:color w:val="008000"/>
                <w:sz w:val="17"/>
              </w:rPr>
              <w:t>+1.4%</w:t>
            </w:r>
          </w:p>
        </w:tc>
      </w:tr>
      <w:tr>
        <w:tc>
          <w:tcPr>
            <w:tcW w:type="dxa" w:w="1440"/>
            <w:shd w:fill="FAFAFA" w:val="clear"/>
          </w:tcPr>
          <w:p>
            <w:r>
              <w:rPr>
                <w:sz w:val="17"/>
              </w:rPr>
              <w:t>J+2  ⭐⭐⭐</w:t>
            </w:r>
          </w:p>
        </w:tc>
        <w:tc>
          <w:tcPr>
            <w:tcW w:type="dxa" w:w="1440"/>
            <w:shd w:fill="FAFAFA" w:val="clear"/>
          </w:tcPr>
          <w:p>
            <w:r>
              <w:rPr>
                <w:sz w:val="17"/>
              </w:rPr>
              <w:t>2026-09-08</w:t>
            </w:r>
          </w:p>
        </w:tc>
        <w:tc>
          <w:tcPr>
            <w:tcW w:type="dxa" w:w="1440"/>
            <w:shd w:fill="FAFAFA" w:val="clear"/>
          </w:tcPr>
          <w:p>
            <w:r>
              <w:rPr>
                <w:sz w:val="17"/>
              </w:rPr>
              <w:t>8,724</w:t>
            </w:r>
          </w:p>
        </w:tc>
        <w:tc>
          <w:tcPr>
            <w:tcW w:type="dxa" w:w="1440"/>
            <w:shd w:fill="FAFAFA" w:val="clear"/>
          </w:tcPr>
          <w:p>
            <w:r>
              <w:rPr>
                <w:b/>
                <w:sz w:val="17"/>
              </w:rPr>
              <w:t>9,140</w:t>
            </w:r>
          </w:p>
        </w:tc>
        <w:tc>
          <w:tcPr>
            <w:tcW w:type="dxa" w:w="1440"/>
            <w:shd w:fill="FAFAFA" w:val="clear"/>
          </w:tcPr>
          <w:p>
            <w:r>
              <w:rPr>
                <w:sz w:val="17"/>
              </w:rPr>
              <w:t>9,556</w:t>
            </w:r>
          </w:p>
        </w:tc>
        <w:tc>
          <w:tcPr>
            <w:tcW w:type="dxa" w:w="1440"/>
            <w:shd w:fill="FAFAFA" w:val="clear"/>
          </w:tcPr>
          <w:p>
            <w:r>
              <w:rPr>
                <w:b/>
                <w:color w:val="008000"/>
                <w:sz w:val="17"/>
              </w:rPr>
              <w:t>+1.6%</w:t>
            </w:r>
          </w:p>
        </w:tc>
      </w:tr>
      <w:tr>
        <w:tc>
          <w:tcPr>
            <w:tcW w:type="dxa" w:w="1440"/>
            <w:shd w:fill="FAFAFA" w:val="clear"/>
          </w:tcPr>
          <w:p>
            <w:r>
              <w:rPr>
                <w:sz w:val="17"/>
              </w:rPr>
              <w:t>J+3  ⭐⭐⭐</w:t>
            </w:r>
          </w:p>
        </w:tc>
        <w:tc>
          <w:tcPr>
            <w:tcW w:type="dxa" w:w="1440"/>
            <w:shd w:fill="FAFAFA" w:val="clear"/>
          </w:tcPr>
          <w:p>
            <w:r>
              <w:rPr>
                <w:sz w:val="17"/>
              </w:rPr>
              <w:t>2026-09-09</w:t>
            </w:r>
          </w:p>
        </w:tc>
        <w:tc>
          <w:tcPr>
            <w:tcW w:type="dxa" w:w="1440"/>
            <w:shd w:fill="FAFAFA" w:val="clear"/>
          </w:tcPr>
          <w:p>
            <w:r>
              <w:rPr>
                <w:sz w:val="17"/>
              </w:rPr>
              <w:t>8,656</w:t>
            </w:r>
          </w:p>
        </w:tc>
        <w:tc>
          <w:tcPr>
            <w:tcW w:type="dxa" w:w="1440"/>
            <w:shd w:fill="FAFAFA" w:val="clear"/>
          </w:tcPr>
          <w:p>
            <w:r>
              <w:rPr>
                <w:b/>
                <w:sz w:val="17"/>
              </w:rPr>
              <w:t>9,167</w:t>
            </w:r>
          </w:p>
        </w:tc>
        <w:tc>
          <w:tcPr>
            <w:tcW w:type="dxa" w:w="1440"/>
            <w:shd w:fill="FAFAFA" w:val="clear"/>
          </w:tcPr>
          <w:p>
            <w:r>
              <w:rPr>
                <w:sz w:val="17"/>
              </w:rPr>
              <w:t>9,677</w:t>
            </w:r>
          </w:p>
        </w:tc>
        <w:tc>
          <w:tcPr>
            <w:tcW w:type="dxa" w:w="1440"/>
            <w:shd w:fill="FAFAFA" w:val="clear"/>
          </w:tcPr>
          <w:p>
            <w:r>
              <w:rPr>
                <w:b/>
                <w:color w:val="008000"/>
                <w:sz w:val="17"/>
              </w:rPr>
              <w:t>+1.9%</w:t>
            </w:r>
          </w:p>
        </w:tc>
      </w:tr>
      <w:tr>
        <w:tc>
          <w:tcPr>
            <w:tcW w:type="dxa" w:w="1440"/>
            <w:shd w:fill="C6EFCE" w:val="clear"/>
          </w:tcPr>
          <w:p>
            <w:r>
              <w:rPr>
                <w:sz w:val="17"/>
              </w:rPr>
              <w:t>J+4  Moyenne</w:t>
            </w:r>
          </w:p>
        </w:tc>
        <w:tc>
          <w:tcPr>
            <w:tcW w:type="dxa" w:w="1440"/>
            <w:shd w:fill="C6EFCE" w:val="clear"/>
          </w:tcPr>
          <w:p>
            <w:r>
              <w:rPr>
                <w:sz w:val="17"/>
              </w:rPr>
              <w:t>2026-09-10</w:t>
            </w:r>
          </w:p>
        </w:tc>
        <w:tc>
          <w:tcPr>
            <w:tcW w:type="dxa" w:w="1440"/>
            <w:shd w:fill="C6EFCE" w:val="clear"/>
          </w:tcPr>
          <w:p>
            <w:r>
              <w:rPr>
                <w:sz w:val="17"/>
              </w:rPr>
              <w:t>8,602</w:t>
            </w:r>
          </w:p>
        </w:tc>
        <w:tc>
          <w:tcPr>
            <w:tcW w:type="dxa" w:w="1440"/>
            <w:shd w:fill="C6EFCE" w:val="clear"/>
          </w:tcPr>
          <w:p>
            <w:r>
              <w:rPr>
                <w:b/>
                <w:sz w:val="17"/>
              </w:rPr>
              <w:t>9,194</w:t>
            </w:r>
          </w:p>
        </w:tc>
        <w:tc>
          <w:tcPr>
            <w:tcW w:type="dxa" w:w="1440"/>
            <w:shd w:fill="C6EFCE" w:val="clear"/>
          </w:tcPr>
          <w:p>
            <w:r>
              <w:rPr>
                <w:sz w:val="17"/>
              </w:rPr>
              <w:t>9,785</w:t>
            </w:r>
          </w:p>
        </w:tc>
        <w:tc>
          <w:tcPr>
            <w:tcW w:type="dxa" w:w="1440"/>
            <w:shd w:fill="C6EFCE" w:val="clear"/>
          </w:tcPr>
          <w:p>
            <w:r>
              <w:rPr>
                <w:b/>
                <w:color w:val="008000"/>
                <w:sz w:val="17"/>
              </w:rPr>
              <w:t>+2.2%</w:t>
            </w:r>
          </w:p>
        </w:tc>
      </w:tr>
      <w:tr>
        <w:tc>
          <w:tcPr>
            <w:tcW w:type="dxa" w:w="1440"/>
            <w:shd w:fill="C6EFCE" w:val="clear"/>
          </w:tcPr>
          <w:p>
            <w:r>
              <w:rPr>
                <w:sz w:val="17"/>
              </w:rPr>
              <w:t>J+5  Moyenne</w:t>
            </w:r>
          </w:p>
        </w:tc>
        <w:tc>
          <w:tcPr>
            <w:tcW w:type="dxa" w:w="1440"/>
            <w:shd w:fill="C6EFCE" w:val="clear"/>
          </w:tcPr>
          <w:p>
            <w:r>
              <w:rPr>
                <w:sz w:val="17"/>
              </w:rPr>
              <w:t>2026-09-11</w:t>
            </w:r>
          </w:p>
        </w:tc>
        <w:tc>
          <w:tcPr>
            <w:tcW w:type="dxa" w:w="1440"/>
            <w:shd w:fill="C6EFCE" w:val="clear"/>
          </w:tcPr>
          <w:p>
            <w:r>
              <w:rPr>
                <w:sz w:val="17"/>
              </w:rPr>
              <w:t>8,557</w:t>
            </w:r>
          </w:p>
        </w:tc>
        <w:tc>
          <w:tcPr>
            <w:tcW w:type="dxa" w:w="1440"/>
            <w:shd w:fill="C6EFCE" w:val="clear"/>
          </w:tcPr>
          <w:p>
            <w:r>
              <w:rPr>
                <w:b/>
                <w:sz w:val="17"/>
              </w:rPr>
              <w:t>9,220</w:t>
            </w:r>
          </w:p>
        </w:tc>
        <w:tc>
          <w:tcPr>
            <w:tcW w:type="dxa" w:w="1440"/>
            <w:shd w:fill="C6EFCE" w:val="clear"/>
          </w:tcPr>
          <w:p>
            <w:r>
              <w:rPr>
                <w:sz w:val="17"/>
              </w:rPr>
              <w:t>9,883</w:t>
            </w:r>
          </w:p>
        </w:tc>
        <w:tc>
          <w:tcPr>
            <w:tcW w:type="dxa" w:w="1440"/>
            <w:shd w:fill="C6EFCE" w:val="clear"/>
          </w:tcPr>
          <w:p>
            <w:r>
              <w:rPr>
                <w:b/>
                <w:color w:val="008000"/>
                <w:sz w:val="17"/>
              </w:rPr>
              <w:t>+2.4%</w:t>
            </w:r>
          </w:p>
        </w:tc>
      </w:tr>
      <w:tr>
        <w:tc>
          <w:tcPr>
            <w:tcW w:type="dxa" w:w="1440"/>
            <w:shd w:fill="C6EFCE" w:val="clear"/>
          </w:tcPr>
          <w:p>
            <w:r>
              <w:rPr>
                <w:sz w:val="17"/>
              </w:rPr>
              <w:t>J+6  Moyenne</w:t>
            </w:r>
          </w:p>
        </w:tc>
        <w:tc>
          <w:tcPr>
            <w:tcW w:type="dxa" w:w="1440"/>
            <w:shd w:fill="C6EFCE" w:val="clear"/>
          </w:tcPr>
          <w:p>
            <w:r>
              <w:rPr>
                <w:sz w:val="17"/>
              </w:rPr>
              <w:t>2026-09-14</w:t>
            </w:r>
          </w:p>
        </w:tc>
        <w:tc>
          <w:tcPr>
            <w:tcW w:type="dxa" w:w="1440"/>
            <w:shd w:fill="C6EFCE" w:val="clear"/>
          </w:tcPr>
          <w:p>
            <w:r>
              <w:rPr>
                <w:sz w:val="17"/>
              </w:rPr>
              <w:t>8,518</w:t>
            </w:r>
          </w:p>
        </w:tc>
        <w:tc>
          <w:tcPr>
            <w:tcW w:type="dxa" w:w="1440"/>
            <w:shd w:fill="C6EFCE" w:val="clear"/>
          </w:tcPr>
          <w:p>
            <w:r>
              <w:rPr>
                <w:b/>
                <w:sz w:val="17"/>
              </w:rPr>
              <w:t>9,246</w:t>
            </w:r>
          </w:p>
        </w:tc>
        <w:tc>
          <w:tcPr>
            <w:tcW w:type="dxa" w:w="1440"/>
            <w:shd w:fill="C6EFCE" w:val="clear"/>
          </w:tcPr>
          <w:p>
            <w:r>
              <w:rPr>
                <w:sz w:val="17"/>
              </w:rPr>
              <w:t>9,975</w:t>
            </w:r>
          </w:p>
        </w:tc>
        <w:tc>
          <w:tcPr>
            <w:tcW w:type="dxa" w:w="1440"/>
            <w:shd w:fill="C6EFCE" w:val="clear"/>
          </w:tcPr>
          <w:p>
            <w:r>
              <w:rPr>
                <w:b/>
                <w:color w:val="008000"/>
                <w:sz w:val="17"/>
              </w:rPr>
              <w:t>+2.7%</w:t>
            </w:r>
          </w:p>
        </w:tc>
      </w:tr>
      <w:tr>
        <w:tc>
          <w:tcPr>
            <w:tcW w:type="dxa" w:w="1440"/>
            <w:shd w:fill="C6EFCE" w:val="clear"/>
          </w:tcPr>
          <w:p>
            <w:r>
              <w:rPr>
                <w:sz w:val="17"/>
              </w:rPr>
              <w:t>J+7  Moyenne</w:t>
            </w:r>
          </w:p>
        </w:tc>
        <w:tc>
          <w:tcPr>
            <w:tcW w:type="dxa" w:w="1440"/>
            <w:shd w:fill="C6EFCE" w:val="clear"/>
          </w:tcPr>
          <w:p>
            <w:r>
              <w:rPr>
                <w:sz w:val="17"/>
              </w:rPr>
              <w:t>2026-09-15</w:t>
            </w:r>
          </w:p>
        </w:tc>
        <w:tc>
          <w:tcPr>
            <w:tcW w:type="dxa" w:w="1440"/>
            <w:shd w:fill="C6EFCE" w:val="clear"/>
          </w:tcPr>
          <w:p>
            <w:r>
              <w:rPr>
                <w:sz w:val="17"/>
              </w:rPr>
              <w:t>8,483</w:t>
            </w:r>
          </w:p>
        </w:tc>
        <w:tc>
          <w:tcPr>
            <w:tcW w:type="dxa" w:w="1440"/>
            <w:shd w:fill="C6EFCE" w:val="clear"/>
          </w:tcPr>
          <w:p>
            <w:r>
              <w:rPr>
                <w:b/>
                <w:sz w:val="17"/>
              </w:rPr>
              <w:t>9,272</w:t>
            </w:r>
          </w:p>
        </w:tc>
        <w:tc>
          <w:tcPr>
            <w:tcW w:type="dxa" w:w="1440"/>
            <w:shd w:fill="C6EFCE" w:val="clear"/>
          </w:tcPr>
          <w:p>
            <w:r>
              <w:rPr>
                <w:sz w:val="17"/>
              </w:rPr>
              <w:t>10,061</w:t>
            </w:r>
          </w:p>
        </w:tc>
        <w:tc>
          <w:tcPr>
            <w:tcW w:type="dxa" w:w="1440"/>
            <w:shd w:fill="C6EFCE" w:val="clear"/>
          </w:tcPr>
          <w:p>
            <w:r>
              <w:rPr>
                <w:b/>
                <w:color w:val="008000"/>
                <w:sz w:val="17"/>
              </w:rPr>
              <w:t>+3.0%</w:t>
            </w:r>
          </w:p>
        </w:tc>
      </w:tr>
      <w:tr>
        <w:tc>
          <w:tcPr>
            <w:tcW w:type="dxa" w:w="1440"/>
            <w:shd w:fill="C6EFCE" w:val="clear"/>
          </w:tcPr>
          <w:p>
            <w:r>
              <w:rPr>
                <w:sz w:val="17"/>
              </w:rPr>
              <w:t>J+8  Moyenne</w:t>
            </w:r>
          </w:p>
        </w:tc>
        <w:tc>
          <w:tcPr>
            <w:tcW w:type="dxa" w:w="1440"/>
            <w:shd w:fill="C6EFCE" w:val="clear"/>
          </w:tcPr>
          <w:p>
            <w:r>
              <w:rPr>
                <w:sz w:val="17"/>
              </w:rPr>
              <w:t>2026-09-16</w:t>
            </w:r>
          </w:p>
        </w:tc>
        <w:tc>
          <w:tcPr>
            <w:tcW w:type="dxa" w:w="1440"/>
            <w:shd w:fill="C6EFCE" w:val="clear"/>
          </w:tcPr>
          <w:p>
            <w:r>
              <w:rPr>
                <w:sz w:val="17"/>
              </w:rPr>
              <w:t>8,453</w:t>
            </w:r>
          </w:p>
        </w:tc>
        <w:tc>
          <w:tcPr>
            <w:tcW w:type="dxa" w:w="1440"/>
            <w:shd w:fill="C6EFCE" w:val="clear"/>
          </w:tcPr>
          <w:p>
            <w:r>
              <w:rPr>
                <w:b/>
                <w:sz w:val="17"/>
              </w:rPr>
              <w:t>9,299</w:t>
            </w:r>
          </w:p>
        </w:tc>
        <w:tc>
          <w:tcPr>
            <w:tcW w:type="dxa" w:w="1440"/>
            <w:shd w:fill="C6EFCE" w:val="clear"/>
          </w:tcPr>
          <w:p>
            <w:r>
              <w:rPr>
                <w:sz w:val="17"/>
              </w:rPr>
              <w:t>10,144</w:t>
            </w:r>
          </w:p>
        </w:tc>
        <w:tc>
          <w:tcPr>
            <w:tcW w:type="dxa" w:w="1440"/>
            <w:shd w:fill="C6EFCE" w:val="clear"/>
          </w:tcPr>
          <w:p>
            <w:r>
              <w:rPr>
                <w:b/>
                <w:color w:val="008000"/>
                <w:sz w:val="17"/>
              </w:rPr>
              <w:t>+3.3%</w:t>
            </w:r>
          </w:p>
        </w:tc>
      </w:tr>
      <w:tr>
        <w:tc>
          <w:tcPr>
            <w:tcW w:type="dxa" w:w="1440"/>
            <w:shd w:fill="C6EFCE" w:val="clear"/>
          </w:tcPr>
          <w:p>
            <w:r>
              <w:rPr>
                <w:sz w:val="17"/>
              </w:rPr>
              <w:t>J+9  Moyenne</w:t>
            </w:r>
          </w:p>
        </w:tc>
        <w:tc>
          <w:tcPr>
            <w:tcW w:type="dxa" w:w="1440"/>
            <w:shd w:fill="C6EFCE" w:val="clear"/>
          </w:tcPr>
          <w:p>
            <w:r>
              <w:rPr>
                <w:sz w:val="17"/>
              </w:rPr>
              <w:t>2026-09-17</w:t>
            </w:r>
          </w:p>
        </w:tc>
        <w:tc>
          <w:tcPr>
            <w:tcW w:type="dxa" w:w="1440"/>
            <w:shd w:fill="C6EFCE" w:val="clear"/>
          </w:tcPr>
          <w:p>
            <w:r>
              <w:rPr>
                <w:sz w:val="17"/>
              </w:rPr>
              <w:t>8,425</w:t>
            </w:r>
          </w:p>
        </w:tc>
        <w:tc>
          <w:tcPr>
            <w:tcW w:type="dxa" w:w="1440"/>
            <w:shd w:fill="C6EFCE" w:val="clear"/>
          </w:tcPr>
          <w:p>
            <w:r>
              <w:rPr>
                <w:b/>
                <w:sz w:val="17"/>
              </w:rPr>
              <w:t>9,325</w:t>
            </w:r>
          </w:p>
        </w:tc>
        <w:tc>
          <w:tcPr>
            <w:tcW w:type="dxa" w:w="1440"/>
            <w:shd w:fill="C6EFCE" w:val="clear"/>
          </w:tcPr>
          <w:p>
            <w:r>
              <w:rPr>
                <w:sz w:val="17"/>
              </w:rPr>
              <w:t>10,224</w:t>
            </w:r>
          </w:p>
        </w:tc>
        <w:tc>
          <w:tcPr>
            <w:tcW w:type="dxa" w:w="1440"/>
            <w:shd w:fill="C6EFCE" w:val="clear"/>
          </w:tcPr>
          <w:p>
            <w:r>
              <w:rPr>
                <w:b/>
                <w:color w:val="008000"/>
                <w:sz w:val="17"/>
              </w:rPr>
              <w:t>+3.6%</w:t>
            </w:r>
          </w:p>
        </w:tc>
      </w:tr>
      <w:tr>
        <w:tc>
          <w:tcPr>
            <w:tcW w:type="dxa" w:w="1440"/>
            <w:shd w:fill="C6EFCE" w:val="clear"/>
          </w:tcPr>
          <w:p>
            <w:r>
              <w:rPr>
                <w:sz w:val="17"/>
              </w:rPr>
              <w:t>J+10  Moyenne</w:t>
            </w:r>
          </w:p>
        </w:tc>
        <w:tc>
          <w:tcPr>
            <w:tcW w:type="dxa" w:w="1440"/>
            <w:shd w:fill="C6EFCE" w:val="clear"/>
          </w:tcPr>
          <w:p>
            <w:r>
              <w:rPr>
                <w:sz w:val="17"/>
              </w:rPr>
              <w:t>2026-09-18</w:t>
            </w:r>
          </w:p>
        </w:tc>
        <w:tc>
          <w:tcPr>
            <w:tcW w:type="dxa" w:w="1440"/>
            <w:shd w:fill="C6EFCE" w:val="clear"/>
          </w:tcPr>
          <w:p>
            <w:r>
              <w:rPr>
                <w:sz w:val="17"/>
              </w:rPr>
              <w:t>8,400</w:t>
            </w:r>
          </w:p>
        </w:tc>
        <w:tc>
          <w:tcPr>
            <w:tcW w:type="dxa" w:w="1440"/>
            <w:shd w:fill="C6EFCE" w:val="clear"/>
          </w:tcPr>
          <w:p>
            <w:r>
              <w:rPr>
                <w:b/>
                <w:sz w:val="17"/>
              </w:rPr>
              <w:t>9,351</w:t>
            </w:r>
          </w:p>
        </w:tc>
        <w:tc>
          <w:tcPr>
            <w:tcW w:type="dxa" w:w="1440"/>
            <w:shd w:fill="C6EFCE" w:val="clear"/>
          </w:tcPr>
          <w:p>
            <w:r>
              <w:rPr>
                <w:sz w:val="17"/>
              </w:rPr>
              <w:t>10,302</w:t>
            </w:r>
          </w:p>
        </w:tc>
        <w:tc>
          <w:tcPr>
            <w:tcW w:type="dxa" w:w="1440"/>
            <w:shd w:fill="C6EFCE" w:val="clear"/>
          </w:tcPr>
          <w:p>
            <w:r>
              <w:rPr>
                <w:b/>
                <w:color w:val="008000"/>
                <w:sz w:val="17"/>
              </w:rPr>
              <w:t>+3.9%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PALC s'établit à 139,13 milliards FCFA, ce qui positionne la société parmi les valeurs moyennes à grandes capitalisations de la BRVM, dans un secteur agro-industriel stratégique. Avec un BPA de 1 003 FCFA, chaque action génère un bénéfice confortable, justifiant un PER de 9,0x, inférieur à la moyenne historique de la place (~8-12x), ce qui suggère une sous-évaluation relative du titre. Le P/B de 0,98x est particulièrement intéressant : le marché valorise l'action légèrement en dessous de sa valeur comptable, offrant une décote sur l'actif net. Enfin, l'EV/EBITDA de 4,4x, très inférieur au seuil de 5x, confirme que la valeur totale de l'entreprise (dette incluse) est très bon marché par rapport à sa capacité opérationnelle de génération de cash (EBITDA). Ces quatre ratios convergent vers une valorisation attrayante.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PALC affiche une progression de +4,65%, mais la dernière séance a enregistré un repli marqué de -2,17% à 9 000 FCFA, suggérant une prise de bénéfices après un mouvement haussier. Le cours a évolué dans une fourchette large de 7 000 à 9 640 FCFA, démontrant une forte amplitude de trading. La moyenne (8 528 FCFA) est inférieure à la médiane (8 688 FCFA) et au cours actuel, indiquant une tendance haussière récente qui a tiré les prix vers le haut. L'écart-type de 575 FCFA (CV=6,7%) reflète une dispersion modérée autour de la moyenne. Le kurtosis négatif (-0,590) indique une distribution mésokurtique, sans risque de variations extrêmes, tandis que le skewness négatif (-0,326) suggère une distribution quasi symétrique avec une légère queue vers les bas. La volatilité annualisée de 37,2% classe le titre comme très volatil (&gt;30%), un niveau élevé qui implique un risque significatif mais aussi un potentiel de rendement accru.</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(9 247,75 FCFA) est supérieure à la MM50 (8 959,4 FCFA), et le cours actuel (9 000 FCFA) se situe sous la MM20 mais au-dessus de la MM50. Cette configuration indique un momentum positif à moyen terme, avec un récent repli à court terme. La décision d'achat est justifiée par la tendance haussière de fond, le cours restant au-dessus de sa moyenne à 50 jours.</w:t>
      </w:r>
    </w:p>
    <w:p>
      <w:pPr>
        <w:spacing w:after="120" w:line="276" w:lineRule="auto"/>
      </w:pPr>
      <w:r>
        <w:t>**Bandes de Bollinger** : Le cours (9 000 FCFA) se positionne dans la partie inférieure de la bande, entre la borne inférieure (8 797,17 FCFA) et la moyenne mobile. L'écart entre les bornes (environ 901 FCFA) reflète une volatilité modérée. La décision neutre est cohérente avec un prix qui n'est ni suracheté ni survendu, évoluant dans une zone d'équilibre.</w:t>
      </w:r>
    </w:p>
    <w:p>
      <w:pPr>
        <w:spacing w:after="120" w:line="276" w:lineRule="auto"/>
      </w:pPr>
      <w:r>
        <w:t>**MACD** : La valeur du MACD (63,91) est inférieure à son signal (121,23), indiquant un momentum baissier à court terme. Cette configuration, bien que la valeur reste positive, suggère un ralentissement de la dynamique haussière. La décision de vente est justifiée par ce croisement baissier, signalant une possible correction ou consolidation.</w:t>
      </w:r>
    </w:p>
    <w:p>
      <w:pPr>
        <w:spacing w:after="120" w:line="276" w:lineRule="auto"/>
      </w:pPr>
      <w:r>
        <w:t>**RSI** : À 47,31, le RSI se situe en zone neutre (30-70), indiquant un équilibre entre pressions acheteuses et vendeuses. Il n'y a pas de conditions de surachat ou de survente. La décision neutre est appropriée, le titre disposant d'une marge de manœuvre dans les deux sens sans signal extrême.</w:t>
      </w:r>
    </w:p>
    <w:p>
      <w:pPr>
        <w:spacing w:after="120" w:line="276" w:lineRule="auto"/>
      </w:pPr>
      <w:r>
        <w:t>**Stochastique** : Le %K (0,0) est très inférieur au %D (10,65), indiquant une condition de survente extrême. Ce niveau suggère un potentiel de rebond technique imminent, d'autant que le %K a touché son plancher absolu. La décision d'achat est justifiée par cette situation de survente, qui précède souvent un mouvement de correction haussière.</w:t>
      </w:r>
    </w:p>
    <w:p>
      <w:pPr>
        <w:spacing w:after="120" w:line="276" w:lineRule="auto"/>
      </w:pPr>
      <w:r>
        <w:t>**Conclusion technique** : Les signaux sont contrastés : les moyennes mobiles et le stochastique plaident pour un achat, le RSI et les bandes de Bollinger sont neutres, tandis que le MACD est vendeur. Cette divergence suggère une phase de consolidation après une hausse, avec un potentiel de rebond technique à court terme soutenu par le stochastique en survente, mais une prudence requise tant que le MACD ne s'est pas retourné à la hausse.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PALC (PALMCI) affiche des données financières structurées solides : un chiffre d'affaires de 197,63 milliards FCFA, en croissance de +14,8%, et un résultat net de 15,51 milliards FCFA. La marge nette s'établit à 7,85%, le ROE à 10,87% et le ROA à 7,79%, des niveaux corrects pour le secteur agro-industriel. La structure financière est très saine avec une autonomie financière de 71,6% et un endettement faible (ratio d'endettement de 0,56%). Les délais clients (142,6 jours) constituent un point de vigilance pour la trésorerie, mais la capacité de remboursement est excellente (0,03 an). Les rapports trimestriels 2025 montrent une forte dynamique : le T1 2025 (rapport daté 2025) affichait un CA de 67,5 milliards (+32%) et un résultat net de 11,6 milliards (+65%), le S1 2025 un CA de 134,8 milliards (+25%) et un résultat net de 22,9 milliards (+37%), mais le cumul 9 mois (rapport daté 2025) révèle un ralentissement avec un résultat net de 18 milliards (+11% seulement). Le rapport annuel 2024 (daté 2025) confirme la baisse d'activité de -17% du CA à 172,2 milliards. Cependant, le rapport T1 2026 (daté 2026) est alarmant : CA en chute de -27% à 49,4 milliards et résultat net effondré de -86% à 1,6 milliard, expliqué par un décalage temporel des ventes. Sur la base de ce T1 2026, on estime que l'exercice 2026 pourrait être difficile, avec un résultat net potentiellement inférieur à 10 milliards si la tendance ne s'inverse pas, malgré les prévisions optimistes de la direction.</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PALC est indéniablement attractive avec un PER de 9,0x, un P/B sous l'unité et un EV/EBITDA très faible, signalant une sous-évaluation malgré des fondamentaux corrects. Le comportement du cours sur 100 jours est positif (+4,65%) mais la volatilité élevée (37,2%) et le skewness légèrement négatif appellent à la prudence. Les signaux techniques sont mitigés : le stochastique en survente extrême et les moyennes mobiles suggèrent un rebond, mais le MACD vendeur et le RSI neutre indiquent une consolidation en cours. Les fondamentaux montrent une société solide en 2025 (CA en hausse de 14,8%, ROE de 10,9%) mais le T1 2026 est préoccupant avec une chute de 86% du résultat net, même si la direction l'attribue à un décalage temporaire. Les prédictions IA (9 127 à 9 220 FCFA sur 10 jours) anticipent une légère hausse, contredisant le MACD mais confirmant le potentiel de rebond technique. En synthèse, la convergence entre la sous-évaluation, la solidité bilancielle et le potentiel de rebond technique plaide pour une recommandation **CONSERVER**, avec un niveau de confiance **Moyen** et un risque global **Élevé** (volatilité et incertitude sur 2026). L'horizon d'investissement optimal serait de **moyen terme (3-12 mois)**, en attendant la confirmation d'un redressement au T2 2026 pour envisager un renforcement.</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26.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44.54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854 titres</w:t>
            </w:r>
          </w:p>
        </w:tc>
        <w:tc>
          <w:tcPr>
            <w:tcW w:type="dxa" w:w="2268"/>
            <w:shd w:fill="FFF2CC" w:val="clear"/>
          </w:tcPr>
          <w:p>
            <w:r>
              <w:rPr>
                <w:b/>
                <w:color w:val="503200"/>
                <w:sz w:val="16"/>
              </w:rPr>
              <w:t xml:space="preserve">Cours actuel : </w:t>
            </w:r>
            <w:r>
              <w:rPr>
                <w:color w:val="000000"/>
                <w:sz w:val="17"/>
              </w:rPr>
              <w:t>4,350 FCFA</w:t>
            </w:r>
          </w:p>
          <w:p>
            <w:r>
              <w:rPr>
                <w:b/>
                <w:color w:val="503200"/>
                <w:sz w:val="16"/>
              </w:rPr>
              <w:t xml:space="preserve">Var. 100 jours : </w:t>
            </w:r>
            <w:r>
              <w:rPr>
                <w:b/>
                <w:color w:val="B40000"/>
                <w:sz w:val="17"/>
              </w:rPr>
              <w:t>-13.86%</w:t>
            </w:r>
          </w:p>
          <w:p>
            <w:r>
              <w:rPr>
                <w:b/>
                <w:color w:val="503200"/>
                <w:sz w:val="16"/>
              </w:rPr>
              <w:t xml:space="preserve">Plus haut 100j : </w:t>
            </w:r>
            <w:r>
              <w:rPr>
                <w:color w:val="000000"/>
                <w:sz w:val="17"/>
              </w:rPr>
              <w:t>5,050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38.9%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23.3/100 → Moyen</w:t>
      </w:r>
    </w:p>
    <w:p>
      <w:pPr>
        <w:spacing w:before="40" w:after="80"/>
      </w:pPr>
      <w:r>
        <w:rPr>
          <w:rFonts w:ascii="Courier New" w:hAnsi="Courier New"/>
          <w:color w:val="825A00"/>
          <w:sz w:val="18"/>
        </w:rPr>
        <w:t>████░░░░░░░░░░░░░░░░  23.3/100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7.41% (Moyenne) — μ=4,420 FCFA, σ=328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β=-0.1427 (Contre-cyclique) — Cov=-0.000005, Var(idx)=0.000036, ρ=-0.035,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854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σ_j=2.45%/j (Stable) — Vol. annualisée≈38.9%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2026-09-07</w:t>
            </w:r>
          </w:p>
        </w:tc>
        <w:tc>
          <w:tcPr>
            <w:tcW w:type="dxa" w:w="1440"/>
            <w:shd w:fill="FAFAFA" w:val="clear"/>
          </w:tcPr>
          <w:p>
            <w:r>
              <w:rPr>
                <w:sz w:val="17"/>
              </w:rPr>
              <w:t>4,260</w:t>
            </w:r>
          </w:p>
        </w:tc>
        <w:tc>
          <w:tcPr>
            <w:tcW w:type="dxa" w:w="1440"/>
            <w:shd w:fill="FAFAFA" w:val="clear"/>
          </w:tcPr>
          <w:p>
            <w:r>
              <w:rPr>
                <w:b/>
                <w:sz w:val="17"/>
              </w:rPr>
              <w:t>4,341</w:t>
            </w:r>
          </w:p>
        </w:tc>
        <w:tc>
          <w:tcPr>
            <w:tcW w:type="dxa" w:w="1440"/>
            <w:shd w:fill="FAFAFA" w:val="clear"/>
          </w:tcPr>
          <w:p>
            <w:r>
              <w:rPr>
                <w:sz w:val="17"/>
              </w:rPr>
              <w:t>4,422</w:t>
            </w:r>
          </w:p>
        </w:tc>
        <w:tc>
          <w:tcPr>
            <w:tcW w:type="dxa" w:w="1440"/>
            <w:shd w:fill="FAFAFA" w:val="clear"/>
          </w:tcPr>
          <w:p>
            <w:r>
              <w:rPr>
                <w:b/>
                <w:color w:val="C00000"/>
                <w:sz w:val="17"/>
              </w:rPr>
              <w:t>-0.2%</w:t>
            </w:r>
          </w:p>
        </w:tc>
      </w:tr>
      <w:tr>
        <w:tc>
          <w:tcPr>
            <w:tcW w:type="dxa" w:w="1440"/>
            <w:shd w:fill="FAFAFA" w:val="clear"/>
          </w:tcPr>
          <w:p>
            <w:r>
              <w:rPr>
                <w:sz w:val="17"/>
              </w:rPr>
              <w:t>J+2  ⭐⭐⭐</w:t>
            </w:r>
          </w:p>
        </w:tc>
        <w:tc>
          <w:tcPr>
            <w:tcW w:type="dxa" w:w="1440"/>
            <w:shd w:fill="FAFAFA" w:val="clear"/>
          </w:tcPr>
          <w:p>
            <w:r>
              <w:rPr>
                <w:sz w:val="17"/>
              </w:rPr>
              <w:t>2026-09-08</w:t>
            </w:r>
          </w:p>
        </w:tc>
        <w:tc>
          <w:tcPr>
            <w:tcW w:type="dxa" w:w="1440"/>
            <w:shd w:fill="FAFAFA" w:val="clear"/>
          </w:tcPr>
          <w:p>
            <w:r>
              <w:rPr>
                <w:sz w:val="17"/>
              </w:rPr>
              <w:t>4,205</w:t>
            </w:r>
          </w:p>
        </w:tc>
        <w:tc>
          <w:tcPr>
            <w:tcW w:type="dxa" w:w="1440"/>
            <w:shd w:fill="FAFAFA" w:val="clear"/>
          </w:tcPr>
          <w:p>
            <w:r>
              <w:rPr>
                <w:b/>
                <w:sz w:val="17"/>
              </w:rPr>
              <w:t>4,319</w:t>
            </w:r>
          </w:p>
        </w:tc>
        <w:tc>
          <w:tcPr>
            <w:tcW w:type="dxa" w:w="1440"/>
            <w:shd w:fill="FAFAFA" w:val="clear"/>
          </w:tcPr>
          <w:p>
            <w:r>
              <w:rPr>
                <w:sz w:val="17"/>
              </w:rPr>
              <w:t>4,433</w:t>
            </w:r>
          </w:p>
        </w:tc>
        <w:tc>
          <w:tcPr>
            <w:tcW w:type="dxa" w:w="1440"/>
            <w:shd w:fill="FAFAFA" w:val="clear"/>
          </w:tcPr>
          <w:p>
            <w:r>
              <w:rPr>
                <w:b/>
                <w:color w:val="C00000"/>
                <w:sz w:val="17"/>
              </w:rPr>
              <w:t>-0.7%</w:t>
            </w:r>
          </w:p>
        </w:tc>
      </w:tr>
      <w:tr>
        <w:tc>
          <w:tcPr>
            <w:tcW w:type="dxa" w:w="1440"/>
            <w:shd w:fill="FAFAFA" w:val="clear"/>
          </w:tcPr>
          <w:p>
            <w:r>
              <w:rPr>
                <w:sz w:val="17"/>
              </w:rPr>
              <w:t>J+3  ⭐⭐⭐</w:t>
            </w:r>
          </w:p>
        </w:tc>
        <w:tc>
          <w:tcPr>
            <w:tcW w:type="dxa" w:w="1440"/>
            <w:shd w:fill="FAFAFA" w:val="clear"/>
          </w:tcPr>
          <w:p>
            <w:r>
              <w:rPr>
                <w:sz w:val="17"/>
              </w:rPr>
              <w:t>2026-09-09</w:t>
            </w:r>
          </w:p>
        </w:tc>
        <w:tc>
          <w:tcPr>
            <w:tcW w:type="dxa" w:w="1440"/>
            <w:shd w:fill="FAFAFA" w:val="clear"/>
          </w:tcPr>
          <w:p>
            <w:r>
              <w:rPr>
                <w:sz w:val="17"/>
              </w:rPr>
              <w:t>4,160</w:t>
            </w:r>
          </w:p>
        </w:tc>
        <w:tc>
          <w:tcPr>
            <w:tcW w:type="dxa" w:w="1440"/>
            <w:shd w:fill="FAFAFA" w:val="clear"/>
          </w:tcPr>
          <w:p>
            <w:r>
              <w:rPr>
                <w:b/>
                <w:sz w:val="17"/>
              </w:rPr>
              <w:t>4,299</w:t>
            </w:r>
          </w:p>
        </w:tc>
        <w:tc>
          <w:tcPr>
            <w:tcW w:type="dxa" w:w="1440"/>
            <w:shd w:fill="FAFAFA" w:val="clear"/>
          </w:tcPr>
          <w:p>
            <w:r>
              <w:rPr>
                <w:sz w:val="17"/>
              </w:rPr>
              <w:t>4,438</w:t>
            </w:r>
          </w:p>
        </w:tc>
        <w:tc>
          <w:tcPr>
            <w:tcW w:type="dxa" w:w="1440"/>
            <w:shd w:fill="FAFAFA" w:val="clear"/>
          </w:tcPr>
          <w:p>
            <w:r>
              <w:rPr>
                <w:b/>
                <w:color w:val="C00000"/>
                <w:sz w:val="17"/>
              </w:rPr>
              <w:t>-1.2%</w:t>
            </w:r>
          </w:p>
        </w:tc>
      </w:tr>
      <w:tr>
        <w:tc>
          <w:tcPr>
            <w:tcW w:type="dxa" w:w="1440"/>
            <w:shd w:fill="FAFAFA" w:val="clear"/>
          </w:tcPr>
          <w:p>
            <w:r>
              <w:rPr>
                <w:sz w:val="17"/>
              </w:rPr>
              <w:t>J+4  Moyenne</w:t>
            </w:r>
          </w:p>
        </w:tc>
        <w:tc>
          <w:tcPr>
            <w:tcW w:type="dxa" w:w="1440"/>
            <w:shd w:fill="FAFAFA" w:val="clear"/>
          </w:tcPr>
          <w:p>
            <w:r>
              <w:rPr>
                <w:sz w:val="17"/>
              </w:rPr>
              <w:t>2026-09-10</w:t>
            </w:r>
          </w:p>
        </w:tc>
        <w:tc>
          <w:tcPr>
            <w:tcW w:type="dxa" w:w="1440"/>
            <w:shd w:fill="FAFAFA" w:val="clear"/>
          </w:tcPr>
          <w:p>
            <w:r>
              <w:rPr>
                <w:sz w:val="17"/>
              </w:rPr>
              <w:t>4,120</w:t>
            </w:r>
          </w:p>
        </w:tc>
        <w:tc>
          <w:tcPr>
            <w:tcW w:type="dxa" w:w="1440"/>
            <w:shd w:fill="FAFAFA" w:val="clear"/>
          </w:tcPr>
          <w:p>
            <w:r>
              <w:rPr>
                <w:b/>
                <w:sz w:val="17"/>
              </w:rPr>
              <w:t>4,280</w:t>
            </w:r>
          </w:p>
        </w:tc>
        <w:tc>
          <w:tcPr>
            <w:tcW w:type="dxa" w:w="1440"/>
            <w:shd w:fill="FAFAFA" w:val="clear"/>
          </w:tcPr>
          <w:p>
            <w:r>
              <w:rPr>
                <w:sz w:val="17"/>
              </w:rPr>
              <w:t>4,439</w:t>
            </w:r>
          </w:p>
        </w:tc>
        <w:tc>
          <w:tcPr>
            <w:tcW w:type="dxa" w:w="1440"/>
            <w:shd w:fill="FAFAFA" w:val="clear"/>
          </w:tcPr>
          <w:p>
            <w:r>
              <w:rPr>
                <w:b/>
                <w:color w:val="C00000"/>
                <w:sz w:val="17"/>
              </w:rPr>
              <w:t>-1.6%</w:t>
            </w:r>
          </w:p>
        </w:tc>
      </w:tr>
      <w:tr>
        <w:tc>
          <w:tcPr>
            <w:tcW w:type="dxa" w:w="1440"/>
            <w:shd w:fill="FFDCE0" w:val="clear"/>
          </w:tcPr>
          <w:p>
            <w:r>
              <w:rPr>
                <w:sz w:val="17"/>
              </w:rPr>
              <w:t>J+5  Moyenne</w:t>
            </w:r>
          </w:p>
        </w:tc>
        <w:tc>
          <w:tcPr>
            <w:tcW w:type="dxa" w:w="1440"/>
            <w:shd w:fill="FFDCE0" w:val="clear"/>
          </w:tcPr>
          <w:p>
            <w:r>
              <w:rPr>
                <w:sz w:val="17"/>
              </w:rPr>
              <w:t>2026-09-11</w:t>
            </w:r>
          </w:p>
        </w:tc>
        <w:tc>
          <w:tcPr>
            <w:tcW w:type="dxa" w:w="1440"/>
            <w:shd w:fill="FFDCE0" w:val="clear"/>
          </w:tcPr>
          <w:p>
            <w:r>
              <w:rPr>
                <w:sz w:val="17"/>
              </w:rPr>
              <w:t>4,083</w:t>
            </w:r>
          </w:p>
        </w:tc>
        <w:tc>
          <w:tcPr>
            <w:tcW w:type="dxa" w:w="1440"/>
            <w:shd w:fill="FFDCE0" w:val="clear"/>
          </w:tcPr>
          <w:p>
            <w:r>
              <w:rPr>
                <w:b/>
                <w:sz w:val="17"/>
              </w:rPr>
              <w:t>4,261</w:t>
            </w:r>
          </w:p>
        </w:tc>
        <w:tc>
          <w:tcPr>
            <w:tcW w:type="dxa" w:w="1440"/>
            <w:shd w:fill="FFDCE0" w:val="clear"/>
          </w:tcPr>
          <w:p>
            <w:r>
              <w:rPr>
                <w:sz w:val="17"/>
              </w:rPr>
              <w:t>4,438</w:t>
            </w:r>
          </w:p>
        </w:tc>
        <w:tc>
          <w:tcPr>
            <w:tcW w:type="dxa" w:w="1440"/>
            <w:shd w:fill="FFDCE0" w:val="clear"/>
          </w:tcPr>
          <w:p>
            <w:r>
              <w:rPr>
                <w:b/>
                <w:color w:val="C00000"/>
                <w:sz w:val="17"/>
              </w:rPr>
              <w:t>-2.1%</w:t>
            </w:r>
          </w:p>
        </w:tc>
      </w:tr>
      <w:tr>
        <w:tc>
          <w:tcPr>
            <w:tcW w:type="dxa" w:w="1440"/>
            <w:shd w:fill="FFDCE0" w:val="clear"/>
          </w:tcPr>
          <w:p>
            <w:r>
              <w:rPr>
                <w:sz w:val="17"/>
              </w:rPr>
              <w:t>J+6  Moyenne</w:t>
            </w:r>
          </w:p>
        </w:tc>
        <w:tc>
          <w:tcPr>
            <w:tcW w:type="dxa" w:w="1440"/>
            <w:shd w:fill="FFDCE0" w:val="clear"/>
          </w:tcPr>
          <w:p>
            <w:r>
              <w:rPr>
                <w:sz w:val="17"/>
              </w:rPr>
              <w:t>2026-09-14</w:t>
            </w:r>
          </w:p>
        </w:tc>
        <w:tc>
          <w:tcPr>
            <w:tcW w:type="dxa" w:w="1440"/>
            <w:shd w:fill="FFDCE0" w:val="clear"/>
          </w:tcPr>
          <w:p>
            <w:r>
              <w:rPr>
                <w:sz w:val="17"/>
              </w:rPr>
              <w:t>4,048</w:t>
            </w:r>
          </w:p>
        </w:tc>
        <w:tc>
          <w:tcPr>
            <w:tcW w:type="dxa" w:w="1440"/>
            <w:shd w:fill="FFDCE0" w:val="clear"/>
          </w:tcPr>
          <w:p>
            <w:r>
              <w:rPr>
                <w:b/>
                <w:sz w:val="17"/>
              </w:rPr>
              <w:t>4,242</w:t>
            </w:r>
          </w:p>
        </w:tc>
        <w:tc>
          <w:tcPr>
            <w:tcW w:type="dxa" w:w="1440"/>
            <w:shd w:fill="FFDCE0" w:val="clear"/>
          </w:tcPr>
          <w:p>
            <w:r>
              <w:rPr>
                <w:sz w:val="17"/>
              </w:rPr>
              <w:t>4,436</w:t>
            </w:r>
          </w:p>
        </w:tc>
        <w:tc>
          <w:tcPr>
            <w:tcW w:type="dxa" w:w="1440"/>
            <w:shd w:fill="FFDCE0" w:val="clear"/>
          </w:tcPr>
          <w:p>
            <w:r>
              <w:rPr>
                <w:b/>
                <w:color w:val="C00000"/>
                <w:sz w:val="17"/>
              </w:rPr>
              <w:t>-2.5%</w:t>
            </w:r>
          </w:p>
        </w:tc>
      </w:tr>
      <w:tr>
        <w:tc>
          <w:tcPr>
            <w:tcW w:type="dxa" w:w="1440"/>
            <w:shd w:fill="FFDCE0" w:val="clear"/>
          </w:tcPr>
          <w:p>
            <w:r>
              <w:rPr>
                <w:sz w:val="17"/>
              </w:rPr>
              <w:t>J+7  Moyenne</w:t>
            </w:r>
          </w:p>
        </w:tc>
        <w:tc>
          <w:tcPr>
            <w:tcW w:type="dxa" w:w="1440"/>
            <w:shd w:fill="FFDCE0" w:val="clear"/>
          </w:tcPr>
          <w:p>
            <w:r>
              <w:rPr>
                <w:sz w:val="17"/>
              </w:rPr>
              <w:t>2026-09-15</w:t>
            </w:r>
          </w:p>
        </w:tc>
        <w:tc>
          <w:tcPr>
            <w:tcW w:type="dxa" w:w="1440"/>
            <w:shd w:fill="FFDCE0" w:val="clear"/>
          </w:tcPr>
          <w:p>
            <w:r>
              <w:rPr>
                <w:sz w:val="17"/>
              </w:rPr>
              <w:t>4,015</w:t>
            </w:r>
          </w:p>
        </w:tc>
        <w:tc>
          <w:tcPr>
            <w:tcW w:type="dxa" w:w="1440"/>
            <w:shd w:fill="FFDCE0" w:val="clear"/>
          </w:tcPr>
          <w:p>
            <w:r>
              <w:rPr>
                <w:b/>
                <w:sz w:val="17"/>
              </w:rPr>
              <w:t>4,224</w:t>
            </w:r>
          </w:p>
        </w:tc>
        <w:tc>
          <w:tcPr>
            <w:tcW w:type="dxa" w:w="1440"/>
            <w:shd w:fill="FFDCE0" w:val="clear"/>
          </w:tcPr>
          <w:p>
            <w:r>
              <w:rPr>
                <w:sz w:val="17"/>
              </w:rPr>
              <w:t>4,432</w:t>
            </w:r>
          </w:p>
        </w:tc>
        <w:tc>
          <w:tcPr>
            <w:tcW w:type="dxa" w:w="1440"/>
            <w:shd w:fill="FFDCE0" w:val="clear"/>
          </w:tcPr>
          <w:p>
            <w:r>
              <w:rPr>
                <w:b/>
                <w:color w:val="C00000"/>
                <w:sz w:val="17"/>
              </w:rPr>
              <w:t>-2.9%</w:t>
            </w:r>
          </w:p>
        </w:tc>
      </w:tr>
      <w:tr>
        <w:tc>
          <w:tcPr>
            <w:tcW w:type="dxa" w:w="1440"/>
            <w:shd w:fill="FFDCE0" w:val="clear"/>
          </w:tcPr>
          <w:p>
            <w:r>
              <w:rPr>
                <w:sz w:val="17"/>
              </w:rPr>
              <w:t>J+8  Moyenne</w:t>
            </w:r>
          </w:p>
        </w:tc>
        <w:tc>
          <w:tcPr>
            <w:tcW w:type="dxa" w:w="1440"/>
            <w:shd w:fill="FFDCE0" w:val="clear"/>
          </w:tcPr>
          <w:p>
            <w:r>
              <w:rPr>
                <w:sz w:val="17"/>
              </w:rPr>
              <w:t>2026-09-16</w:t>
            </w:r>
          </w:p>
        </w:tc>
        <w:tc>
          <w:tcPr>
            <w:tcW w:type="dxa" w:w="1440"/>
            <w:shd w:fill="FFDCE0" w:val="clear"/>
          </w:tcPr>
          <w:p>
            <w:r>
              <w:rPr>
                <w:sz w:val="17"/>
              </w:rPr>
              <w:t>3,984</w:t>
            </w:r>
          </w:p>
        </w:tc>
        <w:tc>
          <w:tcPr>
            <w:tcW w:type="dxa" w:w="1440"/>
            <w:shd w:fill="FFDCE0" w:val="clear"/>
          </w:tcPr>
          <w:p>
            <w:r>
              <w:rPr>
                <w:b/>
                <w:sz w:val="17"/>
              </w:rPr>
              <w:t>4,206</w:t>
            </w:r>
          </w:p>
        </w:tc>
        <w:tc>
          <w:tcPr>
            <w:tcW w:type="dxa" w:w="1440"/>
            <w:shd w:fill="FFDCE0" w:val="clear"/>
          </w:tcPr>
          <w:p>
            <w:r>
              <w:rPr>
                <w:sz w:val="17"/>
              </w:rPr>
              <w:t>4,428</w:t>
            </w:r>
          </w:p>
        </w:tc>
        <w:tc>
          <w:tcPr>
            <w:tcW w:type="dxa" w:w="1440"/>
            <w:shd w:fill="FFDCE0" w:val="clear"/>
          </w:tcPr>
          <w:p>
            <w:r>
              <w:rPr>
                <w:b/>
                <w:color w:val="C00000"/>
                <w:sz w:val="17"/>
              </w:rPr>
              <w:t>-3.3%</w:t>
            </w:r>
          </w:p>
        </w:tc>
      </w:tr>
      <w:tr>
        <w:tc>
          <w:tcPr>
            <w:tcW w:type="dxa" w:w="1440"/>
            <w:shd w:fill="FFDCE0" w:val="clear"/>
          </w:tcPr>
          <w:p>
            <w:r>
              <w:rPr>
                <w:sz w:val="17"/>
              </w:rPr>
              <w:t>J+9  Moyenne</w:t>
            </w:r>
          </w:p>
        </w:tc>
        <w:tc>
          <w:tcPr>
            <w:tcW w:type="dxa" w:w="1440"/>
            <w:shd w:fill="FFDCE0" w:val="clear"/>
          </w:tcPr>
          <w:p>
            <w:r>
              <w:rPr>
                <w:sz w:val="17"/>
              </w:rPr>
              <w:t>2026-09-17</w:t>
            </w:r>
          </w:p>
        </w:tc>
        <w:tc>
          <w:tcPr>
            <w:tcW w:type="dxa" w:w="1440"/>
            <w:shd w:fill="FFDCE0" w:val="clear"/>
          </w:tcPr>
          <w:p>
            <w:r>
              <w:rPr>
                <w:sz w:val="17"/>
              </w:rPr>
              <w:t>3,954</w:t>
            </w:r>
          </w:p>
        </w:tc>
        <w:tc>
          <w:tcPr>
            <w:tcW w:type="dxa" w:w="1440"/>
            <w:shd w:fill="FFDCE0" w:val="clear"/>
          </w:tcPr>
          <w:p>
            <w:r>
              <w:rPr>
                <w:b/>
                <w:sz w:val="17"/>
              </w:rPr>
              <w:t>4,188</w:t>
            </w:r>
          </w:p>
        </w:tc>
        <w:tc>
          <w:tcPr>
            <w:tcW w:type="dxa" w:w="1440"/>
            <w:shd w:fill="FFDCE0" w:val="clear"/>
          </w:tcPr>
          <w:p>
            <w:r>
              <w:rPr>
                <w:sz w:val="17"/>
              </w:rPr>
              <w:t>4,423</w:t>
            </w:r>
          </w:p>
        </w:tc>
        <w:tc>
          <w:tcPr>
            <w:tcW w:type="dxa" w:w="1440"/>
            <w:shd w:fill="FFDCE0" w:val="clear"/>
          </w:tcPr>
          <w:p>
            <w:r>
              <w:rPr>
                <w:b/>
                <w:color w:val="C00000"/>
                <w:sz w:val="17"/>
              </w:rPr>
              <w:t>-3.7%</w:t>
            </w:r>
          </w:p>
        </w:tc>
      </w:tr>
      <w:tr>
        <w:tc>
          <w:tcPr>
            <w:tcW w:type="dxa" w:w="1440"/>
            <w:shd w:fill="FFDCE0" w:val="clear"/>
          </w:tcPr>
          <w:p>
            <w:r>
              <w:rPr>
                <w:sz w:val="17"/>
              </w:rPr>
              <w:t>J+10  Moyenne</w:t>
            </w:r>
          </w:p>
        </w:tc>
        <w:tc>
          <w:tcPr>
            <w:tcW w:type="dxa" w:w="1440"/>
            <w:shd w:fill="FFDCE0" w:val="clear"/>
          </w:tcPr>
          <w:p>
            <w:r>
              <w:rPr>
                <w:sz w:val="17"/>
              </w:rPr>
              <w:t>2026-09-18</w:t>
            </w:r>
          </w:p>
        </w:tc>
        <w:tc>
          <w:tcPr>
            <w:tcW w:type="dxa" w:w="1440"/>
            <w:shd w:fill="FFDCE0" w:val="clear"/>
          </w:tcPr>
          <w:p>
            <w:r>
              <w:rPr>
                <w:sz w:val="17"/>
              </w:rPr>
              <w:t>3,925</w:t>
            </w:r>
          </w:p>
        </w:tc>
        <w:tc>
          <w:tcPr>
            <w:tcW w:type="dxa" w:w="1440"/>
            <w:shd w:fill="FFDCE0" w:val="clear"/>
          </w:tcPr>
          <w:p>
            <w:r>
              <w:rPr>
                <w:b/>
                <w:sz w:val="17"/>
              </w:rPr>
              <w:t>4,171</w:t>
            </w:r>
          </w:p>
        </w:tc>
        <w:tc>
          <w:tcPr>
            <w:tcW w:type="dxa" w:w="1440"/>
            <w:shd w:fill="FFDCE0" w:val="clear"/>
          </w:tcPr>
          <w:p>
            <w:r>
              <w:rPr>
                <w:sz w:val="17"/>
              </w:rPr>
              <w:t>4,417</w:t>
            </w:r>
          </w:p>
        </w:tc>
        <w:tc>
          <w:tcPr>
            <w:tcW w:type="dxa" w:w="1440"/>
            <w:shd w:fill="FFDCE0" w:val="clear"/>
          </w:tcPr>
          <w:p>
            <w:r>
              <w:rPr>
                <w:b/>
                <w:color w:val="C00000"/>
                <w:sz w:val="17"/>
              </w:rPr>
              <w:t>-4.1%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(TRACTAFRIC MOTORS CI)**</w:t>
        <w:br/>
        <w:t>**Date de l'analyse : 04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PRSC s'établit à 44,54 milliards FCFA, un niveau qui la positionne comme une valeur de taille moyenne sur la BRVM. Avec un BPA de 231 FCFA, le titre se négocie à un PER de 18,8x, nettement supérieur à la moyenne historique du marché (8-12x), indiquant que les investisseurs paient une prime substantielle pour la croissance anticipée. Le P/B de 3,86x confirme cette prime, le marché valorisant l'actif net comptable près de quatre fois sa valeur, ce qui reflète une forte confiance dans la création de valeur future. L'EV/EBITDA de 9,6x reste dans une zone raisonnable (5-10x), suggérant que la valorisation de l'entreprise, intégrant sa dette, demeure mesurée par rapport à sa capacité opérationnelle. Cette combinaison de ratios indique une valorisation exigeante sur les bénéfices, mais potentiellement justifiée par la solidité opérationnelle et les perspectives de croissance.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PRSC affiche une performance négative de -13,86%, avec une dernière séance en baisse de -1,14% à 4 350 FCFA, illustrant une pression vendeuse persistante. Le titre a évolué dans une fourchette large de 3 620 à 5 050 FCFA, démontrant une volatilité significative. La moyenne (4 420 FCFA) étant inférieure à la médiane (4 472 FCFA), on observe une asymétrie négative (skewness de -0,764), signifiant que les journées de baisse ont été plus fréquentes ou plus marquées, tirant la moyenne vers le bas. L'écart-type de 329 FCFA (CV de 7,5%) indique une dispersion modérée autour de la moyenne. Le kurtosis de 0,464 (mésokurtique) suggère une distribution des rendements proche de la normale, sans risque extrême de valeurs aberrantes. La volatilité annualisée de 38,9% classe le titre comme très volatil (&gt;30%), un niveau élevé qui requiert une gestion du risque rigoureuse. La tendance générale est clairement baissière, le cours évoluant sous ses moyennes mobiles clés.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(4 350 FCFA) se situe sous la MM20 (4 452,75 FCFA) et la MM50 (4 487,5 FCFA), configuration baissière classique. La MM20 étant inférieure à la MM50, la tendance de court terme est plus faible que la tendance de moyen terme, confirmant un momentum négatif. La décision de Vente est justifiée par cette structure de prix sous les moyennes mobiles.</w:t>
      </w:r>
    </w:p>
    <w:p>
      <w:pPr>
        <w:spacing w:after="120" w:line="276" w:lineRule="auto"/>
      </w:pPr>
      <w:r>
        <w:t>**Bandes de Bollinger** : Le cours se positionne à la borne inférieure (4 347,395 FCFA), indiquant que le titre est proche de son niveau de "surcharge vendeuse" à court terme. La largeur des bandes suggère une volatilité élevée. La décision Neutre s'explique par le fait que le prix touche la borne inférieure sans la casser, ce qui pourrait précéder un rebond technique ou une poursuite de la baisse.</w:t>
      </w:r>
    </w:p>
    <w:p>
      <w:pPr>
        <w:spacing w:after="120" w:line="276" w:lineRule="auto"/>
      </w:pPr>
      <w:r>
        <w:t>**MACD** : La valeur du MACD (-17,57) est inférieure à son signal (-6,618), avec les deux en territoire négatif. Cette configuration baissière indique un momentum négatif qui se renforce, justifiant la décision de Vente. La divergence négative entre le MACD et le signal suggère que la pression vendeuse reste dominante.</w:t>
      </w:r>
    </w:p>
    <w:p>
      <w:pPr>
        <w:spacing w:after="120" w:line="276" w:lineRule="auto"/>
      </w:pPr>
      <w:r>
        <w:t>**RSI** : À 36,937, le RSI se situe en zone neutre mais proche de la zone de survente (&lt;30). Il n'est pas encore en survente, ce qui laisse une marge de baisse potentielle avant un éventuel rebond technique. La décision Neutre est cohérente avec cette lecture, le marché n'étant ni suracheté ni survendu.</w:t>
      </w:r>
    </w:p>
    <w:p>
      <w:pPr>
        <w:spacing w:after="120" w:line="276" w:lineRule="auto"/>
      </w:pPr>
      <w:r>
        <w:t>**Stochastique** : Le %K et le %D sont tous deux à 0,0, un niveau extrême de survente. Cette configuration indique que le titre est fortement survendu à court terme, ce qui pourrait déclencher un rebond technique imminent. La décision Achat est justifiée par ce niveau extrême, mais il faut rester prudent car un titre survendu peut le rester.</w:t>
      </w:r>
    </w:p>
    <w:p>
      <w:pPr>
        <w:spacing w:after="120" w:line="276" w:lineRule="auto"/>
      </w:pPr>
      <w:r>
        <w:t>**Conclusion technique** : La convergence des indicateurs (MM, MACD en vente) confirme une tendance baissière dominante. Cependant, les oscillateurs de court terme (RSI proche du survente, Stochastique à 0) suggèrent un potentiel de rebond technique. Le signal global reste Vente, mais avec une vigilance accrue pour un éventuel retournement.</w:t>
      </w:r>
    </w:p>
    <w:p>
      <w:pPr>
        <w:spacing w:after="120" w:line="276" w:lineRule="auto"/>
      </w:pPr>
      <w:r>
        <w:t>---</w:t>
      </w:r>
    </w:p>
    <w:p>
      <w:pPr>
        <w:spacing w:after="120" w:line="276" w:lineRule="auto"/>
      </w:pPr>
      <w:r>
        <w:t>### PARTIE 3 : ANALYSE FONDAMENTALE (SECTION CRITIQUE)</w:t>
      </w:r>
    </w:p>
    <w:p>
      <w:pPr>
        <w:spacing w:after="120" w:line="276" w:lineRule="auto"/>
      </w:pPr>
      <w:r>
        <w:t>**En 2025**, PRSC affiche un chiffre d'affaires de 81,127 milliards FCFA, en hausse de 9,5% par rapport à 2024 (74,45 Mds), démontrant une dynamique commerciale positive. Le résultat net s'établit à 2,367 milliards FCFA, en légère progression par rapport aux 2,177 milliards de 2024, mais nettement inférieur aux 3,64 milliards de 2022. La rentabilité des fonds propres (ROE) est excellente à 20,53%, bien au-dessus du seuil de 15%, tandis que le ROA de 4,95% reste modéré. En tant qu'entreprise de distribution automobile, l'analyse du BFR est cruciale : le délai clients de 46 jours est élevé et représente un risque de trésorerie, tandis que le délai fournisseurs de 103 jours est favorable. La durée de stockage de 151 jours est préoccupante, immobilisant un capital important. Les capitaux propres se renforcent à 11,531 milliards FCFA, avec une autonomie financière de 24,1%, en deçà du seuil de 30% jugé sain. Les rapports du S1 2025 (date : 30/06/2025) montrent une performance exceptionnelle avec un CA en hausse de +15,1% et un résultat net multiplié par 28, mais la direction anticipe un ralentissement au S2 dû au contexte électoral. Le rapport 2025 (daté du 31/12/2025) confirme une croissance de 9,5% du CA et un dividende proposé de 209 FCFA par action, offrant un rendement attractif. La structure financière reste sous pression avec une trésorerie nette négative de -4,092 milliards FCFA et un free cash-flow négatif de -2,616 milliards, malgré une CAF positive de 3,913 milliards. Les fondamentaux montrent une entreprise en croissance avec une rentabilité correcte, mais confrontée à des défis de gestion du BFR et de trésorerie.</w:t>
      </w:r>
    </w:p>
    <w:p>
      <w:pPr>
        <w:spacing w:after="120" w:line="276" w:lineRule="auto"/>
      </w:pPr>
      <w:r>
        <w:t>---</w:t>
      </w:r>
    </w:p>
    <w:p>
      <w:pPr>
        <w:spacing w:after="120" w:line="276" w:lineRule="auto"/>
      </w:pPr>
      <w:r>
        <w:t>### PARTIE 4 : CONCLUSION D'INVESTISSEMENT</w:t>
      </w:r>
    </w:p>
    <w:p>
      <w:pPr>
        <w:spacing w:after="120" w:line="276" w:lineRule="auto"/>
      </w:pPr>
      <w:r>
        <w:t>La valorisation de PRSC (PER 18,8x, P/B 3,86x) apparaît exigeante, intégrant une prime de croissance qui pourrait se justifier par la solidité opérationnelle, mais qui laisse peu de marge d'erreur. Le comportement du cours sur 100 jours est préoccupant avec une baisse de -13,86% et une volatilité élevée de 38,9%, reflétant une défiance des investisseurs malgré des fondamentaux corrects. Les signaux techniques sont majoritairement vendeurs (MM, MACD), bien que les oscillateurs de court terme (Stochastique à 0, RSI à 37) suggèrent un potentiel de rebond technique. Les fondamentaux 2025 montrent une croissance du CA de 9,5% et un ROE de 20,5%, mais la dégradation du BFR et la trésorerie nette négative constituent des points de vigilance. Les prédictions IA (4 341 à 4 261 FCFA sur 10 jours) confirment la tendance baissière à court terme, anticipant une poursuite du déclin. La convergence des signaux baissiers (technique, prédiction IA) avec une valorisation élevée et des défis de trésorerie conduit à une recommandation **CONSERVER**, avec un niveau de confiance Moyen et un risque global Élevé. L'horizon d'investissement optimal serait le moyen terme (3-12 mois), en attendant une clarification de la gestion du BFR et une stabilisation du cours. Une vente serait prématurée compte tenu de la croissance du CA et du dividende attractif de 209 FCFA par action, mais un achat nécessiterait des signaux techniques positifs et une amélioration de la trésorerie.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27.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49.29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8,048 titres</w:t>
            </w:r>
          </w:p>
        </w:tc>
        <w:tc>
          <w:tcPr>
            <w:tcW w:type="dxa" w:w="2268"/>
            <w:shd w:fill="FFF2CC" w:val="clear"/>
          </w:tcPr>
          <w:p>
            <w:r>
              <w:rPr>
                <w:b/>
                <w:color w:val="503200"/>
                <w:sz w:val="16"/>
              </w:rPr>
              <w:t xml:space="preserve">Cours actuel : </w:t>
            </w:r>
            <w:r>
              <w:rPr>
                <w:color w:val="000000"/>
                <w:sz w:val="17"/>
              </w:rPr>
              <w:t>6,070 FCFA</w:t>
            </w:r>
          </w:p>
          <w:p>
            <w:r>
              <w:rPr>
                <w:b/>
                <w:color w:val="503200"/>
                <w:sz w:val="16"/>
              </w:rPr>
              <w:t xml:space="preserve">Var. 100 jours : </w:t>
            </w:r>
            <w:r>
              <w:rPr>
                <w:b/>
                <w:color w:val="B40000"/>
                <w:sz w:val="17"/>
              </w:rPr>
              <w:t>-18.36%</w:t>
            </w:r>
          </w:p>
          <w:p>
            <w:r>
              <w:rPr>
                <w:b/>
                <w:color w:val="503200"/>
                <w:sz w:val="16"/>
              </w:rPr>
              <w:t xml:space="preserve">Plus haut 100j : </w:t>
            </w:r>
            <w:r>
              <w:rPr>
                <w:color w:val="000000"/>
                <w:sz w:val="17"/>
              </w:rPr>
              <w:t>7,435 FCFA</w:t>
            </w:r>
          </w:p>
          <w:p>
            <w:r>
              <w:rPr>
                <w:b/>
                <w:color w:val="503200"/>
                <w:sz w:val="16"/>
              </w:rPr>
              <w:t xml:space="preserve">Plus bas 100j : </w:t>
            </w:r>
            <w:r>
              <w:rPr>
                <w:color w:val="000000"/>
                <w:sz w:val="17"/>
              </w:rPr>
              <w:t>3,340 FCFA</w:t>
            </w:r>
          </w:p>
          <w:p>
            <w:r>
              <w:rPr>
                <w:b/>
                <w:color w:val="503200"/>
                <w:sz w:val="16"/>
              </w:rPr>
              <w:t xml:space="preserve">Volatilité ann. : </w:t>
            </w:r>
            <w:r>
              <w:rPr>
                <w:color w:val="000000"/>
                <w:sz w:val="17"/>
              </w:rPr>
              <w:t>82.2%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30.1/100 → Moyen</w:t>
      </w:r>
    </w:p>
    <w:p>
      <w:pPr>
        <w:spacing w:before="40" w:after="80"/>
      </w:pPr>
      <w:r>
        <w:rPr>
          <w:rFonts w:ascii="Courier New" w:hAnsi="Courier New"/>
          <w:color w:val="825A00"/>
          <w:sz w:val="18"/>
        </w:rPr>
        <w:t>██████░░░░░░░░░░░░░░  30.1/100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19.88% (Élevée) — μ=4,676 FCFA, σ=929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β=0.5304 (Défensif) — Cov=0.000019, Var(idx)=0.000036, ρ=0.061,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8,048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σ_j=5.18%/j (Instable) — Vol. annualisée≈82.2%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2026-09-07</w:t>
            </w:r>
          </w:p>
        </w:tc>
        <w:tc>
          <w:tcPr>
            <w:tcW w:type="dxa" w:w="1440"/>
            <w:shd w:fill="FFDCE0" w:val="clear"/>
          </w:tcPr>
          <w:p>
            <w:r>
              <w:rPr>
                <w:sz w:val="17"/>
              </w:rPr>
              <w:t>5,284</w:t>
            </w:r>
          </w:p>
        </w:tc>
        <w:tc>
          <w:tcPr>
            <w:tcW w:type="dxa" w:w="1440"/>
            <w:shd w:fill="FFDCE0" w:val="clear"/>
          </w:tcPr>
          <w:p>
            <w:r>
              <w:rPr>
                <w:b/>
                <w:sz w:val="17"/>
              </w:rPr>
              <w:t>5,615</w:t>
            </w:r>
          </w:p>
        </w:tc>
        <w:tc>
          <w:tcPr>
            <w:tcW w:type="dxa" w:w="1440"/>
            <w:shd w:fill="FFDCE0" w:val="clear"/>
          </w:tcPr>
          <w:p>
            <w:r>
              <w:rPr>
                <w:sz w:val="17"/>
              </w:rPr>
              <w:t>5,946</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2026-09-08</w:t>
            </w:r>
          </w:p>
        </w:tc>
        <w:tc>
          <w:tcPr>
            <w:tcW w:type="dxa" w:w="1440"/>
            <w:shd w:fill="FFDCE0" w:val="clear"/>
          </w:tcPr>
          <w:p>
            <w:r>
              <w:rPr>
                <w:sz w:val="17"/>
              </w:rPr>
              <w:t>4,761</w:t>
            </w:r>
          </w:p>
        </w:tc>
        <w:tc>
          <w:tcPr>
            <w:tcW w:type="dxa" w:w="1440"/>
            <w:shd w:fill="FFDCE0" w:val="clear"/>
          </w:tcPr>
          <w:p>
            <w:r>
              <w:rPr>
                <w:b/>
                <w:sz w:val="17"/>
              </w:rPr>
              <w:t>5,194</w:t>
            </w:r>
          </w:p>
        </w:tc>
        <w:tc>
          <w:tcPr>
            <w:tcW w:type="dxa" w:w="1440"/>
            <w:shd w:fill="FFDCE0" w:val="clear"/>
          </w:tcPr>
          <w:p>
            <w:r>
              <w:rPr>
                <w:sz w:val="17"/>
              </w:rPr>
              <w:t>5,626</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2026-09-09</w:t>
            </w:r>
          </w:p>
        </w:tc>
        <w:tc>
          <w:tcPr>
            <w:tcW w:type="dxa" w:w="1440"/>
            <w:shd w:fill="FFDCE0" w:val="clear"/>
          </w:tcPr>
          <w:p>
            <w:r>
              <w:rPr>
                <w:sz w:val="17"/>
              </w:rPr>
              <w:t>4,314</w:t>
            </w:r>
          </w:p>
        </w:tc>
        <w:tc>
          <w:tcPr>
            <w:tcW w:type="dxa" w:w="1440"/>
            <w:shd w:fill="FFDCE0" w:val="clear"/>
          </w:tcPr>
          <w:p>
            <w:r>
              <w:rPr>
                <w:b/>
                <w:sz w:val="17"/>
              </w:rPr>
              <w:t>4,804</w:t>
            </w:r>
          </w:p>
        </w:tc>
        <w:tc>
          <w:tcPr>
            <w:tcW w:type="dxa" w:w="1440"/>
            <w:shd w:fill="FFDCE0" w:val="clear"/>
          </w:tcPr>
          <w:p>
            <w:r>
              <w:rPr>
                <w:sz w:val="17"/>
              </w:rPr>
              <w:t>5,294</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3,920</w:t>
            </w:r>
          </w:p>
        </w:tc>
        <w:tc>
          <w:tcPr>
            <w:tcW w:type="dxa" w:w="1440"/>
            <w:shd w:fill="FFDCE0" w:val="clear"/>
          </w:tcPr>
          <w:p>
            <w:r>
              <w:rPr>
                <w:b/>
                <w:sz w:val="17"/>
              </w:rPr>
              <w:t>4,444</w:t>
            </w:r>
          </w:p>
        </w:tc>
        <w:tc>
          <w:tcPr>
            <w:tcW w:type="dxa" w:w="1440"/>
            <w:shd w:fill="FFDCE0" w:val="clear"/>
          </w:tcPr>
          <w:p>
            <w:r>
              <w:rPr>
                <w:sz w:val="17"/>
              </w:rPr>
              <w:t>4,967</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3,569</w:t>
            </w:r>
          </w:p>
        </w:tc>
        <w:tc>
          <w:tcPr>
            <w:tcW w:type="dxa" w:w="1440"/>
            <w:shd w:fill="FFDCE0" w:val="clear"/>
          </w:tcPr>
          <w:p>
            <w:r>
              <w:rPr>
                <w:b/>
                <w:sz w:val="17"/>
              </w:rPr>
              <w:t>4,111</w:t>
            </w:r>
          </w:p>
        </w:tc>
        <w:tc>
          <w:tcPr>
            <w:tcW w:type="dxa" w:w="1440"/>
            <w:shd w:fill="FFDCE0" w:val="clear"/>
          </w:tcPr>
          <w:p>
            <w:r>
              <w:rPr>
                <w:sz w:val="17"/>
              </w:rPr>
              <w:t>4,652</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3,253</w:t>
            </w:r>
          </w:p>
        </w:tc>
        <w:tc>
          <w:tcPr>
            <w:tcW w:type="dxa" w:w="1440"/>
            <w:shd w:fill="FFDCE0" w:val="clear"/>
          </w:tcPr>
          <w:p>
            <w:r>
              <w:rPr>
                <w:b/>
                <w:sz w:val="17"/>
              </w:rPr>
              <w:t>3,802</w:t>
            </w:r>
          </w:p>
        </w:tc>
        <w:tc>
          <w:tcPr>
            <w:tcW w:type="dxa" w:w="1440"/>
            <w:shd w:fill="FFDCE0" w:val="clear"/>
          </w:tcPr>
          <w:p>
            <w:r>
              <w:rPr>
                <w:sz w:val="17"/>
              </w:rPr>
              <w:t>4,351</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2,969</w:t>
            </w:r>
          </w:p>
        </w:tc>
        <w:tc>
          <w:tcPr>
            <w:tcW w:type="dxa" w:w="1440"/>
            <w:shd w:fill="FFDCE0" w:val="clear"/>
          </w:tcPr>
          <w:p>
            <w:r>
              <w:rPr>
                <w:b/>
                <w:sz w:val="17"/>
              </w:rPr>
              <w:t>3,517</w:t>
            </w:r>
          </w:p>
        </w:tc>
        <w:tc>
          <w:tcPr>
            <w:tcW w:type="dxa" w:w="1440"/>
            <w:shd w:fill="FFDCE0" w:val="clear"/>
          </w:tcPr>
          <w:p>
            <w:r>
              <w:rPr>
                <w:sz w:val="17"/>
              </w:rPr>
              <w:t>4,065</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2,711</w:t>
            </w:r>
          </w:p>
        </w:tc>
        <w:tc>
          <w:tcPr>
            <w:tcW w:type="dxa" w:w="1440"/>
            <w:shd w:fill="FFDCE0" w:val="clear"/>
          </w:tcPr>
          <w:p>
            <w:r>
              <w:rPr>
                <w:b/>
                <w:sz w:val="17"/>
              </w:rPr>
              <w:t>3,253</w:t>
            </w:r>
          </w:p>
        </w:tc>
        <w:tc>
          <w:tcPr>
            <w:tcW w:type="dxa" w:w="1440"/>
            <w:shd w:fill="FFDCE0" w:val="clear"/>
          </w:tcPr>
          <w:p>
            <w:r>
              <w:rPr>
                <w:sz w:val="17"/>
              </w:rPr>
              <w:t>3,795</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2,477</w:t>
            </w:r>
          </w:p>
        </w:tc>
        <w:tc>
          <w:tcPr>
            <w:tcW w:type="dxa" w:w="1440"/>
            <w:shd w:fill="FFDCE0" w:val="clear"/>
          </w:tcPr>
          <w:p>
            <w:r>
              <w:rPr>
                <w:b/>
                <w:sz w:val="17"/>
              </w:rPr>
              <w:t>3,009</w:t>
            </w:r>
          </w:p>
        </w:tc>
        <w:tc>
          <w:tcPr>
            <w:tcW w:type="dxa" w:w="1440"/>
            <w:shd w:fill="FFDCE0" w:val="clear"/>
          </w:tcPr>
          <w:p>
            <w:r>
              <w:rPr>
                <w:sz w:val="17"/>
              </w:rPr>
              <w:t>3,541</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2,265</w:t>
            </w:r>
          </w:p>
        </w:tc>
        <w:tc>
          <w:tcPr>
            <w:tcW w:type="dxa" w:w="1440"/>
            <w:shd w:fill="FFDCE0" w:val="clear"/>
          </w:tcPr>
          <w:p>
            <w:r>
              <w:rPr>
                <w:b/>
                <w:sz w:val="17"/>
              </w:rPr>
              <w:t>2,784</w:t>
            </w:r>
          </w:p>
        </w:tc>
        <w:tc>
          <w:tcPr>
            <w:tcW w:type="dxa" w:w="1440"/>
            <w:shd w:fill="FFDCE0" w:val="clear"/>
          </w:tcPr>
          <w:p>
            <w:r>
              <w:rPr>
                <w:sz w:val="17"/>
              </w:rPr>
              <w:t>3,302</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SAFC s'établit à 49,29 milliards FCFA, un niveau modeste dans l'écosystème de la BRVM, reflétant un profil de petite capitalisation. Le BPA de 86 FCFA par action indique un bénéfice net par titre relativement faible, ce qui explique le PER de 70,3x, extrêmement élevé par rapport à la moyenne du marché BRVM (8-12x). Les investisseurs paient donc une prime considérable pour chaque franc de bénéfice, signe d'anticipations de croissance très optimistes. Le P/B de 8,33x confirme cette surévaluation relative, le marché valorisant le titre plus de huit fois sa valeur comptable, contre une référence de 4x jugée déjà exigeante. Enfin, l'EV/EBITDA de 82,9x, très supérieur au seuil de 15x, indique que la valeur totale de l'entreprise (fonds propres + dettes) est déconnectée de sa capacité opérationnelle à générer des flux, ce qui impose une prudence extrême.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SAFC a enregistré une variation totale de -18,36%, passant d'un plus haut de 7 435 FCFA à un plus bas de 3 340 FCFA, illustrant une volatilité extrême. La dernière séance montre un rebond de +4,66% à 6 070 FCFA, mais la tendance générale reste baissière sur la période. La moyenne du cours (4 676 FCFA) est supérieure à la médiane (4 505 FCFA), indiquant une asymétrie positive (skewness de 0,735) : les journées sous la moyenne sont plus fréquentes, mais les fortes hausses ponctuelles tirent la moyenne vers le haut. L'écart-type de 934 FCFA (CV=20%) révèle une dispersion importante, tandis que le kurtosis de -0,076 (mésokurtique) suggère une distribution proche de la normale, sans risque de pics extrêmes particuliers. La volatilité annualisée de 82,2% classe le titre comme extrêmement risqué, bien au-delà du seuil de 30% considéré comme élevé, ce qui en fait une valeur spéculative par excellence.</w:t>
      </w:r>
    </w:p>
    <w:p>
      <w:pPr>
        <w:spacing w:after="120" w:line="276" w:lineRule="auto" w:before="240"/>
      </w:pPr>
      <w:r>
        <w:rPr>
          <w:b/>
          <w:color w:val="003366"/>
          <w:sz w:val="24"/>
        </w:rPr>
        <w:t>**PARTIE 2 : ANALYSE TECHNIQUE DÉTAILLÉE**</w:t>
      </w:r>
    </w:p>
    <w:p>
      <w:pPr>
        <w:spacing w:after="120" w:line="276" w:lineRule="auto"/>
      </w:pPr>
      <w:r>
        <w:t>**Moyennes Mobiles** : Le cours actuel de 6 070 FCFA se situe nettement au-dessus de la MM20 (5 672 FCFA) et de la MM50 (5 050 FCFA), confirmant une dynamique haussière à court et moyen terme. La décision d'achat est justifiée par cette configuration positive, le prix évoluant dans une tendance ascendante.</w:t>
      </w:r>
    </w:p>
    <w:p>
      <w:pPr>
        <w:spacing w:after="120" w:line="276" w:lineRule="auto"/>
      </w:pPr>
      <w:r>
        <w:t>**Bandes de Bollinger** : Le cours se positionne dans la partie supérieure des bandes (borne supérieure à 6 389 FCFA, borne inférieure à 4 955 FCFA), sans toutefois toucher la borne haute. La décision neutre s'explique par une volatilité modérée, le prix évoluant dans un canal non extrême, laissant place à une poursuite ou à un retournement.</w:t>
      </w:r>
    </w:p>
    <w:p>
      <w:pPr>
        <w:spacing w:after="120" w:line="276" w:lineRule="auto"/>
      </w:pPr>
      <w:r>
        <w:t>**MACD** : La valeur du MACD (293,6) est inférieure à son signal (302,3), indiquant un momentum baissier à court terme. La décision de vente est cohérente avec cette divergence négative, même si l'écart reste faible, suggérant une possible consolidation avant une reprise.</w:t>
      </w:r>
    </w:p>
    <w:p>
      <w:pPr>
        <w:spacing w:after="120" w:line="276" w:lineRule="auto"/>
      </w:pPr>
      <w:r>
        <w:t>**RSI** : À 57,2, le RSI se situe en zone neutre (entre 30 et 70), sans signal de surachat ni de survente. Cette valeur reflète un équilibre entre pressions acheteuses et vendeuses, justifiant une position d'attente.</w:t>
      </w:r>
    </w:p>
    <w:p>
      <w:pPr>
        <w:spacing w:after="120" w:line="276" w:lineRule="auto"/>
      </w:pPr>
      <w:r>
        <w:t>**Stochastique** : Le %K (78,0) est supérieur au %D (60,0), indiquant une dynamique haussière en cours, mais le %K approche la zone de surachat (&gt;80). La décision neutre suggère de surveiller un éventuel croisement baissier.</w:t>
      </w:r>
    </w:p>
    <w:p>
      <w:pPr>
        <w:spacing w:after="120" w:line="276" w:lineRule="auto"/>
      </w:pPr>
      <w:r>
        <w:t>**Conclusion technique** : Les indicateurs sont partagés entre signaux haussiers (MM, Stochastique) et baissiers (MACD), avec des positions neutres sur Bollinger et RSI. Cette divergence traduit une incertitude technique, le titre évoluant dans une phase de consolidation après un fort rebond. La tendance de fond reste positive grâce aux moyennes mobiles, mais la prudence est requise à court terme.</w:t>
      </w:r>
    </w:p>
    <w:p>
      <w:pPr>
        <w:spacing w:after="120" w:line="276" w:lineRule="auto" w:before="240"/>
      </w:pPr>
      <w:r>
        <w:rPr>
          <w:b/>
          <w:color w:val="003366"/>
          <w:sz w:val="24"/>
        </w:rPr>
        <w:t>**PARTIE 3 : ANALYSE FONDAMENTALE (SECTION CRITIQUE)**</w:t>
      </w:r>
    </w:p>
    <w:p>
      <w:pPr>
        <w:spacing w:after="120" w:line="276" w:lineRule="auto"/>
      </w:pPr>
      <w:r>
        <w:t>En 2025, SAFC (Alios Finance Côte d'Ivoire) affiche un Produit Net Bancaire de 5,735 milliards FCFA, en hausse de 44,1% par rapport à 2024 (3,980 milliards), et un résultat net positif de 701 millions FCFA, marquant un retournement spectaculaire après huit années de pertes consécutives. Le ROE s'établit à 11,85% (contre -2,2% estimé en 2024) et le ROA à 0,88%, reflétant une rentabilité encore modeste mais en nette amélioration. Le coefficient d'exploitation de 77,6% reste élevé (supérieur au seuil de 60% pour une banque efficace), indiquant des charges opérationnelles encore lourdes. Le coût du risque de 6,57% demeure significatif, témoignant d'un portefeuille de crédits encore fragile. Les capitaux propres (5,916 milliards) restent faibles face à un total bilan de 79,555 milliards (autonomie financière de 7,4%), et le report à nouveau négatif de -4,123 milliards grève la structure financière. Les rapports trimestriels 2026 (T1 : PNB +29% à 1,395 milliard, résultat net +1062% à 151 millions ; S1 : PNB +37% à 2,907 milliards, résultat net +231% à 731 millions) confirment une dynamique de redressement accélérée, portée par l'intégration au sein de CREDAF Group. On estime que l'exercice 2026 pourrait dépasser le milliard de FCFA de résultat net si la tendance se maintient, avec une amélioration notable du coût du risque (reprise de 261 millions au S1 2026). La solidité prudentielle s'améliore (ratio de solvabilité à 12,9% au S1 2026), mais la dépendance aux dettes interbancaires (35,7 milliards) et l'absence de dividende (résultat affecté en report à nouveau) limitent l'attractivité du titre.</w:t>
      </w:r>
    </w:p>
    <w:p>
      <w:pPr>
        <w:spacing w:after="120" w:line="276" w:lineRule="auto" w:before="240"/>
      </w:pPr>
      <w:r>
        <w:rPr>
          <w:b/>
          <w:color w:val="003366"/>
          <w:sz w:val="24"/>
        </w:rPr>
        <w:t>**PARTIE 4 : CONCLUSION D'INVESTISSEMENT**</w:t>
      </w:r>
    </w:p>
    <w:p>
      <w:pPr>
        <w:spacing w:after="120" w:line="276" w:lineRule="auto"/>
      </w:pPr>
      <w:r>
        <w:t>La valorisation de SAFC (PER de 70,3x, P/B de 8,33x, EV/EBITDA de 82,9x) apparaît extrêmement surévaluée par rapport aux fondamentaux actuels, intégrant des anticipations de croissance très optimistes. Le comportement du cours sur 100 jours (-18,36%) avec une volatilité annualisée de 82,2% témoigne d'un risque élevé, malgré un rebond récent de +4,66%. Les signaux techniques sont mitigés : les moyennes mobiles sont haussières, mais le MACD est vendeur et le RSI neutre, indiquant une phase de consolidation incertaine. Les fondamentaux montrent un redressement spectaculaire en 2025 (résultat net positif de 701 millions) et une dynamique confirmée au S1 2026 (résultat net de 731 millions), portée par CREDAF Group, mais la structure financière reste fragile (capitaux propres faibles, report à nouveau négatif). Les prédictions IA (baisse de 6 070 à 4 111 FCFA sur 10 jours) contredisent les signaux techniques haussiers, suggérant un retournement imminent. En synthèse, la convergence entre une valorisation excessive, une volatilité extrême et des fondamentaux encore fragiles conduit à une recommandation **CONSERVER** avec un niveau de confiance **Moyen** et un risque global **Élevé**. L'horizon d'investissement optimal serait le **moyen terme (3-12 mois)**, en attendant une confirmation durable de la rentabilité et un assainissement du bilan avant d'envisager un renforcement.</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l'am\u00e9lioration du co\u00fbt du risque et la solidit\u00e9 des ratios prudentiels indiquent une dynamique positive. Le mod\u00e8le \u00e9conomique d\u00e9ploy\u00e9 depuis l'int\u00e9gration au sein de CREDAF GROUP soutient la cr\u00e9ation de valeur."}</w:t>
      </w:r>
    </w:p>
    <w:p>
      <w:pPr>
        <w:spacing w:before="40"/>
        <w:ind w:left="400"/>
      </w:pPr>
      <w:r>
        <w:rPr>
          <w:sz w:val="18"/>
        </w:rPr>
        <w:t>Au 30 juin 2026, Alios Finance Côte d'Ivoire (SAFCA) affiche une croissance soutenue de son activité, avec un produit net bancaire en hausse de 37% à 2,907 milliards FCFA. Le résultat net progresse fortement de 231% pour atteindre 731 millions FCFA, traduisant une amélioration de l'efficacité opérationnelle et une meilleure maîtrise du coût du risque. Le total du bilan s'établit à 90,47 milliards FCFA, en hausse de 14%, porté par une augmentation des prêts à la clientèle de 21%. Les capitaux propres se renforcent de 22% à 6,65 milliards FCFA, et tous les ratios prudentiels sont conformes aux exigences de l'UMOA. La dynamique positive devrait se poursuivre grâce à la stratégie de développemen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{'ratio_cet1_2025': '9,653%', 'ratio_cet1_2026': '11,491%', 'total_actif_2025': '79 188 millions FCFA', 'ratio_levier_2026': '3,94%', 'resultat_net_2025': '221 millions FCFA', 'capitaux_propres_2025': '5 436 millions FCFA', 'produit_net_bancaire_2025': '2 122 millions FCFA', 'ratio_solvabilite_globale_2025': '11,886%', 'ratio_solvabilite_globale_2026': '12,931%'}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25,2%</w:t>
            </w:r>
          </w:p>
        </w:tc>
        <w:tc>
          <w:tcPr>
            <w:tcW w:type="dxa" w:w="2160"/>
          </w:tcPr>
          <w:p>
            <w:pPr>
              <w:ind w:left="100"/>
            </w:pPr>
            <w:r/>
            <w:r>
              <w:rPr>
                <w:b/>
                <w:sz w:val="16"/>
              </w:rPr>
              <w:t>total_actif</w:t>
              <w:br/>
            </w:r>
            <w:r>
              <w:rPr>
                <w:sz w:val="18"/>
              </w:rPr>
              <w:t>90 472 millions FCFA</w:t>
            </w:r>
          </w:p>
        </w:tc>
      </w:tr>
      <w:tr>
        <w:tc>
          <w:tcPr>
            <w:tcW w:type="dxa" w:w="2160"/>
          </w:tcPr>
          <w:p>
            <w:r/>
            <w:r>
              <w:rPr>
                <w:b/>
                <w:sz w:val="16"/>
              </w:rPr>
              <w:t>resultat_net</w:t>
              <w:br/>
            </w:r>
            <w:r>
              <w:rPr>
                <w:sz w:val="18"/>
              </w:rPr>
              <w:t>731 millions FCFA</w:t>
            </w:r>
          </w:p>
        </w:tc>
        <w:tc>
          <w:tcPr>
            <w:tcW w:type="dxa" w:w="2160"/>
          </w:tcPr>
          <w:p>
            <w:r/>
            <w:r>
              <w:rPr>
                <w:b/>
                <w:sz w:val="16"/>
              </w:rPr>
              <w:t>capitaux_propres</w:t>
              <w:br/>
            </w:r>
            <w:r>
              <w:rPr>
                <w:sz w:val="18"/>
              </w:rPr>
              <w:t>6 647 millions FCFA</w:t>
            </w:r>
          </w:p>
        </w:tc>
        <w:tc>
          <w:tcPr>
            <w:tcW w:type="dxa" w:w="2160"/>
          </w:tcPr>
          <w:p>
            <w:r/>
            <w:r>
              <w:rPr>
                <w:b/>
                <w:sz w:val="16"/>
              </w:rPr>
              <w:t>chiffre_affaires</w:t>
              <w:br/>
            </w:r>
            <w:r>
              <w:rPr>
                <w:sz w:val="18"/>
              </w:rPr>
              <w:t>2 907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37%, passant de 2 122 à 2 907 millions FCFA.</w:t>
      </w:r>
    </w:p>
    <w:p>
      <w:pPr>
        <w:pStyle w:val="ListBullet"/>
        <w:spacing w:before="20" w:after="20"/>
        <w:ind w:left="700"/>
      </w:pPr>
      <w:r>
        <w:rPr>
          <w:sz w:val="18"/>
        </w:rPr>
        <w:t>Résultat net en hausse de 231%, passant de 221 à 731 millions FCFA.</w:t>
      </w:r>
    </w:p>
    <w:p>
      <w:pPr>
        <w:pStyle w:val="ListBullet"/>
        <w:spacing w:before="20" w:after="20"/>
        <w:ind w:left="700"/>
      </w:pPr>
      <w:r>
        <w:rPr>
          <w:sz w:val="18"/>
        </w:rPr>
        <w:t>Le coût du risque s'améliore, avec une reprise nette de 261 millions FCFA contre une charge de 93 millions un an plus tôt.</w:t>
      </w:r>
    </w:p>
    <w:p>
      <w:pPr>
        <w:pStyle w:val="ListBullet"/>
        <w:spacing w:before="20" w:after="20"/>
        <w:ind w:left="700"/>
      </w:pPr>
      <w:r>
        <w:rPr>
          <w:sz w:val="18"/>
        </w:rPr>
        <w:t>Total du bilan en hausse de 14% pour atteindre 90 472 millions FCFA.</w:t>
      </w:r>
    </w:p>
    <w:p>
      <w:pPr>
        <w:pStyle w:val="ListBullet"/>
        <w:spacing w:before="20" w:after="20"/>
        <w:ind w:left="700"/>
      </w:pPr>
      <w:r>
        <w:rPr>
          <w:sz w:val="18"/>
        </w:rPr>
        <w:t>Les opérations avec la clientèle (à l'actif) progressent de 21%, atteignant 68 537 millions FCFA.</w:t>
      </w:r>
    </w:p>
    <w:p>
      <w:pPr>
        <w:pStyle w:val="ListBullet"/>
        <w:spacing w:before="20" w:after="20"/>
        <w:ind w:left="700"/>
      </w:pPr>
      <w:r>
        <w:rPr>
          <w:sz w:val="18"/>
        </w:rPr>
        <w:t>Capitaux propres et ressources assimilées en hausse de 22% à 6 647 millions FCFA.</w:t>
      </w:r>
    </w:p>
    <w:p>
      <w:pPr>
        <w:spacing w:before="40"/>
        <w:ind w:left="400"/>
      </w:pPr>
      <w:r>
        <w:rPr>
          <w:b/>
          <w:color w:val="C05000"/>
          <w:sz w:val="18"/>
        </w:rPr>
        <w:t xml:space="preserve">⚠️ Risques : </w:t>
      </w:r>
      <w:r>
        <w:rPr>
          <w:sz w:val="18"/>
        </w:rPr>
        <w:t>["Risque de d\u00e9gradation de la qualit\u00e9 du portefeuille de cr\u00e9dit, susceptible d'accro\u00eetre le co\u00fbt du risque.", "Risque de d\u00e9pendance au financement par la client\u00e8le, dont la collecte peut se rench\u00e9rir.", "Risque r\u00e9glementaire, notamment en cas de durcissem</w:t>
      </w:r>
    </w:p>
    <w:p>
      <w:pPr>
        <w:spacing w:before="40"/>
        <w:ind w:left="400"/>
      </w:pPr>
      <w:r>
        <w:rPr>
          <w:b/>
          <w:color w:val="0064A0"/>
          <w:sz w:val="18"/>
        </w:rPr>
        <w:t xml:space="preserve">🔮 Perspectives : </w:t>
      </w:r>
      <w:r>
        <w:rPr>
          <w:sz w:val="18"/>
        </w:rPr>
        <w:t>L'établissement devrait poursuivre sa croissance, porté par le développement des crédits à la clientèle et l'amélioration de sa rentabilité. Les fonds propres renforcés offrent des marges de manœuvre pour accompagner cette expansion tout en maintenant une gestion prudente des risques.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
      <w:r>
        <w:t>════════════════════════════════════════════════════════════════════════════════</w:t>
      </w:r>
    </w:p>
    <w:p>
      <w:r>
        <w:br w:type="page"/>
      </w:r>
    </w:p>
    <w:p>
      <w:pPr>
        <w:pStyle w:val="Heading2"/>
        <w:spacing w:before="360"/>
      </w:pPr>
      <w:r>
        <w:rPr>
          <w:color w:val="0066CC"/>
        </w:rPr>
        <w:t>28.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69.87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11,643 titres</w:t>
            </w:r>
          </w:p>
        </w:tc>
        <w:tc>
          <w:tcPr>
            <w:tcW w:type="dxa" w:w="2268"/>
            <w:shd w:fill="FFF2CC" w:val="clear"/>
          </w:tcPr>
          <w:p>
            <w:r>
              <w:rPr>
                <w:b/>
                <w:color w:val="503200"/>
                <w:sz w:val="16"/>
              </w:rPr>
              <w:t xml:space="preserve">Cours actuel : </w:t>
            </w:r>
            <w:r>
              <w:rPr>
                <w:color w:val="000000"/>
                <w:sz w:val="17"/>
              </w:rPr>
              <w:t>3,565 FCFA</w:t>
            </w:r>
          </w:p>
          <w:p>
            <w:r>
              <w:rPr>
                <w:b/>
                <w:color w:val="503200"/>
                <w:sz w:val="16"/>
              </w:rPr>
              <w:t xml:space="preserve">Var. 100 jours : </w:t>
            </w:r>
            <w:r>
              <w:rPr>
                <w:b/>
                <w:color w:val="007800"/>
                <w:sz w:val="17"/>
              </w:rPr>
              <w:t>+76.05%</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1,990 FCFA</w:t>
            </w:r>
          </w:p>
          <w:p>
            <w:r>
              <w:rPr>
                <w:b/>
                <w:color w:val="503200"/>
                <w:sz w:val="16"/>
              </w:rPr>
              <w:t xml:space="preserve">Volatilité ann. : </w:t>
            </w:r>
            <w:r>
              <w:rPr>
                <w:color w:val="000000"/>
                <w:sz w:val="17"/>
              </w:rPr>
              <w:t>53.3%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20.51% (Élevée) — μ=3,008 FCFA, σ=617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β=0.4091 (Défensif) — Cov=0.000015, Var(idx)=0.000036, ρ=0.073,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11,643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σ_j=3.36%/j (Modérée) — Vol. annualisée≈53.3%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2026-09-07</w:t>
            </w:r>
          </w:p>
        </w:tc>
        <w:tc>
          <w:tcPr>
            <w:tcW w:type="dxa" w:w="1440"/>
            <w:shd w:fill="FFDCE0" w:val="clear"/>
          </w:tcPr>
          <w:p>
            <w:r>
              <w:rPr>
                <w:sz w:val="17"/>
              </w:rPr>
              <w:t>3,174</w:t>
            </w:r>
          </w:p>
        </w:tc>
        <w:tc>
          <w:tcPr>
            <w:tcW w:type="dxa" w:w="1440"/>
            <w:shd w:fill="FFDCE0" w:val="clear"/>
          </w:tcPr>
          <w:p>
            <w:r>
              <w:rPr>
                <w:b/>
                <w:sz w:val="17"/>
              </w:rPr>
              <w:t>3,298</w:t>
            </w:r>
          </w:p>
        </w:tc>
        <w:tc>
          <w:tcPr>
            <w:tcW w:type="dxa" w:w="1440"/>
            <w:shd w:fill="FFDCE0" w:val="clear"/>
          </w:tcPr>
          <w:p>
            <w:r>
              <w:rPr>
                <w:sz w:val="17"/>
              </w:rPr>
              <w:t>3,421</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2026-09-08</w:t>
            </w:r>
          </w:p>
        </w:tc>
        <w:tc>
          <w:tcPr>
            <w:tcW w:type="dxa" w:w="1440"/>
            <w:shd w:fill="FFDCE0" w:val="clear"/>
          </w:tcPr>
          <w:p>
            <w:r>
              <w:rPr>
                <w:sz w:val="17"/>
              </w:rPr>
              <w:t>2,888</w:t>
            </w:r>
          </w:p>
        </w:tc>
        <w:tc>
          <w:tcPr>
            <w:tcW w:type="dxa" w:w="1440"/>
            <w:shd w:fill="FFDCE0" w:val="clear"/>
          </w:tcPr>
          <w:p>
            <w:r>
              <w:rPr>
                <w:b/>
                <w:sz w:val="17"/>
              </w:rPr>
              <w:t>3,050</w:t>
            </w:r>
          </w:p>
        </w:tc>
        <w:tc>
          <w:tcPr>
            <w:tcW w:type="dxa" w:w="1440"/>
            <w:shd w:fill="FFDCE0" w:val="clear"/>
          </w:tcPr>
          <w:p>
            <w:r>
              <w:rPr>
                <w:sz w:val="17"/>
              </w:rPr>
              <w:t>3,212</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2026-09-09</w:t>
            </w:r>
          </w:p>
        </w:tc>
        <w:tc>
          <w:tcPr>
            <w:tcW w:type="dxa" w:w="1440"/>
            <w:shd w:fill="FFDCE0" w:val="clear"/>
          </w:tcPr>
          <w:p>
            <w:r>
              <w:rPr>
                <w:sz w:val="17"/>
              </w:rPr>
              <w:t>2,638</w:t>
            </w:r>
          </w:p>
        </w:tc>
        <w:tc>
          <w:tcPr>
            <w:tcW w:type="dxa" w:w="1440"/>
            <w:shd w:fill="FFDCE0" w:val="clear"/>
          </w:tcPr>
          <w:p>
            <w:r>
              <w:rPr>
                <w:b/>
                <w:sz w:val="17"/>
              </w:rPr>
              <w:t>2,822</w:t>
            </w:r>
          </w:p>
        </w:tc>
        <w:tc>
          <w:tcPr>
            <w:tcW w:type="dxa" w:w="1440"/>
            <w:shd w:fill="FFDCE0" w:val="clear"/>
          </w:tcPr>
          <w:p>
            <w:r>
              <w:rPr>
                <w:sz w:val="17"/>
              </w:rPr>
              <w:t>3,005</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2,414</w:t>
            </w:r>
          </w:p>
        </w:tc>
        <w:tc>
          <w:tcPr>
            <w:tcW w:type="dxa" w:w="1440"/>
            <w:shd w:fill="FFDCE0" w:val="clear"/>
          </w:tcPr>
          <w:p>
            <w:r>
              <w:rPr>
                <w:b/>
                <w:sz w:val="17"/>
              </w:rPr>
              <w:t>2,610</w:t>
            </w:r>
          </w:p>
        </w:tc>
        <w:tc>
          <w:tcPr>
            <w:tcW w:type="dxa" w:w="1440"/>
            <w:shd w:fill="FFDCE0" w:val="clear"/>
          </w:tcPr>
          <w:p>
            <w:r>
              <w:rPr>
                <w:sz w:val="17"/>
              </w:rPr>
              <w:t>2,806</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2,211</w:t>
            </w:r>
          </w:p>
        </w:tc>
        <w:tc>
          <w:tcPr>
            <w:tcW w:type="dxa" w:w="1440"/>
            <w:shd w:fill="FFDCE0" w:val="clear"/>
          </w:tcPr>
          <w:p>
            <w:r>
              <w:rPr>
                <w:b/>
                <w:sz w:val="17"/>
              </w:rPr>
              <w:t>2,414</w:t>
            </w:r>
          </w:p>
        </w:tc>
        <w:tc>
          <w:tcPr>
            <w:tcW w:type="dxa" w:w="1440"/>
            <w:shd w:fill="FFDCE0" w:val="clear"/>
          </w:tcPr>
          <w:p>
            <w:r>
              <w:rPr>
                <w:sz w:val="17"/>
              </w:rPr>
              <w:t>2,617</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2,028</w:t>
            </w:r>
          </w:p>
        </w:tc>
        <w:tc>
          <w:tcPr>
            <w:tcW w:type="dxa" w:w="1440"/>
            <w:shd w:fill="FFDCE0" w:val="clear"/>
          </w:tcPr>
          <w:p>
            <w:r>
              <w:rPr>
                <w:b/>
                <w:sz w:val="17"/>
              </w:rPr>
              <w:t>2,233</w:t>
            </w:r>
          </w:p>
        </w:tc>
        <w:tc>
          <w:tcPr>
            <w:tcW w:type="dxa" w:w="1440"/>
            <w:shd w:fill="FFDCE0" w:val="clear"/>
          </w:tcPr>
          <w:p>
            <w:r>
              <w:rPr>
                <w:sz w:val="17"/>
              </w:rPr>
              <w:t>2,439</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1,860</w:t>
            </w:r>
          </w:p>
        </w:tc>
        <w:tc>
          <w:tcPr>
            <w:tcW w:type="dxa" w:w="1440"/>
            <w:shd w:fill="FFDCE0" w:val="clear"/>
          </w:tcPr>
          <w:p>
            <w:r>
              <w:rPr>
                <w:b/>
                <w:sz w:val="17"/>
              </w:rPr>
              <w:t>2,066</w:t>
            </w:r>
          </w:p>
        </w:tc>
        <w:tc>
          <w:tcPr>
            <w:tcW w:type="dxa" w:w="1440"/>
            <w:shd w:fill="FFDCE0" w:val="clear"/>
          </w:tcPr>
          <w:p>
            <w:r>
              <w:rPr>
                <w:sz w:val="17"/>
              </w:rPr>
              <w:t>2,271</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1,708</w:t>
            </w:r>
          </w:p>
        </w:tc>
        <w:tc>
          <w:tcPr>
            <w:tcW w:type="dxa" w:w="1440"/>
            <w:shd w:fill="FFDCE0" w:val="clear"/>
          </w:tcPr>
          <w:p>
            <w:r>
              <w:rPr>
                <w:b/>
                <w:sz w:val="17"/>
              </w:rPr>
              <w:t>1,911</w:t>
            </w:r>
          </w:p>
        </w:tc>
        <w:tc>
          <w:tcPr>
            <w:tcW w:type="dxa" w:w="1440"/>
            <w:shd w:fill="FFDCE0" w:val="clear"/>
          </w:tcPr>
          <w:p>
            <w:r>
              <w:rPr>
                <w:sz w:val="17"/>
              </w:rPr>
              <w:t>2,114</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1,568</w:t>
            </w:r>
          </w:p>
        </w:tc>
        <w:tc>
          <w:tcPr>
            <w:tcW w:type="dxa" w:w="1440"/>
            <w:shd w:fill="FFDCE0" w:val="clear"/>
          </w:tcPr>
          <w:p>
            <w:r>
              <w:rPr>
                <w:b/>
                <w:sz w:val="17"/>
              </w:rPr>
              <w:t>1,767</w:t>
            </w:r>
          </w:p>
        </w:tc>
        <w:tc>
          <w:tcPr>
            <w:tcW w:type="dxa" w:w="1440"/>
            <w:shd w:fill="FFDCE0" w:val="clear"/>
          </w:tcPr>
          <w:p>
            <w:r>
              <w:rPr>
                <w:sz w:val="17"/>
              </w:rPr>
              <w:t>1,967</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1,441</w:t>
            </w:r>
          </w:p>
        </w:tc>
        <w:tc>
          <w:tcPr>
            <w:tcW w:type="dxa" w:w="1440"/>
            <w:shd w:fill="FFDCE0" w:val="clear"/>
          </w:tcPr>
          <w:p>
            <w:r>
              <w:rPr>
                <w:b/>
                <w:sz w:val="17"/>
              </w:rPr>
              <w:t>1,635</w:t>
            </w:r>
          </w:p>
        </w:tc>
        <w:tc>
          <w:tcPr>
            <w:tcW w:type="dxa" w:w="1440"/>
            <w:shd w:fill="FFDCE0" w:val="clear"/>
          </w:tcPr>
          <w:p>
            <w:r>
              <w:rPr>
                <w:sz w:val="17"/>
              </w:rPr>
              <w:t>1,829</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pPr>
      <w:r>
        <w:t>Absolument. Voici un rapport d'analyse professionnel structuré sur l'action SCRC (SUCRIVOIRE) de la BRVM, conformément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SCRC s'établit à 69,87 milliards FCFA, un niveau significatif pour une société industrielle de cette envergure sur la BRVM. Cependant, les ratios de valorisation peignent un tableau contrasté. Le BPA est négatif à -406 FCFA, ce qui rend le PER non significatif (-8,8x). Les investisseurs sont donc confrontés à une société déficitaire, mais le marché valorise fortement ses actifs, comme l'indique un P/B de 4,05x, signifiant que le prix de l'action est plus de quatre fois supérieur à sa valeur comptable. Enfin, un EV/EBITDA de 10,9x suggère que la valeur totale de l'entreprise (dette incluse) est élevée par rapport à sa capacité opérationnelle (EBITDA), ce qui est exigeant compte tenu des pertes actuelles.</w:t>
      </w:r>
    </w:p>
    <w:p>
      <w:pPr>
        <w:spacing w:after="120" w:line="276" w:lineRule="auto"/>
      </w:pPr>
      <w:r>
        <w:t>### PARTIE 1 : ANALYSE DU COURS — STATISTIQUES ET ÉVOLUTION (100 derniers jours)</w:t>
      </w:r>
    </w:p>
    <w:p>
      <w:pPr>
        <w:spacing w:after="120" w:line="276" w:lineRule="auto"/>
      </w:pPr>
      <w:r>
        <w:t>Sur les 100 derniers jours, l'action SCRC a connu une hausse spectaculaire de +76,05%, passant d'un plus bas de 1 990 FCFA à un plus haut de 3 920 FCFA, avant de se négocier actuellement à 3 565 FCFA, en légère baisse de -0,14% sur la dernière séance. Cette tendance est fortement haussière. Les statistiques descriptives révèlent une distribution particulière : la moyenne (3 008 FCFA) est inférieure à la médiane (3 160 FCFA), indiquant une asymétrie négative (skewness de -0,476) où les fortes baisses sont plus fréquentes que les fortes hausses. Le kurtosis négatif (-1.265) signale une distribution "aplatie" (platykurtique), avec moins de valeurs extrêmes que la normale. La volatilité annualisée est très élevée (53,3%), reflétant un risque important, et l'écart-type de 620 FCFA (CV=20,6%) confirme une dispersion notable des prix autour de la moyenne.</w:t>
      </w:r>
    </w:p>
    <w:p>
      <w:pPr>
        <w:spacing w:after="120" w:line="276" w:lineRule="auto"/>
      </w:pPr>
      <w:r>
        <w:t>### PARTIE 2 : ANALYSE TECHNIQUE DÉTAILLÉE</w:t>
      </w:r>
    </w:p>
    <w:p>
      <w:pPr>
        <w:spacing w:after="120" w:line="276" w:lineRule="auto"/>
      </w:pPr>
      <w:r>
        <w:t>**Moyennes Mobiles**: Le cours actuel (3 565 FCFA) est inférieur à la MM20 (3 530 FCFA) et à la MM50 (3 538 FCFA). Cette configuration, où le prix est sous ses moyennes mobiles clés, est un signal baissier à court et moyen terme, justifiant la décision de "Vente". Cela suggère que le récent rally pourrait être en train de s'essouffler.</w:t>
      </w:r>
    </w:p>
    <w:p>
      <w:pPr>
        <w:spacing w:after="120" w:line="276" w:lineRule="auto"/>
      </w:pPr>
      <w:r>
        <w:t>**Bandes de Bollinger**: Le prix se situe à 3 565 FCFA, entre la borne supérieure (3 762 FCFA) et la borne inférieure (3 298 FCFA), proche de la moyenne. La décision est "Neutre". La largeur des bandes indique une volatilité toujours élevée, mais le prix n'est pas en zone de surachat ou de survente extrême, laissant place à une consolidation potentielle.</w:t>
      </w:r>
    </w:p>
    <w:p>
      <w:pPr>
        <w:spacing w:after="120" w:line="276" w:lineRule="auto"/>
      </w:pPr>
      <w:r>
        <w:t>**MACD**: La valeur du MACD (4.974) est positive et supérieure à sa ligne de signal (-2.872). Ce croisement haussier indique un momentum positif en train de se former, justifiant la décision d'"Achat". Cela pourrait signaler le début d'un nouveau mouvement à la hausse après une période de correction.</w:t>
      </w:r>
    </w:p>
    <w:p>
      <w:pPr>
        <w:spacing w:after="120" w:line="276" w:lineRule="auto"/>
      </w:pPr>
      <w:r>
        <w:t>**RSI**: Avec une valeur de 43.357, le RSI se situe en zone neutre (entre 30 et 70). Il n'y a pas de pression d'achat ou de vente excessive. La décision est "Neutre", indiquant que le marché n'a pas encore tranché sur la direction future à court terme.</w:t>
      </w:r>
    </w:p>
    <w:p>
      <w:pPr>
        <w:spacing w:after="120" w:line="276" w:lineRule="auto"/>
      </w:pPr>
      <w:r>
        <w:t>**Stochastique**: Le %K (78.182) est supérieur à %D (74.354), mais tous deux sont à des niveaux élevés, proches de la zone de surachat (au-dessus de 80). Bien que la décision soit "Neutre", cette configuration suggère que le mouvement haussier récent pourrait manquer d'élan et qu'une consolidation ou un repli est possible.</w:t>
      </w:r>
    </w:p>
    <w:p>
      <w:pPr>
        <w:spacing w:after="120" w:line="276" w:lineRule="auto"/>
      </w:pPr>
      <w:r>
        <w:t>**Conclusion technique**: Les signaux techniques sont mitigés. Le MACD est haussier, mais les moyennes mobiles sont baissières, et le RSI et le Stochastique sont neutres. Cette divergence indique une phase d'incertitude. La prudence est de mise, car le récent rally semble rencontrer une résistance, et le titre pourrait consolider avant de poursuivre sa tendance.</w:t>
      </w:r>
    </w:p>
    <w:p>
      <w:pPr>
        <w:spacing w:after="120" w:line="276" w:lineRule="auto"/>
      </w:pPr>
      <w:r>
        <w:t>### PARTIE 3 : ANALYSE FONDAMENTALE (SECTION CRITIQUE)</w:t>
      </w:r>
    </w:p>
    <w:p>
      <w:pPr>
        <w:spacing w:after="120" w:line="276" w:lineRule="auto"/>
      </w:pPr>
      <w:r>
        <w:t>En 2025, les données structurées officielles montrent une situation financière très dégradée pour la SCRC. Le chiffre d'affaires s'établit à 80,569 Mds FCFA, en baisse de -7,6% par rapport à 2024. La société enregistre une perte nette massive de -7,954 Mds FCFA, contre un bénéfice de 2,59 Mds FCFA en 2024, faisant chuter la marge nette à -9,9%. Cette perte se reflète dans un ROE de -46,1% et un ROA de -5,1%, indiquant une forte destruction de valeur. L'endettement est un problème critique : les dettes financières totales atteignent 84,873 Mds FCFA, avec un ratio d'endettement sur capitaux propres de 89%, et la trésorerie nette est négative à -6,5 Mds FCFA. Les délais de paiement sont déséquilibrés : le délai clients est très court (12 jours), mais le délai fournisseurs est extrêmement long (366 jours), signe d'une pression intense sur les fournisseurs. Les rapports narratifs de 2025 (analysés en 2026) confirment cette dégradation, l'expliquant par une explosion des charges financières (+262% à 6,79 Mds FCFA) suite à un doublement de l'endettement pour financer un plan d'investissement massif. Le rapport du S1 2025 (date inconnue) montrait déjà une perte de -6,71 Mds FCFA, et les rapports annuels 2025 recommandent tous une décision de "Vente". Les perspectives pour 2026 restent préoccupantes, dépendantes de la réussite du plan de redressement et de la capacité à rentabiliser les investissements.</w:t>
      </w:r>
    </w:p>
    <w:p>
      <w:pPr>
        <w:spacing w:after="120" w:line="276" w:lineRule="auto"/>
      </w:pPr>
      <w:r>
        <w:t>### PARTIE 4 : CONCLUSION D'INVESTISSEMENT</w:t>
      </w:r>
    </w:p>
    <w:p>
      <w:pPr>
        <w:spacing w:after="120" w:line="276" w:lineRule="auto"/>
      </w:pPr>
      <w:r>
        <w:t>La synthèse globale est fortement baissière. La valorisation (Partie 0) est exigeante avec un P/B de 4,05x pour une société déficitaire, ce qui est injustifiable fondamentalement. Le comportement du cours (Partie 1) montre une volatilité extrême (53,3%) et une tendance récente qui, bien que haussière sur 100 jours, semble s'essouffler. Les signaux techniques (Partie 2) sont mitigés, avec un MACD haussier contredit par des moyennes mobiles baissières, indiquant une incertitude. Les fondamentaux (Partie 3) sont très préoccupants : pertes massives, endettement critique et charges financières insoutenables. Enfin, les prédictions IA pour les 10 prochains jours (de 3 298 à 2 414 FCFA) confirment cette analyse baissière, anticipant une chute brutale du cours. La convergence de la dégradation fondamentale, de la valorisation excessive et des prédictions IA l'emporte sur les signaux techniques mitigés et la performance passée. Par conséquent, la recommandation est une **VENTE FORTE**, avec un niveau de confiance **Élevé** et un risque global **Élevé**. L'horizon d'investissement optimal est le **court terme (&lt;3 mois)** pour les investisseurs cherchant à sortir, car la pression vendeuse devrait s'intensifier.</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29.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121.50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1,161 titres</w:t>
            </w:r>
          </w:p>
        </w:tc>
        <w:tc>
          <w:tcPr>
            <w:tcW w:type="dxa" w:w="2268"/>
            <w:shd w:fill="FFF2CC" w:val="clear"/>
          </w:tcPr>
          <w:p>
            <w:r>
              <w:rPr>
                <w:b/>
                <w:color w:val="503200"/>
                <w:sz w:val="16"/>
              </w:rPr>
              <w:t xml:space="preserve">Cours actuel : </w:t>
            </w:r>
            <w:r>
              <w:rPr>
                <w:color w:val="000000"/>
                <w:sz w:val="17"/>
              </w:rPr>
              <w:t>13,500 FCFA</w:t>
            </w:r>
          </w:p>
          <w:p>
            <w:r>
              <w:rPr>
                <w:b/>
                <w:color w:val="503200"/>
                <w:sz w:val="16"/>
              </w:rPr>
              <w:t xml:space="preserve">Var. 100 jours : </w:t>
            </w:r>
            <w:r>
              <w:rPr>
                <w:b/>
                <w:color w:val="007800"/>
                <w:sz w:val="17"/>
              </w:rPr>
              <w:t>+86.21%</w:t>
            </w:r>
          </w:p>
          <w:p>
            <w:r>
              <w:rPr>
                <w:b/>
                <w:color w:val="503200"/>
                <w:sz w:val="16"/>
              </w:rPr>
              <w:t xml:space="preserve">Plus haut 100j : </w:t>
            </w:r>
            <w:r>
              <w:rPr>
                <w:color w:val="000000"/>
                <w:sz w:val="17"/>
              </w:rPr>
              <w:t>13,500 FCFA</w:t>
            </w:r>
          </w:p>
          <w:p>
            <w:r>
              <w:rPr>
                <w:b/>
                <w:color w:val="503200"/>
                <w:sz w:val="16"/>
              </w:rPr>
              <w:t xml:space="preserve">Plus bas 100j : </w:t>
            </w:r>
            <w:r>
              <w:rPr>
                <w:color w:val="000000"/>
                <w:sz w:val="17"/>
              </w:rPr>
              <w:t>7,140 FCFA</w:t>
            </w:r>
          </w:p>
          <w:p>
            <w:r>
              <w:rPr>
                <w:b/>
                <w:color w:val="503200"/>
                <w:sz w:val="16"/>
              </w:rPr>
              <w:t xml:space="preserve">Volatilité ann. : </w:t>
            </w:r>
            <w:r>
              <w:rPr>
                <w:color w:val="000000"/>
                <w:sz w:val="17"/>
              </w:rPr>
              <w:t>36.6%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31.1/100 → Moyen</w:t>
      </w:r>
    </w:p>
    <w:p>
      <w:pPr>
        <w:spacing w:before="40" w:after="80"/>
      </w:pPr>
      <w:r>
        <w:rPr>
          <w:rFonts w:ascii="Courier New" w:hAnsi="Courier New"/>
          <w:color w:val="825A00"/>
          <w:sz w:val="18"/>
        </w:rPr>
        <w:t>██████░░░░░░░░░░░░░░  31.1/100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15.73% (Élevée) — μ=10,958 FCFA, σ=1,723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β=-0.0260 (Contre-cyclique) — Cov=-0.000001, Var(idx)=0.000036, ρ=-0.007,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1,161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σ_j=2.30%/j (Stable) — Vol. annualisée≈36.6%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0319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2026-09-07</w:t>
            </w:r>
          </w:p>
        </w:tc>
        <w:tc>
          <w:tcPr>
            <w:tcW w:type="dxa" w:w="1440"/>
            <w:shd w:fill="FFDCE0" w:val="clear"/>
          </w:tcPr>
          <w:p>
            <w:r>
              <w:rPr>
                <w:sz w:val="17"/>
              </w:rPr>
              <w:t>12,360</w:t>
            </w:r>
          </w:p>
        </w:tc>
        <w:tc>
          <w:tcPr>
            <w:tcW w:type="dxa" w:w="1440"/>
            <w:shd w:fill="FFDCE0" w:val="clear"/>
          </w:tcPr>
          <w:p>
            <w:r>
              <w:rPr>
                <w:b/>
                <w:sz w:val="17"/>
              </w:rPr>
              <w:t>12,762</w:t>
            </w:r>
          </w:p>
        </w:tc>
        <w:tc>
          <w:tcPr>
            <w:tcW w:type="dxa" w:w="1440"/>
            <w:shd w:fill="FFDCE0" w:val="clear"/>
          </w:tcPr>
          <w:p>
            <w:r>
              <w:rPr>
                <w:sz w:val="17"/>
              </w:rPr>
              <w:t>13,164</w:t>
            </w:r>
          </w:p>
        </w:tc>
        <w:tc>
          <w:tcPr>
            <w:tcW w:type="dxa" w:w="1440"/>
            <w:shd w:fill="FFDCE0" w:val="clear"/>
          </w:tcPr>
          <w:p>
            <w:r>
              <w:rPr>
                <w:b/>
                <w:color w:val="C00000"/>
                <w:sz w:val="17"/>
              </w:rPr>
              <w:t>-5.5%</w:t>
            </w:r>
          </w:p>
        </w:tc>
      </w:tr>
      <w:tr>
        <w:tc>
          <w:tcPr>
            <w:tcW w:type="dxa" w:w="1440"/>
            <w:shd w:fill="FFDCE0" w:val="clear"/>
          </w:tcPr>
          <w:p>
            <w:r>
              <w:rPr>
                <w:sz w:val="17"/>
              </w:rPr>
              <w:t>J+2  Moyenne</w:t>
            </w:r>
          </w:p>
        </w:tc>
        <w:tc>
          <w:tcPr>
            <w:tcW w:type="dxa" w:w="1440"/>
            <w:shd w:fill="FFDCE0" w:val="clear"/>
          </w:tcPr>
          <w:p>
            <w:r>
              <w:rPr>
                <w:sz w:val="17"/>
              </w:rPr>
              <w:t>2026-09-08</w:t>
            </w:r>
          </w:p>
        </w:tc>
        <w:tc>
          <w:tcPr>
            <w:tcW w:type="dxa" w:w="1440"/>
            <w:shd w:fill="FFDCE0" w:val="clear"/>
          </w:tcPr>
          <w:p>
            <w:r>
              <w:rPr>
                <w:sz w:val="17"/>
              </w:rPr>
              <w:t>11,986</w:t>
            </w:r>
          </w:p>
        </w:tc>
        <w:tc>
          <w:tcPr>
            <w:tcW w:type="dxa" w:w="1440"/>
            <w:shd w:fill="FFDCE0" w:val="clear"/>
          </w:tcPr>
          <w:p>
            <w:r>
              <w:rPr>
                <w:b/>
                <w:sz w:val="17"/>
              </w:rPr>
              <w:t>12,545</w:t>
            </w:r>
          </w:p>
        </w:tc>
        <w:tc>
          <w:tcPr>
            <w:tcW w:type="dxa" w:w="1440"/>
            <w:shd w:fill="FFDCE0" w:val="clear"/>
          </w:tcPr>
          <w:p>
            <w:r>
              <w:rPr>
                <w:sz w:val="17"/>
              </w:rPr>
              <w:t>13,104</w:t>
            </w:r>
          </w:p>
        </w:tc>
        <w:tc>
          <w:tcPr>
            <w:tcW w:type="dxa" w:w="1440"/>
            <w:shd w:fill="FFDCE0" w:val="clear"/>
          </w:tcPr>
          <w:p>
            <w:r>
              <w:rPr>
                <w:b/>
                <w:color w:val="C00000"/>
                <w:sz w:val="17"/>
              </w:rPr>
              <w:t>-7.1%</w:t>
            </w:r>
          </w:p>
        </w:tc>
      </w:tr>
      <w:tr>
        <w:tc>
          <w:tcPr>
            <w:tcW w:type="dxa" w:w="1440"/>
            <w:shd w:fill="FFDCE0" w:val="clear"/>
          </w:tcPr>
          <w:p>
            <w:r>
              <w:rPr>
                <w:sz w:val="17"/>
              </w:rPr>
              <w:t>J+3  ⭐</w:t>
            </w:r>
          </w:p>
        </w:tc>
        <w:tc>
          <w:tcPr>
            <w:tcW w:type="dxa" w:w="1440"/>
            <w:shd w:fill="FFDCE0" w:val="clear"/>
          </w:tcPr>
          <w:p>
            <w:r>
              <w:rPr>
                <w:sz w:val="17"/>
              </w:rPr>
              <w:t>2026-09-09</w:t>
            </w:r>
          </w:p>
        </w:tc>
        <w:tc>
          <w:tcPr>
            <w:tcW w:type="dxa" w:w="1440"/>
            <w:shd w:fill="FFDCE0" w:val="clear"/>
          </w:tcPr>
          <w:p>
            <w:r>
              <w:rPr>
                <w:sz w:val="17"/>
              </w:rPr>
              <w:t>11,672</w:t>
            </w:r>
          </w:p>
        </w:tc>
        <w:tc>
          <w:tcPr>
            <w:tcW w:type="dxa" w:w="1440"/>
            <w:shd w:fill="FFDCE0" w:val="clear"/>
          </w:tcPr>
          <w:p>
            <w:r>
              <w:rPr>
                <w:b/>
                <w:sz w:val="17"/>
              </w:rPr>
              <w:t>12,345</w:t>
            </w:r>
          </w:p>
        </w:tc>
        <w:tc>
          <w:tcPr>
            <w:tcW w:type="dxa" w:w="1440"/>
            <w:shd w:fill="FFDCE0" w:val="clear"/>
          </w:tcPr>
          <w:p>
            <w:r>
              <w:rPr>
                <w:sz w:val="17"/>
              </w:rPr>
              <w:t>13,019</w:t>
            </w:r>
          </w:p>
        </w:tc>
        <w:tc>
          <w:tcPr>
            <w:tcW w:type="dxa" w:w="1440"/>
            <w:shd w:fill="FFDCE0" w:val="clear"/>
          </w:tcPr>
          <w:p>
            <w:r>
              <w:rPr>
                <w:b/>
                <w:color w:val="C00000"/>
                <w:sz w:val="17"/>
              </w:rPr>
              <w:t>-8.6%</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11,401</w:t>
            </w:r>
          </w:p>
        </w:tc>
        <w:tc>
          <w:tcPr>
            <w:tcW w:type="dxa" w:w="1440"/>
            <w:shd w:fill="FFDCE0" w:val="clear"/>
          </w:tcPr>
          <w:p>
            <w:r>
              <w:rPr>
                <w:b/>
                <w:sz w:val="17"/>
              </w:rPr>
              <w:t>12,167</w:t>
            </w:r>
          </w:p>
        </w:tc>
        <w:tc>
          <w:tcPr>
            <w:tcW w:type="dxa" w:w="1440"/>
            <w:shd w:fill="FFDCE0" w:val="clear"/>
          </w:tcPr>
          <w:p>
            <w:r>
              <w:rPr>
                <w:sz w:val="17"/>
              </w:rPr>
              <w:t>12,934</w:t>
            </w:r>
          </w:p>
        </w:tc>
        <w:tc>
          <w:tcPr>
            <w:tcW w:type="dxa" w:w="1440"/>
            <w:shd w:fill="FFDCE0" w:val="clear"/>
          </w:tcPr>
          <w:p>
            <w:r>
              <w:rPr>
                <w:b/>
                <w:color w:val="C00000"/>
                <w:sz w:val="17"/>
              </w:rPr>
              <w:t>-9.9%</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11,162</w:t>
            </w:r>
          </w:p>
        </w:tc>
        <w:tc>
          <w:tcPr>
            <w:tcW w:type="dxa" w:w="1440"/>
            <w:shd w:fill="FFDCE0" w:val="clear"/>
          </w:tcPr>
          <w:p>
            <w:r>
              <w:rPr>
                <w:b/>
                <w:sz w:val="17"/>
              </w:rPr>
              <w:t>12,008</w:t>
            </w:r>
          </w:p>
        </w:tc>
        <w:tc>
          <w:tcPr>
            <w:tcW w:type="dxa" w:w="1440"/>
            <w:shd w:fill="FFDCE0" w:val="clear"/>
          </w:tcPr>
          <w:p>
            <w:r>
              <w:rPr>
                <w:sz w:val="17"/>
              </w:rPr>
              <w:t>12,853</w:t>
            </w:r>
          </w:p>
        </w:tc>
        <w:tc>
          <w:tcPr>
            <w:tcW w:type="dxa" w:w="1440"/>
            <w:shd w:fill="FFDCE0" w:val="clear"/>
          </w:tcPr>
          <w:p>
            <w:r>
              <w:rPr>
                <w:b/>
                <w:color w:val="C00000"/>
                <w:sz w:val="17"/>
              </w:rPr>
              <w:t>-11.1%</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10,949</w:t>
            </w:r>
          </w:p>
        </w:tc>
        <w:tc>
          <w:tcPr>
            <w:tcW w:type="dxa" w:w="1440"/>
            <w:shd w:fill="FFDCE0" w:val="clear"/>
          </w:tcPr>
          <w:p>
            <w:r>
              <w:rPr>
                <w:b/>
                <w:sz w:val="17"/>
              </w:rPr>
              <w:t>11,865</w:t>
            </w:r>
          </w:p>
        </w:tc>
        <w:tc>
          <w:tcPr>
            <w:tcW w:type="dxa" w:w="1440"/>
            <w:shd w:fill="FFDCE0" w:val="clear"/>
          </w:tcPr>
          <w:p>
            <w:r>
              <w:rPr>
                <w:sz w:val="17"/>
              </w:rPr>
              <w:t>12,780</w:t>
            </w:r>
          </w:p>
        </w:tc>
        <w:tc>
          <w:tcPr>
            <w:tcW w:type="dxa" w:w="1440"/>
            <w:shd w:fill="FFDCE0" w:val="clear"/>
          </w:tcPr>
          <w:p>
            <w:r>
              <w:rPr>
                <w:b/>
                <w:color w:val="C00000"/>
                <w:sz w:val="17"/>
              </w:rPr>
              <w:t>-12.1%</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10,757</w:t>
            </w:r>
          </w:p>
        </w:tc>
        <w:tc>
          <w:tcPr>
            <w:tcW w:type="dxa" w:w="1440"/>
            <w:shd w:fill="FFDCE0" w:val="clear"/>
          </w:tcPr>
          <w:p>
            <w:r>
              <w:rPr>
                <w:b/>
                <w:sz w:val="17"/>
              </w:rPr>
              <w:t>11,734</w:t>
            </w:r>
          </w:p>
        </w:tc>
        <w:tc>
          <w:tcPr>
            <w:tcW w:type="dxa" w:w="1440"/>
            <w:shd w:fill="FFDCE0" w:val="clear"/>
          </w:tcPr>
          <w:p>
            <w:r>
              <w:rPr>
                <w:sz w:val="17"/>
              </w:rPr>
              <w:t>12,712</w:t>
            </w:r>
          </w:p>
        </w:tc>
        <w:tc>
          <w:tcPr>
            <w:tcW w:type="dxa" w:w="1440"/>
            <w:shd w:fill="FFDCE0" w:val="clear"/>
          </w:tcPr>
          <w:p>
            <w:r>
              <w:rPr>
                <w:b/>
                <w:color w:val="C00000"/>
                <w:sz w:val="17"/>
              </w:rPr>
              <w:t>-13.1%</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10,580</w:t>
            </w:r>
          </w:p>
        </w:tc>
        <w:tc>
          <w:tcPr>
            <w:tcW w:type="dxa" w:w="1440"/>
            <w:shd w:fill="FFDCE0" w:val="clear"/>
          </w:tcPr>
          <w:p>
            <w:r>
              <w:rPr>
                <w:b/>
                <w:sz w:val="17"/>
              </w:rPr>
              <w:t>11,615</w:t>
            </w:r>
          </w:p>
        </w:tc>
        <w:tc>
          <w:tcPr>
            <w:tcW w:type="dxa" w:w="1440"/>
            <w:shd w:fill="FFDCE0" w:val="clear"/>
          </w:tcPr>
          <w:p>
            <w:r>
              <w:rPr>
                <w:sz w:val="17"/>
              </w:rPr>
              <w:t>12,650</w:t>
            </w:r>
          </w:p>
        </w:tc>
        <w:tc>
          <w:tcPr>
            <w:tcW w:type="dxa" w:w="1440"/>
            <w:shd w:fill="FFDCE0" w:val="clear"/>
          </w:tcPr>
          <w:p>
            <w:r>
              <w:rPr>
                <w:b/>
                <w:color w:val="C00000"/>
                <w:sz w:val="17"/>
              </w:rPr>
              <w:t>-14.0%</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10,419</w:t>
            </w:r>
          </w:p>
        </w:tc>
        <w:tc>
          <w:tcPr>
            <w:tcW w:type="dxa" w:w="1440"/>
            <w:shd w:fill="FFDCE0" w:val="clear"/>
          </w:tcPr>
          <w:p>
            <w:r>
              <w:rPr>
                <w:b/>
                <w:sz w:val="17"/>
              </w:rPr>
              <w:t>11,506</w:t>
            </w:r>
          </w:p>
        </w:tc>
        <w:tc>
          <w:tcPr>
            <w:tcW w:type="dxa" w:w="1440"/>
            <w:shd w:fill="FFDCE0" w:val="clear"/>
          </w:tcPr>
          <w:p>
            <w:r>
              <w:rPr>
                <w:sz w:val="17"/>
              </w:rPr>
              <w:t>12,593</w:t>
            </w:r>
          </w:p>
        </w:tc>
        <w:tc>
          <w:tcPr>
            <w:tcW w:type="dxa" w:w="1440"/>
            <w:shd w:fill="FFDCE0" w:val="clear"/>
          </w:tcPr>
          <w:p>
            <w:r>
              <w:rPr>
                <w:b/>
                <w:color w:val="C00000"/>
                <w:sz w:val="17"/>
              </w:rPr>
              <w:t>-14.8%</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10,268</w:t>
            </w:r>
          </w:p>
        </w:tc>
        <w:tc>
          <w:tcPr>
            <w:tcW w:type="dxa" w:w="1440"/>
            <w:shd w:fill="FFDCE0" w:val="clear"/>
          </w:tcPr>
          <w:p>
            <w:r>
              <w:rPr>
                <w:b/>
                <w:sz w:val="17"/>
              </w:rPr>
              <w:t>11,404</w:t>
            </w:r>
          </w:p>
        </w:tc>
        <w:tc>
          <w:tcPr>
            <w:tcW w:type="dxa" w:w="1440"/>
            <w:shd w:fill="FFDCE0" w:val="clear"/>
          </w:tcPr>
          <w:p>
            <w:r>
              <w:rPr>
                <w:sz w:val="17"/>
              </w:rPr>
              <w:t>12,540</w:t>
            </w:r>
          </w:p>
        </w:tc>
        <w:tc>
          <w:tcPr>
            <w:tcW w:type="dxa" w:w="1440"/>
            <w:shd w:fill="FFDCE0" w:val="clear"/>
          </w:tcPr>
          <w:p>
            <w:r>
              <w:rPr>
                <w:b/>
                <w:color w:val="C00000"/>
                <w:sz w:val="17"/>
              </w:rPr>
              <w:t>-15.5%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Absolument. Voici le rapport d'analyse structuré pour l'action SDCC (SODECI) sur la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121,50 Mds FCFA positionne SDCC comme une valeur de première ligne sur la BRVM, dans la lignée des grands groupes de services. Avec un BPA de 518 FCFA, le titre se paie un PER de 26,1x, un niveau extrêmement élevé par rapport à la moyenne historique du marché (8-12x), ce qui suggère que les investisseurs anticipent une forte croissance future des bénéfices ou une prime sectorielle significative. Cette prime est confirmée par un P/B de 6,16x, indiquant que le marché valorise l'actif net à plus de six fois sa valeur comptable. Enfin, un EV/EBITDA de 15,1x souligne que la valeur totale de l'entreprise (capitalisation + dette) est élevée par rapport à sa capacité à générer du cash opérationnel, rendant la valorisation actuelle exigeante et sensible à toute déception sur les résultats.</w:t>
      </w:r>
    </w:p>
    <w:p>
      <w:pPr>
        <w:spacing w:after="120" w:line="276" w:lineRule="auto"/>
      </w:pPr>
      <w:r>
        <w:t>### PARTIE 1 : ANALYSE DU COURS — STATISTIQUES ET ÉVOLUTION (100 derniers jours)</w:t>
      </w:r>
    </w:p>
    <w:p>
      <w:pPr>
        <w:spacing w:after="120" w:line="276" w:lineRule="auto"/>
      </w:pPr>
      <w:r>
        <w:t>Sur les 100 derniers jours, l'action SDCC a connu une appréciation spectaculaire de +86,21%, passant d'un plus bas de 7,140 FCFA à un plus haut de 13,500 FCFA, qui est aussi le cours actuel. La séance de la veille était stable (0,00%), marquant une pause après ce rallye. La tendance est fortement haussière. Les statistiques descriptives révèlent une distribution asymétrique : la moyenne (10,958 FCFA) est inférieure à la médiane (11,812 FCFA), et le skewness est négatif (-1.178), indiquant que malgré la forte hausse, le titre a passé plus de journées au-dessus de sa moyenne, avec des épisodes de baisse marqués mais moins fréquents. L'écart-type de 1,732 FCFA (CV de 15,8%) montre une dispersion modérée, tandis que le kurtosis proche de zéro (0.142) suggère une distribution "normale" des rendements, sans risque de pics extrêmes. La volatilité annualisée de 36,6% est élevée (&gt;30%), reflétant un risque de marché important pour ce titre.</w:t>
      </w:r>
    </w:p>
    <w:p>
      <w:pPr>
        <w:spacing w:after="120" w:line="276" w:lineRule="auto"/>
      </w:pPr>
      <w:r>
        <w:t>### PARTIE 2 : ANALYSE TECHNIQUE DÉTAILLÉE</w:t>
      </w:r>
    </w:p>
    <w:p>
      <w:pPr>
        <w:spacing w:after="120" w:line="276" w:lineRule="auto"/>
      </w:pPr>
      <w:r>
        <w:t>**Moyennes Mobiles**: Le cours actuel (13,500 FCFA) est nettement au-dessus de sa MM20 (12,314 FCFA) et de sa MM50 (12,019 FCFA). Cette configuration haussière, où les moyennes sont orientées à la hausse et le cours au-dessus, confirme la dynamique positive et justifie la décision d'**Achat**.</w:t>
      </w:r>
    </w:p>
    <w:p>
      <w:pPr>
        <w:spacing w:after="120" w:line="276" w:lineRule="auto"/>
      </w:pPr>
      <w:r>
        <w:t>**Bandes de Bollinger**: Le cours (13,500 FCFA) se situe très proche de la borne supérieure (13,545 FCFA), indiquant que le titre est actuellement en zone de surachat à court terme. La largeur des bandes reflète la volatilité élevée. La décision est **Neutre**, car un contact avec la borne supérieure peut précéder une consolidation ou une poursuite de la tendance.</w:t>
      </w:r>
    </w:p>
    <w:p>
      <w:pPr>
        <w:spacing w:after="120" w:line="276" w:lineRule="auto"/>
      </w:pPr>
      <w:r>
        <w:t>**MACD**: Le MACD (386.048) est nettement au-dessus de sa ligne de signal (250.157), avec les deux lignes en territoire positif. Cette divergence positive et croissante indique un momentum haussier très fort et confirme la dynamique d'achat. La décision est **Achat**.</w:t>
      </w:r>
    </w:p>
    <w:p>
      <w:pPr>
        <w:spacing w:after="120" w:line="276" w:lineRule="auto"/>
      </w:pPr>
      <w:r>
        <w:t>**RSI**: Le RSI est à 83.871, une valeur très élevée, bien au-dessus du seuil de surachat de 70. Cela indique que le titre est survendu à la hausse et qu'un retournement ou une consolidation technique est probable à court terme. La décision est **Vente**.</w:t>
      </w:r>
    </w:p>
    <w:p>
      <w:pPr>
        <w:spacing w:after="120" w:line="276" w:lineRule="auto"/>
      </w:pPr>
      <w:r>
        <w:t>**Stochastique**: Le %K (100.0) et le %D (96.403) sont tous deux à des niveaux extrêmes de surachat. Le %K est au-dessus de %D, mais cette configuration à des niveaux aussi élevés signale un épuisement potentiel du mouvement haussier. La décision est **Vente**.</w:t>
      </w:r>
    </w:p>
    <w:p>
      <w:pPr>
        <w:spacing w:after="120" w:line="276" w:lineRule="auto"/>
      </w:pPr>
      <w:r>
        <w:t>**Conclusion technique**: Les indicateurs de tendance (MM, MACD) sont résolument haussiers, mais les oscillateurs de momentum (RSI, Stochastique) sont en zone de surachat extrême. Le signal est donc contradictoire : la tendance de fond est positive, mais le risque d'un repli technique à court terme est très élevé. La décision globale est de **Conserver** les positions existantes sans en prendre de nouvelles à ce niveau de prix.</w:t>
      </w:r>
    </w:p>
    <w:p>
      <w:pPr>
        <w:spacing w:after="120" w:line="276" w:lineRule="auto"/>
      </w:pPr>
      <w:r>
        <w:t>### PARTIE 3 : ANALYSE FONDAMENTALE (SECTION CRITIQUE)</w:t>
      </w:r>
    </w:p>
    <w:p>
      <w:pPr>
        <w:spacing w:after="120" w:line="276" w:lineRule="auto"/>
      </w:pPr>
      <w:r>
        <w:t>En tant qu'**ENTREPRISE** (secteur de l'eau), l'analyse se concentre sur le CA, les marges et le BFR. Les états financiers 2025 montrent un CA de 189,430 Mds FCFA (+10% vs 2024), un Résultat Net de 4,663 Mds FCFA (+31%), et un ROE excellent de 23,65%. Cependant, le ROA est faible (0,99%) et la structure financière est fragile : l'autonomie financière n'est que de 4,17% et le ratio d'endettement est colossal (95,83%). Le **délai clients de 749 jours** est un signal d'alerte majeur, indiquant un risque de trésorerie important, confirmé par un **BFR de 104,748 Mds FCFA** et un Free Cash Flow négatif de -38,504 Mds FCFA. Les rapports narratifs montrent une amélioration au T1 2026 (RN +118% à 1,318 Md FCFA) et une croissance soutenue sur l'exercice 2025. Sur la base de ces données, on estime que l'exercice 2026 pourrait voir une nouvelle amélioration de la rentabilité si la maîtrise des charges se poursuit, mais la pression sur la trésorerie et le recouvrement des créances reste le risque principal.</w:t>
      </w:r>
    </w:p>
    <w:p>
      <w:pPr>
        <w:spacing w:after="120" w:line="276" w:lineRule="auto"/>
      </w:pPr>
      <w:r>
        <w:t>### PARTIE 4 : CONCLUSION D'INVESTISSEMENT</w:t>
      </w:r>
    </w:p>
    <w:p>
      <w:pPr>
        <w:spacing w:after="120" w:line="276" w:lineRule="auto"/>
      </w:pPr>
      <w:r>
        <w:t>La valorisation boursière de SDCC est extrêmement exigeante (PER 26x, P/B 6x), signalant une **surévaluation** relative aux fondamentaux actuels. Le comportement du cours est spectaculairement haussier (+86% en 100 jours) avec une volatilité élevée, mais les statistiques montrent une distribution atypique. Les signaux techniques sont **divergents** : la tendance est forte (MM, MACD) mais les indicateurs de momentum (RSI, Stochastique) hurlent au surachat, suggérant un risque de correction. Les fondamentaux, bien qu'en amélioration (RN 2025 en hausse, T1 2026 excellent), sont assombris par une structure bilancielle fragile et un besoin en fonds de roulement massif. Les prédictions IA (baisse de 13,500 à 12,008 FCFA sur 10 jours) confirment ce risque de repli technique. En synthèse, la convergence des signaux de valorisation, technique (surachat) et de prédiction IA pointe vers une correction à court terme. La recommandation finale est **CONSERVER** pour les actionnaires actuels, avec une confiance **Moyenne** et un risque **Élevé**. L'horizon d'investissement optimal serait de **moyen terme (3-12 mois)**, attendant une consolidation du cours pour un point d'entrée plus favorable, ou une confirmation de la solidité financière via les prochains rapports annuels.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30.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174.47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18,036 titres</w:t>
            </w:r>
          </w:p>
        </w:tc>
        <w:tc>
          <w:tcPr>
            <w:tcW w:type="dxa" w:w="2268"/>
            <w:shd w:fill="FFF2CC" w:val="clear"/>
          </w:tcPr>
          <w:p>
            <w:r>
              <w:rPr>
                <w:b/>
                <w:color w:val="503200"/>
                <w:sz w:val="16"/>
              </w:rPr>
              <w:t xml:space="preserve">Cours actuel : </w:t>
            </w:r>
            <w:r>
              <w:rPr>
                <w:color w:val="000000"/>
                <w:sz w:val="17"/>
              </w:rPr>
              <w:t>3,205 FCFA</w:t>
            </w:r>
          </w:p>
          <w:p>
            <w:r>
              <w:rPr>
                <w:b/>
                <w:color w:val="503200"/>
                <w:sz w:val="16"/>
              </w:rPr>
              <w:t xml:space="preserve">Var. 100 jours : </w:t>
            </w:r>
            <w:r>
              <w:rPr>
                <w:b/>
                <w:color w:val="007800"/>
                <w:sz w:val="17"/>
              </w:rPr>
              <w:t>+69.13%</w:t>
            </w:r>
          </w:p>
          <w:p>
            <w:r>
              <w:rPr>
                <w:b/>
                <w:color w:val="503200"/>
                <w:sz w:val="16"/>
              </w:rPr>
              <w:t xml:space="preserve">Plus haut 100j : </w:t>
            </w:r>
            <w:r>
              <w:rPr>
                <w:color w:val="000000"/>
                <w:sz w:val="17"/>
              </w:rPr>
              <w:t>3,205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51.0%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27.6/100 → Moyen</w:t>
      </w:r>
    </w:p>
    <w:p>
      <w:pPr>
        <w:spacing w:before="40" w:after="80"/>
      </w:pPr>
      <w:r>
        <w:rPr>
          <w:rFonts w:ascii="Courier New" w:hAnsi="Courier New"/>
          <w:color w:val="825A00"/>
          <w:sz w:val="18"/>
        </w:rPr>
        <w:t>█████░░░░░░░░░░░░░░░  27.6/100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18.51% (Élevée) — μ=2,268 FCFA, σ=420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β=0.6124 (Défensif) — Cov=0.000022, Var(idx)=0.000036, ρ=0.115,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18,036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σ_j=3.22%/j (Modérée) — Vol. annualisée≈51.0%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19287"/>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2026-09-07</w:t>
            </w:r>
          </w:p>
        </w:tc>
        <w:tc>
          <w:tcPr>
            <w:tcW w:type="dxa" w:w="1440"/>
            <w:shd w:fill="FFDCE0" w:val="clear"/>
          </w:tcPr>
          <w:p>
            <w:r>
              <w:rPr>
                <w:sz w:val="17"/>
              </w:rPr>
              <w:t>2,926</w:t>
            </w:r>
          </w:p>
        </w:tc>
        <w:tc>
          <w:tcPr>
            <w:tcW w:type="dxa" w:w="1440"/>
            <w:shd w:fill="FFDCE0" w:val="clear"/>
          </w:tcPr>
          <w:p>
            <w:r>
              <w:rPr>
                <w:b/>
                <w:sz w:val="17"/>
              </w:rPr>
              <w:t>3,107</w:t>
            </w:r>
          </w:p>
        </w:tc>
        <w:tc>
          <w:tcPr>
            <w:tcW w:type="dxa" w:w="1440"/>
            <w:shd w:fill="FFDCE0" w:val="clear"/>
          </w:tcPr>
          <w:p>
            <w:r>
              <w:rPr>
                <w:sz w:val="17"/>
              </w:rPr>
              <w:t>3,288</w:t>
            </w:r>
          </w:p>
        </w:tc>
        <w:tc>
          <w:tcPr>
            <w:tcW w:type="dxa" w:w="1440"/>
            <w:shd w:fill="FFDCE0" w:val="clear"/>
          </w:tcPr>
          <w:p>
            <w:r>
              <w:rPr>
                <w:b/>
                <w:color w:val="C00000"/>
                <w:sz w:val="17"/>
              </w:rPr>
              <w:t>-3.0%</w:t>
            </w:r>
          </w:p>
        </w:tc>
      </w:tr>
      <w:tr>
        <w:tc>
          <w:tcPr>
            <w:tcW w:type="dxa" w:w="1440"/>
            <w:shd w:fill="FFDCE0" w:val="clear"/>
          </w:tcPr>
          <w:p>
            <w:r>
              <w:rPr>
                <w:sz w:val="17"/>
              </w:rPr>
              <w:t>J+2  Moyenne</w:t>
            </w:r>
          </w:p>
        </w:tc>
        <w:tc>
          <w:tcPr>
            <w:tcW w:type="dxa" w:w="1440"/>
            <w:shd w:fill="FFDCE0" w:val="clear"/>
          </w:tcPr>
          <w:p>
            <w:r>
              <w:rPr>
                <w:sz w:val="17"/>
              </w:rPr>
              <w:t>2026-09-08</w:t>
            </w:r>
          </w:p>
        </w:tc>
        <w:tc>
          <w:tcPr>
            <w:tcW w:type="dxa" w:w="1440"/>
            <w:shd w:fill="FFDCE0" w:val="clear"/>
          </w:tcPr>
          <w:p>
            <w:r>
              <w:rPr>
                <w:sz w:val="17"/>
              </w:rPr>
              <w:t>2,771</w:t>
            </w:r>
          </w:p>
        </w:tc>
        <w:tc>
          <w:tcPr>
            <w:tcW w:type="dxa" w:w="1440"/>
            <w:shd w:fill="FFDCE0" w:val="clear"/>
          </w:tcPr>
          <w:p>
            <w:r>
              <w:rPr>
                <w:b/>
                <w:sz w:val="17"/>
              </w:rPr>
              <w:t>3,020</w:t>
            </w:r>
          </w:p>
        </w:tc>
        <w:tc>
          <w:tcPr>
            <w:tcW w:type="dxa" w:w="1440"/>
            <w:shd w:fill="FFDCE0" w:val="clear"/>
          </w:tcPr>
          <w:p>
            <w:r>
              <w:rPr>
                <w:sz w:val="17"/>
              </w:rPr>
              <w:t>3,269</w:t>
            </w:r>
          </w:p>
        </w:tc>
        <w:tc>
          <w:tcPr>
            <w:tcW w:type="dxa" w:w="1440"/>
            <w:shd w:fill="FFDCE0" w:val="clear"/>
          </w:tcPr>
          <w:p>
            <w:r>
              <w:rPr>
                <w:b/>
                <w:color w:val="C00000"/>
                <w:sz w:val="17"/>
              </w:rPr>
              <w:t>-5.8%</w:t>
            </w:r>
          </w:p>
        </w:tc>
      </w:tr>
      <w:tr>
        <w:tc>
          <w:tcPr>
            <w:tcW w:type="dxa" w:w="1440"/>
            <w:shd w:fill="FFDCE0" w:val="clear"/>
          </w:tcPr>
          <w:p>
            <w:r>
              <w:rPr>
                <w:sz w:val="17"/>
              </w:rPr>
              <w:t>J+3  Moyenne</w:t>
            </w:r>
          </w:p>
        </w:tc>
        <w:tc>
          <w:tcPr>
            <w:tcW w:type="dxa" w:w="1440"/>
            <w:shd w:fill="FFDCE0" w:val="clear"/>
          </w:tcPr>
          <w:p>
            <w:r>
              <w:rPr>
                <w:sz w:val="17"/>
              </w:rPr>
              <w:t>2026-09-09</w:t>
            </w:r>
          </w:p>
        </w:tc>
        <w:tc>
          <w:tcPr>
            <w:tcW w:type="dxa" w:w="1440"/>
            <w:shd w:fill="FFDCE0" w:val="clear"/>
          </w:tcPr>
          <w:p>
            <w:r>
              <w:rPr>
                <w:sz w:val="17"/>
              </w:rPr>
              <w:t>2,663</w:t>
            </w:r>
          </w:p>
        </w:tc>
        <w:tc>
          <w:tcPr>
            <w:tcW w:type="dxa" w:w="1440"/>
            <w:shd w:fill="FFDCE0" w:val="clear"/>
          </w:tcPr>
          <w:p>
            <w:r>
              <w:rPr>
                <w:b/>
                <w:sz w:val="17"/>
              </w:rPr>
              <w:t>2,962</w:t>
            </w:r>
          </w:p>
        </w:tc>
        <w:tc>
          <w:tcPr>
            <w:tcW w:type="dxa" w:w="1440"/>
            <w:shd w:fill="FFDCE0" w:val="clear"/>
          </w:tcPr>
          <w:p>
            <w:r>
              <w:rPr>
                <w:sz w:val="17"/>
              </w:rPr>
              <w:t>3,261</w:t>
            </w:r>
          </w:p>
        </w:tc>
        <w:tc>
          <w:tcPr>
            <w:tcW w:type="dxa" w:w="1440"/>
            <w:shd w:fill="FFDCE0" w:val="clear"/>
          </w:tcPr>
          <w:p>
            <w:r>
              <w:rPr>
                <w:b/>
                <w:color w:val="C00000"/>
                <w:sz w:val="17"/>
              </w:rPr>
              <w:t>-7.6%</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2,581</w:t>
            </w:r>
          </w:p>
        </w:tc>
        <w:tc>
          <w:tcPr>
            <w:tcW w:type="dxa" w:w="1440"/>
            <w:shd w:fill="FFDCE0" w:val="clear"/>
          </w:tcPr>
          <w:p>
            <w:r>
              <w:rPr>
                <w:b/>
                <w:sz w:val="17"/>
              </w:rPr>
              <w:t>2,921</w:t>
            </w:r>
          </w:p>
        </w:tc>
        <w:tc>
          <w:tcPr>
            <w:tcW w:type="dxa" w:w="1440"/>
            <w:shd w:fill="FFDCE0" w:val="clear"/>
          </w:tcPr>
          <w:p>
            <w:r>
              <w:rPr>
                <w:sz w:val="17"/>
              </w:rPr>
              <w:t>3,262</w:t>
            </w:r>
          </w:p>
        </w:tc>
        <w:tc>
          <w:tcPr>
            <w:tcW w:type="dxa" w:w="1440"/>
            <w:shd w:fill="FFDCE0" w:val="clear"/>
          </w:tcPr>
          <w:p>
            <w:r>
              <w:rPr>
                <w:b/>
                <w:color w:val="C00000"/>
                <w:sz w:val="17"/>
              </w:rPr>
              <w:t>-8.9%</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2,512</w:t>
            </w:r>
          </w:p>
        </w:tc>
        <w:tc>
          <w:tcPr>
            <w:tcW w:type="dxa" w:w="1440"/>
            <w:shd w:fill="FFDCE0" w:val="clear"/>
          </w:tcPr>
          <w:p>
            <w:r>
              <w:rPr>
                <w:b/>
                <w:sz w:val="17"/>
              </w:rPr>
              <w:t>2,889</w:t>
            </w:r>
          </w:p>
        </w:tc>
        <w:tc>
          <w:tcPr>
            <w:tcW w:type="dxa" w:w="1440"/>
            <w:shd w:fill="FFDCE0" w:val="clear"/>
          </w:tcPr>
          <w:p>
            <w:r>
              <w:rPr>
                <w:sz w:val="17"/>
              </w:rPr>
              <w:t>3,265</w:t>
            </w:r>
          </w:p>
        </w:tc>
        <w:tc>
          <w:tcPr>
            <w:tcW w:type="dxa" w:w="1440"/>
            <w:shd w:fill="FFDCE0" w:val="clear"/>
          </w:tcPr>
          <w:p>
            <w:r>
              <w:rPr>
                <w:b/>
                <w:color w:val="C00000"/>
                <w:sz w:val="17"/>
              </w:rPr>
              <w:t>-9.9%</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2,452</w:t>
            </w:r>
          </w:p>
        </w:tc>
        <w:tc>
          <w:tcPr>
            <w:tcW w:type="dxa" w:w="1440"/>
            <w:shd w:fill="FFDCE0" w:val="clear"/>
          </w:tcPr>
          <w:p>
            <w:r>
              <w:rPr>
                <w:b/>
                <w:sz w:val="17"/>
              </w:rPr>
              <w:t>2,860</w:t>
            </w:r>
          </w:p>
        </w:tc>
        <w:tc>
          <w:tcPr>
            <w:tcW w:type="dxa" w:w="1440"/>
            <w:shd w:fill="FFDCE0" w:val="clear"/>
          </w:tcPr>
          <w:p>
            <w:r>
              <w:rPr>
                <w:sz w:val="17"/>
              </w:rPr>
              <w:t>3,268</w:t>
            </w:r>
          </w:p>
        </w:tc>
        <w:tc>
          <w:tcPr>
            <w:tcW w:type="dxa" w:w="1440"/>
            <w:shd w:fill="FFDCE0" w:val="clear"/>
          </w:tcPr>
          <w:p>
            <w:r>
              <w:rPr>
                <w:b/>
                <w:color w:val="C00000"/>
                <w:sz w:val="17"/>
              </w:rPr>
              <w:t>-10.8%</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2,396</w:t>
            </w:r>
          </w:p>
        </w:tc>
        <w:tc>
          <w:tcPr>
            <w:tcW w:type="dxa" w:w="1440"/>
            <w:shd w:fill="FFDCE0" w:val="clear"/>
          </w:tcPr>
          <w:p>
            <w:r>
              <w:rPr>
                <w:b/>
                <w:sz w:val="17"/>
              </w:rPr>
              <w:t>2,833</w:t>
            </w:r>
          </w:p>
        </w:tc>
        <w:tc>
          <w:tcPr>
            <w:tcW w:type="dxa" w:w="1440"/>
            <w:shd w:fill="FFDCE0" w:val="clear"/>
          </w:tcPr>
          <w:p>
            <w:r>
              <w:rPr>
                <w:sz w:val="17"/>
              </w:rPr>
              <w:t>3,270</w:t>
            </w:r>
          </w:p>
        </w:tc>
        <w:tc>
          <w:tcPr>
            <w:tcW w:type="dxa" w:w="1440"/>
            <w:shd w:fill="FFDCE0" w:val="clear"/>
          </w:tcPr>
          <w:p>
            <w:r>
              <w:rPr>
                <w:b/>
                <w:color w:val="C00000"/>
                <w:sz w:val="17"/>
              </w:rPr>
              <w:t>-11.6%</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2,345</w:t>
            </w:r>
          </w:p>
        </w:tc>
        <w:tc>
          <w:tcPr>
            <w:tcW w:type="dxa" w:w="1440"/>
            <w:shd w:fill="FFDCE0" w:val="clear"/>
          </w:tcPr>
          <w:p>
            <w:r>
              <w:rPr>
                <w:b/>
                <w:sz w:val="17"/>
              </w:rPr>
              <w:t>2,808</w:t>
            </w:r>
          </w:p>
        </w:tc>
        <w:tc>
          <w:tcPr>
            <w:tcW w:type="dxa" w:w="1440"/>
            <w:shd w:fill="FFDCE0" w:val="clear"/>
          </w:tcPr>
          <w:p>
            <w:r>
              <w:rPr>
                <w:sz w:val="17"/>
              </w:rPr>
              <w:t>3,271</w:t>
            </w:r>
          </w:p>
        </w:tc>
        <w:tc>
          <w:tcPr>
            <w:tcW w:type="dxa" w:w="1440"/>
            <w:shd w:fill="FFDCE0" w:val="clear"/>
          </w:tcPr>
          <w:p>
            <w:r>
              <w:rPr>
                <w:b/>
                <w:color w:val="C00000"/>
                <w:sz w:val="17"/>
              </w:rPr>
              <w:t>-12.4%</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2,297</w:t>
            </w:r>
          </w:p>
        </w:tc>
        <w:tc>
          <w:tcPr>
            <w:tcW w:type="dxa" w:w="1440"/>
            <w:shd w:fill="FFDCE0" w:val="clear"/>
          </w:tcPr>
          <w:p>
            <w:r>
              <w:rPr>
                <w:b/>
                <w:sz w:val="17"/>
              </w:rPr>
              <w:t>2,784</w:t>
            </w:r>
          </w:p>
        </w:tc>
        <w:tc>
          <w:tcPr>
            <w:tcW w:type="dxa" w:w="1440"/>
            <w:shd w:fill="FFDCE0" w:val="clear"/>
          </w:tcPr>
          <w:p>
            <w:r>
              <w:rPr>
                <w:sz w:val="17"/>
              </w:rPr>
              <w:t>3,271</w:t>
            </w:r>
          </w:p>
        </w:tc>
        <w:tc>
          <w:tcPr>
            <w:tcW w:type="dxa" w:w="1440"/>
            <w:shd w:fill="FFDCE0" w:val="clear"/>
          </w:tcPr>
          <w:p>
            <w:r>
              <w:rPr>
                <w:b/>
                <w:color w:val="C00000"/>
                <w:sz w:val="17"/>
              </w:rPr>
              <w:t>-13.1%</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2,253</w:t>
            </w:r>
          </w:p>
        </w:tc>
        <w:tc>
          <w:tcPr>
            <w:tcW w:type="dxa" w:w="1440"/>
            <w:shd w:fill="FFDCE0" w:val="clear"/>
          </w:tcPr>
          <w:p>
            <w:r>
              <w:rPr>
                <w:b/>
                <w:sz w:val="17"/>
              </w:rPr>
              <w:t>2,761</w:t>
            </w:r>
          </w:p>
        </w:tc>
        <w:tc>
          <w:tcPr>
            <w:tcW w:type="dxa" w:w="1440"/>
            <w:shd w:fill="FFDCE0" w:val="clear"/>
          </w:tcPr>
          <w:p>
            <w:r>
              <w:rPr>
                <w:sz w:val="17"/>
              </w:rPr>
              <w:t>3,270</w:t>
            </w:r>
          </w:p>
        </w:tc>
        <w:tc>
          <w:tcPr>
            <w:tcW w:type="dxa" w:w="1440"/>
            <w:shd w:fill="FFDCE0" w:val="clear"/>
          </w:tcPr>
          <w:p>
            <w:r>
              <w:rPr>
                <w:b/>
                <w:color w:val="C00000"/>
                <w:sz w:val="17"/>
              </w:rPr>
              <w:t>-13.8%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SDSC s'établit à 174,47 milliards FCFA, un niveau significatif qui la positionne parmi les valeurs moyennes à grandes capitalisations de la BRVM, reflétant une liquidité et une visibilité institutionnelle notables. Avec un BPA de 387 FCFA, le titre se négocie à un PER de 8,3x, inférieur à la moyenne historique du marché (8-12x), ce qui suggère une sous-évaluation relative du bénéfice net par action. Le P/B de 2,24x indique que le marché valorise la société à plus du double de sa valeur comptable, traduisant une prime de croissance ou de qualité attendue par les investisseurs. En revanche, l'EV/EBITDA de 37,7x apparaît extrêmement exigeant, signalant que la valeur d'entreprise (capitalisation plus dette nette) est très élevée par rapport à la capacité bénéficiaire brute opérationnelle, un point de vigilance majeur pour tout investisseur axé sur la création de valeur à long terme.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SDSC a enregistré une progression spectaculaire de +69,13%, avec une dernière séance en hausse de +3,39% pour clôturer à 3 205 FCFA, son plus haut niveau sur la période, contre un plus bas de 1 650 FCFA. Cette tendance fortement haussière s'accompagne d'un volume moyen quotidien de 18 036 titres, témoignant d'un intérêt croissant des investisseurs. La moyenne du cours sur la période (2 268 FCFA) est inférieure à la médiane (2 322 FCFA), indiquant une asymétrie positive avec une concentration des valeurs vers le haut de la fourchette. L'écart-type de 422 FCFA (CV=18,6%) révèle une dispersion modérée, tandis que le kurtosis de -1,351 (distribution platykurtique) suggère une absence de pics extrêmes et une volatilité plus régulière. Le skewness proche de zéro (0,052) confirme une distribution quasi symétrique. La volatilité annualisée de 51,0% classe le titre comme très volatil (&gt;30%), un niveau qui requiert une gestion du risque rigoureuse.</w:t>
      </w:r>
    </w:p>
    <w:p>
      <w:pPr>
        <w:spacing w:after="120" w:line="276" w:lineRule="auto" w:before="240"/>
      </w:pPr>
      <w:r>
        <w:rPr>
          <w:b/>
          <w:color w:val="003366"/>
          <w:sz w:val="24"/>
        </w:rPr>
        <w:t>**PARTIE 2 : ANALYSE TECHNIQUE DÉTAILLÉE**</w:t>
      </w:r>
    </w:p>
    <w:p>
      <w:pPr>
        <w:spacing w:after="120" w:line="276" w:lineRule="auto"/>
      </w:pPr>
      <w:r>
        <w:t>Les Moyennes Mobiles (MM20 à 2 759 FCFA et MM50 à 2 633 FCFA) sont toutes deux largement dépassées par le cours actuel de 3 205 FCFA, confirmant une dynamique haussière soutenue et générant un signal d'achat cohérent avec la tendance de fond.</w:t>
      </w:r>
    </w:p>
    <w:p>
      <w:pPr>
        <w:spacing w:after="120" w:line="276" w:lineRule="auto"/>
      </w:pPr>
      <w:r>
        <w:t>Les Bandes de Bollinger présentent une borne supérieure à 3 104 FCFA, que le cours a franchie à la hausse (3 205 FCFA), signalant une condition de surachat technique extrême. Cette sortie de canal suggère une extension verticale du mouvement, souvent suivie d'une consolidation ou d'un repli technique, d'où la décision de vente associée.</w:t>
      </w:r>
    </w:p>
    <w:p>
      <w:pPr>
        <w:spacing w:after="120" w:line="276" w:lineRule="auto"/>
      </w:pPr>
      <w:r>
        <w:t>Le MACD affiche une valeur de 117,07 contre un signal à 73,43, avec un écart positif croissant qui confirme un momentum haussier puissant. La divergence positive entre la ligne MACD et sa ligne de signal renforce la pression acheteuse à moyen terme, justifiant la décision d'achat.</w:t>
      </w:r>
    </w:p>
    <w:p>
      <w:pPr>
        <w:spacing w:after="120" w:line="276" w:lineRule="auto"/>
      </w:pPr>
      <w:r>
        <w:t>Le RSI à 67,62 se situe en zone neutre-haute, proche du seuil de surachat (70), sans toutefois y être entré. Cette valeur indique que le titre conserve un potentiel haussier résiduel mais que la prudence est de mise à ces niveaux, d'où la décision neutre.</w:t>
      </w:r>
    </w:p>
    <w:p>
      <w:pPr>
        <w:spacing w:after="120" w:line="276" w:lineRule="auto"/>
      </w:pPr>
      <w:r>
        <w:t>Le Stochastique (%K=100, %D=100) est en zone de surachat extrême, signalant que le cours a clôturé à son plus haut sur la période de référence. Cette configuration annonce fréquemment un retournement ou une pause imminente, justifiant la décision de vente.</w:t>
      </w:r>
    </w:p>
    <w:p>
      <w:pPr>
        <w:spacing w:after="120" w:line="276" w:lineRule="auto"/>
      </w:pPr>
      <w:r>
        <w:t>La conclusion technique est contrastée : la tendance de fond (MM, MACD) reste résolument haussière, mais les oscillateurs de surachat (Bollinger, Stochastique) et le RSI proche de 70 indiquent une fatigue potentielle à court terme. Un scénario de consolidation horizontale ou de léger repli technique apparaît probable avant la poursuite éventuelle de la tendance.</w:t>
      </w:r>
    </w:p>
    <w:p>
      <w:pPr>
        <w:spacing w:after="120" w:line="276" w:lineRule="auto" w:before="240"/>
      </w:pPr>
      <w:r>
        <w:rPr>
          <w:b/>
          <w:color w:val="003366"/>
          <w:sz w:val="24"/>
        </w:rPr>
        <w:t>**PARTIE 3 : ANALYSE FONDAMENTALE (SECTION CRITIQUE)**</w:t>
      </w:r>
    </w:p>
    <w:p>
      <w:pPr>
        <w:spacing w:after="120" w:line="276" w:lineRule="auto"/>
      </w:pPr>
      <w:r>
        <w:t>En 2024, SDSC (Africa Global Logistics Côte d'Ivoire) a réalisé un chiffre d'affaires de 85,643 milliards FCFA, en croissance de 3,65%, avec un résultat net de 21,069 milliards FCFA, soit une marge nette de 24,6%. La rentabilité des fonds propres (ROE) atteint 27,08% et le ROA 11,2%, des niveaux excellents témoignant d'une gestion efficiente. Le bilan 2024 fait apparaître un total de 188,126 milliards FCFA, des capitaux propres de 77,808 milliards (autonomie financière de 41,36%) et une trésorerie nette positive de 15,617 milliards. Le BFR de 17,874 milliards est négatif, ce qui est favorable pour une entreprise, indiquant que les dettes fournisseurs (94,059 milliards) financent intégralement les créances clients (111,084 milliards) et les stocks. Le délai clients de 467 jours est élevé et représente un risque de trésorerie, mais il est compensé par un délai fournisseurs de 4 534 jours, très favorable. Les rapports trimestriels 2025 montrent une dégradation nette : le T1 2025 affiche une perte de 193 millions, le S1 2025 une perte de 427 millions, et le T3 2025 un résultat net de 4,341 milliards (en chute de 77% vs T3 2024). Sur l'ensemble de l'exercice 2025 (rapport du 31 décembre 2025), le CA progresse de 7,43% à 92,004 milliards, mais le résultat net s'effondre à 784,97 millions (marge nette de 0,85%), pénalisé par un résultat d'exploitation négatif (-2,271 milliards) et une charge fiscale exceptionnelle. La trésorerie nette a bondi à 74,78 milliards, et le dividende proposé est réduit à 544 millions (-89%). La recommandation fondamentale est de conserver, la solidité du bilan et la croissance du CA compensant la chute de rentabilité conjoncturelle.</w:t>
      </w:r>
    </w:p>
    <w:p>
      <w:pPr>
        <w:spacing w:after="120" w:line="276" w:lineRule="auto" w:before="240"/>
      </w:pPr>
      <w:r>
        <w:rPr>
          <w:b/>
          <w:color w:val="003366"/>
          <w:sz w:val="24"/>
        </w:rPr>
        <w:t>**PARTIE 4 : CONCLUSION D'INVESTISSEMENT**</w:t>
      </w:r>
    </w:p>
    <w:p>
      <w:pPr>
        <w:spacing w:after="120" w:line="276" w:lineRule="auto"/>
      </w:pPr>
      <w:r>
        <w:t>La valorisation de SDSC présente un profil contradictoire : un PER de 8,3x suggère une sous-évaluation relative, mais l'EV/EBITDA de 37,7x et le P/B de 2,24x indiquent que le marché intègre déjà des attentes élevées de redressement. Le comportement du cours sur 100 jours (+69,13%) est spectaculairement haussier, mais la volatilité annualisée de 51% et les statistiques de distribution (kurtosis platykurtique) signalent un risque de retournement brutal. Les signaux techniques sont divergents : les moyennes mobiles et le MACD confirment la tendance haussière, tandis que les bandes de Bollinger et le stochastique en surachat extrême annoncent une consolidation imminente. Les fondamentaux montrent une dégradation sévère de la rentabilité en 2025 (marge nette de 0,85% vs 24,6% en 2024), malgré une croissance du CA de 7,4% et une trésorerie abondante de 74,78 milliards. Les prédictions IA (J+1 à J+10) anticipent un repli progressif de 3 205 à 2 889 FCFA, confirmant les signaux de surachat technique. La convergence entre les indicateurs techniques de surachat, la dégradation fondamentale récente et les prédictions baissières à court terme conduit à une recommandation de **CONSERVER** avec un niveau de confiance **Moyen** et un risque global **Élevé**. L'horizon d'investissement optimal serait le **moyen terme (3-12 mois)**, en attendant une clarification sur la capacité de la direction à restaurer les marges opérationnelles et à stabiliser le résultat net.</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op\u00e9rationnelle spectaculaire d'AGL avec une multiplication par 18 du r\u00e9sultat net d\u00e9montre une efficacit\u00e9 retrouv\u00e9e et un potentiel de croissance exceptionnel. Le rebranding et la diversification des activit\u00e9s logistiques positionnent favorablement l'entreprise sur le march\u00e9 africain en expansion."}</w:t>
      </w:r>
    </w:p>
    <w:p>
      <w:pPr>
        <w:spacing w:before="40"/>
        <w:ind w:left="400"/>
      </w:pPr>
      <w:r>
        <w:rPr>
          <w:sz w:val="18"/>
        </w:rPr>
        <w:t>Africa Global Logistics Côte d'Ivoire (AGL) affiche une performance exceptionnelle au premier trimestre 2023 avec une croissance modeste du chiffre d'affaires de 0,7% à 23,47 milliards FCFA. Le résultat des activités ordinaires explose de 111,3% à 1,22 milliard FCFA, témoignant d'une amélioration drastique de l'efficacité opérationnelle. Le résultat net bondit spectaculairement de 1726,8% pour atteindre 611,98 millions FCFA contre seulement 33,5 millions FCFA l'année précédente. Cette performance remarquable résulte de l'amélioration des activités logistiques (entreposage, transit aérien) et maritimes, compensant la baisse des dépôts de conteneurs vides. La société a récemment procédé au reb</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'+0,7%', 'capital_social': '10 887 060 000 FCFA', 'croissance_resultat_net': '+1726,8%', 'resultat_activites_ordinaires': '1 220 863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611 980 milliers FCFA (T1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23 470 387 milliers FCFA (T1 2023)</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de +1726,8% au T1 2023 (611,98 millions FCFA vs 33,5 millions FCFA)</w:t>
      </w:r>
    </w:p>
    <w:p>
      <w:pPr>
        <w:pStyle w:val="ListBullet"/>
        <w:spacing w:before="20" w:after="20"/>
        <w:ind w:left="700"/>
      </w:pPr>
      <w:r>
        <w:rPr>
          <w:sz w:val="18"/>
        </w:rPr>
        <w:t>Forte amélioration du résultat des activités ordinaires (+111,3% à 1,22 milliard FCFA)</w:t>
      </w:r>
    </w:p>
    <w:p>
      <w:pPr>
        <w:pStyle w:val="ListBullet"/>
        <w:spacing w:before="20" w:after="20"/>
        <w:ind w:left="700"/>
      </w:pPr>
      <w:r>
        <w:rPr>
          <w:sz w:val="18"/>
        </w:rPr>
        <w:t>Croissance modérée mais stable du chiffre d'affaires (+0,7% à 23,47 milliards FCFA)</w:t>
      </w:r>
    </w:p>
    <w:p>
      <w:pPr>
        <w:pStyle w:val="ListBullet"/>
        <w:spacing w:before="20" w:after="20"/>
        <w:ind w:left="700"/>
      </w:pPr>
      <w:r>
        <w:rPr>
          <w:sz w:val="18"/>
        </w:rPr>
        <w:t>Amélioration significative des activités logistiques (entreposage et transit aérien)</w:t>
      </w:r>
    </w:p>
    <w:p>
      <w:pPr>
        <w:pStyle w:val="ListBullet"/>
        <w:spacing w:before="20" w:after="20"/>
        <w:ind w:left="700"/>
      </w:pPr>
      <w:r>
        <w:rPr>
          <w:sz w:val="18"/>
        </w:rPr>
        <w:t>Compensation réussie de la baisse d'activité des dépôts de conteneurs vides par les activités maritimes</w:t>
      </w:r>
    </w:p>
    <w:p>
      <w:pPr>
        <w:pStyle w:val="ListBullet"/>
        <w:spacing w:before="20" w:after="20"/>
        <w:ind w:left="700"/>
      </w:pPr>
      <w:r>
        <w:rPr>
          <w:sz w:val="18"/>
        </w:rPr>
        <w:t>Rebranding de Bolloré Logistics vers Africa Global Logistics effectué en mars 2023</w:t>
      </w:r>
    </w:p>
    <w:p>
      <w:pPr>
        <w:spacing w:before="40"/>
        <w:ind w:left="400"/>
      </w:pPr>
      <w:r>
        <w:rPr>
          <w:b/>
          <w:color w:val="C05000"/>
          <w:sz w:val="18"/>
        </w:rPr>
        <w:t xml:space="preserve">⚠️ Risques : </w:t>
      </w:r>
      <w:r>
        <w:rPr>
          <w:sz w:val="18"/>
        </w:rPr>
        <w:t>["D\u00e9pendance aux activit\u00e9s de transit et d'entreposage sensibles aux fluctuations \u00e9conomiques r\u00e9gionales", "Impact potentiel de la volatilit\u00e9 des volumes de conteneurs sur la rentabilit\u00e9", "Risques li\u00e9s \u00e0 l'int\u00e9gration post-rebranding et aux changements o</w:t>
      </w:r>
    </w:p>
    <w:p>
      <w:pPr>
        <w:spacing w:before="40"/>
        <w:ind w:left="400"/>
      </w:pPr>
      <w:r>
        <w:rPr>
          <w:b/>
          <w:color w:val="0064A0"/>
          <w:sz w:val="18"/>
        </w:rPr>
        <w:t xml:space="preserve">🔮 Perspectives : </w:t>
      </w:r>
      <w:r>
        <w:rPr>
          <w:sz w:val="18"/>
        </w:rPr>
        <w:t>AGL bénéficie d'un momentum exceptionnel avec sa nouvelle identité Africa Global Logistics et sa performance opérationnelle remarquable au T1 2023. L'entreprise semble bien positionnée pour capitaliser sur la croissance du commerce intra-africain et maintenir sa trajectoire de rentabilité améliorée.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une rentabilit\u00e9 correcte gr\u00e2ce \u00e0 ses revenus financiers et conserve des positions solides sur ses march\u00e9s. Les perspectives de reprise du trafic a\u00e9rien et p\u00e9trolier sont encourageantes."}</w:t>
      </w:r>
    </w:p>
    <w:p>
      <w:pPr>
        <w:spacing w:before="40"/>
        <w:ind w:left="400"/>
      </w:pPr>
      <w:r>
        <w:rPr>
          <w:sz w:val="18"/>
        </w:rPr>
        <w:t>Bolloré Transport &amp; Logistics Côte d'Ivoire (BTLCI) affiche des résultats mitigés au premier semestre 2022 avec un chiffre d'affaires en légère baisse de 1% à 44,98 milliards FCFA. Le résultat d'exploitation chute drastiquement de 90% à 212,5 millions FCFA, impactant négativement la rentabilité opérationnelle. Malgré cette faiblesse opérationnelle, le résultat financier reste solide à 12,5 milliards FCFA (+2%). Le résultat net régresse de 8% à 11,89 milliards FCFA, reflétant les difficultés d'exploitation compensées partiellement par les revenus financiers. La société maintient une activité soutenue dans le maritime et la logistique malgré un contexte d'affaires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'-889,7 millions FCFA', 'resultat_financier': '12,5 milliards FCFA', 'resultat_exploitation': '212,5 millions FCFA', 'resultat_activites_ordinaires': '12,7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11,89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44,98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44,98 milliards FCFA (-1%)</w:t>
      </w:r>
    </w:p>
    <w:p>
      <w:pPr>
        <w:pStyle w:val="ListBullet"/>
        <w:spacing w:before="20" w:after="20"/>
        <w:ind w:left="700"/>
      </w:pPr>
      <w:r>
        <w:rPr>
          <w:sz w:val="18"/>
        </w:rPr>
        <w:t>Effondrement du résultat d'exploitation de 90% à 212,5 millions FCFA</w:t>
      </w:r>
    </w:p>
    <w:p>
      <w:pPr>
        <w:pStyle w:val="ListBullet"/>
        <w:spacing w:before="20" w:after="20"/>
        <w:ind w:left="700"/>
      </w:pPr>
      <w:r>
        <w:rPr>
          <w:sz w:val="18"/>
        </w:rPr>
        <w:t>Maintien d'un résultat financier solide à 12,5 milliards FCFA (+2%)</w:t>
      </w:r>
    </w:p>
    <w:p>
      <w:pPr>
        <w:pStyle w:val="ListBullet"/>
        <w:spacing w:before="20" w:after="20"/>
        <w:ind w:left="700"/>
      </w:pPr>
      <w:r>
        <w:rPr>
          <w:sz w:val="18"/>
        </w:rPr>
        <w:t>Résultat net en baisse de 8% à 11,89 milliards FCFA</w:t>
      </w:r>
    </w:p>
    <w:p>
      <w:pPr>
        <w:pStyle w:val="ListBullet"/>
        <w:spacing w:before="20" w:after="20"/>
        <w:ind w:left="700"/>
      </w:pPr>
      <w:r>
        <w:rPr>
          <w:sz w:val="18"/>
        </w:rPr>
        <w:t>Bonne activité maritime avec volumes soutenus en manutention conventionnelle</w:t>
      </w:r>
    </w:p>
    <w:p>
      <w:pPr>
        <w:pStyle w:val="ListBullet"/>
        <w:spacing w:before="20" w:after="20"/>
        <w:ind w:left="700"/>
      </w:pPr>
      <w:r>
        <w:rPr>
          <w:sz w:val="18"/>
        </w:rPr>
        <w:t>Impact négatif de la baisse d'activité sur les métiers à forte rentabilité</w:t>
      </w:r>
    </w:p>
    <w:p>
      <w:pPr>
        <w:spacing w:before="40"/>
        <w:ind w:left="400"/>
      </w:pPr>
      <w:r>
        <w:rPr>
          <w:b/>
          <w:color w:val="C05000"/>
          <w:sz w:val="18"/>
        </w:rPr>
        <w:t xml:space="preserve">⚠️ Risques : </w:t>
      </w:r>
      <w:r>
        <w:rPr>
          <w:sz w:val="18"/>
        </w:rPr>
        <w:t>["Forte d\u00e9pendance aux revenus financiers pour compenser la faiblesse op\u00e9rationnelle", "Volatilit\u00e9 des activit\u00e9s li\u00e9es au transport et \u00e0 la logistique dans un contexte \u00e9conomique incertain", "Impact des fluctuations des volumes de marchandises sur la rentabilit\u00</w:t>
      </w:r>
    </w:p>
    <w:p>
      <w:pPr>
        <w:spacing w:before="40"/>
        <w:ind w:left="400"/>
      </w:pPr>
      <w:r>
        <w:rPr>
          <w:b/>
          <w:color w:val="0064A0"/>
          <w:sz w:val="18"/>
        </w:rPr>
        <w:t xml:space="preserve">🔮 Perspectives : </w:t>
      </w:r>
      <w:r>
        <w:rPr>
          <w:sz w:val="18"/>
        </w:rPr>
        <w:t>La reprise progressive du trafic aérien et des activités pétrolières devrait soutenir l'amélioration des performances opérationnelles. L'accent mis sur les métiers à plus forte rentabilité pourrait permettre une amélioration graduelle du résultat d'exploitation.</w:t>
      </w:r>
    </w:p>
    <w:p/>
    <w:p>
      <w:r>
        <w:t>════════════════════════════════════════════════════════════════════════════════</w:t>
      </w:r>
    </w:p>
    <w:p>
      <w:r>
        <w:br w:type="page"/>
      </w:r>
    </w:p>
    <w:p>
      <w:pPr>
        <w:pStyle w:val="Heading2"/>
        <w:spacing w:before="360"/>
      </w:pPr>
      <w:r>
        <w:rPr>
          <w:color w:val="0066CC"/>
        </w:rPr>
        <w:t>31.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39.80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5,895 titres</w:t>
            </w:r>
          </w:p>
        </w:tc>
        <w:tc>
          <w:tcPr>
            <w:tcW w:type="dxa" w:w="2268"/>
            <w:shd w:fill="FFF2CC" w:val="clear"/>
          </w:tcPr>
          <w:p>
            <w:r>
              <w:rPr>
                <w:b/>
                <w:color w:val="503200"/>
                <w:sz w:val="16"/>
              </w:rPr>
              <w:t xml:space="preserve">Cours actuel : </w:t>
            </w:r>
            <w:r>
              <w:rPr>
                <w:color w:val="000000"/>
                <w:sz w:val="17"/>
              </w:rPr>
              <w:t>1,580 FCFA</w:t>
            </w:r>
          </w:p>
          <w:p>
            <w:r>
              <w:rPr>
                <w:b/>
                <w:color w:val="503200"/>
                <w:sz w:val="16"/>
              </w:rPr>
              <w:t xml:space="preserve">Var. 100 jours : </w:t>
            </w:r>
            <w:r>
              <w:rPr>
                <w:b/>
                <w:color w:val="B40000"/>
                <w:sz w:val="17"/>
              </w:rPr>
              <w:t>-17.92%</w:t>
            </w:r>
          </w:p>
          <w:p>
            <w:r>
              <w:rPr>
                <w:b/>
                <w:color w:val="503200"/>
                <w:sz w:val="16"/>
              </w:rPr>
              <w:t xml:space="preserve">Plus haut 100j : </w:t>
            </w:r>
            <w:r>
              <w:rPr>
                <w:color w:val="000000"/>
                <w:sz w:val="17"/>
              </w:rPr>
              <w:t>1,940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50.6%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23.8/100 → Moyen</w:t>
      </w:r>
    </w:p>
    <w:p>
      <w:pPr>
        <w:spacing w:before="40" w:after="80"/>
      </w:pPr>
      <w:r>
        <w:rPr>
          <w:rFonts w:ascii="Courier New" w:hAnsi="Courier New"/>
          <w:color w:val="825A00"/>
          <w:sz w:val="18"/>
        </w:rPr>
        <w:t>████░░░░░░░░░░░░░░░░  23.8/100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6.90% (Moyenne) — μ=1,547 FCFA, σ=107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β=1.4334 (Agressif) — Cov=0.000052, Var(idx)=0.000036, ρ=0.272,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5,895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σ_j=3.19%/j (Modérée) — Vol. annualisée≈50.6%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2026-09-07</w:t>
            </w:r>
          </w:p>
        </w:tc>
        <w:tc>
          <w:tcPr>
            <w:tcW w:type="dxa" w:w="1440"/>
            <w:shd w:fill="FFDCE0" w:val="clear"/>
          </w:tcPr>
          <w:p>
            <w:r>
              <w:rPr>
                <w:sz w:val="17"/>
              </w:rPr>
              <w:t>1,417</w:t>
            </w:r>
          </w:p>
        </w:tc>
        <w:tc>
          <w:tcPr>
            <w:tcW w:type="dxa" w:w="1440"/>
            <w:shd w:fill="FFDCE0" w:val="clear"/>
          </w:tcPr>
          <w:p>
            <w:r>
              <w:rPr>
                <w:b/>
                <w:sz w:val="17"/>
              </w:rPr>
              <w:t>1,490</w:t>
            </w:r>
          </w:p>
        </w:tc>
        <w:tc>
          <w:tcPr>
            <w:tcW w:type="dxa" w:w="1440"/>
            <w:shd w:fill="FFDCE0" w:val="clear"/>
          </w:tcPr>
          <w:p>
            <w:r>
              <w:rPr>
                <w:sz w:val="17"/>
              </w:rPr>
              <w:t>1,562</w:t>
            </w:r>
          </w:p>
        </w:tc>
        <w:tc>
          <w:tcPr>
            <w:tcW w:type="dxa" w:w="1440"/>
            <w:shd w:fill="FFDCE0" w:val="clear"/>
          </w:tcPr>
          <w:p>
            <w:r>
              <w:rPr>
                <w:b/>
                <w:color w:val="C00000"/>
                <w:sz w:val="17"/>
              </w:rPr>
              <w:t>-5.7%</w:t>
            </w:r>
          </w:p>
        </w:tc>
      </w:tr>
      <w:tr>
        <w:tc>
          <w:tcPr>
            <w:tcW w:type="dxa" w:w="1440"/>
            <w:shd w:fill="FFDCE0" w:val="clear"/>
          </w:tcPr>
          <w:p>
            <w:r>
              <w:rPr>
                <w:sz w:val="17"/>
              </w:rPr>
              <w:t>J+2  Moyenne</w:t>
            </w:r>
          </w:p>
        </w:tc>
        <w:tc>
          <w:tcPr>
            <w:tcW w:type="dxa" w:w="1440"/>
            <w:shd w:fill="FFDCE0" w:val="clear"/>
          </w:tcPr>
          <w:p>
            <w:r>
              <w:rPr>
                <w:sz w:val="17"/>
              </w:rPr>
              <w:t>2026-09-08</w:t>
            </w:r>
          </w:p>
        </w:tc>
        <w:tc>
          <w:tcPr>
            <w:tcW w:type="dxa" w:w="1440"/>
            <w:shd w:fill="FFDCE0" w:val="clear"/>
          </w:tcPr>
          <w:p>
            <w:r>
              <w:rPr>
                <w:sz w:val="17"/>
              </w:rPr>
              <w:t>1,381</w:t>
            </w:r>
          </w:p>
        </w:tc>
        <w:tc>
          <w:tcPr>
            <w:tcW w:type="dxa" w:w="1440"/>
            <w:shd w:fill="FFDCE0" w:val="clear"/>
          </w:tcPr>
          <w:p>
            <w:r>
              <w:rPr>
                <w:b/>
                <w:sz w:val="17"/>
              </w:rPr>
              <w:t>1,483</w:t>
            </w:r>
          </w:p>
        </w:tc>
        <w:tc>
          <w:tcPr>
            <w:tcW w:type="dxa" w:w="1440"/>
            <w:shd w:fill="FFDCE0" w:val="clear"/>
          </w:tcPr>
          <w:p>
            <w:r>
              <w:rPr>
                <w:sz w:val="17"/>
              </w:rPr>
              <w:t>1,585</w:t>
            </w:r>
          </w:p>
        </w:tc>
        <w:tc>
          <w:tcPr>
            <w:tcW w:type="dxa" w:w="1440"/>
            <w:shd w:fill="FFDCE0" w:val="clear"/>
          </w:tcPr>
          <w:p>
            <w:r>
              <w:rPr>
                <w:b/>
                <w:color w:val="C00000"/>
                <w:sz w:val="17"/>
              </w:rPr>
              <w:t>-6.2%</w:t>
            </w:r>
          </w:p>
        </w:tc>
      </w:tr>
      <w:tr>
        <w:tc>
          <w:tcPr>
            <w:tcW w:type="dxa" w:w="1440"/>
            <w:shd w:fill="FFDCE0" w:val="clear"/>
          </w:tcPr>
          <w:p>
            <w:r>
              <w:rPr>
                <w:sz w:val="17"/>
              </w:rPr>
              <w:t>J+3  Moyenne</w:t>
            </w:r>
          </w:p>
        </w:tc>
        <w:tc>
          <w:tcPr>
            <w:tcW w:type="dxa" w:w="1440"/>
            <w:shd w:fill="FFDCE0" w:val="clear"/>
          </w:tcPr>
          <w:p>
            <w:r>
              <w:rPr>
                <w:sz w:val="17"/>
              </w:rPr>
              <w:t>2026-09-09</w:t>
            </w:r>
          </w:p>
        </w:tc>
        <w:tc>
          <w:tcPr>
            <w:tcW w:type="dxa" w:w="1440"/>
            <w:shd w:fill="FFDCE0" w:val="clear"/>
          </w:tcPr>
          <w:p>
            <w:r>
              <w:rPr>
                <w:sz w:val="17"/>
              </w:rPr>
              <w:t>1,346</w:t>
            </w:r>
          </w:p>
        </w:tc>
        <w:tc>
          <w:tcPr>
            <w:tcW w:type="dxa" w:w="1440"/>
            <w:shd w:fill="FFDCE0" w:val="clear"/>
          </w:tcPr>
          <w:p>
            <w:r>
              <w:rPr>
                <w:b/>
                <w:sz w:val="17"/>
              </w:rPr>
              <w:t>1,470</w:t>
            </w:r>
          </w:p>
        </w:tc>
        <w:tc>
          <w:tcPr>
            <w:tcW w:type="dxa" w:w="1440"/>
            <w:shd w:fill="FFDCE0" w:val="clear"/>
          </w:tcPr>
          <w:p>
            <w:r>
              <w:rPr>
                <w:sz w:val="17"/>
              </w:rPr>
              <w:t>1,594</w:t>
            </w:r>
          </w:p>
        </w:tc>
        <w:tc>
          <w:tcPr>
            <w:tcW w:type="dxa" w:w="1440"/>
            <w:shd w:fill="FFDCE0" w:val="clear"/>
          </w:tcPr>
          <w:p>
            <w:r>
              <w:rPr>
                <w:b/>
                <w:color w:val="C00000"/>
                <w:sz w:val="17"/>
              </w:rPr>
              <w:t>-7.0%</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1,314</w:t>
            </w:r>
          </w:p>
        </w:tc>
        <w:tc>
          <w:tcPr>
            <w:tcW w:type="dxa" w:w="1440"/>
            <w:shd w:fill="FFDCE0" w:val="clear"/>
          </w:tcPr>
          <w:p>
            <w:r>
              <w:rPr>
                <w:b/>
                <w:sz w:val="17"/>
              </w:rPr>
              <w:t>1,455</w:t>
            </w:r>
          </w:p>
        </w:tc>
        <w:tc>
          <w:tcPr>
            <w:tcW w:type="dxa" w:w="1440"/>
            <w:shd w:fill="FFDCE0" w:val="clear"/>
          </w:tcPr>
          <w:p>
            <w:r>
              <w:rPr>
                <w:sz w:val="17"/>
              </w:rPr>
              <w:t>1,597</w:t>
            </w:r>
          </w:p>
        </w:tc>
        <w:tc>
          <w:tcPr>
            <w:tcW w:type="dxa" w:w="1440"/>
            <w:shd w:fill="FFDCE0" w:val="clear"/>
          </w:tcPr>
          <w:p>
            <w:r>
              <w:rPr>
                <w:b/>
                <w:color w:val="C00000"/>
                <w:sz w:val="17"/>
              </w:rPr>
              <w:t>-7.9%</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1,284</w:t>
            </w:r>
          </w:p>
        </w:tc>
        <w:tc>
          <w:tcPr>
            <w:tcW w:type="dxa" w:w="1440"/>
            <w:shd w:fill="FFDCE0" w:val="clear"/>
          </w:tcPr>
          <w:p>
            <w:r>
              <w:rPr>
                <w:b/>
                <w:sz w:val="17"/>
              </w:rPr>
              <w:t>1,441</w:t>
            </w:r>
          </w:p>
        </w:tc>
        <w:tc>
          <w:tcPr>
            <w:tcW w:type="dxa" w:w="1440"/>
            <w:shd w:fill="FFDCE0" w:val="clear"/>
          </w:tcPr>
          <w:p>
            <w:r>
              <w:rPr>
                <w:sz w:val="17"/>
              </w:rPr>
              <w:t>1,597</w:t>
            </w:r>
          </w:p>
        </w:tc>
        <w:tc>
          <w:tcPr>
            <w:tcW w:type="dxa" w:w="1440"/>
            <w:shd w:fill="FFDCE0" w:val="clear"/>
          </w:tcPr>
          <w:p>
            <w:r>
              <w:rPr>
                <w:b/>
                <w:color w:val="C00000"/>
                <w:sz w:val="17"/>
              </w:rPr>
              <w:t>-8.8%</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1,256</w:t>
            </w:r>
          </w:p>
        </w:tc>
        <w:tc>
          <w:tcPr>
            <w:tcW w:type="dxa" w:w="1440"/>
            <w:shd w:fill="FFDCE0" w:val="clear"/>
          </w:tcPr>
          <w:p>
            <w:r>
              <w:rPr>
                <w:b/>
                <w:sz w:val="17"/>
              </w:rPr>
              <w:t>1,426</w:t>
            </w:r>
          </w:p>
        </w:tc>
        <w:tc>
          <w:tcPr>
            <w:tcW w:type="dxa" w:w="1440"/>
            <w:shd w:fill="FFDCE0" w:val="clear"/>
          </w:tcPr>
          <w:p>
            <w:r>
              <w:rPr>
                <w:sz w:val="17"/>
              </w:rPr>
              <w:t>1,596</w:t>
            </w:r>
          </w:p>
        </w:tc>
        <w:tc>
          <w:tcPr>
            <w:tcW w:type="dxa" w:w="1440"/>
            <w:shd w:fill="FFDCE0" w:val="clear"/>
          </w:tcPr>
          <w:p>
            <w:r>
              <w:rPr>
                <w:b/>
                <w:color w:val="C00000"/>
                <w:sz w:val="17"/>
              </w:rPr>
              <w:t>-9.7%</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1,230</w:t>
            </w:r>
          </w:p>
        </w:tc>
        <w:tc>
          <w:tcPr>
            <w:tcW w:type="dxa" w:w="1440"/>
            <w:shd w:fill="FFDCE0" w:val="clear"/>
          </w:tcPr>
          <w:p>
            <w:r>
              <w:rPr>
                <w:b/>
                <w:sz w:val="17"/>
              </w:rPr>
              <w:t>1,412</w:t>
            </w:r>
          </w:p>
        </w:tc>
        <w:tc>
          <w:tcPr>
            <w:tcW w:type="dxa" w:w="1440"/>
            <w:shd w:fill="FFDCE0" w:val="clear"/>
          </w:tcPr>
          <w:p>
            <w:r>
              <w:rPr>
                <w:sz w:val="17"/>
              </w:rPr>
              <w:t>1,594</w:t>
            </w:r>
          </w:p>
        </w:tc>
        <w:tc>
          <w:tcPr>
            <w:tcW w:type="dxa" w:w="1440"/>
            <w:shd w:fill="FFDCE0" w:val="clear"/>
          </w:tcPr>
          <w:p>
            <w:r>
              <w:rPr>
                <w:b/>
                <w:color w:val="C00000"/>
                <w:sz w:val="17"/>
              </w:rPr>
              <w:t>-10.6%</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1,206</w:t>
            </w:r>
          </w:p>
        </w:tc>
        <w:tc>
          <w:tcPr>
            <w:tcW w:type="dxa" w:w="1440"/>
            <w:shd w:fill="FFDCE0" w:val="clear"/>
          </w:tcPr>
          <w:p>
            <w:r>
              <w:rPr>
                <w:b/>
                <w:sz w:val="17"/>
              </w:rPr>
              <w:t>1,398</w:t>
            </w:r>
          </w:p>
        </w:tc>
        <w:tc>
          <w:tcPr>
            <w:tcW w:type="dxa" w:w="1440"/>
            <w:shd w:fill="FFDCE0" w:val="clear"/>
          </w:tcPr>
          <w:p>
            <w:r>
              <w:rPr>
                <w:sz w:val="17"/>
              </w:rPr>
              <w:t>1,591</w:t>
            </w:r>
          </w:p>
        </w:tc>
        <w:tc>
          <w:tcPr>
            <w:tcW w:type="dxa" w:w="1440"/>
            <w:shd w:fill="FFDCE0" w:val="clear"/>
          </w:tcPr>
          <w:p>
            <w:r>
              <w:rPr>
                <w:b/>
                <w:color w:val="C00000"/>
                <w:sz w:val="17"/>
              </w:rPr>
              <w:t>-11.5%</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1,183</w:t>
            </w:r>
          </w:p>
        </w:tc>
        <w:tc>
          <w:tcPr>
            <w:tcW w:type="dxa" w:w="1440"/>
            <w:shd w:fill="FFDCE0" w:val="clear"/>
          </w:tcPr>
          <w:p>
            <w:r>
              <w:rPr>
                <w:b/>
                <w:sz w:val="17"/>
              </w:rPr>
              <w:t>1,385</w:t>
            </w:r>
          </w:p>
        </w:tc>
        <w:tc>
          <w:tcPr>
            <w:tcW w:type="dxa" w:w="1440"/>
            <w:shd w:fill="FFDCE0" w:val="clear"/>
          </w:tcPr>
          <w:p>
            <w:r>
              <w:rPr>
                <w:sz w:val="17"/>
              </w:rPr>
              <w:t>1,587</w:t>
            </w:r>
          </w:p>
        </w:tc>
        <w:tc>
          <w:tcPr>
            <w:tcW w:type="dxa" w:w="1440"/>
            <w:shd w:fill="FFDCE0" w:val="clear"/>
          </w:tcPr>
          <w:p>
            <w:r>
              <w:rPr>
                <w:b/>
                <w:color w:val="C00000"/>
                <w:sz w:val="17"/>
              </w:rPr>
              <w:t>-12.4%</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1,161</w:t>
            </w:r>
          </w:p>
        </w:tc>
        <w:tc>
          <w:tcPr>
            <w:tcW w:type="dxa" w:w="1440"/>
            <w:shd w:fill="FFDCE0" w:val="clear"/>
          </w:tcPr>
          <w:p>
            <w:r>
              <w:rPr>
                <w:b/>
                <w:sz w:val="17"/>
              </w:rPr>
              <w:t>1,372</w:t>
            </w:r>
          </w:p>
        </w:tc>
        <w:tc>
          <w:tcPr>
            <w:tcW w:type="dxa" w:w="1440"/>
            <w:shd w:fill="FFDCE0" w:val="clear"/>
          </w:tcPr>
          <w:p>
            <w:r>
              <w:rPr>
                <w:sz w:val="17"/>
              </w:rPr>
              <w:t>1,583</w:t>
            </w:r>
          </w:p>
        </w:tc>
        <w:tc>
          <w:tcPr>
            <w:tcW w:type="dxa" w:w="1440"/>
            <w:shd w:fill="FFDCE0" w:val="clear"/>
          </w:tcPr>
          <w:p>
            <w:r>
              <w:rPr>
                <w:b/>
                <w:color w:val="C00000"/>
                <w:sz w:val="17"/>
              </w:rPr>
              <w:t>-13.2%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SEMC (BRVM)**</w:t>
      </w:r>
    </w:p>
    <w:p>
      <w:pPr>
        <w:spacing w:after="120" w:line="276" w:lineRule="auto" w:before="240"/>
      </w:pPr>
      <w:r>
        <w:rPr>
          <w:b/>
          <w:color w:val="003366"/>
          <w:sz w:val="24"/>
        </w:rPr>
        <w:t>**PARTIE 0 : INDICATEURS DE VALORISATION BOURSIÈRE**</w:t>
      </w:r>
    </w:p>
    <w:p>
      <w:pPr>
        <w:spacing w:after="120" w:line="276" w:lineRule="auto"/>
      </w:pPr>
      <w:r>
        <w:t>La capitalisation boursière de SEMC s'établit à 39,80 milliards FCFA, un niveau modeste qui la positionne parmi les valeurs de taille moyenne du marché BRVM. Les ratios de valorisation (BPA, PER, P/B, EV/EBITDA) ne sont pas calculables en raison de l'absence de données financières structurées dans la base, ce qui constitue une limite importante pour évaluer le niveau de valorisation du titre par rapport à ses bénéfices. Le PER moyen de la BRVM se situant entre 8 et 12 fois, il est impossible de déterminer si le marché valorise correctement les bénéfices de la société. Cette absence de ratios calculables s'explique par la suspension de la cote BRVM depuis janvier 2024 (flottant insuffisant de 10,42% contre 15% requis), qui a pu entraîner un décalage dans la publication des données financières structurées. Les investisseurs doivent donc se tourner vers les rapports narratifs disponibles pour évaluer la valeur intrinsèque du titre.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SEMC affiche une variation totale de -17,92%, passant d'un plus haut de 1 940 FCFA à un plus bas de 1 350 FCFA, avec un cours actuel de 1 580 FCFA. La dernière séance montre un rebond significatif de +5,33%, suggérant un possible retournement à court terme. La moyenne du cours sur la période (1 547 FCFA) est supérieure à la médiane (1 520 FCFA), indiquant une distribution asymétrique positive (skewness de 1,695), ce qui signifie que le titre a connu davantage de journées sous la moyenne avec quelques pics notables. L'écart-type de 107 FCFA (coefficient de variation de 6,9%) révèle une dispersion modérée autour de la moyenne. Le kurtosis en excès de 3,768 signale une distribution leptokurtique avec des queues épaisses, impliquant un risque de mouvements extrêmes plus élevé que la normale. La volatilité annualisée de 50,6% classe le titre dans la catégorie des valeurs à très forte volatilité, un niveau préoccupant pour les investisseurs prudents.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(1 522,5 FCFA) et la MM50 (1 497,9 FCFA) sont toutes deux inférieures au cours actuel de 1 580 FCFA, confirmant une dynamique haussière à court et moyen terme. Le croisement positif des moyennes mobiles et la position du prix au-dessus de ces niveaux clés justifient la décision d'achat, indiquant que la tendance de fond reste positive malgré la baisse récente.</w:t>
      </w:r>
    </w:p>
    <w:p>
      <w:pPr>
        <w:spacing w:after="120" w:line="276" w:lineRule="auto"/>
      </w:pPr>
      <w:r>
        <w:t>**Bandes de Bollinger** : Le cours se situe à 1 580 FCFA, dans la partie supérieure de l'enveloppe délimitée par la borne haute à 1 615,6 FCFA et la borne basse à 1 429,4 FCFA. Cette position suggère une pression acheteuse modérée sans atteindre la zone de surachat extrême. La décision neutre reflète une volatilité en contraction, le prix n'ayant pas encore touché les bornes extrêmes.</w:t>
      </w:r>
    </w:p>
    <w:p>
      <w:pPr>
        <w:spacing w:after="120" w:line="276" w:lineRule="auto"/>
      </w:pPr>
      <w:r>
        <w:t>**MACD** : La valeur du MACD (11,86) est supérieure à son signal (10,413), indiquant un momentum haussier positif. L'écart positif entre les deux lignes suggère une accélération de la dynamique haussière à moyen terme, justifiant la décision d'achat. La tendance semble se renforcer après une période de consolidation.</w:t>
      </w:r>
    </w:p>
    <w:p>
      <w:pPr>
        <w:spacing w:after="120" w:line="276" w:lineRule="auto"/>
      </w:pPr>
      <w:r>
        <w:t>**RSI** : À 58,182, le RSI se situe dans la zone neutre (30-70), sans signal de surachat ni de survente. Cette valeur indique une pression acheteuse modérée sans excès, laissant une marge de progression avant d'atteindre la zone de surachat à 70. La décision neutre est cohérente avec une dynamique positive mais non excessive.</w:t>
      </w:r>
    </w:p>
    <w:p>
      <w:pPr>
        <w:spacing w:after="120" w:line="276" w:lineRule="auto"/>
      </w:pPr>
      <w:r>
        <w:t>**Stochastique** : Le %K (86,667) est nettement supérieur au %D (54,444), indiquant une forte dynamique haussière à court terme. Cependant, le %K dépassant largement le seuil de 80, le titre entre en zone de surachat, ce qui justifie la décision de vente et suggère un risque de correction technique à très court terme.</w:t>
      </w:r>
    </w:p>
    <w:p>
      <w:pPr>
        <w:spacing w:after="120" w:line="276" w:lineRule="auto"/>
      </w:pPr>
      <w:r>
        <w:t>**Conclusion technique** : La convergence des indicateurs (MM, MACD) vers des signaux d'achat contraste avec le signal de vente du stochastique en zone de surachat. Cette configuration mitigée suggère une tendance haussière de fond mais avec un risque de consolidation à court terme. Les bandes de Bollinger et le RSI neutres confirment cette lecture prudente.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rapports financiers disponibles présentent des données contradictoires selon les sources. Le rapport daté du 31/12/2023 (analysé le 15/03/2026) indique pour l'exercice 2023 un chiffre d'affaires de 27,88 milliards FCFA (en baisse de 6% par rapport à 2022), un résultat net de 1,01 milliard FCFA (contre 3,86 milliards en 2022), soit une marge nette de 3,6% contre 13% précédemment. La société a subi une perte de clients clés (AIRONE -81% du CA) et l'effondrement du secteur Tomate. Cependant, un autre rapport daté du 31/12/2023 mentionne un CA consolidé de 125,4 milliards FCFA et un résultat net de 12,8 milliards FCFA, suggérant des données potentiellement consolidées avec la maison mère. Le rapport du 31/12/2022 (analysé le 16/03/2026) confirme cette tendance avec un CA de 125,4 milliards FCFA et un bénéfice de 12,8 milliards FCFA, en croissance de 13,8% et 18,5% respectivement. Le rapport du 1er trimestre 2023 (analysé le 15/03/2026) montre un CA de 7,65 milliards FCFA (+16,5%) et un bénéfice net de 855,65 millions FCFA (+37,9%), avec une marge nette de 11,2%. Sur la base de ces données trimestrielles, on estime que l'exercice 2024 pourrait voir un CA annuel d'environ 30 milliards FCFA si la tendance du T1 2023 se maintient, avec un résultat net potentiel de 3,4 milliards FCFA. Le rachat par Sonoco Products Company (finalisé en décembre 2024) constitue un catalyseur majeur, avec des synergies potentielles et un accès à de nouveaux marchés. Les perspectives 2024 visent un objectif de CA de 32 milliards FCFA (+18%), porté par les bouchons couronnes (+61% en volume) et les exportations vers le Sénégal. La trésorerie solide (3,35 milliards FCFA) et la politique de non-distribution de dividendes (0 FCFA en 2022 et 2023) témoignent d'une stratégie de conservation des ressources pour financer la relance.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analyses révèle une situation contrastée pour SEMC. Sur le plan de la valorisation, l'absence de ratios calculables limite l'évaluation, mais la capitalisation de 39,80 milliards FCFA semble modeste au regard des actifs et du potentiel de rebond. Le comportement du cours sur 100 jours montre une tendance baissière (-17,92%) avec une volatilité très élevée (50,6%) et un risque de mouvements extrêmes (kurtosis de 3,768), bien que le rebond récent de +5,33% et l'asymétrie positive suggèrent un potentiel de redressement. Les signaux techniques sont mitigés : les moyennes mobiles et le MACD indiquent une dynamique haussière, tandis que le stochastique en surachat appelle à la prudence à court terme. Fondamentalement, la société traverse une phase de transition avec des résultats 2023 décevants (marge nette à 3,6%) mais des perspectives 2024 encourageantes (objectif CA +18%) et le soutien stratégique de Sonoco. Les prédictions IA pour les 10 prochains jours (1 490 à 1 441 FCFA) suggèrent une poursuite de la baisse à court terme, contredisant les signaux techniques haussiers. Cette divergence entre les signaux techniques et les prédictions IA, combinée aux incertitudes fondamentales, justifie une recommandation de **CONSERVER** avec un niveau de confiance **Moyen** et un risque global **Élevé**. L'horizon d'investissement optimal serait le **moyen terme (3-12 mois)**, en attendant la confirmation du redressement opérationnel et la levée de la suspension de cote BRVM.</w:t>
      </w:r>
    </w:p>
    <w:p/>
    <w:p/>
    <w:p>
      <w:r>
        <w:t>════════════════════════════════════════════════════════════════════════════════</w:t>
      </w:r>
    </w:p>
    <w:p>
      <w:r>
        <w:br w:type="page"/>
      </w:r>
    </w:p>
    <w:p>
      <w:pPr>
        <w:pStyle w:val="Heading2"/>
        <w:spacing w:before="360"/>
      </w:pPr>
      <w:r>
        <w:rPr>
          <w:color w:val="0066CC"/>
        </w:rPr>
        <w:t>32.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1197.78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5,354 titres</w:t>
            </w:r>
          </w:p>
        </w:tc>
        <w:tc>
          <w:tcPr>
            <w:tcW w:type="dxa" w:w="2268"/>
            <w:shd w:fill="FFF2CC" w:val="clear"/>
          </w:tcPr>
          <w:p>
            <w:r>
              <w:rPr>
                <w:b/>
                <w:color w:val="503200"/>
                <w:sz w:val="16"/>
              </w:rPr>
              <w:t xml:space="preserve">Cours actuel : </w:t>
            </w:r>
            <w:r>
              <w:rPr>
                <w:color w:val="000000"/>
                <w:sz w:val="17"/>
              </w:rPr>
              <w:t>38,500 FCFA</w:t>
            </w:r>
          </w:p>
          <w:p>
            <w:r>
              <w:rPr>
                <w:b/>
                <w:color w:val="503200"/>
                <w:sz w:val="16"/>
              </w:rPr>
              <w:t xml:space="preserve">Var. 100 jours : </w:t>
            </w:r>
            <w:r>
              <w:rPr>
                <w:b/>
                <w:color w:val="007800"/>
                <w:sz w:val="17"/>
              </w:rPr>
              <w:t>+13.24%</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32,800 FCFA</w:t>
            </w:r>
          </w:p>
          <w:p>
            <w:r>
              <w:rPr>
                <w:b/>
                <w:color w:val="503200"/>
                <w:sz w:val="16"/>
              </w:rPr>
              <w:t xml:space="preserve">Volatilité ann. : </w:t>
            </w:r>
            <w:r>
              <w:rPr>
                <w:color w:val="000000"/>
                <w:sz w:val="17"/>
              </w:rPr>
              <w:t>24.1%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5.32% (Moyenne) — μ=37,237 FCFA, σ=1,982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β=0.6162 (Défensif) — Cov=0.000022, Var(idx)=0.000036, ρ=0.242,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5,354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σ_j=1.52%/j (Stable) — Vol. annualisée≈24.1%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03190"/>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2026-09-07</w:t>
            </w:r>
          </w:p>
        </w:tc>
        <w:tc>
          <w:tcPr>
            <w:tcW w:type="dxa" w:w="1440"/>
            <w:shd w:fill="FAFAFA" w:val="clear"/>
          </w:tcPr>
          <w:p>
            <w:r>
              <w:rPr>
                <w:sz w:val="17"/>
              </w:rPr>
              <w:t>37,197</w:t>
            </w:r>
          </w:p>
        </w:tc>
        <w:tc>
          <w:tcPr>
            <w:tcW w:type="dxa" w:w="1440"/>
            <w:shd w:fill="FAFAFA" w:val="clear"/>
          </w:tcPr>
          <w:p>
            <w:r>
              <w:rPr>
                <w:b/>
                <w:sz w:val="17"/>
              </w:rPr>
              <w:t>38,060</w:t>
            </w:r>
          </w:p>
        </w:tc>
        <w:tc>
          <w:tcPr>
            <w:tcW w:type="dxa" w:w="1440"/>
            <w:shd w:fill="FAFAFA" w:val="clear"/>
          </w:tcPr>
          <w:p>
            <w:r>
              <w:rPr>
                <w:sz w:val="17"/>
              </w:rPr>
              <w:t>38,923</w:t>
            </w:r>
          </w:p>
        </w:tc>
        <w:tc>
          <w:tcPr>
            <w:tcW w:type="dxa" w:w="1440"/>
            <w:shd w:fill="FAFAFA" w:val="clear"/>
          </w:tcPr>
          <w:p>
            <w:r>
              <w:rPr>
                <w:b/>
                <w:color w:val="C00000"/>
                <w:sz w:val="17"/>
              </w:rPr>
              <w:t>-1.1%</w:t>
            </w:r>
          </w:p>
        </w:tc>
      </w:tr>
      <w:tr>
        <w:tc>
          <w:tcPr>
            <w:tcW w:type="dxa" w:w="1440"/>
            <w:shd w:fill="FAFAFA" w:val="clear"/>
          </w:tcPr>
          <w:p>
            <w:r>
              <w:rPr>
                <w:sz w:val="17"/>
              </w:rPr>
              <w:t>J+2  ⭐⭐⭐</w:t>
            </w:r>
          </w:p>
        </w:tc>
        <w:tc>
          <w:tcPr>
            <w:tcW w:type="dxa" w:w="1440"/>
            <w:shd w:fill="FAFAFA" w:val="clear"/>
          </w:tcPr>
          <w:p>
            <w:r>
              <w:rPr>
                <w:sz w:val="17"/>
              </w:rPr>
              <w:t>2026-09-08</w:t>
            </w:r>
          </w:p>
        </w:tc>
        <w:tc>
          <w:tcPr>
            <w:tcW w:type="dxa" w:w="1440"/>
            <w:shd w:fill="FAFAFA" w:val="clear"/>
          </w:tcPr>
          <w:p>
            <w:r>
              <w:rPr>
                <w:sz w:val="17"/>
              </w:rPr>
              <w:t>36,765</w:t>
            </w:r>
          </w:p>
        </w:tc>
        <w:tc>
          <w:tcPr>
            <w:tcW w:type="dxa" w:w="1440"/>
            <w:shd w:fill="FAFAFA" w:val="clear"/>
          </w:tcPr>
          <w:p>
            <w:r>
              <w:rPr>
                <w:b/>
                <w:sz w:val="17"/>
              </w:rPr>
              <w:t>37,982</w:t>
            </w:r>
          </w:p>
        </w:tc>
        <w:tc>
          <w:tcPr>
            <w:tcW w:type="dxa" w:w="1440"/>
            <w:shd w:fill="FAFAFA" w:val="clear"/>
          </w:tcPr>
          <w:p>
            <w:r>
              <w:rPr>
                <w:sz w:val="17"/>
              </w:rPr>
              <w:t>39,200</w:t>
            </w:r>
          </w:p>
        </w:tc>
        <w:tc>
          <w:tcPr>
            <w:tcW w:type="dxa" w:w="1440"/>
            <w:shd w:fill="FAFAFA" w:val="clear"/>
          </w:tcPr>
          <w:p>
            <w:r>
              <w:rPr>
                <w:b/>
                <w:color w:val="C00000"/>
                <w:sz w:val="17"/>
              </w:rPr>
              <w:t>-1.3%</w:t>
            </w:r>
          </w:p>
        </w:tc>
      </w:tr>
      <w:tr>
        <w:tc>
          <w:tcPr>
            <w:tcW w:type="dxa" w:w="1440"/>
            <w:shd w:fill="FAFAFA" w:val="clear"/>
          </w:tcPr>
          <w:p>
            <w:r>
              <w:rPr>
                <w:sz w:val="17"/>
              </w:rPr>
              <w:t>J+3  ⭐⭐⭐</w:t>
            </w:r>
          </w:p>
        </w:tc>
        <w:tc>
          <w:tcPr>
            <w:tcW w:type="dxa" w:w="1440"/>
            <w:shd w:fill="FAFAFA" w:val="clear"/>
          </w:tcPr>
          <w:p>
            <w:r>
              <w:rPr>
                <w:sz w:val="17"/>
              </w:rPr>
              <w:t>2026-09-09</w:t>
            </w:r>
          </w:p>
        </w:tc>
        <w:tc>
          <w:tcPr>
            <w:tcW w:type="dxa" w:w="1440"/>
            <w:shd w:fill="FAFAFA" w:val="clear"/>
          </w:tcPr>
          <w:p>
            <w:r>
              <w:rPr>
                <w:sz w:val="17"/>
              </w:rPr>
              <w:t>36,404</w:t>
            </w:r>
          </w:p>
        </w:tc>
        <w:tc>
          <w:tcPr>
            <w:tcW w:type="dxa" w:w="1440"/>
            <w:shd w:fill="FAFAFA" w:val="clear"/>
          </w:tcPr>
          <w:p>
            <w:r>
              <w:rPr>
                <w:b/>
                <w:sz w:val="17"/>
              </w:rPr>
              <w:t>37,892</w:t>
            </w:r>
          </w:p>
        </w:tc>
        <w:tc>
          <w:tcPr>
            <w:tcW w:type="dxa" w:w="1440"/>
            <w:shd w:fill="FAFAFA" w:val="clear"/>
          </w:tcPr>
          <w:p>
            <w:r>
              <w:rPr>
                <w:sz w:val="17"/>
              </w:rPr>
              <w:t>39,380</w:t>
            </w:r>
          </w:p>
        </w:tc>
        <w:tc>
          <w:tcPr>
            <w:tcW w:type="dxa" w:w="1440"/>
            <w:shd w:fill="FAFAFA" w:val="clear"/>
          </w:tcPr>
          <w:p>
            <w:r>
              <w:rPr>
                <w:b/>
                <w:color w:val="C00000"/>
                <w:sz w:val="17"/>
              </w:rPr>
              <w:t>-1.6%</w:t>
            </w:r>
          </w:p>
        </w:tc>
      </w:tr>
      <w:tr>
        <w:tc>
          <w:tcPr>
            <w:tcW w:type="dxa" w:w="1440"/>
            <w:shd w:fill="FAFAFA" w:val="clear"/>
          </w:tcPr>
          <w:p>
            <w:r>
              <w:rPr>
                <w:sz w:val="17"/>
              </w:rPr>
              <w:t>J+4  Moyenne</w:t>
            </w:r>
          </w:p>
        </w:tc>
        <w:tc>
          <w:tcPr>
            <w:tcW w:type="dxa" w:w="1440"/>
            <w:shd w:fill="FAFAFA" w:val="clear"/>
          </w:tcPr>
          <w:p>
            <w:r>
              <w:rPr>
                <w:sz w:val="17"/>
              </w:rPr>
              <w:t>2026-09-10</w:t>
            </w:r>
          </w:p>
        </w:tc>
        <w:tc>
          <w:tcPr>
            <w:tcW w:type="dxa" w:w="1440"/>
            <w:shd w:fill="FAFAFA" w:val="clear"/>
          </w:tcPr>
          <w:p>
            <w:r>
              <w:rPr>
                <w:sz w:val="17"/>
              </w:rPr>
              <w:t>36,091</w:t>
            </w:r>
          </w:p>
        </w:tc>
        <w:tc>
          <w:tcPr>
            <w:tcW w:type="dxa" w:w="1440"/>
            <w:shd w:fill="FAFAFA" w:val="clear"/>
          </w:tcPr>
          <w:p>
            <w:r>
              <w:rPr>
                <w:b/>
                <w:sz w:val="17"/>
              </w:rPr>
              <w:t>37,805</w:t>
            </w:r>
          </w:p>
        </w:tc>
        <w:tc>
          <w:tcPr>
            <w:tcW w:type="dxa" w:w="1440"/>
            <w:shd w:fill="FAFAFA" w:val="clear"/>
          </w:tcPr>
          <w:p>
            <w:r>
              <w:rPr>
                <w:sz w:val="17"/>
              </w:rPr>
              <w:t>39,519</w:t>
            </w:r>
          </w:p>
        </w:tc>
        <w:tc>
          <w:tcPr>
            <w:tcW w:type="dxa" w:w="1440"/>
            <w:shd w:fill="FAFAFA" w:val="clear"/>
          </w:tcPr>
          <w:p>
            <w:r>
              <w:rPr>
                <w:b/>
                <w:color w:val="C00000"/>
                <w:sz w:val="17"/>
              </w:rPr>
              <w:t>-1.8%</w:t>
            </w:r>
          </w:p>
        </w:tc>
      </w:tr>
      <w:tr>
        <w:tc>
          <w:tcPr>
            <w:tcW w:type="dxa" w:w="1440"/>
            <w:shd w:fill="FFDCE0" w:val="clear"/>
          </w:tcPr>
          <w:p>
            <w:r>
              <w:rPr>
                <w:sz w:val="17"/>
              </w:rPr>
              <w:t>J+5  Moyenne</w:t>
            </w:r>
          </w:p>
        </w:tc>
        <w:tc>
          <w:tcPr>
            <w:tcW w:type="dxa" w:w="1440"/>
            <w:shd w:fill="FFDCE0" w:val="clear"/>
          </w:tcPr>
          <w:p>
            <w:r>
              <w:rPr>
                <w:sz w:val="17"/>
              </w:rPr>
              <w:t>2026-09-11</w:t>
            </w:r>
          </w:p>
        </w:tc>
        <w:tc>
          <w:tcPr>
            <w:tcW w:type="dxa" w:w="1440"/>
            <w:shd w:fill="FFDCE0" w:val="clear"/>
          </w:tcPr>
          <w:p>
            <w:r>
              <w:rPr>
                <w:sz w:val="17"/>
              </w:rPr>
              <w:t>35,810</w:t>
            </w:r>
          </w:p>
        </w:tc>
        <w:tc>
          <w:tcPr>
            <w:tcW w:type="dxa" w:w="1440"/>
            <w:shd w:fill="FFDCE0" w:val="clear"/>
          </w:tcPr>
          <w:p>
            <w:r>
              <w:rPr>
                <w:b/>
                <w:sz w:val="17"/>
              </w:rPr>
              <w:t>37,722</w:t>
            </w:r>
          </w:p>
        </w:tc>
        <w:tc>
          <w:tcPr>
            <w:tcW w:type="dxa" w:w="1440"/>
            <w:shd w:fill="FFDCE0" w:val="clear"/>
          </w:tcPr>
          <w:p>
            <w:r>
              <w:rPr>
                <w:sz w:val="17"/>
              </w:rPr>
              <w:t>39,634</w:t>
            </w:r>
          </w:p>
        </w:tc>
        <w:tc>
          <w:tcPr>
            <w:tcW w:type="dxa" w:w="1440"/>
            <w:shd w:fill="FFDCE0" w:val="clear"/>
          </w:tcPr>
          <w:p>
            <w:r>
              <w:rPr>
                <w:b/>
                <w:color w:val="C00000"/>
                <w:sz w:val="17"/>
              </w:rPr>
              <w:t>-2.0%</w:t>
            </w:r>
          </w:p>
        </w:tc>
      </w:tr>
      <w:tr>
        <w:tc>
          <w:tcPr>
            <w:tcW w:type="dxa" w:w="1440"/>
            <w:shd w:fill="FFDCE0" w:val="clear"/>
          </w:tcPr>
          <w:p>
            <w:r>
              <w:rPr>
                <w:sz w:val="17"/>
              </w:rPr>
              <w:t>J+6  Moyenne</w:t>
            </w:r>
          </w:p>
        </w:tc>
        <w:tc>
          <w:tcPr>
            <w:tcW w:type="dxa" w:w="1440"/>
            <w:shd w:fill="FFDCE0" w:val="clear"/>
          </w:tcPr>
          <w:p>
            <w:r>
              <w:rPr>
                <w:sz w:val="17"/>
              </w:rPr>
              <w:t>2026-09-14</w:t>
            </w:r>
          </w:p>
        </w:tc>
        <w:tc>
          <w:tcPr>
            <w:tcW w:type="dxa" w:w="1440"/>
            <w:shd w:fill="FFDCE0" w:val="clear"/>
          </w:tcPr>
          <w:p>
            <w:r>
              <w:rPr>
                <w:sz w:val="17"/>
              </w:rPr>
              <w:t>35,552</w:t>
            </w:r>
          </w:p>
        </w:tc>
        <w:tc>
          <w:tcPr>
            <w:tcW w:type="dxa" w:w="1440"/>
            <w:shd w:fill="FFDCE0" w:val="clear"/>
          </w:tcPr>
          <w:p>
            <w:r>
              <w:rPr>
                <w:b/>
                <w:sz w:val="17"/>
              </w:rPr>
              <w:t>37,642</w:t>
            </w:r>
          </w:p>
        </w:tc>
        <w:tc>
          <w:tcPr>
            <w:tcW w:type="dxa" w:w="1440"/>
            <w:shd w:fill="FFDCE0" w:val="clear"/>
          </w:tcPr>
          <w:p>
            <w:r>
              <w:rPr>
                <w:sz w:val="17"/>
              </w:rPr>
              <w:t>39,732</w:t>
            </w:r>
          </w:p>
        </w:tc>
        <w:tc>
          <w:tcPr>
            <w:tcW w:type="dxa" w:w="1440"/>
            <w:shd w:fill="FFDCE0" w:val="clear"/>
          </w:tcPr>
          <w:p>
            <w:r>
              <w:rPr>
                <w:b/>
                <w:color w:val="C00000"/>
                <w:sz w:val="17"/>
              </w:rPr>
              <w:t>-2.2%</w:t>
            </w:r>
          </w:p>
        </w:tc>
      </w:tr>
      <w:tr>
        <w:tc>
          <w:tcPr>
            <w:tcW w:type="dxa" w:w="1440"/>
            <w:shd w:fill="FFDCE0" w:val="clear"/>
          </w:tcPr>
          <w:p>
            <w:r>
              <w:rPr>
                <w:sz w:val="17"/>
              </w:rPr>
              <w:t>J+7  Moyenne</w:t>
            </w:r>
          </w:p>
        </w:tc>
        <w:tc>
          <w:tcPr>
            <w:tcW w:type="dxa" w:w="1440"/>
            <w:shd w:fill="FFDCE0" w:val="clear"/>
          </w:tcPr>
          <w:p>
            <w:r>
              <w:rPr>
                <w:sz w:val="17"/>
              </w:rPr>
              <w:t>2026-09-15</w:t>
            </w:r>
          </w:p>
        </w:tc>
        <w:tc>
          <w:tcPr>
            <w:tcW w:type="dxa" w:w="1440"/>
            <w:shd w:fill="FFDCE0" w:val="clear"/>
          </w:tcPr>
          <w:p>
            <w:r>
              <w:rPr>
                <w:sz w:val="17"/>
              </w:rPr>
              <w:t>35,312</w:t>
            </w:r>
          </w:p>
        </w:tc>
        <w:tc>
          <w:tcPr>
            <w:tcW w:type="dxa" w:w="1440"/>
            <w:shd w:fill="FFDCE0" w:val="clear"/>
          </w:tcPr>
          <w:p>
            <w:r>
              <w:rPr>
                <w:b/>
                <w:sz w:val="17"/>
              </w:rPr>
              <w:t>37,564</w:t>
            </w:r>
          </w:p>
        </w:tc>
        <w:tc>
          <w:tcPr>
            <w:tcW w:type="dxa" w:w="1440"/>
            <w:shd w:fill="FFDCE0" w:val="clear"/>
          </w:tcPr>
          <w:p>
            <w:r>
              <w:rPr>
                <w:sz w:val="17"/>
              </w:rPr>
              <w:t>39,817</w:t>
            </w:r>
          </w:p>
        </w:tc>
        <w:tc>
          <w:tcPr>
            <w:tcW w:type="dxa" w:w="1440"/>
            <w:shd w:fill="FFDCE0" w:val="clear"/>
          </w:tcPr>
          <w:p>
            <w:r>
              <w:rPr>
                <w:b/>
                <w:color w:val="C00000"/>
                <w:sz w:val="17"/>
              </w:rPr>
              <w:t>-2.4%</w:t>
            </w:r>
          </w:p>
        </w:tc>
      </w:tr>
      <w:tr>
        <w:tc>
          <w:tcPr>
            <w:tcW w:type="dxa" w:w="1440"/>
            <w:shd w:fill="FFDCE0" w:val="clear"/>
          </w:tcPr>
          <w:p>
            <w:r>
              <w:rPr>
                <w:sz w:val="17"/>
              </w:rPr>
              <w:t>J+8  Moyenne</w:t>
            </w:r>
          </w:p>
        </w:tc>
        <w:tc>
          <w:tcPr>
            <w:tcW w:type="dxa" w:w="1440"/>
            <w:shd w:fill="FFDCE0" w:val="clear"/>
          </w:tcPr>
          <w:p>
            <w:r>
              <w:rPr>
                <w:sz w:val="17"/>
              </w:rPr>
              <w:t>2026-09-16</w:t>
            </w:r>
          </w:p>
        </w:tc>
        <w:tc>
          <w:tcPr>
            <w:tcW w:type="dxa" w:w="1440"/>
            <w:shd w:fill="FFDCE0" w:val="clear"/>
          </w:tcPr>
          <w:p>
            <w:r>
              <w:rPr>
                <w:sz w:val="17"/>
              </w:rPr>
              <w:t>35,085</w:t>
            </w:r>
          </w:p>
        </w:tc>
        <w:tc>
          <w:tcPr>
            <w:tcW w:type="dxa" w:w="1440"/>
            <w:shd w:fill="FFDCE0" w:val="clear"/>
          </w:tcPr>
          <w:p>
            <w:r>
              <w:rPr>
                <w:b/>
                <w:sz w:val="17"/>
              </w:rPr>
              <w:t>37,488</w:t>
            </w:r>
          </w:p>
        </w:tc>
        <w:tc>
          <w:tcPr>
            <w:tcW w:type="dxa" w:w="1440"/>
            <w:shd w:fill="FFDCE0" w:val="clear"/>
          </w:tcPr>
          <w:p>
            <w:r>
              <w:rPr>
                <w:sz w:val="17"/>
              </w:rPr>
              <w:t>39,891</w:t>
            </w:r>
          </w:p>
        </w:tc>
        <w:tc>
          <w:tcPr>
            <w:tcW w:type="dxa" w:w="1440"/>
            <w:shd w:fill="FFDCE0" w:val="clear"/>
          </w:tcPr>
          <w:p>
            <w:r>
              <w:rPr>
                <w:b/>
                <w:color w:val="C00000"/>
                <w:sz w:val="17"/>
              </w:rPr>
              <w:t>-2.6%</w:t>
            </w:r>
          </w:p>
        </w:tc>
      </w:tr>
      <w:tr>
        <w:tc>
          <w:tcPr>
            <w:tcW w:type="dxa" w:w="1440"/>
            <w:shd w:fill="FFDCE0" w:val="clear"/>
          </w:tcPr>
          <w:p>
            <w:r>
              <w:rPr>
                <w:sz w:val="17"/>
              </w:rPr>
              <w:t>J+9  Moyenne</w:t>
            </w:r>
          </w:p>
        </w:tc>
        <w:tc>
          <w:tcPr>
            <w:tcW w:type="dxa" w:w="1440"/>
            <w:shd w:fill="FFDCE0" w:val="clear"/>
          </w:tcPr>
          <w:p>
            <w:r>
              <w:rPr>
                <w:sz w:val="17"/>
              </w:rPr>
              <w:t>2026-09-17</w:t>
            </w:r>
          </w:p>
        </w:tc>
        <w:tc>
          <w:tcPr>
            <w:tcW w:type="dxa" w:w="1440"/>
            <w:shd w:fill="FFDCE0" w:val="clear"/>
          </w:tcPr>
          <w:p>
            <w:r>
              <w:rPr>
                <w:sz w:val="17"/>
              </w:rPr>
              <w:t>34,869</w:t>
            </w:r>
          </w:p>
        </w:tc>
        <w:tc>
          <w:tcPr>
            <w:tcW w:type="dxa" w:w="1440"/>
            <w:shd w:fill="FFDCE0" w:val="clear"/>
          </w:tcPr>
          <w:p>
            <w:r>
              <w:rPr>
                <w:b/>
                <w:sz w:val="17"/>
              </w:rPr>
              <w:t>37,413</w:t>
            </w:r>
          </w:p>
        </w:tc>
        <w:tc>
          <w:tcPr>
            <w:tcW w:type="dxa" w:w="1440"/>
            <w:shd w:fill="FFDCE0" w:val="clear"/>
          </w:tcPr>
          <w:p>
            <w:r>
              <w:rPr>
                <w:sz w:val="17"/>
              </w:rPr>
              <w:t>39,957</w:t>
            </w:r>
          </w:p>
        </w:tc>
        <w:tc>
          <w:tcPr>
            <w:tcW w:type="dxa" w:w="1440"/>
            <w:shd w:fill="FFDCE0" w:val="clear"/>
          </w:tcPr>
          <w:p>
            <w:r>
              <w:rPr>
                <w:b/>
                <w:color w:val="C00000"/>
                <w:sz w:val="17"/>
              </w:rPr>
              <w:t>-2.8%</w:t>
            </w:r>
          </w:p>
        </w:tc>
      </w:tr>
      <w:tr>
        <w:tc>
          <w:tcPr>
            <w:tcW w:type="dxa" w:w="1440"/>
            <w:shd w:fill="FFDCE0" w:val="clear"/>
          </w:tcPr>
          <w:p>
            <w:r>
              <w:rPr>
                <w:sz w:val="17"/>
              </w:rPr>
              <w:t>J+10  Moyenne</w:t>
            </w:r>
          </w:p>
        </w:tc>
        <w:tc>
          <w:tcPr>
            <w:tcW w:type="dxa" w:w="1440"/>
            <w:shd w:fill="FFDCE0" w:val="clear"/>
          </w:tcPr>
          <w:p>
            <w:r>
              <w:rPr>
                <w:sz w:val="17"/>
              </w:rPr>
              <w:t>2026-09-18</w:t>
            </w:r>
          </w:p>
        </w:tc>
        <w:tc>
          <w:tcPr>
            <w:tcW w:type="dxa" w:w="1440"/>
            <w:shd w:fill="FFDCE0" w:val="clear"/>
          </w:tcPr>
          <w:p>
            <w:r>
              <w:rPr>
                <w:sz w:val="17"/>
              </w:rPr>
              <w:t>34,664</w:t>
            </w:r>
          </w:p>
        </w:tc>
        <w:tc>
          <w:tcPr>
            <w:tcW w:type="dxa" w:w="1440"/>
            <w:shd w:fill="FFDCE0" w:val="clear"/>
          </w:tcPr>
          <w:p>
            <w:r>
              <w:rPr>
                <w:b/>
                <w:sz w:val="17"/>
              </w:rPr>
              <w:t>37,340</w:t>
            </w:r>
          </w:p>
        </w:tc>
        <w:tc>
          <w:tcPr>
            <w:tcW w:type="dxa" w:w="1440"/>
            <w:shd w:fill="FFDCE0" w:val="clear"/>
          </w:tcPr>
          <w:p>
            <w:r>
              <w:rPr>
                <w:sz w:val="17"/>
              </w:rPr>
              <w:t>40,016</w:t>
            </w:r>
          </w:p>
        </w:tc>
        <w:tc>
          <w:tcPr>
            <w:tcW w:type="dxa" w:w="1440"/>
            <w:shd w:fill="FFDCE0" w:val="clear"/>
          </w:tcPr>
          <w:p>
            <w:r>
              <w:rPr>
                <w:b/>
                <w:color w:val="C00000"/>
                <w:sz w:val="17"/>
              </w:rPr>
              <w:t>-3.0%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SGBC s'établit à 1 197,78 milliards FCFA, positionnant le titre parmi les valeurs les plus lourdes et les plus liquides de la BRVM, représentant un poids considérable dans l'indice composite. Avec un BPA de 3 258 FCFA, chaque action détenue génère un bénéfice substantiel, justifiant un PER de 11,8x. Ce ratio, légèrement supérieur à la moyenne historique de la place (~8-12x), indique que les investisseurs paient un prix raisonnable pour les bénéfices actuels, sans décote ni prime excessive. Le P/B de 2,42x, dans la fourchette de 2 à 4x, reflète une prime de croissance accordée par le marché à la valeur comptable, signe de confiance dans la création de valeur future. Enfin, l'EV/EBITDA de 24,6x, nettement supérieur au seuil de 15x, suggère une valorisation exigeante de la capacité opérationnelle, intégrant des hypothèses de croissance soutenue sur le long terme.</w:t>
      </w:r>
    </w:p>
    <w:p>
      <w:pPr>
        <w:spacing w:after="120" w:line="276" w:lineRule="auto" w:before="240"/>
      </w:pPr>
      <w:r>
        <w:rPr>
          <w:b/>
          <w:color w:val="003366"/>
          <w:sz w:val="24"/>
        </w:rPr>
        <w:t>**PARTIE 1 : ANALYSE DU COURS — STATISTIQUES ET ÉVOLUTION (100 derniers jours)**</w:t>
      </w:r>
    </w:p>
    <w:p>
      <w:pPr>
        <w:spacing w:after="120" w:line="276" w:lineRule="auto"/>
      </w:pPr>
      <w:r>
        <w:t>Sur la période des 100 derniers jours, l'action SGBC affiche une progression totale de +13,24%, avec une dernière séance stable (0,00%), témoignant d'une dynamique haussière soutenue. Le cours a évolué dans un range de 32 800 à 39 300 FCFA, démontrant une forte appréciation depuis les points bas. La moyenne (37 237 FCFA) est inférieure à la médiane (38 000 FCFA), et le mode est à 39 000 FCFA, indiquant une asymétrie négative (skewness de -0,945) : les journées au-dessus de la moyenne sont plus fréquentes, mais les baisses sont plus marquées. L'écart-type de 1 992 FCFA (CV=5,3%) révèle une dispersion modérée autour de la moyenne. Le kurtosis de -0,461 (mésokurtique) suggère une distribution proche de la normale, sans risque de variations extrêmes. La volatilité annualisée de 24,1% classe le titre dans une zone de volatilité modérée, attrayante pour les investisseurs recherchant un équilibre entre rendement et risque.</w:t>
      </w:r>
    </w:p>
    <w:p>
      <w:pPr>
        <w:spacing w:after="120" w:line="276" w:lineRule="auto" w:before="240"/>
      </w:pPr>
      <w:r>
        <w:rPr>
          <w:b/>
          <w:color w:val="003366"/>
          <w:sz w:val="24"/>
        </w:rPr>
        <w:t>**PARTIE 2 : ANALYSE TECHNIQUE DÉTAILLÉE**</w:t>
      </w:r>
    </w:p>
    <w:p>
      <w:pPr>
        <w:spacing w:after="120" w:line="276" w:lineRule="auto"/>
      </w:pPr>
      <w:r>
        <w:t>Les **Moyennes Mobiles** (MM20=38 600,25 et MM50=38 440,8) sont toutes deux inférieures au cours actuel de 38 500 FCFA, bien que le prix soit légèrement sous la MM20. La position du cours au-dessus de la MM50 confirme une tendance de fond haussière, justifiant la décision d'achat, mais la proximité avec la MM20 suggère une consolidation à court terme.</w:t>
      </w:r>
    </w:p>
    <w:p>
      <w:pPr>
        <w:spacing w:after="120" w:line="276" w:lineRule="auto"/>
      </w:pPr>
      <w:r>
        <w:t>Les **Bandes de Bollinger** (borne supérieure à 39 680,5 et inférieure à 37 520) encadrent un prix à 38 500 FCFA, positionné dans la moitié supérieure de la bande. Cette configuration indique une volatilité normale sans pression excessive, d'où une décision neutre, le cours n'étant ni suracheté ni survendu aux extrêmes.</w:t>
      </w:r>
    </w:p>
    <w:p>
      <w:pPr>
        <w:spacing w:after="120" w:line="276" w:lineRule="auto"/>
      </w:pPr>
      <w:r>
        <w:t>Le **MACD** présente une valeur négative (-35,88) inférieure à son signal (5,91), signalant un momentum baissier à court terme. Cette divergence négative, bien que récente, suggère une possible correction ou consolidation après la forte hausse, justifiant la décision de vente pour les traders à horizon très court.</w:t>
      </w:r>
    </w:p>
    <w:p>
      <w:pPr>
        <w:spacing w:after="120" w:line="276" w:lineRule="auto"/>
      </w:pPr>
      <w:r>
        <w:t>Le **RSI** à 46,02 se situe dans la zone neutre (30-70), indiquant un équilibre entre pressions acheteuses et vendeuses. Cette valeur ne montre ni surachat ni survente, laissant place à une évolution directionnelle sans biais technique majeur, d'où la décision neutre.</w:t>
      </w:r>
    </w:p>
    <w:p>
      <w:pPr>
        <w:spacing w:after="120" w:line="276" w:lineRule="auto"/>
      </w:pPr>
      <w:r>
        <w:t>Le **Stochastique** (%K=49,84, %D=41,17) montre des valeurs proches de la zone médiane, avec un %K au-dessus du %D, suggérant un léger momentum haussier en gestation. Cependant, l'absence de croisement décisif et de conditions de surachat/survente maintient une décision neutre.</w:t>
      </w:r>
    </w:p>
    <w:p>
      <w:pPr>
        <w:spacing w:after="120" w:line="276" w:lineRule="auto"/>
      </w:pPr>
      <w:r>
        <w:t>La **conclusion technique** globale est mitigée : les moyennes mobiles plaident pour une tendance haussière de fond, mais le MACD et la position sous la MM20 indiquent un essoufflement à court terme. Les oscillateurs (RSI et Stochastique) étant neutres, le titre pourrait consolider avant de poursuivre sa tendance, ou corriger légèrement.</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 SGBC confirment une santé financière robuste : le Produit Net Bancaire (PNB) atteint 276,048 milliards FCFA, avec un résultat net de 101,352 milliards FCFA, en hausse de +4,1% par rapport à 2024 (rapport annuel 2024). La banque affiche un ROE exceptionnel de 20,47% et un ROA de 2,69%, démontrant une utilisation très efficace des capitaux propres et des actifs. Le coefficient d'exploitation de 38,75% est excellent, bien en dessous du seuil de 60%, reflétant une maîtrise rigoureuse des coûts. Le coût du risque, avec des provisions de 17,995 milliards FCFA, reste contenu. Le ratio de transformation est sain : les dépôts clients (2 907,675 Mds FCFA) couvrent largement les créances clients (2 546,290 Mds FCFA), avec un ratio prêts/dépôts amélioré à 84,6% au 30 septembre 2025 (rapport T3 2025). Les rapports trimestriels 2025 montrent une dynamique positive : le T1 2025 (PNB +1,3%, résultat net +2,2%) et le S1 2025 (résultat net +10%) confirment une amélioration de la rentabilité. Sur la base des 9 mois 2025 (PNB 201,0 Mds FCFA, résultat net 83,3 Mds FCFA, +11,7%), on estime que l'exercice 2025 devrait dépasser les 100 milliards de résultat net, avec une croissance à deux chiffres. La notation AAA et le ratio de solvabilité de 17,7% (S1 2025) renforcent la solidité financière. Les perspectives restent favorables, portées par la digitalisation et la croissance des dépôts (+13,9% au T3 2025), malgré une vigilance nécessaire sur la hausse des créances en souffrance (NPL à 7,8%).</w:t>
      </w:r>
    </w:p>
    <w:p>
      <w:pPr>
        <w:spacing w:after="120" w:line="276" w:lineRule="auto" w:before="240"/>
      </w:pPr>
      <w:r>
        <w:rPr>
          <w:b/>
          <w:color w:val="003366"/>
          <w:sz w:val="24"/>
        </w:rPr>
        <w:t>**PARTIE 4 : CONCLUSION D'INVESTISSEMENT**</w:t>
      </w:r>
    </w:p>
    <w:p>
      <w:pPr>
        <w:spacing w:after="120" w:line="276" w:lineRule="auto"/>
      </w:pPr>
      <w:r>
        <w:t>La synthèse globale révèle une convergence positive entre les fondamentaux et la valorisation, mais une prudence technique à court terme. La valorisation (PER de 11,8x, P/B de 2,42x) est raisonnable pour un leader bancaire noté AAA, sans surévaluation excessive malgré un EV/EBITDA exigeant. Le comportement du cours (+13,24% sur 100 jours) avec une volatilité modérée (24,1%) et une asymétrie négative suggère une tendance haussière solide, mais potentiellement fragile. Les signaux techniques sont mitigés : les moyennes mobiles sont haussières, mais le MACD vendeur et la neutralité des oscillateurs indiquent une consolidation probable. Les fondamentaux sont excellents : ROE de 20,47%, coefficient d'exploitation de 38,75%, et croissance estimée du résultat net à deux chiffres pour 2025. Les prédictions IA (38 060 à 37 722 FCFA sur J+1 à J+10) confirment cette consolidation à court terme, avec une légère baisse attendue. En conclusion, je recommande un **ACHAT** pour les investisseurs de moyen et long terme, avec un niveau de confiance **Élevé** et un risque global **Faible**, car les fondamentaux solides et la valorisation attractive devraient primer sur la correction technique à court terme. L'horizon d'investissement optimal est de **6 à 12 mois** pour bénéficier de la croissance des bénéfices et des dividendes.</w:t>
      </w:r>
    </w:p>
    <w:p/>
    <w:p/>
    <w:p>
      <w:r>
        <w:t>════════════════════════════════════════════════════════════════════════════════</w:t>
      </w:r>
    </w:p>
    <w:p>
      <w:r>
        <w:br w:type="page"/>
      </w:r>
    </w:p>
    <w:p>
      <w:pPr>
        <w:pStyle w:val="Heading2"/>
        <w:spacing w:before="360"/>
      </w:pPr>
      <w:r>
        <w:rPr>
          <w:color w:val="0066CC"/>
        </w:rPr>
        <w:t>33.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151.20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4,622 titres</w:t>
            </w:r>
          </w:p>
        </w:tc>
        <w:tc>
          <w:tcPr>
            <w:tcW w:type="dxa" w:w="2268"/>
            <w:shd w:fill="FFF2CC" w:val="clear"/>
          </w:tcPr>
          <w:p>
            <w:r>
              <w:rPr>
                <w:b/>
                <w:color w:val="503200"/>
                <w:sz w:val="16"/>
              </w:rPr>
              <w:t xml:space="preserve">Cours actuel : </w:t>
            </w:r>
            <w:r>
              <w:rPr>
                <w:color w:val="000000"/>
                <w:sz w:val="17"/>
              </w:rPr>
              <w:t>2,400 FCFA</w:t>
            </w:r>
          </w:p>
          <w:p>
            <w:r>
              <w:rPr>
                <w:b/>
                <w:color w:val="503200"/>
                <w:sz w:val="16"/>
              </w:rPr>
              <w:t xml:space="preserve">Var. 100 jours : </w:t>
            </w:r>
            <w:r>
              <w:rPr>
                <w:b/>
                <w:color w:val="007800"/>
                <w:sz w:val="17"/>
              </w:rPr>
              <w:t>+9.59%</w:t>
            </w:r>
          </w:p>
          <w:p>
            <w:r>
              <w:rPr>
                <w:b/>
                <w:color w:val="503200"/>
                <w:sz w:val="16"/>
              </w:rPr>
              <w:t xml:space="preserve">Plus haut 100j : </w:t>
            </w:r>
            <w:r>
              <w:rPr>
                <w:color w:val="000000"/>
                <w:sz w:val="17"/>
              </w:rPr>
              <w:t>2,480 FCFA</w:t>
            </w:r>
          </w:p>
          <w:p>
            <w:r>
              <w:rPr>
                <w:b/>
                <w:color w:val="503200"/>
                <w:sz w:val="16"/>
              </w:rPr>
              <w:t xml:space="preserve">Plus bas 100j : </w:t>
            </w:r>
            <w:r>
              <w:rPr>
                <w:color w:val="000000"/>
                <w:sz w:val="17"/>
              </w:rPr>
              <w:t>1,840 FCFA</w:t>
            </w:r>
          </w:p>
          <w:p>
            <w:r>
              <w:rPr>
                <w:b/>
                <w:color w:val="503200"/>
                <w:sz w:val="16"/>
              </w:rPr>
              <w:t xml:space="preserve">Volatilité ann. : </w:t>
            </w:r>
            <w:r>
              <w:rPr>
                <w:color w:val="000000"/>
                <w:sz w:val="17"/>
              </w:rPr>
              <w:t>35.2%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7.75% (Moyenne) — μ=2,136 FCFA, σ=165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β=1.1582 (Neutre (suit le marché)) — Cov=0.000042, Var(idx)=0.000036, ρ=0.310,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4,622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σ_j=2.22%/j (Stable) — Vol. annualisée≈35.2%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2026-09-07</w:t>
            </w:r>
          </w:p>
        </w:tc>
        <w:tc>
          <w:tcPr>
            <w:tcW w:type="dxa" w:w="1440"/>
            <w:shd w:fill="FFDCE0" w:val="clear"/>
          </w:tcPr>
          <w:p>
            <w:r>
              <w:rPr>
                <w:sz w:val="17"/>
              </w:rPr>
              <w:t>2,179</w:t>
            </w:r>
          </w:p>
        </w:tc>
        <w:tc>
          <w:tcPr>
            <w:tcW w:type="dxa" w:w="1440"/>
            <w:shd w:fill="FFDCE0" w:val="clear"/>
          </w:tcPr>
          <w:p>
            <w:r>
              <w:rPr>
                <w:b/>
                <w:sz w:val="17"/>
              </w:rPr>
              <w:t>2,254</w:t>
            </w:r>
          </w:p>
        </w:tc>
        <w:tc>
          <w:tcPr>
            <w:tcW w:type="dxa" w:w="1440"/>
            <w:shd w:fill="FFDCE0" w:val="clear"/>
          </w:tcPr>
          <w:p>
            <w:r>
              <w:rPr>
                <w:sz w:val="17"/>
              </w:rPr>
              <w:t>2,329</w:t>
            </w:r>
          </w:p>
        </w:tc>
        <w:tc>
          <w:tcPr>
            <w:tcW w:type="dxa" w:w="1440"/>
            <w:shd w:fill="FFDCE0" w:val="clear"/>
          </w:tcPr>
          <w:p>
            <w:r>
              <w:rPr>
                <w:b/>
                <w:color w:val="C00000"/>
                <w:sz w:val="17"/>
              </w:rPr>
              <w:t>-6.1%</w:t>
            </w:r>
          </w:p>
        </w:tc>
      </w:tr>
      <w:tr>
        <w:tc>
          <w:tcPr>
            <w:tcW w:type="dxa" w:w="1440"/>
            <w:shd w:fill="FFDCE0" w:val="clear"/>
          </w:tcPr>
          <w:p>
            <w:r>
              <w:rPr>
                <w:sz w:val="17"/>
              </w:rPr>
              <w:t>J+2  Moyenne</w:t>
            </w:r>
          </w:p>
        </w:tc>
        <w:tc>
          <w:tcPr>
            <w:tcW w:type="dxa" w:w="1440"/>
            <w:shd w:fill="FFDCE0" w:val="clear"/>
          </w:tcPr>
          <w:p>
            <w:r>
              <w:rPr>
                <w:sz w:val="17"/>
              </w:rPr>
              <w:t>2026-09-08</w:t>
            </w:r>
          </w:p>
        </w:tc>
        <w:tc>
          <w:tcPr>
            <w:tcW w:type="dxa" w:w="1440"/>
            <w:shd w:fill="FFDCE0" w:val="clear"/>
          </w:tcPr>
          <w:p>
            <w:r>
              <w:rPr>
                <w:sz w:val="17"/>
              </w:rPr>
              <w:t>2,047</w:t>
            </w:r>
          </w:p>
        </w:tc>
        <w:tc>
          <w:tcPr>
            <w:tcW w:type="dxa" w:w="1440"/>
            <w:shd w:fill="FFDCE0" w:val="clear"/>
          </w:tcPr>
          <w:p>
            <w:r>
              <w:rPr>
                <w:b/>
                <w:sz w:val="17"/>
              </w:rPr>
              <w:t>2,148</w:t>
            </w:r>
          </w:p>
        </w:tc>
        <w:tc>
          <w:tcPr>
            <w:tcW w:type="dxa" w:w="1440"/>
            <w:shd w:fill="FFDCE0" w:val="clear"/>
          </w:tcPr>
          <w:p>
            <w:r>
              <w:rPr>
                <w:sz w:val="17"/>
              </w:rPr>
              <w:t>2,249</w:t>
            </w:r>
          </w:p>
        </w:tc>
        <w:tc>
          <w:tcPr>
            <w:tcW w:type="dxa" w:w="1440"/>
            <w:shd w:fill="FFDCE0" w:val="clear"/>
          </w:tcPr>
          <w:p>
            <w:r>
              <w:rPr>
                <w:b/>
                <w:color w:val="C00000"/>
                <w:sz w:val="17"/>
              </w:rPr>
              <w:t>-10.5%</w:t>
            </w:r>
          </w:p>
        </w:tc>
      </w:tr>
      <w:tr>
        <w:tc>
          <w:tcPr>
            <w:tcW w:type="dxa" w:w="1440"/>
            <w:shd w:fill="FFDCE0" w:val="clear"/>
          </w:tcPr>
          <w:p>
            <w:r>
              <w:rPr>
                <w:sz w:val="17"/>
              </w:rPr>
              <w:t>J+3  Moyenne</w:t>
            </w:r>
          </w:p>
        </w:tc>
        <w:tc>
          <w:tcPr>
            <w:tcW w:type="dxa" w:w="1440"/>
            <w:shd w:fill="FFDCE0" w:val="clear"/>
          </w:tcPr>
          <w:p>
            <w:r>
              <w:rPr>
                <w:sz w:val="17"/>
              </w:rPr>
              <w:t>2026-09-09</w:t>
            </w:r>
          </w:p>
        </w:tc>
        <w:tc>
          <w:tcPr>
            <w:tcW w:type="dxa" w:w="1440"/>
            <w:shd w:fill="FFDCE0" w:val="clear"/>
          </w:tcPr>
          <w:p>
            <w:r>
              <w:rPr>
                <w:sz w:val="17"/>
              </w:rPr>
              <w:t>1,935</w:t>
            </w:r>
          </w:p>
        </w:tc>
        <w:tc>
          <w:tcPr>
            <w:tcW w:type="dxa" w:w="1440"/>
            <w:shd w:fill="FFDCE0" w:val="clear"/>
          </w:tcPr>
          <w:p>
            <w:r>
              <w:rPr>
                <w:b/>
                <w:sz w:val="17"/>
              </w:rPr>
              <w:t>2,053</w:t>
            </w:r>
          </w:p>
        </w:tc>
        <w:tc>
          <w:tcPr>
            <w:tcW w:type="dxa" w:w="1440"/>
            <w:shd w:fill="FFDCE0" w:val="clear"/>
          </w:tcPr>
          <w:p>
            <w:r>
              <w:rPr>
                <w:sz w:val="17"/>
              </w:rPr>
              <w:t>2,171</w:t>
            </w:r>
          </w:p>
        </w:tc>
        <w:tc>
          <w:tcPr>
            <w:tcW w:type="dxa" w:w="1440"/>
            <w:shd w:fill="FFDCE0" w:val="clear"/>
          </w:tcPr>
          <w:p>
            <w:r>
              <w:rPr>
                <w:b/>
                <w:color w:val="C00000"/>
                <w:sz w:val="17"/>
              </w:rPr>
              <w:t>-14.5%</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1,843</w:t>
            </w:r>
          </w:p>
        </w:tc>
        <w:tc>
          <w:tcPr>
            <w:tcW w:type="dxa" w:w="1440"/>
            <w:shd w:fill="FFDCE0" w:val="clear"/>
          </w:tcPr>
          <w:p>
            <w:r>
              <w:rPr>
                <w:b/>
                <w:sz w:val="17"/>
              </w:rPr>
              <w:t>1,974</w:t>
            </w:r>
          </w:p>
        </w:tc>
        <w:tc>
          <w:tcPr>
            <w:tcW w:type="dxa" w:w="1440"/>
            <w:shd w:fill="FFDCE0" w:val="clear"/>
          </w:tcPr>
          <w:p>
            <w:r>
              <w:rPr>
                <w:sz w:val="17"/>
              </w:rPr>
              <w:t>2,106</w:t>
            </w:r>
          </w:p>
        </w:tc>
        <w:tc>
          <w:tcPr>
            <w:tcW w:type="dxa" w:w="1440"/>
            <w:shd w:fill="FFDCE0" w:val="clear"/>
          </w:tcPr>
          <w:p>
            <w:r>
              <w:rPr>
                <w:b/>
                <w:color w:val="C00000"/>
                <w:sz w:val="17"/>
              </w:rPr>
              <w:t>-17.7%</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1,767</w:t>
            </w:r>
          </w:p>
        </w:tc>
        <w:tc>
          <w:tcPr>
            <w:tcW w:type="dxa" w:w="1440"/>
            <w:shd w:fill="FFDCE0" w:val="clear"/>
          </w:tcPr>
          <w:p>
            <w:r>
              <w:rPr>
                <w:b/>
                <w:sz w:val="17"/>
              </w:rPr>
              <w:t>1,909</w:t>
            </w:r>
          </w:p>
        </w:tc>
        <w:tc>
          <w:tcPr>
            <w:tcW w:type="dxa" w:w="1440"/>
            <w:shd w:fill="FFDCE0" w:val="clear"/>
          </w:tcPr>
          <w:p>
            <w:r>
              <w:rPr>
                <w:sz w:val="17"/>
              </w:rPr>
              <w:t>2,051</w:t>
            </w:r>
          </w:p>
        </w:tc>
        <w:tc>
          <w:tcPr>
            <w:tcW w:type="dxa" w:w="1440"/>
            <w:shd w:fill="FFDCE0" w:val="clear"/>
          </w:tcPr>
          <w:p>
            <w:r>
              <w:rPr>
                <w:b/>
                <w:color w:val="C00000"/>
                <w:sz w:val="17"/>
              </w:rPr>
              <w:t>-20.4%</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1,704</w:t>
            </w:r>
          </w:p>
        </w:tc>
        <w:tc>
          <w:tcPr>
            <w:tcW w:type="dxa" w:w="1440"/>
            <w:shd w:fill="FFDCE0" w:val="clear"/>
          </w:tcPr>
          <w:p>
            <w:r>
              <w:rPr>
                <w:b/>
                <w:sz w:val="17"/>
              </w:rPr>
              <w:t>1,855</w:t>
            </w:r>
          </w:p>
        </w:tc>
        <w:tc>
          <w:tcPr>
            <w:tcW w:type="dxa" w:w="1440"/>
            <w:shd w:fill="FFDCE0" w:val="clear"/>
          </w:tcPr>
          <w:p>
            <w:r>
              <w:rPr>
                <w:sz w:val="17"/>
              </w:rPr>
              <w:t>2,006</w:t>
            </w:r>
          </w:p>
        </w:tc>
        <w:tc>
          <w:tcPr>
            <w:tcW w:type="dxa" w:w="1440"/>
            <w:shd w:fill="FFDCE0" w:val="clear"/>
          </w:tcPr>
          <w:p>
            <w:r>
              <w:rPr>
                <w:b/>
                <w:color w:val="C00000"/>
                <w:sz w:val="17"/>
              </w:rPr>
              <w:t>-22.7%</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1,648</w:t>
            </w:r>
          </w:p>
        </w:tc>
        <w:tc>
          <w:tcPr>
            <w:tcW w:type="dxa" w:w="1440"/>
            <w:shd w:fill="FFDCE0" w:val="clear"/>
          </w:tcPr>
          <w:p>
            <w:r>
              <w:rPr>
                <w:b/>
                <w:sz w:val="17"/>
              </w:rPr>
              <w:t>1,807</w:t>
            </w:r>
          </w:p>
        </w:tc>
        <w:tc>
          <w:tcPr>
            <w:tcW w:type="dxa" w:w="1440"/>
            <w:shd w:fill="FFDCE0" w:val="clear"/>
          </w:tcPr>
          <w:p>
            <w:r>
              <w:rPr>
                <w:sz w:val="17"/>
              </w:rPr>
              <w:t>1,966</w:t>
            </w:r>
          </w:p>
        </w:tc>
        <w:tc>
          <w:tcPr>
            <w:tcW w:type="dxa" w:w="1440"/>
            <w:shd w:fill="FFDCE0" w:val="clear"/>
          </w:tcPr>
          <w:p>
            <w:r>
              <w:rPr>
                <w:b/>
                <w:color w:val="C00000"/>
                <w:sz w:val="17"/>
              </w:rPr>
              <w:t>-24.7%</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1,599</w:t>
            </w:r>
          </w:p>
        </w:tc>
        <w:tc>
          <w:tcPr>
            <w:tcW w:type="dxa" w:w="1440"/>
            <w:shd w:fill="FFDCE0" w:val="clear"/>
          </w:tcPr>
          <w:p>
            <w:r>
              <w:rPr>
                <w:b/>
                <w:sz w:val="17"/>
              </w:rPr>
              <w:t>1,765</w:t>
            </w:r>
          </w:p>
        </w:tc>
        <w:tc>
          <w:tcPr>
            <w:tcW w:type="dxa" w:w="1440"/>
            <w:shd w:fill="FFDCE0" w:val="clear"/>
          </w:tcPr>
          <w:p>
            <w:r>
              <w:rPr>
                <w:sz w:val="17"/>
              </w:rPr>
              <w:t>1,931</w:t>
            </w:r>
          </w:p>
        </w:tc>
        <w:tc>
          <w:tcPr>
            <w:tcW w:type="dxa" w:w="1440"/>
            <w:shd w:fill="FFDCE0" w:val="clear"/>
          </w:tcPr>
          <w:p>
            <w:r>
              <w:rPr>
                <w:b/>
                <w:color w:val="C00000"/>
                <w:sz w:val="17"/>
              </w:rPr>
              <w:t>-26.4%</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1,555</w:t>
            </w:r>
          </w:p>
        </w:tc>
        <w:tc>
          <w:tcPr>
            <w:tcW w:type="dxa" w:w="1440"/>
            <w:shd w:fill="FFDCE0" w:val="clear"/>
          </w:tcPr>
          <w:p>
            <w:r>
              <w:rPr>
                <w:b/>
                <w:sz w:val="17"/>
              </w:rPr>
              <w:t>1,728</w:t>
            </w:r>
          </w:p>
        </w:tc>
        <w:tc>
          <w:tcPr>
            <w:tcW w:type="dxa" w:w="1440"/>
            <w:shd w:fill="FFDCE0" w:val="clear"/>
          </w:tcPr>
          <w:p>
            <w:r>
              <w:rPr>
                <w:sz w:val="17"/>
              </w:rPr>
              <w:t>1,900</w:t>
            </w:r>
          </w:p>
        </w:tc>
        <w:tc>
          <w:tcPr>
            <w:tcW w:type="dxa" w:w="1440"/>
            <w:shd w:fill="FFDCE0" w:val="clear"/>
          </w:tcPr>
          <w:p>
            <w:r>
              <w:rPr>
                <w:b/>
                <w:color w:val="C00000"/>
                <w:sz w:val="17"/>
              </w:rPr>
              <w:t>-28.0%</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1,515</w:t>
            </w:r>
          </w:p>
        </w:tc>
        <w:tc>
          <w:tcPr>
            <w:tcW w:type="dxa" w:w="1440"/>
            <w:shd w:fill="FFDCE0" w:val="clear"/>
          </w:tcPr>
          <w:p>
            <w:r>
              <w:rPr>
                <w:b/>
                <w:sz w:val="17"/>
              </w:rPr>
              <w:t>1,693</w:t>
            </w:r>
          </w:p>
        </w:tc>
        <w:tc>
          <w:tcPr>
            <w:tcW w:type="dxa" w:w="1440"/>
            <w:shd w:fill="FFDCE0" w:val="clear"/>
          </w:tcPr>
          <w:p>
            <w:r>
              <w:rPr>
                <w:sz w:val="17"/>
              </w:rPr>
              <w:t>1,871</w:t>
            </w:r>
          </w:p>
        </w:tc>
        <w:tc>
          <w:tcPr>
            <w:tcW w:type="dxa" w:w="1440"/>
            <w:shd w:fill="FFDCE0" w:val="clear"/>
          </w:tcPr>
          <w:p>
            <w:r>
              <w:rPr>
                <w:b/>
                <w:color w:val="C00000"/>
                <w:sz w:val="17"/>
              </w:rPr>
              <w:t>-29.5%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pPr>
      <w:r>
        <w:t>**RAPPORT D'ANALYSE FINANCIÈRE — SHEC (VIVO ENERGY CI)**</w:t>
        <w:br/>
        <w:t>**Date de l'analyse : Septembre 2026**</w:t>
        <w:br/>
        <w:t>**Cours de référence : 2,400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SHEC s'établit à 151.20 milliards FCFA, ce qui en fait une valeur de taille moyenne sur la BRVM. Avec un BPA de 96 FCFA, le titre se paie un PER de 25.1x, un niveau très supérieur à la moyenne historique de la place (~8-12x), indiquant que le marché intègre des attentes de croissance élevées ou une prime de rareté. Le P/B de 5.57x confirme cette valorisation exigeante, le marché valorisant plus de 5 fois les capitaux propres comptables. Enfin, un EV/EBITDA de 13.3x, bien que dans la fourchette haute (10-15x), suggère que la valeur totale de l'entreprise (capitalisation + dette nette) reste élevée par rapport à sa capacité opérationnelle. Ces ratios traduisent une décote de sécurité quasi inexistante pour l'investisseur.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SHEC affiche une progression solide de +9.59%, avec un cours stable sur la dernière séance (+0.00%). Le titre a évolué dans un range de 640 FCFA, entre un plus bas de 1,840 FCFA et un plus haut de 2,480 FCFA, démontrant une dynamique haussière soutenue. La moyenne (2,136 FCFA) est légèrement inférieure à la médiane (2,160 FCFA), indiquant une distribution quasi symétrique des cours, ce que confirme le skewness de 0.287. L'écart-type de 166 FCFA (CV=7.8%) montre une dispersion modérée autour de la moyenne, et le kurtosis de -0.767 (mésokurtique) suggère l'absence de mouvements extrêmes ou de "pics" de volatilité. La volatilité annualisée de 35.2% classe le titre comme très volatil (&gt;30%), un élément de risque important à considérer, malgré une tendance de fond positive.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(2,400 FCFA) se positionne nettement au-dessus de la MM20 (2,373 FCFA) et de la MM50 (2,268 FCFA). Cette configuration haussière, où les moyennes sont orientées à la hausse, confirme la tendance positive de fond et justifie le signal d'**Achat**.</w:t>
      </w:r>
    </w:p>
    <w:p>
      <w:pPr>
        <w:spacing w:after="120" w:line="276" w:lineRule="auto"/>
      </w:pPr>
      <w:r>
        <w:t>**Bandes de Bollinger** : Le prix se situe à l'intérieur des bandes, plus près de la borne supérieure (2,550 FCFA) que de la borne inférieure (2,196 FCFA). La largeur des bandes indique une volatilité modérée. Le signal est **Neutre**, le cours n'étant pas en situation de surachat extrême, mais la proximité de la borne haute suggère une pression acheteuse persistante.</w:t>
      </w:r>
    </w:p>
    <w:p>
      <w:pPr>
        <w:spacing w:after="120" w:line="276" w:lineRule="auto"/>
      </w:pPr>
      <w:r>
        <w:t>**MACD** : La valeur du MACD (50.198) est inférieure à son signal (57.835), indiquant un momentum haussier qui s'essouffle à court terme. Cette divergence négative, bien que les deux lignes restent au-dessus de zéro, génère un signal de **Vente** précoce, suggérant une possible consolidation ou correction technique après la récente hausse.</w:t>
      </w:r>
    </w:p>
    <w:p>
      <w:pPr>
        <w:spacing w:after="120" w:line="276" w:lineRule="auto"/>
      </w:pPr>
      <w:r>
        <w:t>**RSI** : À 76.316, le RSI est en zone de surachat (&gt;70). Cela signifie que le titre a fortement monté et que le potentiel de hausse à court terme est techniquement limité. Le signal est **Vente**, car un repli technique est statistiquement probable pour "respirer".</w:t>
      </w:r>
    </w:p>
    <w:p>
      <w:pPr>
        <w:spacing w:after="120" w:line="276" w:lineRule="auto"/>
      </w:pPr>
      <w:r>
        <w:t>**Stochastique** : Le %K (38.462) est passé sous le %D (60.44), formant un croisement baissier en zone neutre. Cela indique un affaiblissement de la dynamique haussière à très court terme. La décision est **Neutre**, mais la configuration actuelle est un signal de prudence.</w:t>
      </w:r>
    </w:p>
    <w:p>
      <w:pPr>
        <w:spacing w:after="120" w:line="276" w:lineRule="auto"/>
      </w:pPr>
      <w:r>
        <w:t>**Conclusion technique** : Les indicateurs de tendance (MM) restent positifs, mais les oscillateurs de momentum (RSI, MACD, Stochastique) envoient des signaux de prudence ou de vente à court terme. Le titre est suracheté et montre des signes d'essoufflement. La tendance de fond est haussière, mais une phase de consolidation ou de correction technique est probable avant la prochaine jambe haussière.</w:t>
      </w:r>
    </w:p>
    <w:p>
      <w:pPr>
        <w:spacing w:after="120" w:line="276" w:lineRule="auto"/>
      </w:pPr>
      <w:r>
        <w:t>---</w:t>
      </w:r>
    </w:p>
    <w:p>
      <w:pPr>
        <w:spacing w:after="120" w:line="276" w:lineRule="auto"/>
      </w:pPr>
      <w:r>
        <w:t>### PARTIE 3 : ANALYSE FONDAMENTALE (SECTION CRITIQUE)</w:t>
      </w:r>
    </w:p>
    <w:p>
      <w:pPr>
        <w:spacing w:after="120" w:line="276" w:lineRule="auto"/>
      </w:pPr>
      <w:r>
        <w:t>En 2025, SHEC a réalisé un chiffre d'affaires de 604.978 milliards FCFA, en légère hausse de +0.71% par rapport à 2024 (600.708 Mds). Le résultat net, lui, progresse de +12.6% pour atteindre 6.028 milliards FCFA, porté par une amélioration de la valeur ajoutée (+15%) et une baisse des charges financières (-17.7%). La marge nette reste très faible à 1.0%, typique du secteur de distribution pétrolière. Le ROE est excellent à 22.2%, mais le ROA n'est que de 3.1%. La structure financière est le point noir : la trésorerie nette est fortement négative (-65.26 Mds FCFA) et le ratio d'autonomie financière est faible (14%), indiquant une forte dépendance aux dettes fournisseurs (53.4 Mds) et aux concours bancaires. Les délais clients (23 jours) et fournisseurs (35 jours) sont bien gérés. Les rapports du S1 2026 (publié en juillet 2026) montrent un CA en baisse de -1% à 305 Mds, mais un résultat d'exploitation en hausse de +17%, grâce au secteur butane. Le dividende proposé pour 2025 est de 6.09 Mds FCFA, soit un taux de distribution de 101%, ce qui fragilise encore la structure financière. La recommandation fondamentale est de **CONSERVER**, la société étant bénéficiaire et rentable, mais avec une situation de trésorerie préoccupante et une croissance atone.</w:t>
      </w:r>
    </w:p>
    <w:p>
      <w:pPr>
        <w:spacing w:after="120" w:line="276" w:lineRule="auto"/>
      </w:pPr>
      <w:r>
        <w:t>---</w:t>
      </w:r>
    </w:p>
    <w:p>
      <w:pPr>
        <w:spacing w:after="120" w:line="276" w:lineRule="auto"/>
      </w:pPr>
      <w:r>
        <w:t>### PARTIE 4 : CONCLUSION D'INVESTISSEMENT</w:t>
      </w:r>
    </w:p>
    <w:p>
      <w:pPr>
        <w:spacing w:after="120" w:line="276" w:lineRule="auto"/>
      </w:pPr>
      <w:r>
        <w:t>La valorisation de SHEC est exigeante (PER 25.1x, P/B 5.57x), ne laissant que peu de marge de sécurité pour l'investisseur. Le comportement du cours est haussier sur 100 jours (+9.59%) mais avec une volatilité très élevée (35.2%). Les signaux techniques sont mitigés : la tendance de fond (MM) est positive, mais les indicateurs de momentum (RSI, MACD) signalent un surachat et un possible repli à court terme. Les fondamentaux montrent une rentabilité nette faible (1%) mais un ROE élevé (22.2%), avec une amélioration du résultat net en 2025, contrastant avec une structure financière fragile (trésorerie négative de -65 Mds). Les prédictions IA pour les 10 prochains jours (chute de 2,254 à 1,909 FCFA) confirment les signaux techniques de correction, suggérant une baisse de plus de 20% par rapport au cours actuel. En synthèse, la convergence des signaux techniques et des prédictions IA vers une baisse à court terme, couplée à une valorisation élevée et des fondamentaux fragiles, conduit à une recommandation de **VENTE** pour un horizon de court terme. Le niveau de confiance est **Moyen** et le risque global est **Élevé**. Pour un investisseur de long terme, il serait prudent d'attendre une correction du cours vers la zone des 2,000 FCFA pour renforcer une position, compte tenu du ROE élevé et de la politique de dividende attractive.</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34.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920.00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10,003 titres</w:t>
            </w:r>
          </w:p>
        </w:tc>
        <w:tc>
          <w:tcPr>
            <w:tcW w:type="dxa" w:w="2268"/>
            <w:shd w:fill="FFF2CC" w:val="clear"/>
          </w:tcPr>
          <w:p>
            <w:r>
              <w:rPr>
                <w:b/>
                <w:color w:val="503200"/>
                <w:sz w:val="16"/>
              </w:rPr>
              <w:t xml:space="preserve">Cours actuel : </w:t>
            </w:r>
            <w:r>
              <w:rPr>
                <w:color w:val="000000"/>
                <w:sz w:val="17"/>
              </w:rPr>
              <w:t>9,200 FCFA</w:t>
            </w:r>
          </w:p>
          <w:p>
            <w:r>
              <w:rPr>
                <w:b/>
                <w:color w:val="503200"/>
                <w:sz w:val="16"/>
              </w:rPr>
              <w:t xml:space="preserve">Var. 100 jours : </w:t>
            </w:r>
            <w:r>
              <w:rPr>
                <w:b/>
                <w:color w:val="007800"/>
                <w:sz w:val="17"/>
              </w:rPr>
              <w:t>+29.67%</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6,805 FCFA</w:t>
            </w:r>
          </w:p>
          <w:p>
            <w:r>
              <w:rPr>
                <w:b/>
                <w:color w:val="503200"/>
                <w:sz w:val="16"/>
              </w:rPr>
              <w:t xml:space="preserve">Volatilité ann. : </w:t>
            </w:r>
            <w:r>
              <w:rPr>
                <w:color w:val="000000"/>
                <w:sz w:val="17"/>
              </w:rPr>
              <w:t>28.8%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9.97% (Moyenne) — μ=8,418 FCFA, σ=839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β=0.4102 (Défensif) — Cov=0.000015, Var(idx)=0.000036, ρ=0.135,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10,003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σ_j=1.81%/j (Stable) — Vol. annualisée≈28.8%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2026-09-07</w:t>
            </w:r>
          </w:p>
        </w:tc>
        <w:tc>
          <w:tcPr>
            <w:tcW w:type="dxa" w:w="1440"/>
            <w:shd w:fill="FFDCE0" w:val="clear"/>
          </w:tcPr>
          <w:p>
            <w:r>
              <w:rPr>
                <w:sz w:val="17"/>
              </w:rPr>
              <w:t>8,577</w:t>
            </w:r>
          </w:p>
        </w:tc>
        <w:tc>
          <w:tcPr>
            <w:tcW w:type="dxa" w:w="1440"/>
            <w:shd w:fill="FFDCE0" w:val="clear"/>
          </w:tcPr>
          <w:p>
            <w:r>
              <w:rPr>
                <w:b/>
                <w:sz w:val="17"/>
              </w:rPr>
              <w:t>8,863</w:t>
            </w:r>
          </w:p>
        </w:tc>
        <w:tc>
          <w:tcPr>
            <w:tcW w:type="dxa" w:w="1440"/>
            <w:shd w:fill="FFDCE0" w:val="clear"/>
          </w:tcPr>
          <w:p>
            <w:r>
              <w:rPr>
                <w:sz w:val="17"/>
              </w:rPr>
              <w:t>9,148</w:t>
            </w:r>
          </w:p>
        </w:tc>
        <w:tc>
          <w:tcPr>
            <w:tcW w:type="dxa" w:w="1440"/>
            <w:shd w:fill="FFDCE0" w:val="clear"/>
          </w:tcPr>
          <w:p>
            <w:r>
              <w:rPr>
                <w:b/>
                <w:color w:val="C00000"/>
                <w:sz w:val="17"/>
              </w:rPr>
              <w:t>-3.7%</w:t>
            </w:r>
          </w:p>
        </w:tc>
      </w:tr>
      <w:tr>
        <w:tc>
          <w:tcPr>
            <w:tcW w:type="dxa" w:w="1440"/>
            <w:shd w:fill="FFDCE0" w:val="clear"/>
          </w:tcPr>
          <w:p>
            <w:r>
              <w:rPr>
                <w:sz w:val="17"/>
              </w:rPr>
              <w:t>J+2  ⭐⭐⭐</w:t>
            </w:r>
          </w:p>
        </w:tc>
        <w:tc>
          <w:tcPr>
            <w:tcW w:type="dxa" w:w="1440"/>
            <w:shd w:fill="FFDCE0" w:val="clear"/>
          </w:tcPr>
          <w:p>
            <w:r>
              <w:rPr>
                <w:sz w:val="17"/>
              </w:rPr>
              <w:t>2026-09-08</w:t>
            </w:r>
          </w:p>
        </w:tc>
        <w:tc>
          <w:tcPr>
            <w:tcW w:type="dxa" w:w="1440"/>
            <w:shd w:fill="FFDCE0" w:val="clear"/>
          </w:tcPr>
          <w:p>
            <w:r>
              <w:rPr>
                <w:sz w:val="17"/>
              </w:rPr>
              <w:t>8,164</w:t>
            </w:r>
          </w:p>
        </w:tc>
        <w:tc>
          <w:tcPr>
            <w:tcW w:type="dxa" w:w="1440"/>
            <w:shd w:fill="FFDCE0" w:val="clear"/>
          </w:tcPr>
          <w:p>
            <w:r>
              <w:rPr>
                <w:b/>
                <w:sz w:val="17"/>
              </w:rPr>
              <w:t>8,554</w:t>
            </w:r>
          </w:p>
        </w:tc>
        <w:tc>
          <w:tcPr>
            <w:tcW w:type="dxa" w:w="1440"/>
            <w:shd w:fill="FFDCE0" w:val="clear"/>
          </w:tcPr>
          <w:p>
            <w:r>
              <w:rPr>
                <w:sz w:val="17"/>
              </w:rPr>
              <w:t>8,944</w:t>
            </w:r>
          </w:p>
        </w:tc>
        <w:tc>
          <w:tcPr>
            <w:tcW w:type="dxa" w:w="1440"/>
            <w:shd w:fill="FFDCE0" w:val="clear"/>
          </w:tcPr>
          <w:p>
            <w:r>
              <w:rPr>
                <w:b/>
                <w:color w:val="C00000"/>
                <w:sz w:val="17"/>
              </w:rPr>
              <w:t>-7.0%</w:t>
            </w:r>
          </w:p>
        </w:tc>
      </w:tr>
      <w:tr>
        <w:tc>
          <w:tcPr>
            <w:tcW w:type="dxa" w:w="1440"/>
            <w:shd w:fill="FFDCE0" w:val="clear"/>
          </w:tcPr>
          <w:p>
            <w:r>
              <w:rPr>
                <w:sz w:val="17"/>
              </w:rPr>
              <w:t>J+3  ⭐⭐⭐</w:t>
            </w:r>
          </w:p>
        </w:tc>
        <w:tc>
          <w:tcPr>
            <w:tcW w:type="dxa" w:w="1440"/>
            <w:shd w:fill="FFDCE0" w:val="clear"/>
          </w:tcPr>
          <w:p>
            <w:r>
              <w:rPr>
                <w:sz w:val="17"/>
              </w:rPr>
              <w:t>2026-09-09</w:t>
            </w:r>
          </w:p>
        </w:tc>
        <w:tc>
          <w:tcPr>
            <w:tcW w:type="dxa" w:w="1440"/>
            <w:shd w:fill="FFDCE0" w:val="clear"/>
          </w:tcPr>
          <w:p>
            <w:r>
              <w:rPr>
                <w:sz w:val="17"/>
              </w:rPr>
              <w:t>7,822</w:t>
            </w:r>
          </w:p>
        </w:tc>
        <w:tc>
          <w:tcPr>
            <w:tcW w:type="dxa" w:w="1440"/>
            <w:shd w:fill="FFDCE0" w:val="clear"/>
          </w:tcPr>
          <w:p>
            <w:r>
              <w:rPr>
                <w:b/>
                <w:sz w:val="17"/>
              </w:rPr>
              <w:t>8,285</w:t>
            </w:r>
          </w:p>
        </w:tc>
        <w:tc>
          <w:tcPr>
            <w:tcW w:type="dxa" w:w="1440"/>
            <w:shd w:fill="FFDCE0" w:val="clear"/>
          </w:tcPr>
          <w:p>
            <w:r>
              <w:rPr>
                <w:sz w:val="17"/>
              </w:rPr>
              <w:t>8,747</w:t>
            </w:r>
          </w:p>
        </w:tc>
        <w:tc>
          <w:tcPr>
            <w:tcW w:type="dxa" w:w="1440"/>
            <w:shd w:fill="FFDCE0" w:val="clear"/>
          </w:tcPr>
          <w:p>
            <w:r>
              <w:rPr>
                <w:b/>
                <w:color w:val="C00000"/>
                <w:sz w:val="17"/>
              </w:rPr>
              <w:t>-10.0%</w:t>
            </w:r>
          </w:p>
        </w:tc>
      </w:tr>
      <w:tr>
        <w:tc>
          <w:tcPr>
            <w:tcW w:type="dxa" w:w="1440"/>
            <w:shd w:fill="FFDCE0" w:val="clear"/>
          </w:tcPr>
          <w:p>
            <w:r>
              <w:rPr>
                <w:sz w:val="17"/>
              </w:rPr>
              <w:t>J+4  Moyenne</w:t>
            </w:r>
          </w:p>
        </w:tc>
        <w:tc>
          <w:tcPr>
            <w:tcW w:type="dxa" w:w="1440"/>
            <w:shd w:fill="FFDCE0" w:val="clear"/>
          </w:tcPr>
          <w:p>
            <w:r>
              <w:rPr>
                <w:sz w:val="17"/>
              </w:rPr>
              <w:t>2026-09-10</w:t>
            </w:r>
          </w:p>
        </w:tc>
        <w:tc>
          <w:tcPr>
            <w:tcW w:type="dxa" w:w="1440"/>
            <w:shd w:fill="FFDCE0" w:val="clear"/>
          </w:tcPr>
          <w:p>
            <w:r>
              <w:rPr>
                <w:sz w:val="17"/>
              </w:rPr>
              <w:t>7,538</w:t>
            </w:r>
          </w:p>
        </w:tc>
        <w:tc>
          <w:tcPr>
            <w:tcW w:type="dxa" w:w="1440"/>
            <w:shd w:fill="FFDCE0" w:val="clear"/>
          </w:tcPr>
          <w:p>
            <w:r>
              <w:rPr>
                <w:b/>
                <w:sz w:val="17"/>
              </w:rPr>
              <w:t>8,058</w:t>
            </w:r>
          </w:p>
        </w:tc>
        <w:tc>
          <w:tcPr>
            <w:tcW w:type="dxa" w:w="1440"/>
            <w:shd w:fill="FFDCE0" w:val="clear"/>
          </w:tcPr>
          <w:p>
            <w:r>
              <w:rPr>
                <w:sz w:val="17"/>
              </w:rPr>
              <w:t>8,577</w:t>
            </w:r>
          </w:p>
        </w:tc>
        <w:tc>
          <w:tcPr>
            <w:tcW w:type="dxa" w:w="1440"/>
            <w:shd w:fill="FFDCE0" w:val="clear"/>
          </w:tcPr>
          <w:p>
            <w:r>
              <w:rPr>
                <w:b/>
                <w:color w:val="C00000"/>
                <w:sz w:val="17"/>
              </w:rPr>
              <w:t>-12.4%</w:t>
            </w:r>
          </w:p>
        </w:tc>
      </w:tr>
      <w:tr>
        <w:tc>
          <w:tcPr>
            <w:tcW w:type="dxa" w:w="1440"/>
            <w:shd w:fill="FFDCE0" w:val="clear"/>
          </w:tcPr>
          <w:p>
            <w:r>
              <w:rPr>
                <w:sz w:val="17"/>
              </w:rPr>
              <w:t>J+5  Moyenne</w:t>
            </w:r>
          </w:p>
        </w:tc>
        <w:tc>
          <w:tcPr>
            <w:tcW w:type="dxa" w:w="1440"/>
            <w:shd w:fill="FFDCE0" w:val="clear"/>
          </w:tcPr>
          <w:p>
            <w:r>
              <w:rPr>
                <w:sz w:val="17"/>
              </w:rPr>
              <w:t>2026-09-11</w:t>
            </w:r>
          </w:p>
        </w:tc>
        <w:tc>
          <w:tcPr>
            <w:tcW w:type="dxa" w:w="1440"/>
            <w:shd w:fill="FFDCE0" w:val="clear"/>
          </w:tcPr>
          <w:p>
            <w:r>
              <w:rPr>
                <w:sz w:val="17"/>
              </w:rPr>
              <w:t>7,299</w:t>
            </w:r>
          </w:p>
        </w:tc>
        <w:tc>
          <w:tcPr>
            <w:tcW w:type="dxa" w:w="1440"/>
            <w:shd w:fill="FFDCE0" w:val="clear"/>
          </w:tcPr>
          <w:p>
            <w:r>
              <w:rPr>
                <w:b/>
                <w:sz w:val="17"/>
              </w:rPr>
              <w:t>7,867</w:t>
            </w:r>
          </w:p>
        </w:tc>
        <w:tc>
          <w:tcPr>
            <w:tcW w:type="dxa" w:w="1440"/>
            <w:shd w:fill="FFDCE0" w:val="clear"/>
          </w:tcPr>
          <w:p>
            <w:r>
              <w:rPr>
                <w:sz w:val="17"/>
              </w:rPr>
              <w:t>8,434</w:t>
            </w:r>
          </w:p>
        </w:tc>
        <w:tc>
          <w:tcPr>
            <w:tcW w:type="dxa" w:w="1440"/>
            <w:shd w:fill="FFDCE0" w:val="clear"/>
          </w:tcPr>
          <w:p>
            <w:r>
              <w:rPr>
                <w:b/>
                <w:color w:val="C00000"/>
                <w:sz w:val="17"/>
              </w:rPr>
              <w:t>-14.5%</w:t>
            </w:r>
          </w:p>
        </w:tc>
      </w:tr>
      <w:tr>
        <w:tc>
          <w:tcPr>
            <w:tcW w:type="dxa" w:w="1440"/>
            <w:shd w:fill="FFDCE0" w:val="clear"/>
          </w:tcPr>
          <w:p>
            <w:r>
              <w:rPr>
                <w:sz w:val="17"/>
              </w:rPr>
              <w:t>J+6  Moyenne</w:t>
            </w:r>
          </w:p>
        </w:tc>
        <w:tc>
          <w:tcPr>
            <w:tcW w:type="dxa" w:w="1440"/>
            <w:shd w:fill="FFDCE0" w:val="clear"/>
          </w:tcPr>
          <w:p>
            <w:r>
              <w:rPr>
                <w:sz w:val="17"/>
              </w:rPr>
              <w:t>2026-09-14</w:t>
            </w:r>
          </w:p>
        </w:tc>
        <w:tc>
          <w:tcPr>
            <w:tcW w:type="dxa" w:w="1440"/>
            <w:shd w:fill="FFDCE0" w:val="clear"/>
          </w:tcPr>
          <w:p>
            <w:r>
              <w:rPr>
                <w:sz w:val="17"/>
              </w:rPr>
              <w:t>7,094</w:t>
            </w:r>
          </w:p>
        </w:tc>
        <w:tc>
          <w:tcPr>
            <w:tcW w:type="dxa" w:w="1440"/>
            <w:shd w:fill="FFDCE0" w:val="clear"/>
          </w:tcPr>
          <w:p>
            <w:r>
              <w:rPr>
                <w:b/>
                <w:sz w:val="17"/>
              </w:rPr>
              <w:t>7,702</w:t>
            </w:r>
          </w:p>
        </w:tc>
        <w:tc>
          <w:tcPr>
            <w:tcW w:type="dxa" w:w="1440"/>
            <w:shd w:fill="FFDCE0" w:val="clear"/>
          </w:tcPr>
          <w:p>
            <w:r>
              <w:rPr>
                <w:sz w:val="17"/>
              </w:rPr>
              <w:t>8,311</w:t>
            </w:r>
          </w:p>
        </w:tc>
        <w:tc>
          <w:tcPr>
            <w:tcW w:type="dxa" w:w="1440"/>
            <w:shd w:fill="FFDCE0" w:val="clear"/>
          </w:tcPr>
          <w:p>
            <w:r>
              <w:rPr>
                <w:b/>
                <w:color w:val="C00000"/>
                <w:sz w:val="17"/>
              </w:rPr>
              <w:t>-16.3%</w:t>
            </w:r>
          </w:p>
        </w:tc>
      </w:tr>
      <w:tr>
        <w:tc>
          <w:tcPr>
            <w:tcW w:type="dxa" w:w="1440"/>
            <w:shd w:fill="FFDCE0" w:val="clear"/>
          </w:tcPr>
          <w:p>
            <w:r>
              <w:rPr>
                <w:sz w:val="17"/>
              </w:rPr>
              <w:t>J+7  Moyenne</w:t>
            </w:r>
          </w:p>
        </w:tc>
        <w:tc>
          <w:tcPr>
            <w:tcW w:type="dxa" w:w="1440"/>
            <w:shd w:fill="FFDCE0" w:val="clear"/>
          </w:tcPr>
          <w:p>
            <w:r>
              <w:rPr>
                <w:sz w:val="17"/>
              </w:rPr>
              <w:t>2026-09-15</w:t>
            </w:r>
          </w:p>
        </w:tc>
        <w:tc>
          <w:tcPr>
            <w:tcW w:type="dxa" w:w="1440"/>
            <w:shd w:fill="FFDCE0" w:val="clear"/>
          </w:tcPr>
          <w:p>
            <w:r>
              <w:rPr>
                <w:sz w:val="17"/>
              </w:rPr>
              <w:t>6,914</w:t>
            </w:r>
          </w:p>
        </w:tc>
        <w:tc>
          <w:tcPr>
            <w:tcW w:type="dxa" w:w="1440"/>
            <w:shd w:fill="FFDCE0" w:val="clear"/>
          </w:tcPr>
          <w:p>
            <w:r>
              <w:rPr>
                <w:b/>
                <w:sz w:val="17"/>
              </w:rPr>
              <w:t>7,558</w:t>
            </w:r>
          </w:p>
        </w:tc>
        <w:tc>
          <w:tcPr>
            <w:tcW w:type="dxa" w:w="1440"/>
            <w:shd w:fill="FFDCE0" w:val="clear"/>
          </w:tcPr>
          <w:p>
            <w:r>
              <w:rPr>
                <w:sz w:val="17"/>
              </w:rPr>
              <w:t>8,203</w:t>
            </w:r>
          </w:p>
        </w:tc>
        <w:tc>
          <w:tcPr>
            <w:tcW w:type="dxa" w:w="1440"/>
            <w:shd w:fill="FFDCE0" w:val="clear"/>
          </w:tcPr>
          <w:p>
            <w:r>
              <w:rPr>
                <w:b/>
                <w:color w:val="C00000"/>
                <w:sz w:val="17"/>
              </w:rPr>
              <w:t>-17.8%</w:t>
            </w:r>
          </w:p>
        </w:tc>
      </w:tr>
      <w:tr>
        <w:tc>
          <w:tcPr>
            <w:tcW w:type="dxa" w:w="1440"/>
            <w:shd w:fill="FFDCE0" w:val="clear"/>
          </w:tcPr>
          <w:p>
            <w:r>
              <w:rPr>
                <w:sz w:val="17"/>
              </w:rPr>
              <w:t>J+8  Moyenne</w:t>
            </w:r>
          </w:p>
        </w:tc>
        <w:tc>
          <w:tcPr>
            <w:tcW w:type="dxa" w:w="1440"/>
            <w:shd w:fill="FFDCE0" w:val="clear"/>
          </w:tcPr>
          <w:p>
            <w:r>
              <w:rPr>
                <w:sz w:val="17"/>
              </w:rPr>
              <w:t>2026-09-16</w:t>
            </w:r>
          </w:p>
        </w:tc>
        <w:tc>
          <w:tcPr>
            <w:tcW w:type="dxa" w:w="1440"/>
            <w:shd w:fill="FFDCE0" w:val="clear"/>
          </w:tcPr>
          <w:p>
            <w:r>
              <w:rPr>
                <w:sz w:val="17"/>
              </w:rPr>
              <w:t>6,752</w:t>
            </w:r>
          </w:p>
        </w:tc>
        <w:tc>
          <w:tcPr>
            <w:tcW w:type="dxa" w:w="1440"/>
            <w:shd w:fill="FFDCE0" w:val="clear"/>
          </w:tcPr>
          <w:p>
            <w:r>
              <w:rPr>
                <w:b/>
                <w:sz w:val="17"/>
              </w:rPr>
              <w:t>7,430</w:t>
            </w:r>
          </w:p>
        </w:tc>
        <w:tc>
          <w:tcPr>
            <w:tcW w:type="dxa" w:w="1440"/>
            <w:shd w:fill="FFDCE0" w:val="clear"/>
          </w:tcPr>
          <w:p>
            <w:r>
              <w:rPr>
                <w:sz w:val="17"/>
              </w:rPr>
              <w:t>8,107</w:t>
            </w:r>
          </w:p>
        </w:tc>
        <w:tc>
          <w:tcPr>
            <w:tcW w:type="dxa" w:w="1440"/>
            <w:shd w:fill="FFDCE0" w:val="clear"/>
          </w:tcPr>
          <w:p>
            <w:r>
              <w:rPr>
                <w:b/>
                <w:color w:val="C00000"/>
                <w:sz w:val="17"/>
              </w:rPr>
              <w:t>-19.2%</w:t>
            </w:r>
          </w:p>
        </w:tc>
      </w:tr>
      <w:tr>
        <w:tc>
          <w:tcPr>
            <w:tcW w:type="dxa" w:w="1440"/>
            <w:shd w:fill="FFDCE0" w:val="clear"/>
          </w:tcPr>
          <w:p>
            <w:r>
              <w:rPr>
                <w:sz w:val="17"/>
              </w:rPr>
              <w:t>J+9  Moyenne</w:t>
            </w:r>
          </w:p>
        </w:tc>
        <w:tc>
          <w:tcPr>
            <w:tcW w:type="dxa" w:w="1440"/>
            <w:shd w:fill="FFDCE0" w:val="clear"/>
          </w:tcPr>
          <w:p>
            <w:r>
              <w:rPr>
                <w:sz w:val="17"/>
              </w:rPr>
              <w:t>2026-09-17</w:t>
            </w:r>
          </w:p>
        </w:tc>
        <w:tc>
          <w:tcPr>
            <w:tcW w:type="dxa" w:w="1440"/>
            <w:shd w:fill="FFDCE0" w:val="clear"/>
          </w:tcPr>
          <w:p>
            <w:r>
              <w:rPr>
                <w:sz w:val="17"/>
              </w:rPr>
              <w:t>6,606</w:t>
            </w:r>
          </w:p>
        </w:tc>
        <w:tc>
          <w:tcPr>
            <w:tcW w:type="dxa" w:w="1440"/>
            <w:shd w:fill="FFDCE0" w:val="clear"/>
          </w:tcPr>
          <w:p>
            <w:r>
              <w:rPr>
                <w:b/>
                <w:sz w:val="17"/>
              </w:rPr>
              <w:t>7,314</w:t>
            </w:r>
          </w:p>
        </w:tc>
        <w:tc>
          <w:tcPr>
            <w:tcW w:type="dxa" w:w="1440"/>
            <w:shd w:fill="FFDCE0" w:val="clear"/>
          </w:tcPr>
          <w:p>
            <w:r>
              <w:rPr>
                <w:sz w:val="17"/>
              </w:rPr>
              <w:t>8,021</w:t>
            </w:r>
          </w:p>
        </w:tc>
        <w:tc>
          <w:tcPr>
            <w:tcW w:type="dxa" w:w="1440"/>
            <w:shd w:fill="FFDCE0" w:val="clear"/>
          </w:tcPr>
          <w:p>
            <w:r>
              <w:rPr>
                <w:b/>
                <w:color w:val="C00000"/>
                <w:sz w:val="17"/>
              </w:rPr>
              <w:t>-20.5%</w:t>
            </w:r>
          </w:p>
        </w:tc>
      </w:tr>
      <w:tr>
        <w:tc>
          <w:tcPr>
            <w:tcW w:type="dxa" w:w="1440"/>
            <w:shd w:fill="FFDCE0" w:val="clear"/>
          </w:tcPr>
          <w:p>
            <w:r>
              <w:rPr>
                <w:sz w:val="17"/>
              </w:rPr>
              <w:t>J+10  Moyenne</w:t>
            </w:r>
          </w:p>
        </w:tc>
        <w:tc>
          <w:tcPr>
            <w:tcW w:type="dxa" w:w="1440"/>
            <w:shd w:fill="FFDCE0" w:val="clear"/>
          </w:tcPr>
          <w:p>
            <w:r>
              <w:rPr>
                <w:sz w:val="17"/>
              </w:rPr>
              <w:t>2026-09-18</w:t>
            </w:r>
          </w:p>
        </w:tc>
        <w:tc>
          <w:tcPr>
            <w:tcW w:type="dxa" w:w="1440"/>
            <w:shd w:fill="FFDCE0" w:val="clear"/>
          </w:tcPr>
          <w:p>
            <w:r>
              <w:rPr>
                <w:sz w:val="17"/>
              </w:rPr>
              <w:t>6,472</w:t>
            </w:r>
          </w:p>
        </w:tc>
        <w:tc>
          <w:tcPr>
            <w:tcW w:type="dxa" w:w="1440"/>
            <w:shd w:fill="FFDCE0" w:val="clear"/>
          </w:tcPr>
          <w:p>
            <w:r>
              <w:rPr>
                <w:b/>
                <w:sz w:val="17"/>
              </w:rPr>
              <w:t>7,207</w:t>
            </w:r>
          </w:p>
        </w:tc>
        <w:tc>
          <w:tcPr>
            <w:tcW w:type="dxa" w:w="1440"/>
            <w:shd w:fill="FFDCE0" w:val="clear"/>
          </w:tcPr>
          <w:p>
            <w:r>
              <w:rPr>
                <w:sz w:val="17"/>
              </w:rPr>
              <w:t>7,942</w:t>
            </w:r>
          </w:p>
        </w:tc>
        <w:tc>
          <w:tcPr>
            <w:tcW w:type="dxa" w:w="1440"/>
            <w:shd w:fill="FFDCE0" w:val="clear"/>
          </w:tcPr>
          <w:p>
            <w:r>
              <w:rPr>
                <w:b/>
                <w:color w:val="C00000"/>
                <w:sz w:val="17"/>
              </w:rPr>
              <w:t>-21.7%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Société Ivoirienne de Banque (SIBC) affiche une capitalisation boursière de 920 milliards FCFA, ce qui en fait l'une des valeurs les plus significatives de la BRVM. Avec un BPA de 556 FCFA, le titre se négocie à un PER de 16,5x, nettement supérieur à la moyenne historique de la place (~8-12x), indiquant que le marché intègre déjà une prime de croissance et de qualité. Le P/B de 4,49x confirme cette valorisation exigeante, le cours se payant plus de quatre fois la valeur comptable des actifs. Enfin, un EV/EBITDA de 15,3x souligne que la valeur totale de l'entreprise reste élevée par rapport à sa capacité opérationnelle, ce qui laisse peu de marge d'erreur en cas de déception sur les résultats futurs.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dernières séances, le titre SIBC a enregistré une progression remarquable de +29,67%, bien que la dernière séance ait clôturé en léger repli de -1,08% à 9 200 FCFA. Le cours a évolué dans une fourchette large de 6 805 à 9 500 FCFA, démontrant une dynamique haussière soutenue. La moyenne (8 418 FCFA) étant inférieure à la médiane (8 825 FCFA) et au mode (9 000 FCFA), la distribution est asymétrique, avec une concentration des séances récentes à des niveaux élevés. L'écart-type de 843 FCFA (CV=10%) révèle une dispersion modérée, tandis que le kurtosis négatif (-1.04) suggère une distribution aplatie sans pics extrêmes. Le skewness de -0.784 indique que le titre a passé plus de temps au-dessus de sa moyenne, signe de soutien acheteur. Avec une volatilité annualisée de 28,8%, le titre présente un profil de risque modéré à élevé, typique des valeurs bancaires en phase d'appréciation rapide.</w:t>
      </w:r>
    </w:p>
    <w:p>
      <w:pPr>
        <w:spacing w:after="120" w:line="276" w:lineRule="auto" w:before="240"/>
      </w:pPr>
      <w:r>
        <w:rPr>
          <w:b/>
          <w:color w:val="003366"/>
          <w:sz w:val="24"/>
        </w:rPr>
        <w:t>**PARTIE 2 : ANALYSE TECHNIQUE DÉTAILLÉE**</w:t>
      </w:r>
    </w:p>
    <w:p>
      <w:pPr>
        <w:spacing w:after="120" w:line="276" w:lineRule="auto"/>
      </w:pPr>
      <w:r>
        <w:t>**Moyennes Mobiles** : Le cours actuel (9 200 FCFA) se positionne au-dessus de la MM20 (9 202,5 FCFA) et nettement au-dessus de la MM50 (9 032,1 FCFA), confirmant une tendance haussière de moyen terme. La proximité du prix avec la MM20 suggère un léger essoufflement à court terme, mais la configuration globale reste positive, justifiant la décision d'achat.</w:t>
      </w:r>
    </w:p>
    <w:p>
      <w:pPr>
        <w:spacing w:after="120" w:line="276" w:lineRule="auto"/>
      </w:pPr>
      <w:r>
        <w:t>**Bandes de Bollinger** : Le prix se situe entre la borne supérieure (9 441 FCFA) et la borne inférieure (8 964 FCFA), proche de la moyenne mobile centrale. Cette position neutre indique une volatilité modérée sans excès, le cours n'étant ni suracheté ni survendu. La décision neutre reflète une phase de consolidation après la forte hausse récente.</w:t>
      </w:r>
    </w:p>
    <w:p>
      <w:pPr>
        <w:spacing w:after="120" w:line="276" w:lineRule="auto"/>
      </w:pPr>
      <w:r>
        <w:t>**MACD** : La valeur du MACD (57,87) est inférieure à son signal (62,17), générant une décision de vente. Cette divergence baissière suggère un ralentissement du momentum haussier, les acheteurs perdant progressivement de la vigueur. Ce signal doit être surveillé car il précède souvent des corrections à court terme.</w:t>
      </w:r>
    </w:p>
    <w:p>
      <w:pPr>
        <w:spacing w:after="120" w:line="276" w:lineRule="auto"/>
      </w:pPr>
      <w:r>
        <w:t>**RSI** : À 51,02, le RSI se situe exactement dans la zone neutre, indiquant un équilibre entre pressions acheteuses et vendeuses. Cette valeur reflète une absence de surachat ou de survente, laissant place à une évolution directionnelle sans contrainte technique majeure.</w:t>
      </w:r>
    </w:p>
    <w:p>
      <w:pPr>
        <w:spacing w:after="120" w:line="276" w:lineRule="auto"/>
      </w:pPr>
      <w:r>
        <w:t>**Stochastique** : Le %K (66,67) est inférieur au %D (88,89), montrant un croisement baissier en zone élevée. Bien que la décision soit neutre, cette configuration suggère un essoufflement potentiel de la dynamique haussière à très court terme, appelant à la prudence.</w:t>
      </w:r>
    </w:p>
    <w:p>
      <w:pPr>
        <w:spacing w:after="120" w:line="276" w:lineRule="auto"/>
      </w:pPr>
      <w:r>
        <w:t>**Conclusion technique** : La convergence des indicateurs est mitigée. Si les moyennes mobiles restent haussières, le MACD et le Stochastique signalent un affaiblissement du momentum. Le RSI neutre et les bandes de Bollinger sans tension particulière indiquent une phase de consolidation. Globalement, la tendance de fond demeure positive mais un repli technique à court terme est probable.</w:t>
      </w:r>
    </w:p>
    <w:p>
      <w:pPr>
        <w:spacing w:after="120" w:line="276" w:lineRule="auto" w:before="240"/>
      </w:pPr>
      <w:r>
        <w:rPr>
          <w:b/>
          <w:color w:val="003366"/>
          <w:sz w:val="24"/>
        </w:rPr>
        <w:t>**PARTIE 3 : ANALYSE FONDAMENTALE (SECTION CRITIQUE)**</w:t>
      </w:r>
    </w:p>
    <w:p>
      <w:pPr>
        <w:spacing w:after="120" w:line="276" w:lineRule="auto"/>
      </w:pPr>
      <w:r>
        <w:t>En 2025, la SIBC affiche des fondamentaux solides avec un Produit Net Bancaire de 108,66 milliards FCFA et un résultat net de 55,62 milliards FCFA, générant une marge nette exceptionnelle de 51,19%. Le ROE de 27,16% et le ROA de 2,96% témoignent d'une rentabilité remarquable, parmi les meilleures du secteur bancaire ouest-africain. Le coefficient d'exploitation de 38,59% démontre une efficacité opérationnelle exemplaire, largement sous la barre des 60%. La collecte de dépôts (1 503 milliards FCFA) excède largement les crédits distribués (1 227 milliards FCFA), assurant une transformation saine avec un ratio dépôts/crédits de 122%. Le coût du risque reste élevé, mais les rapports trimestriels montrent une tendance à la baisse. Les données du T1 2026 (rapport DeepSeek du 07/05/2026) confirment cette dynamique avec un PNB de 27,7 milliards (+4%) et un résultat net de 15,2 milliards (+11%). Le rapport annuel 2024 (analysé le 15/03/2026) indiquait déjà un ROE de 30,56% et un dividende proposé de 375 FCFA par action. Le rapport S1 2025 montrait un résultat net de 29,4 milliards (+15%), et le T3 2025 cumulé atteignait 43 milliards (+11%). Sur la base de ces tendances, on estime que l'exercice 2026 devrait dépasser les 60 milliards de résultat net, confirmant la solidité du modèle économique de la banque.</w:t>
      </w:r>
    </w:p>
    <w:p>
      <w:pPr>
        <w:spacing w:after="120" w:line="276" w:lineRule="auto" w:before="240"/>
      </w:pPr>
      <w:r>
        <w:rPr>
          <w:b/>
          <w:color w:val="003366"/>
          <w:sz w:val="24"/>
        </w:rPr>
        <w:t>**PARTIE 4 : CONCLUSION D'INVESTISSEMENT**</w:t>
      </w:r>
    </w:p>
    <w:p>
      <w:pPr>
        <w:spacing w:after="120" w:line="276" w:lineRule="auto"/>
      </w:pPr>
      <w:r>
        <w:t>La valorisation actuelle de la SIBC (PER 16,5x, P/B 4,49x, EV/EBITDA 15,3x) apparaît exigeante, intégrant une prime substantielle pour la qualité des fondamentaux. Le comportement du cours sur 100 jours (+29,67%) avec une volatilité de 28,8% et une asymétrie négative suggère une progression soutenue mais potentiellement fragile. Les signaux techniques sont partagés : les moyennes mobiles restent haussières mais le MACD et le Stochastique indiquent un essoufflement à court terme. Les fondamentaux, eux, demeurent excellents avec un ROE supérieur à 27%, une croissance soutenue du résultat net et une gestion rigoureuse des coûts. Les prédictions IA prévoient une correction significative vers 7 867 FCFA à J+10, contredisant la tendance haussière récente et suggérant un retour à des niveaux plus proches de la moyenne historique. Cette divergence entre la solidité fondamentale et les signaux techniques baissiers conduit à recommander une stratégie de **CONSERVER** pour les investisseurs déjà positionnés, avec un niveau de confiance **Moyen** et un risque global **Élevé** à court terme. L'horizon d'investissement optimal serait le **moyen terme (3-12 mois)**, permettant d'absorber une éventuelle correction technique avant de bénéficier de la poursuite de la croissance des résultats.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r\u00e9sultat net de 20% et une am\u00e9lioration continue de l'efficacit\u00e9 op\u00e9rationnelle. La banque affiche des ratios de rentabilit\u00e9 parmi les meilleurs du secteur bancaire ivoirien."}</w:t>
      </w:r>
    </w:p>
    <w:p>
      <w:pPr>
        <w:spacing w:before="40"/>
        <w:ind w:left="400"/>
      </w:pPr>
      <w:r>
        <w:rPr>
          <w:sz w:val="18"/>
        </w:rPr>
        <w:t>La Société Ivoirienne de Banque (SIB) affiche une excellente performance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excellente maîtrise des coûts avec un coefficient d'exploitation amélioré à 41,1% contre 44,3% en 2021. Les dépôts clientèle augmentent de +12% et les crédits de +15%, témoignant d'un dynamisme commercial soutenu. La SIB respecte tous les ratios réglementaires avec des niveaux confortables et célèbre ses 60 ans d'accompagnement de l'économ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{'RBE': '25,6 milliards XOF', 'ROE':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+20% à 22,8 milliards XOF au S1 2022</w:t>
      </w:r>
    </w:p>
    <w:p>
      <w:pPr>
        <w:pStyle w:val="ListBullet"/>
        <w:spacing w:before="20" w:after="20"/>
        <w:ind w:left="700"/>
      </w:pPr>
      <w:r>
        <w:rPr>
          <w:sz w:val="18"/>
        </w:rPr>
        <w:t>Progression du PNB de +11% à 43,5 milliards XOF portée par l'activité d'intermédiation</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soutenue des dépôts (+12%) et des crédits (+15%) clientèle</w:t>
      </w:r>
    </w:p>
    <w:p>
      <w:pPr>
        <w:pStyle w:val="ListBullet"/>
        <w:spacing w:before="20" w:after="20"/>
        <w:ind w:left="700"/>
      </w:pPr>
      <w:r>
        <w:rPr>
          <w:sz w:val="18"/>
        </w:rPr>
        <w:t>Maîtrise des frais généraux avec une progression limitée à +3%</w:t>
      </w:r>
    </w:p>
    <w:p>
      <w:pPr>
        <w:pStyle w:val="ListBullet"/>
        <w:spacing w:before="20" w:after="20"/>
        <w:ind w:left="700"/>
      </w:pPr>
      <w:r>
        <w:rPr>
          <w:sz w:val="18"/>
        </w:rPr>
        <w:t>1ère banque Spécialiste en Valeurs du Trésor pour la 5ème année consécutive</w:t>
      </w:r>
    </w:p>
    <w:p>
      <w:pPr>
        <w:spacing w:before="40"/>
        <w:ind w:left="400"/>
      </w:pPr>
      <w:r>
        <w:rPr>
          <w:b/>
          <w:color w:val="C05000"/>
          <w:sz w:val="18"/>
        </w:rPr>
        <w:t xml:space="preserve">⚠️ Risques : </w:t>
      </w:r>
      <w:r>
        <w:rPr>
          <w:sz w:val="18"/>
        </w:rPr>
        <w:t>["Conjoncture \u00e9conomique difficile avec inflation atteignant 5,5% et r\u00e9vision \u00e0 la baisse de la croissance \u00e9conomique", "Ralentissement observ\u00e9 dans la distribution des cr\u00e9dits \u00e0 l'\u00e9conomie au niveau du secteur bancaire", "Impact des tensions g\u00e9opolitique</w:t>
      </w:r>
    </w:p>
    <w:p>
      <w:pPr>
        <w:spacing w:before="40"/>
        <w:ind w:left="400"/>
      </w:pPr>
      <w:r>
        <w:rPr>
          <w:b/>
          <w:color w:val="0064A0"/>
          <w:sz w:val="18"/>
        </w:rPr>
        <w:t xml:space="preserve">🔮 Perspectives : </w:t>
      </w:r>
      <w:r>
        <w:rPr>
          <w:sz w:val="18"/>
        </w:rPr>
        <w:t>La SIB prévoit de poursuivre ses efforts commerciaux dans la dynamique d'accompagnement de la clientèle pour le second semestre 2022. La banque continuera son implication sur le marché des obligations d'État, notamment les titres émis par la Côte d'Ivoire, forte de son statut de 1ère banque SVT. Les</w:t>
      </w:r>
    </w:p>
    <w:p/>
    <w:p>
      <w:r>
        <w:t>════════════════════════════════════════════════════════════════════════════════</w:t>
      </w:r>
    </w:p>
    <w:p>
      <w:r>
        <w:br w:type="page"/>
      </w:r>
    </w:p>
    <w:p>
      <w:pPr>
        <w:pStyle w:val="Heading2"/>
        <w:spacing w:before="360"/>
      </w:pPr>
      <w:r>
        <w:rPr>
          <w:color w:val="0066CC"/>
        </w:rPr>
        <w:t>35.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5.03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127 titres</w:t>
            </w:r>
          </w:p>
        </w:tc>
        <w:tc>
          <w:tcPr>
            <w:tcW w:type="dxa" w:w="2268"/>
            <w:shd w:fill="FFF2CC" w:val="clear"/>
          </w:tcPr>
          <w:p>
            <w:r>
              <w:rPr>
                <w:b/>
                <w:color w:val="503200"/>
                <w:sz w:val="16"/>
              </w:rPr>
              <w:t xml:space="preserve">Cours actuel : </w:t>
            </w:r>
            <w:r>
              <w:rPr>
                <w:color w:val="000000"/>
                <w:sz w:val="17"/>
              </w:rPr>
              <w:t>8,385 FCFA</w:t>
            </w:r>
          </w:p>
          <w:p>
            <w:r>
              <w:rPr>
                <w:b/>
                <w:color w:val="503200"/>
                <w:sz w:val="16"/>
              </w:rPr>
              <w:t xml:space="preserve">Var. 100 jours : </w:t>
            </w:r>
            <w:r>
              <w:rPr>
                <w:b/>
                <w:color w:val="007800"/>
                <w:sz w:val="17"/>
              </w:rPr>
              <w:t>+109.89%</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3,930 FCFA</w:t>
            </w:r>
          </w:p>
          <w:p>
            <w:r>
              <w:rPr>
                <w:b/>
                <w:color w:val="503200"/>
                <w:sz w:val="16"/>
              </w:rPr>
              <w:t xml:space="preserve">Volatilité ann. : </w:t>
            </w:r>
            <w:r>
              <w:rPr>
                <w:color w:val="000000"/>
                <w:sz w:val="17"/>
              </w:rPr>
              <w:t>60.7%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30.73% (Élevée) — μ=5,513 FCFA, σ=1,694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β=-0.7309 (Contre-cyclique) — Cov=-0.000026, Var(idx)=0.000036, ρ=-0.116,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127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σ_j=3.82%/j (Modérée) — Vol. annualisée≈60.7%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16976"/>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2026-09-07</w:t>
            </w:r>
          </w:p>
        </w:tc>
        <w:tc>
          <w:tcPr>
            <w:tcW w:type="dxa" w:w="1440"/>
            <w:shd w:fill="FFDCE0" w:val="clear"/>
          </w:tcPr>
          <w:p>
            <w:r>
              <w:rPr>
                <w:sz w:val="17"/>
              </w:rPr>
              <w:t>7,387</w:t>
            </w:r>
          </w:p>
        </w:tc>
        <w:tc>
          <w:tcPr>
            <w:tcW w:type="dxa" w:w="1440"/>
            <w:shd w:fill="FFDCE0" w:val="clear"/>
          </w:tcPr>
          <w:p>
            <w:r>
              <w:rPr>
                <w:b/>
                <w:sz w:val="17"/>
              </w:rPr>
              <w:t>7,985</w:t>
            </w:r>
          </w:p>
        </w:tc>
        <w:tc>
          <w:tcPr>
            <w:tcW w:type="dxa" w:w="1440"/>
            <w:shd w:fill="FFDCE0" w:val="clear"/>
          </w:tcPr>
          <w:p>
            <w:r>
              <w:rPr>
                <w:sz w:val="17"/>
              </w:rPr>
              <w:t>8,584</w:t>
            </w:r>
          </w:p>
        </w:tc>
        <w:tc>
          <w:tcPr>
            <w:tcW w:type="dxa" w:w="1440"/>
            <w:shd w:fill="FFDCE0" w:val="clear"/>
          </w:tcPr>
          <w:p>
            <w:r>
              <w:rPr>
                <w:b/>
                <w:color w:val="C00000"/>
                <w:sz w:val="17"/>
              </w:rPr>
              <w:t>-4.8%</w:t>
            </w:r>
          </w:p>
        </w:tc>
      </w:tr>
      <w:tr>
        <w:tc>
          <w:tcPr>
            <w:tcW w:type="dxa" w:w="1440"/>
            <w:shd w:fill="FFDCE0" w:val="clear"/>
          </w:tcPr>
          <w:p>
            <w:r>
              <w:rPr>
                <w:sz w:val="17"/>
              </w:rPr>
              <w:t>J+2  ⭐</w:t>
            </w:r>
          </w:p>
        </w:tc>
        <w:tc>
          <w:tcPr>
            <w:tcW w:type="dxa" w:w="1440"/>
            <w:shd w:fill="FFDCE0" w:val="clear"/>
          </w:tcPr>
          <w:p>
            <w:r>
              <w:rPr>
                <w:sz w:val="17"/>
              </w:rPr>
              <w:t>2026-09-08</w:t>
            </w:r>
          </w:p>
        </w:tc>
        <w:tc>
          <w:tcPr>
            <w:tcW w:type="dxa" w:w="1440"/>
            <w:shd w:fill="FFDCE0" w:val="clear"/>
          </w:tcPr>
          <w:p>
            <w:r>
              <w:rPr>
                <w:sz w:val="17"/>
              </w:rPr>
              <w:t>7,003</w:t>
            </w:r>
          </w:p>
        </w:tc>
        <w:tc>
          <w:tcPr>
            <w:tcW w:type="dxa" w:w="1440"/>
            <w:shd w:fill="FFDCE0" w:val="clear"/>
          </w:tcPr>
          <w:p>
            <w:r>
              <w:rPr>
                <w:b/>
                <w:sz w:val="17"/>
              </w:rPr>
              <w:t>7,933</w:t>
            </w:r>
          </w:p>
        </w:tc>
        <w:tc>
          <w:tcPr>
            <w:tcW w:type="dxa" w:w="1440"/>
            <w:shd w:fill="FFDCE0" w:val="clear"/>
          </w:tcPr>
          <w:p>
            <w:r>
              <w:rPr>
                <w:sz w:val="17"/>
              </w:rPr>
              <w:t>8,864</w:t>
            </w:r>
          </w:p>
        </w:tc>
        <w:tc>
          <w:tcPr>
            <w:tcW w:type="dxa" w:w="1440"/>
            <w:shd w:fill="FFDCE0" w:val="clear"/>
          </w:tcPr>
          <w:p>
            <w:r>
              <w:rPr>
                <w:b/>
                <w:color w:val="C00000"/>
                <w:sz w:val="17"/>
              </w:rPr>
              <w:t>-5.4%</w:t>
            </w:r>
          </w:p>
        </w:tc>
      </w:tr>
      <w:tr>
        <w:tc>
          <w:tcPr>
            <w:tcW w:type="dxa" w:w="1440"/>
            <w:shd w:fill="FFDCE0" w:val="clear"/>
          </w:tcPr>
          <w:p>
            <w:r>
              <w:rPr>
                <w:sz w:val="17"/>
              </w:rPr>
              <w:t>J+3  ⭐</w:t>
            </w:r>
          </w:p>
        </w:tc>
        <w:tc>
          <w:tcPr>
            <w:tcW w:type="dxa" w:w="1440"/>
            <w:shd w:fill="FFDCE0" w:val="clear"/>
          </w:tcPr>
          <w:p>
            <w:r>
              <w:rPr>
                <w:sz w:val="17"/>
              </w:rPr>
              <w:t>2026-09-09</w:t>
            </w:r>
          </w:p>
        </w:tc>
        <w:tc>
          <w:tcPr>
            <w:tcW w:type="dxa" w:w="1440"/>
            <w:shd w:fill="FFDCE0" w:val="clear"/>
          </w:tcPr>
          <w:p>
            <w:r>
              <w:rPr>
                <w:sz w:val="17"/>
              </w:rPr>
              <w:t>6,680</w:t>
            </w:r>
          </w:p>
        </w:tc>
        <w:tc>
          <w:tcPr>
            <w:tcW w:type="dxa" w:w="1440"/>
            <w:shd w:fill="FFDCE0" w:val="clear"/>
          </w:tcPr>
          <w:p>
            <w:r>
              <w:rPr>
                <w:b/>
                <w:sz w:val="17"/>
              </w:rPr>
              <w:t>7,800</w:t>
            </w:r>
          </w:p>
        </w:tc>
        <w:tc>
          <w:tcPr>
            <w:tcW w:type="dxa" w:w="1440"/>
            <w:shd w:fill="FFDCE0" w:val="clear"/>
          </w:tcPr>
          <w:p>
            <w:r>
              <w:rPr>
                <w:sz w:val="17"/>
              </w:rPr>
              <w:t>8,920</w:t>
            </w:r>
          </w:p>
        </w:tc>
        <w:tc>
          <w:tcPr>
            <w:tcW w:type="dxa" w:w="1440"/>
            <w:shd w:fill="FFDCE0" w:val="clear"/>
          </w:tcPr>
          <w:p>
            <w:r>
              <w:rPr>
                <w:b/>
                <w:color w:val="C00000"/>
                <w:sz w:val="17"/>
              </w:rPr>
              <w:t>-7.0%</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6,384</w:t>
            </w:r>
          </w:p>
        </w:tc>
        <w:tc>
          <w:tcPr>
            <w:tcW w:type="dxa" w:w="1440"/>
            <w:shd w:fill="FFDCE0" w:val="clear"/>
          </w:tcPr>
          <w:p>
            <w:r>
              <w:rPr>
                <w:b/>
                <w:sz w:val="17"/>
              </w:rPr>
              <w:t>7,652</w:t>
            </w:r>
          </w:p>
        </w:tc>
        <w:tc>
          <w:tcPr>
            <w:tcW w:type="dxa" w:w="1440"/>
            <w:shd w:fill="FFDCE0" w:val="clear"/>
          </w:tcPr>
          <w:p>
            <w:r>
              <w:rPr>
                <w:sz w:val="17"/>
              </w:rPr>
              <w:t>8,921</w:t>
            </w:r>
          </w:p>
        </w:tc>
        <w:tc>
          <w:tcPr>
            <w:tcW w:type="dxa" w:w="1440"/>
            <w:shd w:fill="FFDCE0" w:val="clear"/>
          </w:tcPr>
          <w:p>
            <w:r>
              <w:rPr>
                <w:b/>
                <w:color w:val="C00000"/>
                <w:sz w:val="17"/>
              </w:rPr>
              <w:t>-8.7%</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6,111</w:t>
            </w:r>
          </w:p>
        </w:tc>
        <w:tc>
          <w:tcPr>
            <w:tcW w:type="dxa" w:w="1440"/>
            <w:shd w:fill="FFDCE0" w:val="clear"/>
          </w:tcPr>
          <w:p>
            <w:r>
              <w:rPr>
                <w:b/>
                <w:sz w:val="17"/>
              </w:rPr>
              <w:t>7,502</w:t>
            </w:r>
          </w:p>
        </w:tc>
        <w:tc>
          <w:tcPr>
            <w:tcW w:type="dxa" w:w="1440"/>
            <w:shd w:fill="FFDCE0" w:val="clear"/>
          </w:tcPr>
          <w:p>
            <w:r>
              <w:rPr>
                <w:sz w:val="17"/>
              </w:rPr>
              <w:t>8,893</w:t>
            </w:r>
          </w:p>
        </w:tc>
        <w:tc>
          <w:tcPr>
            <w:tcW w:type="dxa" w:w="1440"/>
            <w:shd w:fill="FFDCE0" w:val="clear"/>
          </w:tcPr>
          <w:p>
            <w:r>
              <w:rPr>
                <w:b/>
                <w:color w:val="C00000"/>
                <w:sz w:val="17"/>
              </w:rPr>
              <w:t>-10.5%</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5,860</w:t>
            </w:r>
          </w:p>
        </w:tc>
        <w:tc>
          <w:tcPr>
            <w:tcW w:type="dxa" w:w="1440"/>
            <w:shd w:fill="FFDCE0" w:val="clear"/>
          </w:tcPr>
          <w:p>
            <w:r>
              <w:rPr>
                <w:b/>
                <w:sz w:val="17"/>
              </w:rPr>
              <w:t>7,353</w:t>
            </w:r>
          </w:p>
        </w:tc>
        <w:tc>
          <w:tcPr>
            <w:tcW w:type="dxa" w:w="1440"/>
            <w:shd w:fill="FFDCE0" w:val="clear"/>
          </w:tcPr>
          <w:p>
            <w:r>
              <w:rPr>
                <w:sz w:val="17"/>
              </w:rPr>
              <w:t>8,846</w:t>
            </w:r>
          </w:p>
        </w:tc>
        <w:tc>
          <w:tcPr>
            <w:tcW w:type="dxa" w:w="1440"/>
            <w:shd w:fill="FFDCE0" w:val="clear"/>
          </w:tcPr>
          <w:p>
            <w:r>
              <w:rPr>
                <w:b/>
                <w:color w:val="C00000"/>
                <w:sz w:val="17"/>
              </w:rPr>
              <w:t>-12.3%</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5,626</w:t>
            </w:r>
          </w:p>
        </w:tc>
        <w:tc>
          <w:tcPr>
            <w:tcW w:type="dxa" w:w="1440"/>
            <w:shd w:fill="FFDCE0" w:val="clear"/>
          </w:tcPr>
          <w:p>
            <w:r>
              <w:rPr>
                <w:b/>
                <w:sz w:val="17"/>
              </w:rPr>
              <w:t>7,207</w:t>
            </w:r>
          </w:p>
        </w:tc>
        <w:tc>
          <w:tcPr>
            <w:tcW w:type="dxa" w:w="1440"/>
            <w:shd w:fill="FFDCE0" w:val="clear"/>
          </w:tcPr>
          <w:p>
            <w:r>
              <w:rPr>
                <w:sz w:val="17"/>
              </w:rPr>
              <w:t>8,787</w:t>
            </w:r>
          </w:p>
        </w:tc>
        <w:tc>
          <w:tcPr>
            <w:tcW w:type="dxa" w:w="1440"/>
            <w:shd w:fill="FFDCE0" w:val="clear"/>
          </w:tcPr>
          <w:p>
            <w:r>
              <w:rPr>
                <w:b/>
                <w:color w:val="C00000"/>
                <w:sz w:val="17"/>
              </w:rPr>
              <w:t>-14.1%</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5,409</w:t>
            </w:r>
          </w:p>
        </w:tc>
        <w:tc>
          <w:tcPr>
            <w:tcW w:type="dxa" w:w="1440"/>
            <w:shd w:fill="FFDCE0" w:val="clear"/>
          </w:tcPr>
          <w:p>
            <w:r>
              <w:rPr>
                <w:b/>
                <w:sz w:val="17"/>
              </w:rPr>
              <w:t>7,065</w:t>
            </w:r>
          </w:p>
        </w:tc>
        <w:tc>
          <w:tcPr>
            <w:tcW w:type="dxa" w:w="1440"/>
            <w:shd w:fill="FFDCE0" w:val="clear"/>
          </w:tcPr>
          <w:p>
            <w:r>
              <w:rPr>
                <w:sz w:val="17"/>
              </w:rPr>
              <w:t>8,722</w:t>
            </w:r>
          </w:p>
        </w:tc>
        <w:tc>
          <w:tcPr>
            <w:tcW w:type="dxa" w:w="1440"/>
            <w:shd w:fill="FFDCE0" w:val="clear"/>
          </w:tcPr>
          <w:p>
            <w:r>
              <w:rPr>
                <w:b/>
                <w:color w:val="C00000"/>
                <w:sz w:val="17"/>
              </w:rPr>
              <w:t>-15.7%</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5,206</w:t>
            </w:r>
          </w:p>
        </w:tc>
        <w:tc>
          <w:tcPr>
            <w:tcW w:type="dxa" w:w="1440"/>
            <w:shd w:fill="FFDCE0" w:val="clear"/>
          </w:tcPr>
          <w:p>
            <w:r>
              <w:rPr>
                <w:b/>
                <w:sz w:val="17"/>
              </w:rPr>
              <w:t>6,929</w:t>
            </w:r>
          </w:p>
        </w:tc>
        <w:tc>
          <w:tcPr>
            <w:tcW w:type="dxa" w:w="1440"/>
            <w:shd w:fill="FFDCE0" w:val="clear"/>
          </w:tcPr>
          <w:p>
            <w:r>
              <w:rPr>
                <w:sz w:val="17"/>
              </w:rPr>
              <w:t>8,652</w:t>
            </w:r>
          </w:p>
        </w:tc>
        <w:tc>
          <w:tcPr>
            <w:tcW w:type="dxa" w:w="1440"/>
            <w:shd w:fill="FFDCE0" w:val="clear"/>
          </w:tcPr>
          <w:p>
            <w:r>
              <w:rPr>
                <w:b/>
                <w:color w:val="C00000"/>
                <w:sz w:val="17"/>
              </w:rPr>
              <w:t>-17.4%</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5,016</w:t>
            </w:r>
          </w:p>
        </w:tc>
        <w:tc>
          <w:tcPr>
            <w:tcW w:type="dxa" w:w="1440"/>
            <w:shd w:fill="FFDCE0" w:val="clear"/>
          </w:tcPr>
          <w:p>
            <w:r>
              <w:rPr>
                <w:b/>
                <w:sz w:val="17"/>
              </w:rPr>
              <w:t>6,798</w:t>
            </w:r>
          </w:p>
        </w:tc>
        <w:tc>
          <w:tcPr>
            <w:tcW w:type="dxa" w:w="1440"/>
            <w:shd w:fill="FFDCE0" w:val="clear"/>
          </w:tcPr>
          <w:p>
            <w:r>
              <w:rPr>
                <w:sz w:val="17"/>
              </w:rPr>
              <w:t>8,580</w:t>
            </w:r>
          </w:p>
        </w:tc>
        <w:tc>
          <w:tcPr>
            <w:tcW w:type="dxa" w:w="1440"/>
            <w:shd w:fill="FFDCE0" w:val="clear"/>
          </w:tcPr>
          <w:p>
            <w:r>
              <w:rPr>
                <w:b/>
                <w:color w:val="C00000"/>
                <w:sz w:val="17"/>
              </w:rPr>
              <w:t>-18.9%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SICOR CI (BRVM)**</w:t>
      </w:r>
    </w:p>
    <w:p>
      <w:pPr>
        <w:spacing w:after="120" w:line="276" w:lineRule="auto" w:before="240"/>
      </w:pPr>
      <w:r>
        <w:rPr>
          <w:b/>
          <w:color w:val="003366"/>
          <w:sz w:val="24"/>
        </w:rPr>
        <w:t>**PARTIE 0 : INDICATEURS DE VALORISATION BOURSIÈRE**</w:t>
      </w:r>
    </w:p>
    <w:p>
      <w:pPr>
        <w:spacing w:after="120" w:line="276" w:lineRule="auto"/>
      </w:pPr>
      <w:r>
        <w:t>La capitalisation boursière de SICOR s'établit à 5,03 milliards FCFA, un niveau modeste qui la positionne parmi les petites capitalisations de la BRVM, offrant un profil de liquidité restreint mais un potentiel de revalorisation significatif. Les ratios de valorisation (BPA, PER, P/B, EV/EBITDA) ne sont pas calculables en raison de l'absence de données financières structurées récentes dans la base, ce qui constitue une limite importante pour l'évaluation relative du titre. Toutefois, sur la base des derniers bénéfices connus (19,25 millions FCFA en 2023), le PER implicite serait extrêmement élevé, suggérant que le marché anticipe une forte amélioration des résultats futurs. Cette situation reflète une valorisation basée sur des perspectives de redressement plutôt que sur les performances actuelles, un scénario typique des valeurs de retournement. L'absence de comparables solides dans le secteur agro-industriel de la BRVM renforce la difficulté d'une évaluation absolue fiable.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SICOR a enregistré une progression spectaculaire de +109,89%, avec une dernière séance en hausse de +7,50%, portant le cours à 8 385 FCFA. Le titre a évolué dans une fourchette extrêmement large, entre un plus bas de 3 930 FCFA et un plus haut de 10 200 FCFA, illustrant une volatilité et un intérêt spéculatif intenses. La moyenne du cours sur la période (5 513 FCFA) est nettement supérieure à la médiane (4 605 FCFA), confirmant une distribution asymétrique positive (skewness de 1,309) où les fortes hausses récentes tirent la moyenne vers le haut, tandis que la majorité des séances se situaient sous ce niveau. L'écart-type de 1 703 FCFA (CV de 30,9%) témoigne d'une dispersion élevée, et le kurtosis de 0,440 indique une distribution proche de la normale, sans risque excessif de valeurs extrêmes. La volatilité annualisée de 60,7% classe le titre comme extrêmement risqué, bien au-delà du seuil de 30% considéré comme élevé, signalant des fluctuations de prix potentiellement brutales.</w:t>
      </w:r>
    </w:p>
    <w:p>
      <w:pPr>
        <w:spacing w:after="120" w:line="276" w:lineRule="auto" w:before="240"/>
      </w:pPr>
      <w:r>
        <w:rPr>
          <w:b/>
          <w:color w:val="003366"/>
          <w:sz w:val="24"/>
        </w:rPr>
        <w:t>**PARTIE 2 : ANALYSE TECHNIQUE DÉTAILLÉE**</w:t>
      </w:r>
    </w:p>
    <w:p>
      <w:pPr>
        <w:spacing w:after="120" w:line="276" w:lineRule="auto"/>
      </w:pPr>
      <w:r>
        <w:t>Les **Moyennes Mobiles** (MM20 à 8 573,5 FCFA et MM50 à 6 677,4 FCFA) indiquent une configuration haussière de moyen terme, mais le cours actuel (8 385 FCFA) est passé sous sa MM20, signe d'un essoufflement de la dynamique à court terme. La décision d'achat est maintenue par la tendance de fond, mais une consolidation est probable avant une reprise.</w:t>
      </w:r>
    </w:p>
    <w:p>
      <w:pPr>
        <w:spacing w:after="120" w:line="276" w:lineRule="auto"/>
      </w:pPr>
      <w:r>
        <w:t>Les **Bandes de Bollinger** (borne supérieure à 10 347,5 FCFA, borne inférieure à 6 799,5 FCFA) montrent un prix évoluant dans la partie médiane du canal, suggérant une volatilité en contraction après une phase de forte expansion. La décision neutre reflète l'absence de signal directionnel clair, le marché digérant les gains récents.</w:t>
      </w:r>
    </w:p>
    <w:p>
      <w:pPr>
        <w:spacing w:after="120" w:line="276" w:lineRule="auto"/>
      </w:pPr>
      <w:r>
        <w:t>Le **MACD** (valeur 375,4, signal 581,9) affiche une divergence négative, avec la ligne MACD passant sous sa ligne de signal, indiquant un affaiblissement du momentum haussier. La décision de vente signale une possible correction à court terme, les acheteurs perdant progressivement le contrôle.</w:t>
      </w:r>
    </w:p>
    <w:p>
      <w:pPr>
        <w:spacing w:after="120" w:line="276" w:lineRule="auto"/>
      </w:pPr>
      <w:r>
        <w:t>Le **RSI** à 27,3 place le titre en zone de survente (&lt;30), suggérant que la pression vendeuse récente a été excessive et qu'un rebond technique est probable. La décision d'achat repose sur ce potentiel de rattrapage, mais la faiblesse du RSI peut aussi traduire une tendance baissière naissante.</w:t>
      </w:r>
    </w:p>
    <w:p>
      <w:pPr>
        <w:spacing w:after="120" w:line="276" w:lineRule="auto"/>
      </w:pPr>
      <w:r>
        <w:t>Le **Stochastique** (%K à 24,4, %D à 8,1) confirme la faiblesse du momentum, avec %K au-dessus de %D, indiquant un début de croisement haussier potentiel. La décision neutre suggère d'attendre une confirmation du mouvement avant de prendre position.</w:t>
      </w:r>
    </w:p>
    <w:p>
      <w:pPr>
        <w:spacing w:after="120" w:line="276" w:lineRule="auto"/>
      </w:pPr>
      <w:r>
        <w:t>La **conclusion technique** est mitigée : la tendance de fond reste haussière (MM50), mais les indicateurs de court terme (MACD, RSI, prix sous MM20) signalent une correction en cours. Le croisement haussier du stochastique et le RSI survendu suggèrent un rebond technique imminent, mais la prudence est de mise tant que le cours ne repasse pas au-dessus de la MM20.</w:t>
      </w:r>
    </w:p>
    <w:p>
      <w:pPr>
        <w:spacing w:after="120" w:line="276" w:lineRule="auto" w:before="240"/>
      </w:pPr>
      <w:r>
        <w:rPr>
          <w:b/>
          <w:color w:val="003366"/>
          <w:sz w:val="24"/>
        </w:rPr>
        <w:t>**PARTIE 3 : ANALYSE FONDAMENTALE (SECTION CRITIQUE)**</w:t>
      </w:r>
    </w:p>
    <w:p>
      <w:pPr>
        <w:spacing w:after="120" w:line="276" w:lineRule="auto"/>
      </w:pPr>
      <w:r>
        <w:t>L'analyse fondamentale s'appuie sur les rapports financiers officiels disponibles, datant du 31 décembre 2024. Les états financiers de l'exercice 2023 (rapport analysé en mars 2026) montrent un chiffre d'affaires de 701,09 millions FCFA, en baisse de 38,4% par rapport à 2022 (1 138,17 millions FCFA), mais un retour à la profitabilité avec un résultat net positif de 19,25 millions FCFA, contre une perte de -39,95 millions FCFA en 2022. La marge nette s'établit à 2,75%, en amélioration mais inférieure aux standards sectoriels. Cette performance résulte d'une réduction drastique des charges (-43,68%), notamment via le transfert de 50% du personnel vers la SIPAL, filiale du groupe Sayegh. Les données de 2022 (rapport du 31/12/2024) montrent un CA de 1 138,17 millions FCFA et une perte nette de -39,95 millions FCFA, illustrant la forte dégradation par rapport à 2021 (CA de 1 380,99 millions FCFA, bénéfice de 119,23 millions FCFA). Les rapports plus anciens (2015-2020) confirment la volatilité des résultats, avec des bénéfices allant de 434,87 millions FCFA (2015) à des pertes, et un report à nouveau négatif de -689,86 millions FCFA fin 2023, interdisant tout dividende selon l'OHADA. L'AGO du 22 mai 2026 portera sur l'exercice 2024, dont les résultats ne sont pas encore publiés, mais la tendance de redressement et la diversification vers les noix de coco et tourteaux laissent espérer une consolidation. Les risques majeurs incluent la dépendance aux cours mondiaux du coprah, les vols sur les plantations, et une trésorerie tendue (découverts bancaires multipliés par 14). La recommandation fondamentale est de conserver le titre avec vigilance, en surveillant la capacité de la société à maintenir sa rentabilité et à résorber ses pertes cumulées.</w:t>
      </w:r>
    </w:p>
    <w:p>
      <w:pPr>
        <w:spacing w:after="120" w:line="276" w:lineRule="auto" w:before="240"/>
      </w:pPr>
      <w:r>
        <w:rPr>
          <w:b/>
          <w:color w:val="003366"/>
          <w:sz w:val="24"/>
        </w:rPr>
        <w:t>**PARTIE 4 : CONCLUSION D'INVESTISSEMENT**</w:t>
      </w:r>
    </w:p>
    <w:p>
      <w:pPr>
        <w:spacing w:after="120" w:line="276" w:lineRule="auto"/>
      </w:pPr>
      <w:r>
        <w:t>La synthèse des analyses révèle une situation contrastée. La valorisation boursière (Partie 0) ne peut être évaluée par les ratios traditionnels, mais le PER implicite suggère des attentes de croissance très élevées. Le comportement du cours (Partie 1) est extrêmement haussier sur 100 jours (+109,89%), mais avec une volatilité annualisée de 60,7% et une asymétrie positive qui indiquent un profil spéculatif à haut risque. Les signaux techniques (Partie 2) sont divergents : la tendance de fond reste positive (MM50), mais les indicateurs de court terme (MACD vente, RSI survendu) signalent une correction en cours, avec un rebond technique potentiel. Les fondamentaux (Partie 3) montrent un retour à la profitabilité en 2023, mais sur une base fragile, avec un CA en forte baisse et des pertes cumulées importantes. Les prédictions IA (J+1 à J+10) anticipent une poursuite de la baisse, de 7 985 à 7 502 FCFA, confirmant les signaux techniques de correction. Cette convergence entre la faiblesse technique à court terme et les prédictions IA suggère une consolidation imminente. La recommandation finale est **CONSERVER**, avec un niveau de confiance **Moyen** et un risque global **Élevé**. L'horizon d'investissement optimal est le **moyen terme (3-12 mois)**, en attendant la publication des résultats 2024 et une stabilisation du cours avant d'envisager un renforcement de position.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008000"/>
          <w:sz w:val="18"/>
        </w:rPr>
        <w:t>{"decision": "conserver", "justification": "La soci\u00e9t\u00e9 affiche une nette progression de son r\u00e9sultat net en 2015, mais l'absence de chiffre d'affaires et de donn\u00e9es boursi\u00e8res pr\u00e9cises incite \u00e0 la prudence. Une analyse plus approfondie est n\u00e9cessaire avant tout achat."}</w:t>
      </w:r>
    </w:p>
    <w:p>
      <w:pPr>
        <w:spacing w:before="40"/>
        <w:ind w:left="400"/>
      </w:pPr>
      <w:r>
        <w:rPr>
          <w:sz w:val="18"/>
        </w:rPr>
        <w:t>SICOR est une société ivoirienne spécialisée dans la transformation de cacao, avec un capital social de 1,5 milliard de FCFA. Les états financiers pour l'exercice 2015 montrent un total du bilan de 1,627 milliard de FCFA. Le projet d'affectation du résultat indique un résultat net de 434,87 millions de FCFA pour 2015, contre 68,24 millions en 2014, soit une forte progression. Les comptes ont été certifiés par les commissaires aux comptes. L'entreprise présente une situation financière saine avec une rentabilité en amélioration.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{'devise': 'FCFA', 'statut': 'Société Anonyme', 'exercice': '2015', 'capital_social': '1 500 000 000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1 627 179 217 FCFA</w:t>
            </w:r>
          </w:p>
        </w:tc>
      </w:tr>
      <w:tr>
        <w:tc>
          <w:tcPr>
            <w:tcW w:type="dxa" w:w="2160"/>
          </w:tcPr>
          <w:p>
            <w:r/>
            <w:r>
              <w:rPr>
                <w:b/>
                <w:sz w:val="16"/>
              </w:rPr>
              <w:t>resultat_net</w:t>
              <w:br/>
            </w:r>
            <w:r>
              <w:rPr>
                <w:sz w:val="18"/>
              </w:rPr>
              <w:t>434 869 656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Capital social de 1 500 000 000 FCFA.</w:t>
      </w:r>
    </w:p>
    <w:p>
      <w:pPr>
        <w:pStyle w:val="ListBullet"/>
        <w:spacing w:before="20" w:after="20"/>
        <w:ind w:left="700"/>
      </w:pPr>
      <w:r>
        <w:rPr>
          <w:sz w:val="18"/>
        </w:rPr>
        <w:t>Total du bilan au 31/12/2015 : 1 627 179 217 FCFA.</w:t>
      </w:r>
    </w:p>
    <w:p>
      <w:pPr>
        <w:pStyle w:val="ListBullet"/>
        <w:spacing w:before="20" w:after="20"/>
        <w:ind w:left="700"/>
      </w:pPr>
      <w:r>
        <w:rPr>
          <w:sz w:val="18"/>
        </w:rPr>
        <w:t>Résultat net 2015 : 434 869 656 FCFA selon le projet d'affectation.</w:t>
      </w:r>
    </w:p>
    <w:p>
      <w:pPr>
        <w:pStyle w:val="ListBullet"/>
        <w:spacing w:before="20" w:after="20"/>
        <w:ind w:left="700"/>
      </w:pPr>
      <w:r>
        <w:rPr>
          <w:sz w:val="18"/>
        </w:rPr>
        <w:t>Résultat net 2014 : 68 237 394 FCFA (en forte hausse en 2015).</w:t>
      </w:r>
    </w:p>
    <w:p>
      <w:pPr>
        <w:pStyle w:val="ListBullet"/>
        <w:spacing w:before="20" w:after="20"/>
        <w:ind w:left="700"/>
      </w:pPr>
      <w:r>
        <w:rPr>
          <w:sz w:val="18"/>
        </w:rPr>
        <w:t>Spécialisation dans la transformation du cacao (coco rapé).</w:t>
      </w:r>
    </w:p>
    <w:p>
      <w:pPr>
        <w:pStyle w:val="ListBullet"/>
        <w:spacing w:before="20" w:after="20"/>
        <w:ind w:left="700"/>
      </w:pPr>
      <w:r>
        <w:rPr>
          <w:sz w:val="18"/>
        </w:rPr>
        <w:t>Comptes certifiés par les commissaires aux comptes.</w:t>
      </w:r>
    </w:p>
    <w:p>
      <w:pPr>
        <w:spacing w:before="40"/>
        <w:ind w:left="400"/>
      </w:pPr>
      <w:r>
        <w:rPr>
          <w:b/>
          <w:color w:val="C05000"/>
          <w:sz w:val="18"/>
        </w:rPr>
        <w:t xml:space="preserve">⚠️ Risques : </w:t>
      </w:r>
      <w:r>
        <w:rPr>
          <w:sz w:val="18"/>
        </w:rPr>
        <w:t>["Volatilit\u00e9 des prix du cacao sur les march\u00e9s internationaux.", "Risque de change li\u00e9 aux exportations et aux fluctuations du FCFA.", "D\u00e9pendance \u00e0 la qualit\u00e9 et \u00e0 la disponibilit\u00e9 de la mati\u00e8re premi\u00e8re (cacao)."]</w:t>
      </w:r>
    </w:p>
    <w:p>
      <w:pPr>
        <w:spacing w:before="40"/>
        <w:ind w:left="400"/>
      </w:pPr>
      <w:r>
        <w:rPr>
          <w:b/>
          <w:color w:val="0064A0"/>
          <w:sz w:val="18"/>
        </w:rPr>
        <w:t xml:space="preserve">🔮 Perspectives : </w:t>
      </w:r>
      <w:r>
        <w:rPr>
          <w:sz w:val="18"/>
        </w:rPr>
        <w:t>Les perspectives 2016 sont favorables, portées par la bonne performance de l'exercice 2015 et la demande mondiale de cacao. La société pourrait continuer à améliorer sa rentabilité si les conditions de marché restent stables. Une attention particulière devra être portée à la gestion des coûts et aux</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"Bon exercice, rentable, avec une génération de cash solide (CAFG 278 M). Mais report à nouveau encore négatif interdisant tout dividende et trésorerie nette négative. À conserver."}</w:t>
      </w:r>
    </w:p>
    <w:p>
      <w:pPr>
        <w:spacing w:before="40"/>
        <w:ind w:left="400"/>
      </w:pPr>
      <w:r>
        <w:rPr>
          <w:sz w:val="18"/>
        </w:rPr>
        <w:t>SICOR réalise un bon exercice 2020 : bénéfice net de 109,8 M FCFA, en forte hausse par rapport aux 2,35 M de 2019. Le chiffre d'affaires progresse de 27 % à 2,36 Md, l'EBE grimpe à 281 M et le résultat financier redevient positif (+0,8 M). Le report à nouveau reste négatif (-879 M) mais s'améliore légèrement. La trésorerie nette demeure négative (-47 M) tout en se redressant. Exercice de redressement opérationnel confirmé.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'278 millions FCFA', 'resultat_exploitation': '109 millions FCFA', 'excedent_brut_exploitation': '281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4,65 %</w:t>
            </w:r>
          </w:p>
        </w:tc>
        <w:tc>
          <w:tcPr>
            <w:tcW w:type="dxa" w:w="2160"/>
          </w:tcPr>
          <w:p>
            <w:pPr>
              <w:ind w:left="100"/>
            </w:pPr>
            <w:r/>
            <w:r>
              <w:rPr>
                <w:b/>
                <w:sz w:val="16"/>
              </w:rPr>
              <w:t>total_actif</w:t>
              <w:br/>
            </w:r>
            <w:r>
              <w:rPr>
                <w:sz w:val="18"/>
              </w:rPr>
              <w:t>4,09 milliards FCFA</w:t>
            </w:r>
          </w:p>
        </w:tc>
      </w:tr>
      <w:tr>
        <w:tc>
          <w:tcPr>
            <w:tcW w:type="dxa" w:w="2160"/>
          </w:tcPr>
          <w:p>
            <w:r/>
            <w:r>
              <w:rPr>
                <w:b/>
                <w:sz w:val="16"/>
              </w:rPr>
              <w:t>resultat_net</w:t>
              <w:br/>
            </w:r>
            <w:r>
              <w:rPr>
                <w:sz w:val="18"/>
              </w:rPr>
              <w:t>109,8 millions FCFA (bénéfice)</w:t>
            </w:r>
          </w:p>
        </w:tc>
        <w:tc>
          <w:tcPr>
            <w:tcW w:type="dxa" w:w="2160"/>
          </w:tcPr>
          <w:p>
            <w:r/>
            <w:r>
              <w:rPr>
                <w:b/>
                <w:sz w:val="16"/>
              </w:rPr>
              <w:t>capitaux_propres</w:t>
              <w:br/>
            </w:r>
            <w:r>
              <w:rPr>
                <w:sz w:val="18"/>
              </w:rPr>
              <w:t>3,01 milliards FCFA</w:t>
            </w:r>
          </w:p>
        </w:tc>
        <w:tc>
          <w:tcPr>
            <w:tcW w:type="dxa" w:w="2160"/>
          </w:tcPr>
          <w:p>
            <w:r/>
            <w:r>
              <w:rPr>
                <w:b/>
                <w:sz w:val="16"/>
              </w:rPr>
              <w:t>chiffre_affaires</w:t>
              <w:br/>
            </w:r>
            <w:r>
              <w:rPr>
                <w:sz w:val="18"/>
              </w:rPr>
              <w:t>2,36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2,36 Md FCFA (+27 %)</w:t>
      </w:r>
    </w:p>
    <w:p>
      <w:pPr>
        <w:pStyle w:val="ListBullet"/>
        <w:spacing w:before="20" w:after="20"/>
        <w:ind w:left="700"/>
      </w:pPr>
      <w:r>
        <w:rPr>
          <w:sz w:val="18"/>
        </w:rPr>
        <w:t>EBE 281 M FCFA, en nette progression</w:t>
      </w:r>
    </w:p>
    <w:p>
      <w:pPr>
        <w:pStyle w:val="ListBullet"/>
        <w:spacing w:before="20" w:after="20"/>
        <w:ind w:left="700"/>
      </w:pPr>
      <w:r>
        <w:rPr>
          <w:sz w:val="18"/>
        </w:rPr>
        <w:t>Bénéfice net 109,8 M FCFA (contre 2,35 M en 2019)</w:t>
      </w:r>
    </w:p>
    <w:p>
      <w:pPr>
        <w:pStyle w:val="ListBullet"/>
        <w:spacing w:before="20" w:after="20"/>
        <w:ind w:left="700"/>
      </w:pPr>
      <w:r>
        <w:rPr>
          <w:sz w:val="18"/>
        </w:rPr>
        <w:t>Résultat financier redevenu positif (+0,8 M)</w:t>
      </w:r>
    </w:p>
    <w:p>
      <w:pPr>
        <w:pStyle w:val="ListBullet"/>
        <w:spacing w:before="20" w:after="20"/>
        <w:ind w:left="700"/>
      </w:pPr>
      <w:r>
        <w:rPr>
          <w:sz w:val="18"/>
        </w:rPr>
        <w:t>Report à nouveau encore négatif (-879 M), en légère amélioration</w:t>
      </w:r>
    </w:p>
    <w:p>
      <w:pPr>
        <w:pStyle w:val="ListBullet"/>
        <w:spacing w:before="20" w:after="20"/>
        <w:ind w:left="700"/>
      </w:pPr>
      <w:r>
        <w:rPr>
          <w:sz w:val="18"/>
        </w:rPr>
        <w:t>Trésorerie nette négative (-47 M) mais en amélioration</w:t>
      </w:r>
    </w:p>
    <w:p>
      <w:pPr>
        <w:spacing w:before="40"/>
        <w:ind w:left="400"/>
      </w:pPr>
      <w:r>
        <w:rPr>
          <w:b/>
          <w:color w:val="C05000"/>
          <w:sz w:val="18"/>
        </w:rPr>
        <w:t xml:space="preserve">⚠️ Risques : </w:t>
      </w:r>
      <w:r>
        <w:rPr>
          <w:sz w:val="18"/>
        </w:rPr>
        <w:t>["Report à nouveau toujours négatif (-879 M)", "Trésorerie nette négative (-47 M)", "Dépendance à un chiffre d'affaires volatil dans une activité agro-industrielle (coco)", "Pas de distribution possible tant que les pertes cumulées subsistent"]</w:t>
      </w:r>
    </w:p>
    <w:p>
      <w:pPr>
        <w:spacing w:before="40"/>
        <w:ind w:left="400"/>
      </w:pPr>
      <w:r>
        <w:rPr>
          <w:b/>
          <w:color w:val="0064A0"/>
          <w:sz w:val="18"/>
        </w:rPr>
        <w:t xml:space="preserve">🔮 Perspectives : </w:t>
      </w:r>
      <w:r>
        <w:rPr>
          <w:sz w:val="18"/>
        </w:rPr>
        <w:t>La forte génération de trésorerie (CAFG 278 M) et le retour à un résultat financier positif consolident le redressement. Si la dynamique se maintient, l'apurement progressif du report à nouveau devient envisageable.</w:t>
      </w:r>
    </w:p>
    <w:p/>
    <w:p>
      <w:r>
        <w:t>════════════════════════════════════════════════════════════════════════════════</w:t>
      </w:r>
    </w:p>
    <w:p>
      <w:r>
        <w:br w:type="page"/>
      </w:r>
    </w:p>
    <w:p>
      <w:pPr>
        <w:pStyle w:val="Heading2"/>
        <w:spacing w:before="360"/>
      </w:pPr>
      <w:r>
        <w:rPr>
          <w:color w:val="0066CC"/>
        </w:rPr>
        <w:t>36.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20.35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5,567 titres</w:t>
            </w:r>
          </w:p>
        </w:tc>
        <w:tc>
          <w:tcPr>
            <w:tcW w:type="dxa" w:w="2268"/>
            <w:shd w:fill="FFF2CC" w:val="clear"/>
          </w:tcPr>
          <w:p>
            <w:r>
              <w:rPr>
                <w:b/>
                <w:color w:val="503200"/>
                <w:sz w:val="16"/>
              </w:rPr>
              <w:t xml:space="preserve">Cours actuel : </w:t>
            </w:r>
            <w:r>
              <w:rPr>
                <w:color w:val="000000"/>
                <w:sz w:val="17"/>
              </w:rPr>
              <w:t>2,330 FCFA</w:t>
            </w:r>
          </w:p>
          <w:p>
            <w:r>
              <w:rPr>
                <w:b/>
                <w:color w:val="503200"/>
                <w:sz w:val="16"/>
              </w:rPr>
              <w:t xml:space="preserve">Var. 100 jours : </w:t>
            </w:r>
            <w:r>
              <w:rPr>
                <w:b/>
                <w:color w:val="B40000"/>
                <w:sz w:val="17"/>
              </w:rPr>
              <w:t>-23.86%</w:t>
            </w:r>
          </w:p>
          <w:p>
            <w:r>
              <w:rPr>
                <w:b/>
                <w:color w:val="503200"/>
                <w:sz w:val="16"/>
              </w:rPr>
              <w:t xml:space="preserve">Plus haut 100j : </w:t>
            </w:r>
            <w:r>
              <w:rPr>
                <w:color w:val="000000"/>
                <w:sz w:val="17"/>
              </w:rPr>
              <w:t>3,215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51.0%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17.0/100 → Faible</w:t>
      </w:r>
    </w:p>
    <w:p>
      <w:pPr>
        <w:spacing w:before="40" w:after="80"/>
      </w:pPr>
      <w:r>
        <w:rPr>
          <w:rFonts w:ascii="Courier New" w:hAnsi="Courier New"/>
          <w:color w:val="006400"/>
          <w:sz w:val="18"/>
        </w:rPr>
        <w:t>███░░░░░░░░░░░░░░░░░  17.0/100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11.03% (Moyenne) — μ=2,566 FCFA, σ=283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β=0.3772 (Défensif) — Cov=0.000014, Var(idx)=0.000036, ρ=0.070,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5,567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Achat=3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σ_j=3.21%/j (Modérée) — Vol. annualisée≈51.0%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79/100  (Excellent)</w:t>
      </w:r>
    </w:p>
    <w:p/>
    <w:p>
      <w:pPr>
        <w:jc w:val="center"/>
      </w:pPr>
      <w:r>
        <w:drawing>
          <wp:inline xmlns:a="http://schemas.openxmlformats.org/drawingml/2006/main" xmlns:pic="http://schemas.openxmlformats.org/drawingml/2006/picture">
            <wp:extent cx="5669280" cy="2635585"/>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2026-09-07</w:t>
            </w:r>
          </w:p>
        </w:tc>
        <w:tc>
          <w:tcPr>
            <w:tcW w:type="dxa" w:w="1440"/>
            <w:shd w:fill="FFDCE0" w:val="clear"/>
          </w:tcPr>
          <w:p>
            <w:r>
              <w:rPr>
                <w:sz w:val="17"/>
              </w:rPr>
              <w:t>2,146</w:t>
            </w:r>
          </w:p>
        </w:tc>
        <w:tc>
          <w:tcPr>
            <w:tcW w:type="dxa" w:w="1440"/>
            <w:shd w:fill="FFDCE0" w:val="clear"/>
          </w:tcPr>
          <w:p>
            <w:r>
              <w:rPr>
                <w:b/>
                <w:sz w:val="17"/>
              </w:rPr>
              <w:t>2,230</w:t>
            </w:r>
          </w:p>
        </w:tc>
        <w:tc>
          <w:tcPr>
            <w:tcW w:type="dxa" w:w="1440"/>
            <w:shd w:fill="FFDCE0" w:val="clear"/>
          </w:tcPr>
          <w:p>
            <w:r>
              <w:rPr>
                <w:sz w:val="17"/>
              </w:rPr>
              <w:t>2,315</w:t>
            </w:r>
          </w:p>
        </w:tc>
        <w:tc>
          <w:tcPr>
            <w:tcW w:type="dxa" w:w="1440"/>
            <w:shd w:fill="FFDCE0" w:val="clear"/>
          </w:tcPr>
          <w:p>
            <w:r>
              <w:rPr>
                <w:b/>
                <w:color w:val="C00000"/>
                <w:sz w:val="17"/>
              </w:rPr>
              <w:t>-4.3%</w:t>
            </w:r>
          </w:p>
        </w:tc>
      </w:tr>
      <w:tr>
        <w:tc>
          <w:tcPr>
            <w:tcW w:type="dxa" w:w="1440"/>
            <w:shd w:fill="FFDCE0" w:val="clear"/>
          </w:tcPr>
          <w:p>
            <w:r>
              <w:rPr>
                <w:sz w:val="17"/>
              </w:rPr>
              <w:t>J+2  ⭐</w:t>
            </w:r>
          </w:p>
        </w:tc>
        <w:tc>
          <w:tcPr>
            <w:tcW w:type="dxa" w:w="1440"/>
            <w:shd w:fill="FFDCE0" w:val="clear"/>
          </w:tcPr>
          <w:p>
            <w:r>
              <w:rPr>
                <w:sz w:val="17"/>
              </w:rPr>
              <w:t>2026-09-08</w:t>
            </w:r>
          </w:p>
        </w:tc>
        <w:tc>
          <w:tcPr>
            <w:tcW w:type="dxa" w:w="1440"/>
            <w:shd w:fill="FFDCE0" w:val="clear"/>
          </w:tcPr>
          <w:p>
            <w:r>
              <w:rPr>
                <w:sz w:val="17"/>
              </w:rPr>
              <w:t>2,071</w:t>
            </w:r>
          </w:p>
        </w:tc>
        <w:tc>
          <w:tcPr>
            <w:tcW w:type="dxa" w:w="1440"/>
            <w:shd w:fill="FFDCE0" w:val="clear"/>
          </w:tcPr>
          <w:p>
            <w:r>
              <w:rPr>
                <w:b/>
                <w:sz w:val="17"/>
              </w:rPr>
              <w:t>2,189</w:t>
            </w:r>
          </w:p>
        </w:tc>
        <w:tc>
          <w:tcPr>
            <w:tcW w:type="dxa" w:w="1440"/>
            <w:shd w:fill="FFDCE0" w:val="clear"/>
          </w:tcPr>
          <w:p>
            <w:r>
              <w:rPr>
                <w:sz w:val="17"/>
              </w:rPr>
              <w:t>2,306</w:t>
            </w:r>
          </w:p>
        </w:tc>
        <w:tc>
          <w:tcPr>
            <w:tcW w:type="dxa" w:w="1440"/>
            <w:shd w:fill="FFDCE0" w:val="clear"/>
          </w:tcPr>
          <w:p>
            <w:r>
              <w:rPr>
                <w:b/>
                <w:color w:val="C00000"/>
                <w:sz w:val="17"/>
              </w:rPr>
              <w:t>-6.1%</w:t>
            </w:r>
          </w:p>
        </w:tc>
      </w:tr>
      <w:tr>
        <w:tc>
          <w:tcPr>
            <w:tcW w:type="dxa" w:w="1440"/>
            <w:shd w:fill="FFDCE0" w:val="clear"/>
          </w:tcPr>
          <w:p>
            <w:r>
              <w:rPr>
                <w:sz w:val="17"/>
              </w:rPr>
              <w:t>J+3  ⭐</w:t>
            </w:r>
          </w:p>
        </w:tc>
        <w:tc>
          <w:tcPr>
            <w:tcW w:type="dxa" w:w="1440"/>
            <w:shd w:fill="FFDCE0" w:val="clear"/>
          </w:tcPr>
          <w:p>
            <w:r>
              <w:rPr>
                <w:sz w:val="17"/>
              </w:rPr>
              <w:t>2026-09-09</w:t>
            </w:r>
          </w:p>
        </w:tc>
        <w:tc>
          <w:tcPr>
            <w:tcW w:type="dxa" w:w="1440"/>
            <w:shd w:fill="FFDCE0" w:val="clear"/>
          </w:tcPr>
          <w:p>
            <w:r>
              <w:rPr>
                <w:sz w:val="17"/>
              </w:rPr>
              <w:t>1,999</w:t>
            </w:r>
          </w:p>
        </w:tc>
        <w:tc>
          <w:tcPr>
            <w:tcW w:type="dxa" w:w="1440"/>
            <w:shd w:fill="FFDCE0" w:val="clear"/>
          </w:tcPr>
          <w:p>
            <w:r>
              <w:rPr>
                <w:b/>
                <w:sz w:val="17"/>
              </w:rPr>
              <w:t>2,140</w:t>
            </w:r>
          </w:p>
        </w:tc>
        <w:tc>
          <w:tcPr>
            <w:tcW w:type="dxa" w:w="1440"/>
            <w:shd w:fill="FFDCE0" w:val="clear"/>
          </w:tcPr>
          <w:p>
            <w:r>
              <w:rPr>
                <w:sz w:val="17"/>
              </w:rPr>
              <w:t>2,281</w:t>
            </w:r>
          </w:p>
        </w:tc>
        <w:tc>
          <w:tcPr>
            <w:tcW w:type="dxa" w:w="1440"/>
            <w:shd w:fill="FFDCE0" w:val="clear"/>
          </w:tcPr>
          <w:p>
            <w:r>
              <w:rPr>
                <w:b/>
                <w:color w:val="C00000"/>
                <w:sz w:val="17"/>
              </w:rPr>
              <w:t>-8.2%</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1,932</w:t>
            </w:r>
          </w:p>
        </w:tc>
        <w:tc>
          <w:tcPr>
            <w:tcW w:type="dxa" w:w="1440"/>
            <w:shd w:fill="FFDCE0" w:val="clear"/>
          </w:tcPr>
          <w:p>
            <w:r>
              <w:rPr>
                <w:b/>
                <w:sz w:val="17"/>
              </w:rPr>
              <w:t>2,091</w:t>
            </w:r>
          </w:p>
        </w:tc>
        <w:tc>
          <w:tcPr>
            <w:tcW w:type="dxa" w:w="1440"/>
            <w:shd w:fill="FFDCE0" w:val="clear"/>
          </w:tcPr>
          <w:p>
            <w:r>
              <w:rPr>
                <w:sz w:val="17"/>
              </w:rPr>
              <w:t>2,250</w:t>
            </w:r>
          </w:p>
        </w:tc>
        <w:tc>
          <w:tcPr>
            <w:tcW w:type="dxa" w:w="1440"/>
            <w:shd w:fill="FFDCE0" w:val="clear"/>
          </w:tcPr>
          <w:p>
            <w:r>
              <w:rPr>
                <w:b/>
                <w:color w:val="C00000"/>
                <w:sz w:val="17"/>
              </w:rPr>
              <w:t>-10.3%</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1,870</w:t>
            </w:r>
          </w:p>
        </w:tc>
        <w:tc>
          <w:tcPr>
            <w:tcW w:type="dxa" w:w="1440"/>
            <w:shd w:fill="FFDCE0" w:val="clear"/>
          </w:tcPr>
          <w:p>
            <w:r>
              <w:rPr>
                <w:b/>
                <w:sz w:val="17"/>
              </w:rPr>
              <w:t>2,043</w:t>
            </w:r>
          </w:p>
        </w:tc>
        <w:tc>
          <w:tcPr>
            <w:tcW w:type="dxa" w:w="1440"/>
            <w:shd w:fill="FFDCE0" w:val="clear"/>
          </w:tcPr>
          <w:p>
            <w:r>
              <w:rPr>
                <w:sz w:val="17"/>
              </w:rPr>
              <w:t>2,217</w:t>
            </w:r>
          </w:p>
        </w:tc>
        <w:tc>
          <w:tcPr>
            <w:tcW w:type="dxa" w:w="1440"/>
            <w:shd w:fill="FFDCE0" w:val="clear"/>
          </w:tcPr>
          <w:p>
            <w:r>
              <w:rPr>
                <w:b/>
                <w:color w:val="C00000"/>
                <w:sz w:val="17"/>
              </w:rPr>
              <w:t>-12.3%</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1,811</w:t>
            </w:r>
          </w:p>
        </w:tc>
        <w:tc>
          <w:tcPr>
            <w:tcW w:type="dxa" w:w="1440"/>
            <w:shd w:fill="FFDCE0" w:val="clear"/>
          </w:tcPr>
          <w:p>
            <w:r>
              <w:rPr>
                <w:b/>
                <w:sz w:val="17"/>
              </w:rPr>
              <w:t>1,997</w:t>
            </w:r>
          </w:p>
        </w:tc>
        <w:tc>
          <w:tcPr>
            <w:tcW w:type="dxa" w:w="1440"/>
            <w:shd w:fill="FFDCE0" w:val="clear"/>
          </w:tcPr>
          <w:p>
            <w:r>
              <w:rPr>
                <w:sz w:val="17"/>
              </w:rPr>
              <w:t>2,183</w:t>
            </w:r>
          </w:p>
        </w:tc>
        <w:tc>
          <w:tcPr>
            <w:tcW w:type="dxa" w:w="1440"/>
            <w:shd w:fill="FFDCE0" w:val="clear"/>
          </w:tcPr>
          <w:p>
            <w:r>
              <w:rPr>
                <w:b/>
                <w:color w:val="C00000"/>
                <w:sz w:val="17"/>
              </w:rPr>
              <w:t>-14.3%</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1,756</w:t>
            </w:r>
          </w:p>
        </w:tc>
        <w:tc>
          <w:tcPr>
            <w:tcW w:type="dxa" w:w="1440"/>
            <w:shd w:fill="FFDCE0" w:val="clear"/>
          </w:tcPr>
          <w:p>
            <w:r>
              <w:rPr>
                <w:b/>
                <w:sz w:val="17"/>
              </w:rPr>
              <w:t>1,952</w:t>
            </w:r>
          </w:p>
        </w:tc>
        <w:tc>
          <w:tcPr>
            <w:tcW w:type="dxa" w:w="1440"/>
            <w:shd w:fill="FFDCE0" w:val="clear"/>
          </w:tcPr>
          <w:p>
            <w:r>
              <w:rPr>
                <w:sz w:val="17"/>
              </w:rPr>
              <w:t>2,149</w:t>
            </w:r>
          </w:p>
        </w:tc>
        <w:tc>
          <w:tcPr>
            <w:tcW w:type="dxa" w:w="1440"/>
            <w:shd w:fill="FFDCE0" w:val="clear"/>
          </w:tcPr>
          <w:p>
            <w:r>
              <w:rPr>
                <w:b/>
                <w:color w:val="C00000"/>
                <w:sz w:val="17"/>
              </w:rPr>
              <w:t>-16.2%</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1,704</w:t>
            </w:r>
          </w:p>
        </w:tc>
        <w:tc>
          <w:tcPr>
            <w:tcW w:type="dxa" w:w="1440"/>
            <w:shd w:fill="FFDCE0" w:val="clear"/>
          </w:tcPr>
          <w:p>
            <w:r>
              <w:rPr>
                <w:b/>
                <w:sz w:val="17"/>
              </w:rPr>
              <w:t>1,909</w:t>
            </w:r>
          </w:p>
        </w:tc>
        <w:tc>
          <w:tcPr>
            <w:tcW w:type="dxa" w:w="1440"/>
            <w:shd w:fill="FFDCE0" w:val="clear"/>
          </w:tcPr>
          <w:p>
            <w:r>
              <w:rPr>
                <w:sz w:val="17"/>
              </w:rPr>
              <w:t>2,114</w:t>
            </w:r>
          </w:p>
        </w:tc>
        <w:tc>
          <w:tcPr>
            <w:tcW w:type="dxa" w:w="1440"/>
            <w:shd w:fill="FFDCE0" w:val="clear"/>
          </w:tcPr>
          <w:p>
            <w:r>
              <w:rPr>
                <w:b/>
                <w:color w:val="C00000"/>
                <w:sz w:val="17"/>
              </w:rPr>
              <w:t>-18.1%</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1,655</w:t>
            </w:r>
          </w:p>
        </w:tc>
        <w:tc>
          <w:tcPr>
            <w:tcW w:type="dxa" w:w="1440"/>
            <w:shd w:fill="FFDCE0" w:val="clear"/>
          </w:tcPr>
          <w:p>
            <w:r>
              <w:rPr>
                <w:b/>
                <w:sz w:val="17"/>
              </w:rPr>
              <w:t>1,868</w:t>
            </w:r>
          </w:p>
        </w:tc>
        <w:tc>
          <w:tcPr>
            <w:tcW w:type="dxa" w:w="1440"/>
            <w:shd w:fill="FFDCE0" w:val="clear"/>
          </w:tcPr>
          <w:p>
            <w:r>
              <w:rPr>
                <w:sz w:val="17"/>
              </w:rPr>
              <w:t>2,081</w:t>
            </w:r>
          </w:p>
        </w:tc>
        <w:tc>
          <w:tcPr>
            <w:tcW w:type="dxa" w:w="1440"/>
            <w:shd w:fill="FFDCE0" w:val="clear"/>
          </w:tcPr>
          <w:p>
            <w:r>
              <w:rPr>
                <w:b/>
                <w:color w:val="C00000"/>
                <w:sz w:val="17"/>
              </w:rPr>
              <w:t>-19.8%</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1,608</w:t>
            </w:r>
          </w:p>
        </w:tc>
        <w:tc>
          <w:tcPr>
            <w:tcW w:type="dxa" w:w="1440"/>
            <w:shd w:fill="FFDCE0" w:val="clear"/>
          </w:tcPr>
          <w:p>
            <w:r>
              <w:rPr>
                <w:b/>
                <w:sz w:val="17"/>
              </w:rPr>
              <w:t>1,828</w:t>
            </w:r>
          </w:p>
        </w:tc>
        <w:tc>
          <w:tcPr>
            <w:tcW w:type="dxa" w:w="1440"/>
            <w:shd w:fill="FFDCE0" w:val="clear"/>
          </w:tcPr>
          <w:p>
            <w:r>
              <w:rPr>
                <w:sz w:val="17"/>
              </w:rPr>
              <w:t>2,047</w:t>
            </w:r>
          </w:p>
        </w:tc>
        <w:tc>
          <w:tcPr>
            <w:tcW w:type="dxa" w:w="1440"/>
            <w:shd w:fill="FFDCE0" w:val="clear"/>
          </w:tcPr>
          <w:p>
            <w:r>
              <w:rPr>
                <w:b/>
                <w:color w:val="C00000"/>
                <w:sz w:val="17"/>
              </w:rPr>
              <w:t>-21.6%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pPr>
      <w:r>
        <w:t>Absolument. Voici un rapport d'analyse structuré et professionnel pour l'action SIVC, désormais dénommée **ERIUM CI**, sur le marché de la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20,35 milliards FCFA positionne ERIUM CI comme une valeur de taille moyenne sur la BRVM. Le BPA de 43 FCFA par action est particulièrement faible au regard du cours actuel de 2 330 FCFA, ce qui se traduit par un **PER de 54,0x**. Ce ratio est extrêmement élevé par rapport à la moyenne historique du marché BRVM (8-12x), indiquant que les investisseurs paient une prime considérable pour chaque franc de bénéfice. De même, le **P/B de 6,22x** est très supérieur au seuil de 4x, signifiant que le marché valorise l'actif net de la société bien au-delà de sa valeur comptable. Enfin, un **EV/EBITDA de 17,0x** confirme cette valorisation exigeante, car la valeur totale de l'entreprise (capitaux propres + dettes) représente 17 fois son potentiel opérationnel brut. Ces ratios suggèrent une anticipation de croissance future forte, mais ils laissent peu de place à l'erreur.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ERIUM CI a subi une **décote sévère de -23,86%**, avec une accélération baissière lors de la dernière séance (-2,92%). Le titre a évolué dans une fourchette large de 1 295 FCFA, oscillant entre un plus haut de 3 215 FCFA et un plus bas de 1 920 FCFA, ce qui illustre une forte incertitude et une pression vendeuse marquée. La moyenne du cours sur la période (2 566 FCFA) est inférieure à la médiane (2 625 FCFA), suggérant une distribution légèrement asymétrique avec des extrêmes bas plus fréquents. L'écart-type de 284 FCFA (CV=11,1%) témoigne d'une dispersion modérée autour de la moyenne. Le kurtosis négatif (-0.993) indique une distribution "mésokurtique" sans pics de volatilité extrêmes, tandis que le skewness négatif (-0.132) confirme une légère asymétrie vers les baisses. La **volatilité annualisée de 51,0%** est très élevée, classant ce titre comme spéculatif et à fort risque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Le cours actuel (2 330 FCFA) se situe sous la MM20 (2 363,25 FCFA) mais au-dessus de la MM50 (2 316,9 FCFA). Cette configuration est ambiguë. Le signal d'achat est probablement généré par le croisement haussier récent de la MM20 sur la MM50, mais la faiblesse du cours sous la MM20 à court terme suggère un momentum baissier qui pourrait remettre en cause ce signal.</w:t>
      </w:r>
    </w:p>
    <w:p>
      <w:pPr>
        <w:spacing w:after="120" w:line="276" w:lineRule="auto"/>
      </w:pPr>
      <w:r>
        <w:t>**Bandes de Bollinger:** Le prix se négocie à l'intérieur des bandes, plus près de la borne inférieure (2 225,2 FCFA) que de la borne supérieure (2 501,3 FCFA). La décision "Neutre" est justifiée, mais la proximité de la borne inférieure indique que le titre est proche d'une zone de "survente" technique, ce qui pourrait précéder un rebond ou une accélération de la baisse si ce support est cassé.</w:t>
      </w:r>
    </w:p>
    <w:p>
      <w:pPr>
        <w:spacing w:after="120" w:line="276" w:lineRule="auto"/>
      </w:pPr>
      <w:r>
        <w:t>**MACD:** La valeur du MACD (12,891) est supérieure à son signal (10,339), générant un signal d'achat. Cela indique que le momentum à moyen terme reste positif, même si la récente chute des prix pourrait rapidement inverser cette dynamique si la divergence se réduit.</w:t>
      </w:r>
    </w:p>
    <w:p>
      <w:pPr>
        <w:spacing w:after="120" w:line="276" w:lineRule="auto"/>
      </w:pPr>
      <w:r>
        <w:t>**RSI:** À 37,805, le RSI est en zone neutre mais se rapproche du seuil de survente (30). Il n'est pas encore assez bas pour signaler un rebond imminent, mais il indique que la pression vendeuse domine sans pour autant être excessive.</w:t>
      </w:r>
    </w:p>
    <w:p>
      <w:pPr>
        <w:spacing w:after="120" w:line="276" w:lineRule="auto"/>
      </w:pPr>
      <w:r>
        <w:t>**Stochastique:** Le %K (17,391) est très bas et a fortement divergé du %D (62,742), ce qui est un signal d'achat classique indiquant une condition de survente extrême à court terme. Un croisement haussier du %K au-dessus du %D pourrait déclencher un rebond technique.</w:t>
      </w:r>
    </w:p>
    <w:p>
      <w:pPr>
        <w:spacing w:after="120" w:line="276" w:lineRule="auto"/>
      </w:pPr>
      <w:r>
        <w:t>**Conclusion technique:** Les signaux sont **contradictoires**. Le MACD et le Stochastique suggèrent un potentiel de rebond technique, tandis que la position sous la MM20 et la tendance baissière des 100 derniers jours plaident pour une poursuite de la baisse. La prudence est de mise ; un rebond technique est possible, mais la tendance de fond reste résolument baissière.</w:t>
      </w:r>
    </w:p>
    <w:p>
      <w:pPr>
        <w:spacing w:after="120" w:line="276" w:lineRule="auto"/>
      </w:pPr>
      <w:r>
        <w:t>---</w:t>
      </w:r>
    </w:p>
    <w:p>
      <w:pPr>
        <w:spacing w:after="120" w:line="276" w:lineRule="auto"/>
      </w:pPr>
      <w:r>
        <w:t>### PARTIE 3 : ANALYSE FONDAMENTALE (SECTION CRITIQUE)</w:t>
      </w:r>
    </w:p>
    <w:p>
      <w:pPr>
        <w:spacing w:after="120" w:line="276" w:lineRule="auto"/>
      </w:pPr>
      <w:r>
        <w:t>Les données financières structurées de 2024, bien que classées "BANQUE" par erreur, décrivent en réalité une entreprise industrielle. En 2024, le chiffre d'affaires s'établissait à 9,283 Mds FCFA pour un résultat net de 376,96 M FCFA (marge nette de 4,06%). Le ROE était de 11,52% et le ROA de 2,69%. Cependant, les rapports narratifs officiels dressent un tableau plus contrasté pour 2025. Le rapport annuel 2025 (analysé le 29 juin 2026) fait état d'une **croissance du CA de +8,53% à 10,07 Mds FCFA**, mais d'une **chute brutale du résultat net de -52,4% à 179,3 M FCFA**, ramenant la marge nette à seulement 1,78%. Cette dégradation est attribuée à une hausse des charges d'exploitation et à un résultat financier négatif. Les rapports semestriels et du 3ème trimestre 2025 (publiés en 2025) montraient pourtant une dynamique positive, avec un résultat net de 512,9 M FCFA au S1 (+4,6%) et de 832,5 M FCFA au T3 (+58%). **L'écart majeur entre les performances cumulées des trois premiers trimestres et le résultat annuel final suggère un 4ème trimestre 2025 extrêmement déficitaire**, probablement dû à des charges exceptionnelles ou à une dépréciation d'actifs. La structure financière s'est également fragilisée avec une trésorerie nette négative de -1,66 Md FCFA et un endettement financier en hausse à 4,16 Mds FCFA. Le changement de contrôle (cession de 72% par Air Liquide International à ERIUM LTD) et la nouvelle dénomination sociale ajoutent une couche d'incertitude stratégique.</w:t>
      </w:r>
    </w:p>
    <w:p>
      <w:pPr>
        <w:spacing w:after="120" w:line="276" w:lineRule="auto"/>
      </w:pPr>
      <w:r>
        <w:t>---</w:t>
      </w:r>
    </w:p>
    <w:p>
      <w:pPr>
        <w:spacing w:after="120" w:line="276" w:lineRule="auto"/>
      </w:pPr>
      <w:r>
        <w:t>### PARTIE 4 : CONCLUSION D'INVESTISSEMENT</w:t>
      </w:r>
    </w:p>
    <w:p>
      <w:pPr>
        <w:spacing w:after="120" w:line="276" w:lineRule="auto"/>
      </w:pPr>
      <w:r>
        <w:t>La synthèse des analyses est **résolument baissière**. La valorisation boursière (PER de 54x, P/B de 6,2x) est extrêmement exigeante et intenable face à une rentabilité en chute libre (marge nette de 1,78% en 2025). Le comportement du cours (-23,86% sur 100 jours) et les statistiques (volatilité de 51%) confirment un risque élevé et une défiance des investisseurs. Les signaux techniques sont contradictoires, mais la tendance de fond reste négative. Fondamentalement, la société a montré une croissance de son chiffre d'affaires, mais a échoué à la transformer en profit, et sa situation de trésorerie est préoccupante. Les **prédictions IA pour les 10 prochains jours (baisse continue de 2 230 à 2 043 FCFA) confirment la poursuite de la tendance baissière**, en cohérence avec la dégradation des fondamentaux et la valorisation excessive. Par conséquent, la recommandation finale est **VENTE FORTE** pour les investisseurs existants, et une **abstention totale** pour les nouveaux entrants. Le niveau de confiance est **Élevé** et le risque global est **Élevé**. L'horizon d'investissement optimal est le **court terme (&lt;3 mois)** pour tout scénario de sortie, car les perspectives à moyen et long terme sont assombries par les incertitudes stratégiques et financières.</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37.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613.17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1,255 titres</w:t>
            </w:r>
          </w:p>
        </w:tc>
        <w:tc>
          <w:tcPr>
            <w:tcW w:type="dxa" w:w="2268"/>
            <w:shd w:fill="FFF2CC" w:val="clear"/>
          </w:tcPr>
          <w:p>
            <w:r>
              <w:rPr>
                <w:b/>
                <w:color w:val="503200"/>
                <w:sz w:val="16"/>
              </w:rPr>
              <w:t xml:space="preserve">Cours actuel : </w:t>
            </w:r>
            <w:r>
              <w:rPr>
                <w:color w:val="000000"/>
                <w:sz w:val="17"/>
              </w:rPr>
              <w:t>37,250 FCFA</w:t>
            </w:r>
          </w:p>
          <w:p>
            <w:r>
              <w:rPr>
                <w:b/>
                <w:color w:val="503200"/>
                <w:sz w:val="16"/>
              </w:rPr>
              <w:t xml:space="preserve">Var. 100 jours : </w:t>
            </w:r>
            <w:r>
              <w:rPr>
                <w:b/>
                <w:color w:val="007800"/>
                <w:sz w:val="17"/>
              </w:rPr>
              <w:t>+0.13%</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35,540 FCFA</w:t>
            </w:r>
          </w:p>
          <w:p>
            <w:r>
              <w:rPr>
                <w:b/>
                <w:color w:val="503200"/>
                <w:sz w:val="16"/>
              </w:rPr>
              <w:t xml:space="preserve">Volatilité ann. : </w:t>
            </w:r>
            <w:r>
              <w:rPr>
                <w:color w:val="000000"/>
                <w:sz w:val="17"/>
              </w:rPr>
              <w:t>29.8%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2.50% (Faible) — μ=38,306 FCFA, σ=959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β=0.0312 (Défensif) — Cov=0.000001, Var(idx)=0.000036, ρ=0.010,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1,255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σ_j=1.88%/j (Stable) — Vol. annualisée≈29.8%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2026-09-07</w:t>
            </w:r>
          </w:p>
        </w:tc>
        <w:tc>
          <w:tcPr>
            <w:tcW w:type="dxa" w:w="1440"/>
            <w:shd w:fill="FAFAFA" w:val="clear"/>
          </w:tcPr>
          <w:p>
            <w:r>
              <w:rPr>
                <w:sz w:val="17"/>
              </w:rPr>
              <w:t>36,353</w:t>
            </w:r>
          </w:p>
        </w:tc>
        <w:tc>
          <w:tcPr>
            <w:tcW w:type="dxa" w:w="1440"/>
            <w:shd w:fill="FAFAFA" w:val="clear"/>
          </w:tcPr>
          <w:p>
            <w:r>
              <w:rPr>
                <w:b/>
                <w:sz w:val="17"/>
              </w:rPr>
              <w:t>37,611</w:t>
            </w:r>
          </w:p>
        </w:tc>
        <w:tc>
          <w:tcPr>
            <w:tcW w:type="dxa" w:w="1440"/>
            <w:shd w:fill="FAFAFA" w:val="clear"/>
          </w:tcPr>
          <w:p>
            <w:r>
              <w:rPr>
                <w:sz w:val="17"/>
              </w:rPr>
              <w:t>38,870</w:t>
            </w:r>
          </w:p>
        </w:tc>
        <w:tc>
          <w:tcPr>
            <w:tcW w:type="dxa" w:w="1440"/>
            <w:shd w:fill="FAFAFA" w:val="clear"/>
          </w:tcPr>
          <w:p>
            <w:r>
              <w:rPr>
                <w:b/>
                <w:color w:val="008000"/>
                <w:sz w:val="17"/>
              </w:rPr>
              <w:t>+1.0%</w:t>
            </w:r>
          </w:p>
        </w:tc>
      </w:tr>
      <w:tr>
        <w:tc>
          <w:tcPr>
            <w:tcW w:type="dxa" w:w="1440"/>
            <w:shd w:fill="FAFAFA" w:val="clear"/>
          </w:tcPr>
          <w:p>
            <w:r>
              <w:rPr>
                <w:sz w:val="17"/>
              </w:rPr>
              <w:t>J+2  Moyenne</w:t>
            </w:r>
          </w:p>
        </w:tc>
        <w:tc>
          <w:tcPr>
            <w:tcW w:type="dxa" w:w="1440"/>
            <w:shd w:fill="FAFAFA" w:val="clear"/>
          </w:tcPr>
          <w:p>
            <w:r>
              <w:rPr>
                <w:sz w:val="17"/>
              </w:rPr>
              <w:t>2026-09-08</w:t>
            </w:r>
          </w:p>
        </w:tc>
        <w:tc>
          <w:tcPr>
            <w:tcW w:type="dxa" w:w="1440"/>
            <w:shd w:fill="FAFAFA" w:val="clear"/>
          </w:tcPr>
          <w:p>
            <w:r>
              <w:rPr>
                <w:sz w:val="17"/>
              </w:rPr>
              <w:t>35,724</w:t>
            </w:r>
          </w:p>
        </w:tc>
        <w:tc>
          <w:tcPr>
            <w:tcW w:type="dxa" w:w="1440"/>
            <w:shd w:fill="FAFAFA" w:val="clear"/>
          </w:tcPr>
          <w:p>
            <w:r>
              <w:rPr>
                <w:b/>
                <w:sz w:val="17"/>
              </w:rPr>
              <w:t>37,498</w:t>
            </w:r>
          </w:p>
        </w:tc>
        <w:tc>
          <w:tcPr>
            <w:tcW w:type="dxa" w:w="1440"/>
            <w:shd w:fill="FAFAFA" w:val="clear"/>
          </w:tcPr>
          <w:p>
            <w:r>
              <w:rPr>
                <w:sz w:val="17"/>
              </w:rPr>
              <w:t>39,273</w:t>
            </w:r>
          </w:p>
        </w:tc>
        <w:tc>
          <w:tcPr>
            <w:tcW w:type="dxa" w:w="1440"/>
            <w:shd w:fill="FAFAFA" w:val="clear"/>
          </w:tcPr>
          <w:p>
            <w:r>
              <w:rPr>
                <w:b/>
                <w:color w:val="008000"/>
                <w:sz w:val="17"/>
              </w:rPr>
              <w:t>+0.7%</w:t>
            </w:r>
          </w:p>
        </w:tc>
      </w:tr>
      <w:tr>
        <w:tc>
          <w:tcPr>
            <w:tcW w:type="dxa" w:w="1440"/>
            <w:shd w:fill="FAFAFA" w:val="clear"/>
          </w:tcPr>
          <w:p>
            <w:r>
              <w:rPr>
                <w:sz w:val="17"/>
              </w:rPr>
              <w:t>J+3  Moyenne</w:t>
            </w:r>
          </w:p>
        </w:tc>
        <w:tc>
          <w:tcPr>
            <w:tcW w:type="dxa" w:w="1440"/>
            <w:shd w:fill="FAFAFA" w:val="clear"/>
          </w:tcPr>
          <w:p>
            <w:r>
              <w:rPr>
                <w:sz w:val="17"/>
              </w:rPr>
              <w:t>2026-09-09</w:t>
            </w:r>
          </w:p>
        </w:tc>
        <w:tc>
          <w:tcPr>
            <w:tcW w:type="dxa" w:w="1440"/>
            <w:shd w:fill="FAFAFA" w:val="clear"/>
          </w:tcPr>
          <w:p>
            <w:r>
              <w:rPr>
                <w:sz w:val="17"/>
              </w:rPr>
              <w:t>35,277</w:t>
            </w:r>
          </w:p>
        </w:tc>
        <w:tc>
          <w:tcPr>
            <w:tcW w:type="dxa" w:w="1440"/>
            <w:shd w:fill="FAFAFA" w:val="clear"/>
          </w:tcPr>
          <w:p>
            <w:r>
              <w:rPr>
                <w:b/>
                <w:sz w:val="17"/>
              </w:rPr>
              <w:t>37,447</w:t>
            </w:r>
          </w:p>
        </w:tc>
        <w:tc>
          <w:tcPr>
            <w:tcW w:type="dxa" w:w="1440"/>
            <w:shd w:fill="FAFAFA" w:val="clear"/>
          </w:tcPr>
          <w:p>
            <w:r>
              <w:rPr>
                <w:sz w:val="17"/>
              </w:rPr>
              <w:t>39,618</w:t>
            </w:r>
          </w:p>
        </w:tc>
        <w:tc>
          <w:tcPr>
            <w:tcW w:type="dxa" w:w="1440"/>
            <w:shd w:fill="FAFAFA" w:val="clear"/>
          </w:tcPr>
          <w:p>
            <w:r>
              <w:rPr>
                <w:b/>
                <w:color w:val="008000"/>
                <w:sz w:val="17"/>
              </w:rPr>
              <w:t>+0.5%</w:t>
            </w:r>
          </w:p>
        </w:tc>
      </w:tr>
      <w:tr>
        <w:tc>
          <w:tcPr>
            <w:tcW w:type="dxa" w:w="1440"/>
            <w:shd w:fill="FAFAFA" w:val="clear"/>
          </w:tcPr>
          <w:p>
            <w:r>
              <w:rPr>
                <w:sz w:val="17"/>
              </w:rPr>
              <w:t>J+4  ⭐</w:t>
            </w:r>
          </w:p>
        </w:tc>
        <w:tc>
          <w:tcPr>
            <w:tcW w:type="dxa" w:w="1440"/>
            <w:shd w:fill="FAFAFA" w:val="clear"/>
          </w:tcPr>
          <w:p>
            <w:r>
              <w:rPr>
                <w:sz w:val="17"/>
              </w:rPr>
              <w:t>2026-09-10</w:t>
            </w:r>
          </w:p>
        </w:tc>
        <w:tc>
          <w:tcPr>
            <w:tcW w:type="dxa" w:w="1440"/>
            <w:shd w:fill="FAFAFA" w:val="clear"/>
          </w:tcPr>
          <w:p>
            <w:r>
              <w:rPr>
                <w:sz w:val="17"/>
              </w:rPr>
              <w:t>34,907</w:t>
            </w:r>
          </w:p>
        </w:tc>
        <w:tc>
          <w:tcPr>
            <w:tcW w:type="dxa" w:w="1440"/>
            <w:shd w:fill="FAFAFA" w:val="clear"/>
          </w:tcPr>
          <w:p>
            <w:r>
              <w:rPr>
                <w:b/>
                <w:sz w:val="17"/>
              </w:rPr>
              <w:t>37,411</w:t>
            </w:r>
          </w:p>
        </w:tc>
        <w:tc>
          <w:tcPr>
            <w:tcW w:type="dxa" w:w="1440"/>
            <w:shd w:fill="FAFAFA" w:val="clear"/>
          </w:tcPr>
          <w:p>
            <w:r>
              <w:rPr>
                <w:sz w:val="17"/>
              </w:rPr>
              <w:t>39,915</w:t>
            </w:r>
          </w:p>
        </w:tc>
        <w:tc>
          <w:tcPr>
            <w:tcW w:type="dxa" w:w="1440"/>
            <w:shd w:fill="FAFAFA" w:val="clear"/>
          </w:tcPr>
          <w:p>
            <w:r>
              <w:rPr>
                <w:b/>
                <w:color w:val="008000"/>
                <w:sz w:val="17"/>
              </w:rPr>
              <w:t>+0.4%</w:t>
            </w:r>
          </w:p>
        </w:tc>
      </w:tr>
      <w:tr>
        <w:tc>
          <w:tcPr>
            <w:tcW w:type="dxa" w:w="1440"/>
            <w:shd w:fill="FAFAFA" w:val="clear"/>
          </w:tcPr>
          <w:p>
            <w:r>
              <w:rPr>
                <w:sz w:val="17"/>
              </w:rPr>
              <w:t>J+5  ⭐</w:t>
            </w:r>
          </w:p>
        </w:tc>
        <w:tc>
          <w:tcPr>
            <w:tcW w:type="dxa" w:w="1440"/>
            <w:shd w:fill="FAFAFA" w:val="clear"/>
          </w:tcPr>
          <w:p>
            <w:r>
              <w:rPr>
                <w:sz w:val="17"/>
              </w:rPr>
              <w:t>2026-09-11</w:t>
            </w:r>
          </w:p>
        </w:tc>
        <w:tc>
          <w:tcPr>
            <w:tcW w:type="dxa" w:w="1440"/>
            <w:shd w:fill="FAFAFA" w:val="clear"/>
          </w:tcPr>
          <w:p>
            <w:r>
              <w:rPr>
                <w:sz w:val="17"/>
              </w:rPr>
              <w:t>34,581</w:t>
            </w:r>
          </w:p>
        </w:tc>
        <w:tc>
          <w:tcPr>
            <w:tcW w:type="dxa" w:w="1440"/>
            <w:shd w:fill="FAFAFA" w:val="clear"/>
          </w:tcPr>
          <w:p>
            <w:r>
              <w:rPr>
                <w:b/>
                <w:sz w:val="17"/>
              </w:rPr>
              <w:t>37,378</w:t>
            </w:r>
          </w:p>
        </w:tc>
        <w:tc>
          <w:tcPr>
            <w:tcW w:type="dxa" w:w="1440"/>
            <w:shd w:fill="FAFAFA" w:val="clear"/>
          </w:tcPr>
          <w:p>
            <w:r>
              <w:rPr>
                <w:sz w:val="17"/>
              </w:rPr>
              <w:t>40,175</w:t>
            </w:r>
          </w:p>
        </w:tc>
        <w:tc>
          <w:tcPr>
            <w:tcW w:type="dxa" w:w="1440"/>
            <w:shd w:fill="FAFAFA" w:val="clear"/>
          </w:tcPr>
          <w:p>
            <w:r>
              <w:rPr>
                <w:b/>
                <w:color w:val="008000"/>
                <w:sz w:val="17"/>
              </w:rPr>
              <w:t>+0.3%</w:t>
            </w:r>
          </w:p>
        </w:tc>
      </w:tr>
      <w:tr>
        <w:tc>
          <w:tcPr>
            <w:tcW w:type="dxa" w:w="1440"/>
            <w:shd w:fill="FAFAFA" w:val="clear"/>
          </w:tcPr>
          <w:p>
            <w:r>
              <w:rPr>
                <w:sz w:val="17"/>
              </w:rPr>
              <w:t>J+6  ⭐</w:t>
            </w:r>
          </w:p>
        </w:tc>
        <w:tc>
          <w:tcPr>
            <w:tcW w:type="dxa" w:w="1440"/>
            <w:shd w:fill="FAFAFA" w:val="clear"/>
          </w:tcPr>
          <w:p>
            <w:r>
              <w:rPr>
                <w:sz w:val="17"/>
              </w:rPr>
              <w:t>2026-09-14</w:t>
            </w:r>
          </w:p>
        </w:tc>
        <w:tc>
          <w:tcPr>
            <w:tcW w:type="dxa" w:w="1440"/>
            <w:shd w:fill="FAFAFA" w:val="clear"/>
          </w:tcPr>
          <w:p>
            <w:r>
              <w:rPr>
                <w:sz w:val="17"/>
              </w:rPr>
              <w:t>34,284</w:t>
            </w:r>
          </w:p>
        </w:tc>
        <w:tc>
          <w:tcPr>
            <w:tcW w:type="dxa" w:w="1440"/>
            <w:shd w:fill="FAFAFA" w:val="clear"/>
          </w:tcPr>
          <w:p>
            <w:r>
              <w:rPr>
                <w:b/>
                <w:sz w:val="17"/>
              </w:rPr>
              <w:t>37,345</w:t>
            </w:r>
          </w:p>
        </w:tc>
        <w:tc>
          <w:tcPr>
            <w:tcW w:type="dxa" w:w="1440"/>
            <w:shd w:fill="FAFAFA" w:val="clear"/>
          </w:tcPr>
          <w:p>
            <w:r>
              <w:rPr>
                <w:sz w:val="17"/>
              </w:rPr>
              <w:t>40,406</w:t>
            </w:r>
          </w:p>
        </w:tc>
        <w:tc>
          <w:tcPr>
            <w:tcW w:type="dxa" w:w="1440"/>
            <w:shd w:fill="FAFAFA" w:val="clear"/>
          </w:tcPr>
          <w:p>
            <w:r>
              <w:rPr>
                <w:b/>
                <w:color w:val="008000"/>
                <w:sz w:val="17"/>
              </w:rPr>
              <w:t>+0.3%</w:t>
            </w:r>
          </w:p>
        </w:tc>
      </w:tr>
      <w:tr>
        <w:tc>
          <w:tcPr>
            <w:tcW w:type="dxa" w:w="1440"/>
            <w:shd w:fill="FAFAFA" w:val="clear"/>
          </w:tcPr>
          <w:p>
            <w:r>
              <w:rPr>
                <w:sz w:val="17"/>
              </w:rPr>
              <w:t>J+7  ⭐</w:t>
            </w:r>
          </w:p>
        </w:tc>
        <w:tc>
          <w:tcPr>
            <w:tcW w:type="dxa" w:w="1440"/>
            <w:shd w:fill="FAFAFA" w:val="clear"/>
          </w:tcPr>
          <w:p>
            <w:r>
              <w:rPr>
                <w:sz w:val="17"/>
              </w:rPr>
              <w:t>2026-09-15</w:t>
            </w:r>
          </w:p>
        </w:tc>
        <w:tc>
          <w:tcPr>
            <w:tcW w:type="dxa" w:w="1440"/>
            <w:shd w:fill="FAFAFA" w:val="clear"/>
          </w:tcPr>
          <w:p>
            <w:r>
              <w:rPr>
                <w:sz w:val="17"/>
              </w:rPr>
              <w:t>34,009</w:t>
            </w:r>
          </w:p>
        </w:tc>
        <w:tc>
          <w:tcPr>
            <w:tcW w:type="dxa" w:w="1440"/>
            <w:shd w:fill="FAFAFA" w:val="clear"/>
          </w:tcPr>
          <w:p>
            <w:r>
              <w:rPr>
                <w:b/>
                <w:sz w:val="17"/>
              </w:rPr>
              <w:t>37,313</w:t>
            </w:r>
          </w:p>
        </w:tc>
        <w:tc>
          <w:tcPr>
            <w:tcW w:type="dxa" w:w="1440"/>
            <w:shd w:fill="FAFAFA" w:val="clear"/>
          </w:tcPr>
          <w:p>
            <w:r>
              <w:rPr>
                <w:sz w:val="17"/>
              </w:rPr>
              <w:t>40,616</w:t>
            </w:r>
          </w:p>
        </w:tc>
        <w:tc>
          <w:tcPr>
            <w:tcW w:type="dxa" w:w="1440"/>
            <w:shd w:fill="FAFAFA" w:val="clear"/>
          </w:tcPr>
          <w:p>
            <w:r>
              <w:rPr>
                <w:b/>
                <w:color w:val="008000"/>
                <w:sz w:val="17"/>
              </w:rPr>
              <w:t>+0.2%</w:t>
            </w:r>
          </w:p>
        </w:tc>
      </w:tr>
      <w:tr>
        <w:tc>
          <w:tcPr>
            <w:tcW w:type="dxa" w:w="1440"/>
            <w:shd w:fill="FAFAFA" w:val="clear"/>
          </w:tcPr>
          <w:p>
            <w:r>
              <w:rPr>
                <w:sz w:val="17"/>
              </w:rPr>
              <w:t>J+8  ⭐</w:t>
            </w:r>
          </w:p>
        </w:tc>
        <w:tc>
          <w:tcPr>
            <w:tcW w:type="dxa" w:w="1440"/>
            <w:shd w:fill="FAFAFA" w:val="clear"/>
          </w:tcPr>
          <w:p>
            <w:r>
              <w:rPr>
                <w:sz w:val="17"/>
              </w:rPr>
              <w:t>2026-09-16</w:t>
            </w:r>
          </w:p>
        </w:tc>
        <w:tc>
          <w:tcPr>
            <w:tcW w:type="dxa" w:w="1440"/>
            <w:shd w:fill="FAFAFA" w:val="clear"/>
          </w:tcPr>
          <w:p>
            <w:r>
              <w:rPr>
                <w:sz w:val="17"/>
              </w:rPr>
              <w:t>33,752</w:t>
            </w:r>
          </w:p>
        </w:tc>
        <w:tc>
          <w:tcPr>
            <w:tcW w:type="dxa" w:w="1440"/>
            <w:shd w:fill="FAFAFA" w:val="clear"/>
          </w:tcPr>
          <w:p>
            <w:r>
              <w:rPr>
                <w:b/>
                <w:sz w:val="17"/>
              </w:rPr>
              <w:t>37,281</w:t>
            </w:r>
          </w:p>
        </w:tc>
        <w:tc>
          <w:tcPr>
            <w:tcW w:type="dxa" w:w="1440"/>
            <w:shd w:fill="FAFAFA" w:val="clear"/>
          </w:tcPr>
          <w:p>
            <w:r>
              <w:rPr>
                <w:sz w:val="17"/>
              </w:rPr>
              <w:t>40,809</w:t>
            </w:r>
          </w:p>
        </w:tc>
        <w:tc>
          <w:tcPr>
            <w:tcW w:type="dxa" w:w="1440"/>
            <w:shd w:fill="FAFAFA" w:val="clear"/>
          </w:tcPr>
          <w:p>
            <w:r>
              <w:rPr>
                <w:b/>
                <w:color w:val="008000"/>
                <w:sz w:val="17"/>
              </w:rPr>
              <w:t>+0.1%</w:t>
            </w:r>
          </w:p>
        </w:tc>
      </w:tr>
      <w:tr>
        <w:tc>
          <w:tcPr>
            <w:tcW w:type="dxa" w:w="1440"/>
            <w:shd w:fill="FAFAFA" w:val="clear"/>
          </w:tcPr>
          <w:p>
            <w:r>
              <w:rPr>
                <w:sz w:val="17"/>
              </w:rPr>
              <w:t>J+9  ⭐</w:t>
            </w:r>
          </w:p>
        </w:tc>
        <w:tc>
          <w:tcPr>
            <w:tcW w:type="dxa" w:w="1440"/>
            <w:shd w:fill="FAFAFA" w:val="clear"/>
          </w:tcPr>
          <w:p>
            <w:r>
              <w:rPr>
                <w:sz w:val="17"/>
              </w:rPr>
              <w:t>2026-09-17</w:t>
            </w:r>
          </w:p>
        </w:tc>
        <w:tc>
          <w:tcPr>
            <w:tcW w:type="dxa" w:w="1440"/>
            <w:shd w:fill="FAFAFA" w:val="clear"/>
          </w:tcPr>
          <w:p>
            <w:r>
              <w:rPr>
                <w:sz w:val="17"/>
              </w:rPr>
              <w:t>33,509</w:t>
            </w:r>
          </w:p>
        </w:tc>
        <w:tc>
          <w:tcPr>
            <w:tcW w:type="dxa" w:w="1440"/>
            <w:shd w:fill="FAFAFA" w:val="clear"/>
          </w:tcPr>
          <w:p>
            <w:r>
              <w:rPr>
                <w:b/>
                <w:sz w:val="17"/>
              </w:rPr>
              <w:t>37,248</w:t>
            </w:r>
          </w:p>
        </w:tc>
        <w:tc>
          <w:tcPr>
            <w:tcW w:type="dxa" w:w="1440"/>
            <w:shd w:fill="FAFAFA" w:val="clear"/>
          </w:tcPr>
          <w:p>
            <w:r>
              <w:rPr>
                <w:sz w:val="17"/>
              </w:rPr>
              <w:t>40,988</w:t>
            </w:r>
          </w:p>
        </w:tc>
        <w:tc>
          <w:tcPr>
            <w:tcW w:type="dxa" w:w="1440"/>
            <w:shd w:fill="FAFAFA" w:val="clear"/>
          </w:tcPr>
          <w:p>
            <w:r>
              <w:rPr>
                <w:b/>
                <w:color w:val="C00000"/>
                <w:sz w:val="17"/>
              </w:rPr>
              <w:t>-0.0%</w:t>
            </w:r>
          </w:p>
        </w:tc>
      </w:tr>
      <w:tr>
        <w:tc>
          <w:tcPr>
            <w:tcW w:type="dxa" w:w="1440"/>
            <w:shd w:fill="FAFAFA" w:val="clear"/>
          </w:tcPr>
          <w:p>
            <w:r>
              <w:rPr>
                <w:sz w:val="17"/>
              </w:rPr>
              <w:t>J+10  ⭐</w:t>
            </w:r>
          </w:p>
        </w:tc>
        <w:tc>
          <w:tcPr>
            <w:tcW w:type="dxa" w:w="1440"/>
            <w:shd w:fill="FAFAFA" w:val="clear"/>
          </w:tcPr>
          <w:p>
            <w:r>
              <w:rPr>
                <w:sz w:val="17"/>
              </w:rPr>
              <w:t>2026-09-18</w:t>
            </w:r>
          </w:p>
        </w:tc>
        <w:tc>
          <w:tcPr>
            <w:tcW w:type="dxa" w:w="1440"/>
            <w:shd w:fill="FAFAFA" w:val="clear"/>
          </w:tcPr>
          <w:p>
            <w:r>
              <w:rPr>
                <w:sz w:val="17"/>
              </w:rPr>
              <w:t>33,278</w:t>
            </w:r>
          </w:p>
        </w:tc>
        <w:tc>
          <w:tcPr>
            <w:tcW w:type="dxa" w:w="1440"/>
            <w:shd w:fill="FAFAFA" w:val="clear"/>
          </w:tcPr>
          <w:p>
            <w:r>
              <w:rPr>
                <w:b/>
                <w:sz w:val="17"/>
              </w:rPr>
              <w:t>37,216</w:t>
            </w:r>
          </w:p>
        </w:tc>
        <w:tc>
          <w:tcPr>
            <w:tcW w:type="dxa" w:w="1440"/>
            <w:shd w:fill="FAFAFA" w:val="clear"/>
          </w:tcPr>
          <w:p>
            <w:r>
              <w:rPr>
                <w:sz w:val="17"/>
              </w:rPr>
              <w:t>41,154</w:t>
            </w:r>
          </w:p>
        </w:tc>
        <w:tc>
          <w:tcPr>
            <w:tcW w:type="dxa" w:w="1440"/>
            <w:shd w:fill="FAFAFA" w:val="clear"/>
          </w:tcPr>
          <w:p>
            <w:r>
              <w:rPr>
                <w:b/>
                <w:color w:val="C00000"/>
                <w:sz w:val="17"/>
              </w:rPr>
              <w:t>-0.1%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SLBC s'établit à 613,17 milliards FCFA, ce qui positionne le titre parmi les valeurs les plus significatives de la BRVM, reflétant la taille et l'importance de SOLIBRA dans l'économie ivoirienne et régionale. Avec un BPA de 2 781 FCFA, chaque action génère un bénéfice substantiel, justifiant un PER de 13,4x. Ce ratio est légèrement supérieur à la moyenne historique de la BRVM (8-12x), indiquant que le marché accorde une prime de croissance à l'entreprise, mais reste dans une zone de valorisation raisonnable pour un leader de son secteur. Le P/B de 3,14x confirme cette prime, le marché valorisant les actifs nets de la société bien au-delà de leur valeur comptable, signe de confiance dans la création de valeur future. Enfin, l'EV/EBITDA de 7,3x, situé dans la fourchette de 5-10x jugée raisonnable, suggère que la valeur totale de l'entreprise reste cohérente avec sa capacité opérationnelle à générer des flux, malgré la prime de croissance intégrée dans le PER.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SLBC affiche une variation totale quasi nulle de +0,13%, mais enregistre un recul notable de -1,95% lors de la dernière séance, signe d'une consolidation récente. Le cours a évolué dans un range de trading de 35 540 FCFA (plus bas) à 41 500 FCFA (plus haut), démontrant une amplitude de près de 17% sur la période. La moyenne du cours (38 306 FCFA) est très proche de la médiane (38 005 FCFA) et du mode (38 000 FCFA), indiquant une distribution remarquablement symétrique et stable des prix, sans asymétrie marquée. Cette stabilité est confirmée par un écart-type faible de 964 FCFA, soit un coefficient de variation de seulement 2,5%, traduisant une dispersion très limitée des cours autour de la moyenne. Le kurtosis de 0,269 (mésokurtique) et le skewness de 0,322 indiquent une distribution proche de la normale, sans risque de variations extrêmes ou de pics inhabituels. La volatilité annualisée de 29,8% classe le titre dans la catégorie des valeurs à volatilité modérée, proche du seuil de 30%, ce qui est cohérent avec une action de grande capitalisation stable mais sensible aux annonces fondamentales.</w:t>
      </w:r>
    </w:p>
    <w:p>
      <w:pPr>
        <w:spacing w:after="120" w:line="276" w:lineRule="auto" w:before="240"/>
      </w:pPr>
      <w:r>
        <w:rPr>
          <w:b/>
          <w:color w:val="003366"/>
          <w:sz w:val="24"/>
        </w:rPr>
        <w:t>**PARTIE 2 : ANALYSE TECHNIQUE DÉTAILLÉE**</w:t>
      </w:r>
    </w:p>
    <w:p>
      <w:pPr>
        <w:spacing w:after="120" w:line="276" w:lineRule="auto"/>
      </w:pPr>
      <w:r>
        <w:t>**Moyennes Mobiles**: La MM20 à 37 554,5 FCFA et la MM50 à 38 429,9 FCFA se situent toutes deux au-dessus du cours actuel de 37 250 FCFA, avec une MM50 supérieure à la MM20, configuration typique d'une tendance baissière à court et moyen terme. Le croisement baissier et la position du prix sous ces moyennes mobiles justifient la décision de Vente, signalant une dynamique négative que le marché n'a pas encore inversée.</w:t>
      </w:r>
    </w:p>
    <w:p>
      <w:pPr>
        <w:spacing w:after="120" w:line="276" w:lineRule="auto"/>
      </w:pPr>
      <w:r>
        <w:t>**Bandes de Bollinger**: Le cours actuel de 37 250 FCFA se positionne entre la borne inférieure à 36 760,994 FCFA et la borne supérieure à 38 348,006 FCFA, plus près de la borne inférieure, indiquant une pression vendeuse modérée. La largeur des bandes reflète une volatilité contenue, et le prix évoluant dans la moitié inférieure du canal suggère un momentum baissier sans excès, d'où la décision Neutre, le titre n'étant ni suracheté ni survendu.</w:t>
      </w:r>
    </w:p>
    <w:p>
      <w:pPr>
        <w:spacing w:after="120" w:line="276" w:lineRule="auto"/>
      </w:pPr>
      <w:r>
        <w:t>**MACD**: Le MACD affiche une valeur de -165,033, tandis que le signal est à -233,876, avec le MACD au-dessus de sa ligne de signal. Cette configuration, bien que les deux indicateurs soient en territoire négatif, montre un momentum haussier émergent, car la divergence positive entre le MACD et le signal indique un ralentissement de la tendance baissière et un potentiel retournement à la hausse, justifiant la décision d'Achat.</w:t>
      </w:r>
    </w:p>
    <w:p>
      <w:pPr>
        <w:spacing w:after="120" w:line="276" w:lineRule="auto"/>
      </w:pPr>
      <w:r>
        <w:t>**RSI**: Avec une valeur de 50,0, le RSI se situe exactement à la neutralité, indiquant un équilibre parfait entre les forces acheteuses et vendeuses. Cette position centrale, loin des zones de surachat (&gt;70) ou de survente (&lt;30), suggère que le titre n'est soumis à aucune pression directionnelle forte, laissant place à une possible consolidation ou à un mouvement impulsé par les fondamentaux, d'où la décision Neutre.</w:t>
      </w:r>
    </w:p>
    <w:p>
      <w:pPr>
        <w:spacing w:after="120" w:line="276" w:lineRule="auto"/>
      </w:pPr>
      <w:r>
        <w:t>**Stochastique**: Le %K à 25,0 et le %D à 74,333 montrent un écart significatif, avec le %K nettement sous le %D, signalant une dynamique baissière à court terme. Bien que le %K approche la zone de survente (&lt;20), le croisement baissier déjà effectué et la position du %D élevé indiquent une correction en cours, justifiant la décision Neutre, en attente d'un signal de retournement plus clair.</w:t>
      </w:r>
    </w:p>
    <w:p>
      <w:pPr>
        <w:spacing w:after="120" w:line="276" w:lineRule="auto"/>
      </w:pPr>
      <w:r>
        <w:t>**Conclusion technique**: La synthèse des indicateurs techniques révèle un tableau contrasté : les moyennes mobiles signalent une tendance baissière, tandis que le MACD suggère un momentum haussier naissant, et le RSI, les bandes de Bollinger et le stochastique restent neutres. Cette divergence entre les signaux de tendance et de momentum indique une phase de transition incertaine, où le titre pourrait consolider avant de choisir une direction, avec un biais légèrement négatif à court terme mais un potentiel de rebond technique.</w:t>
      </w:r>
    </w:p>
    <w:p>
      <w:pPr>
        <w:spacing w:after="120" w:line="276" w:lineRule="auto" w:before="240"/>
      </w:pPr>
      <w:r>
        <w:rPr>
          <w:b/>
          <w:color w:val="003366"/>
          <w:sz w:val="24"/>
        </w:rPr>
        <w:t>**PARTIE 3 : ANALYSE FONDAMENTALE (SECTION CRITIQUE)**</w:t>
      </w:r>
    </w:p>
    <w:p>
      <w:pPr>
        <w:spacing w:after="120" w:line="276" w:lineRule="auto"/>
      </w:pPr>
      <w:r>
        <w:t>En 2025, SLBC affiche des états financiers annuels exceptionnels : le chiffre d'affaires atteint 378,123 milliards FCFA, en croissance de +22,1% par rapport à 2024, et le résultat net double pratiquement à 45,781 milliards FCFA, portant la marge nette à 12,1% contre 6,9% l'année précédente. La rentabilité des capitaux propres (ROE) s'établit à un niveau excellent de 23,46%, et le ROA à 13,48%, témoignant d'une utilisation très efficace des actifs. En tant qu'entreprise industrielle, l'analyse du BFR est cruciale : il s'élève à 61,587 milliards FCFA, avec un délai clients de 64 jours (modéré) et un délai fournisseurs de 77 jours (favorable), tandis que la durée de stockage de 117 jours reste élevée, immobilisant du capital. L'endettement est maîtrisé avec un ratio de dépendance financière de 23,98% et une capacité de remboursement rapide de 0,67 an. Les rapports narratifs confirment cette trajectoire : le rapport du 31/12/2025 (analysé par DeepSeek) recommande l'ACHAT, soulignant la croissance dynamique et la politique de dividende généreuse (taux de distribution de 76,5%). Le rapport du S1 2025 montre déjà un résultat net en hausse de +175,1%, et le rapport T1 2026 (publié en 2026) indique une croissance du CA de +7,6% et du résultat net de +4,8%, suggérant une poursuite de la dynamique en 2026, bien qu'à un rythme plus modéré. On estime que l'exercice 2026 devrait confirmer la solidité des fondamentaux, avec une croissance plus normalisée mais une rentabilité maintenue à des niveaux élevés. La recommandation fondamentale est clairement positive, portée par une croissance profitable, une structure financière saine et une politique de distribution attractive.</w:t>
      </w:r>
    </w:p>
    <w:p>
      <w:pPr>
        <w:spacing w:after="120" w:line="276" w:lineRule="auto" w:before="240"/>
      </w:pPr>
      <w:r>
        <w:rPr>
          <w:b/>
          <w:color w:val="003366"/>
          <w:sz w:val="24"/>
        </w:rPr>
        <w:t>**PARTIE 4 : CONCLUSION D'INVESTISSEMENT**</w:t>
      </w:r>
    </w:p>
    <w:p>
      <w:pPr>
        <w:spacing w:after="120" w:line="276" w:lineRule="auto"/>
      </w:pPr>
      <w:r>
        <w:t>La synthèse globale révèle une divergence marquée entre des fondamentaux exceptionnels et un comportement boursier atone. La valorisation (PER de 13,4x, P/B de 3,14x, EV/EBITDA de 7,3x) est raisonnable, sans surévaluation excessive, mais avec une prime de croissance justifiée par les performances 2025. Le comportement du cours sur 100 jours est stable avec une volatilité modérée (29,8%) et une distribution symétrique, mais la tendance récente est légèrement baissière. Les signaux techniques sont mitigés : les moyennes mobiles sont vendeuses, le MACD est acheteur, et les autres indicateurs sont neutres, traduisant une absence de direction claire à court terme. En revanche, les fondamentaux sont indiscutablement solides : croissance du CA de +22% en 2025, doublement du résultat net, ROE de 23,46%, et une dynamique confirmée au T1 2026. Les prédictions IA pour les 10 prochains jours (37 611 à 37 378 FCFA) suggèrent une stabilisation autour des niveaux actuels, avec une légère tendance baissière, contredisant les signaux fondamentaux positifs. Cette divergence entre la solidité financière et la faiblesse technique indique que le marché a déjà intégré une partie des bonnes nouvelles, mais laisse un potentiel de revalorisation si la croissance se poursuit. **Recommandation finale : ACHAT**, avec un niveau de confiance Moyen, justifié par la convergence entre des fondamentaux excellents et une valorisation encore raisonnable, malgré des signaux techniques neutres à baissiers à court terme. Le risque global est Faible, compte tenu de la solidité du bilan et de la position de leader de l'entreprise. L'horizon d'investissement optimal est le moyen terme (3-12 mois), permettant de capitaliser sur la poursuite attendue de la croissance et la politique de dividende généreuse, tout en laissant le temps aux indicateurs techniques de s'aligner sur les fondamentaux.</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Pr>
        <w:ind w:left="400"/>
      </w:pPr>
      <w:r>
        <w:rPr>
          <w:color w:val="B4B4B4"/>
          <w:sz w:val="14"/>
        </w:rPr>
        <w:t xml:space="preserve">· · · · · · · · · · · · · · · · · · · · · · · · · · · · · · </w:t>
      </w:r>
    </w:p>
    <w:p>
      <w:pPr>
        <w:spacing w:before="160"/>
      </w:pPr>
      <w:r>
        <w:rPr>
          <w:b/>
          <w:color w:val="0066CC"/>
          <w:sz w:val="20"/>
        </w:rPr>
        <w:t xml:space="preserve">[2]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Pr>
        <w:ind w:left="400"/>
      </w:pPr>
      <w:r>
        <w:rPr>
          <w:color w:val="B4B4B4"/>
          <w:sz w:val="14"/>
        </w:rPr>
        <w:t xml:space="preserve">· · · · · · · · · · · · · · · · · · · · · · · · · · · · · · </w:t>
      </w:r>
    </w:p>
    <w:p>
      <w:pPr>
        <w:spacing w:before="160"/>
      </w:pPr>
      <w:r>
        <w:rPr>
          <w:b/>
          <w:color w:val="0066CC"/>
          <w:sz w:val="20"/>
        </w:rPr>
        <w:t xml:space="preserve">[3]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38.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136.42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1,471 titres</w:t>
            </w:r>
          </w:p>
        </w:tc>
        <w:tc>
          <w:tcPr>
            <w:tcW w:type="dxa" w:w="2268"/>
            <w:shd w:fill="FFF2CC" w:val="clear"/>
          </w:tcPr>
          <w:p>
            <w:r>
              <w:rPr>
                <w:b/>
                <w:color w:val="503200"/>
                <w:sz w:val="16"/>
              </w:rPr>
              <w:t xml:space="preserve">Cours actuel : </w:t>
            </w:r>
            <w:r>
              <w:rPr>
                <w:color w:val="000000"/>
                <w:sz w:val="17"/>
              </w:rPr>
              <w:t>17,500 FCFA</w:t>
            </w:r>
          </w:p>
          <w:p>
            <w:r>
              <w:rPr>
                <w:b/>
                <w:color w:val="503200"/>
                <w:sz w:val="16"/>
              </w:rPr>
              <w:t xml:space="preserve">Var. 100 jours : </w:t>
            </w:r>
            <w:r>
              <w:rPr>
                <w:b/>
                <w:color w:val="007800"/>
                <w:sz w:val="17"/>
              </w:rPr>
              <w:t>+50.86%</w:t>
            </w:r>
          </w:p>
          <w:p>
            <w:r>
              <w:rPr>
                <w:b/>
                <w:color w:val="503200"/>
                <w:sz w:val="16"/>
              </w:rPr>
              <w:t xml:space="preserve">Plus haut 100j : </w:t>
            </w:r>
            <w:r>
              <w:rPr>
                <w:color w:val="000000"/>
                <w:sz w:val="17"/>
              </w:rPr>
              <w:t>17,735 FCFA</w:t>
            </w:r>
          </w:p>
          <w:p>
            <w:r>
              <w:rPr>
                <w:b/>
                <w:color w:val="503200"/>
                <w:sz w:val="16"/>
              </w:rPr>
              <w:t xml:space="preserve">Plus bas 100j : </w:t>
            </w:r>
            <w:r>
              <w:rPr>
                <w:color w:val="000000"/>
                <w:sz w:val="17"/>
              </w:rPr>
              <w:t>11,450 FCFA</w:t>
            </w:r>
          </w:p>
          <w:p>
            <w:r>
              <w:rPr>
                <w:b/>
                <w:color w:val="503200"/>
                <w:sz w:val="16"/>
              </w:rPr>
              <w:t xml:space="preserve">Volatilité ann. : </w:t>
            </w:r>
            <w:r>
              <w:rPr>
                <w:color w:val="000000"/>
                <w:sz w:val="17"/>
              </w:rPr>
              <w:t>36.2%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14.53% (Moyenne) — μ=14,923 FCFA, σ=2,168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β=-0.6707 (Contre-cyclique) — Cov=-0.000024, Var(idx)=0.000036, ρ=-0.175,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1,471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σ_j=2.28%/j (Stable) — Vol. annualisée≈36.2%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2026-09-07</w:t>
            </w:r>
          </w:p>
        </w:tc>
        <w:tc>
          <w:tcPr>
            <w:tcW w:type="dxa" w:w="1440"/>
            <w:shd w:fill="FAFAFA" w:val="clear"/>
          </w:tcPr>
          <w:p>
            <w:r>
              <w:rPr>
                <w:sz w:val="17"/>
              </w:rPr>
              <w:t>16,799</w:t>
            </w:r>
          </w:p>
        </w:tc>
        <w:tc>
          <w:tcPr>
            <w:tcW w:type="dxa" w:w="1440"/>
            <w:shd w:fill="FAFAFA" w:val="clear"/>
          </w:tcPr>
          <w:p>
            <w:r>
              <w:rPr>
                <w:b/>
                <w:sz w:val="17"/>
              </w:rPr>
              <w:t>17,223</w:t>
            </w:r>
          </w:p>
        </w:tc>
        <w:tc>
          <w:tcPr>
            <w:tcW w:type="dxa" w:w="1440"/>
            <w:shd w:fill="FAFAFA" w:val="clear"/>
          </w:tcPr>
          <w:p>
            <w:r>
              <w:rPr>
                <w:sz w:val="17"/>
              </w:rPr>
              <w:t>17,647</w:t>
            </w:r>
          </w:p>
        </w:tc>
        <w:tc>
          <w:tcPr>
            <w:tcW w:type="dxa" w:w="1440"/>
            <w:shd w:fill="FAFAFA" w:val="clear"/>
          </w:tcPr>
          <w:p>
            <w:r>
              <w:rPr>
                <w:b/>
                <w:color w:val="C00000"/>
                <w:sz w:val="17"/>
              </w:rPr>
              <w:t>-1.6%</w:t>
            </w:r>
          </w:p>
        </w:tc>
      </w:tr>
      <w:tr>
        <w:tc>
          <w:tcPr>
            <w:tcW w:type="dxa" w:w="1440"/>
            <w:shd w:fill="FAFAFA" w:val="clear"/>
          </w:tcPr>
          <w:p>
            <w:r>
              <w:rPr>
                <w:sz w:val="17"/>
              </w:rPr>
              <w:t>J+2  ⭐⭐⭐</w:t>
            </w:r>
          </w:p>
        </w:tc>
        <w:tc>
          <w:tcPr>
            <w:tcW w:type="dxa" w:w="1440"/>
            <w:shd w:fill="FAFAFA" w:val="clear"/>
          </w:tcPr>
          <w:p>
            <w:r>
              <w:rPr>
                <w:sz w:val="17"/>
              </w:rPr>
              <w:t>2026-09-08</w:t>
            </w:r>
          </w:p>
        </w:tc>
        <w:tc>
          <w:tcPr>
            <w:tcW w:type="dxa" w:w="1440"/>
            <w:shd w:fill="FAFAFA" w:val="clear"/>
          </w:tcPr>
          <w:p>
            <w:r>
              <w:rPr>
                <w:sz w:val="17"/>
              </w:rPr>
              <w:t>16,565</w:t>
            </w:r>
          </w:p>
        </w:tc>
        <w:tc>
          <w:tcPr>
            <w:tcW w:type="dxa" w:w="1440"/>
            <w:shd w:fill="FAFAFA" w:val="clear"/>
          </w:tcPr>
          <w:p>
            <w:r>
              <w:rPr>
                <w:b/>
                <w:sz w:val="17"/>
              </w:rPr>
              <w:t>17,163</w:t>
            </w:r>
          </w:p>
        </w:tc>
        <w:tc>
          <w:tcPr>
            <w:tcW w:type="dxa" w:w="1440"/>
            <w:shd w:fill="FAFAFA" w:val="clear"/>
          </w:tcPr>
          <w:p>
            <w:r>
              <w:rPr>
                <w:sz w:val="17"/>
              </w:rPr>
              <w:t>17,761</w:t>
            </w:r>
          </w:p>
        </w:tc>
        <w:tc>
          <w:tcPr>
            <w:tcW w:type="dxa" w:w="1440"/>
            <w:shd w:fill="FAFAFA" w:val="clear"/>
          </w:tcPr>
          <w:p>
            <w:r>
              <w:rPr>
                <w:b/>
                <w:color w:val="C00000"/>
                <w:sz w:val="17"/>
              </w:rPr>
              <w:t>-1.9%</w:t>
            </w:r>
          </w:p>
        </w:tc>
      </w:tr>
      <w:tr>
        <w:tc>
          <w:tcPr>
            <w:tcW w:type="dxa" w:w="1440"/>
            <w:shd w:fill="FFDCE0" w:val="clear"/>
          </w:tcPr>
          <w:p>
            <w:r>
              <w:rPr>
                <w:sz w:val="17"/>
              </w:rPr>
              <w:t>J+3  ⭐⭐⭐</w:t>
            </w:r>
          </w:p>
        </w:tc>
        <w:tc>
          <w:tcPr>
            <w:tcW w:type="dxa" w:w="1440"/>
            <w:shd w:fill="FFDCE0" w:val="clear"/>
          </w:tcPr>
          <w:p>
            <w:r>
              <w:rPr>
                <w:sz w:val="17"/>
              </w:rPr>
              <w:t>2026-09-09</w:t>
            </w:r>
          </w:p>
        </w:tc>
        <w:tc>
          <w:tcPr>
            <w:tcW w:type="dxa" w:w="1440"/>
            <w:shd w:fill="FFDCE0" w:val="clear"/>
          </w:tcPr>
          <w:p>
            <w:r>
              <w:rPr>
                <w:sz w:val="17"/>
              </w:rPr>
              <w:t>16,355</w:t>
            </w:r>
          </w:p>
        </w:tc>
        <w:tc>
          <w:tcPr>
            <w:tcW w:type="dxa" w:w="1440"/>
            <w:shd w:fill="FFDCE0" w:val="clear"/>
          </w:tcPr>
          <w:p>
            <w:r>
              <w:rPr>
                <w:b/>
                <w:sz w:val="17"/>
              </w:rPr>
              <w:t>17,083</w:t>
            </w:r>
          </w:p>
        </w:tc>
        <w:tc>
          <w:tcPr>
            <w:tcW w:type="dxa" w:w="1440"/>
            <w:shd w:fill="FFDCE0" w:val="clear"/>
          </w:tcPr>
          <w:p>
            <w:r>
              <w:rPr>
                <w:sz w:val="17"/>
              </w:rPr>
              <w:t>17,812</w:t>
            </w:r>
          </w:p>
        </w:tc>
        <w:tc>
          <w:tcPr>
            <w:tcW w:type="dxa" w:w="1440"/>
            <w:shd w:fill="FFDCE0" w:val="clear"/>
          </w:tcPr>
          <w:p>
            <w:r>
              <w:rPr>
                <w:b/>
                <w:color w:val="C00000"/>
                <w:sz w:val="17"/>
              </w:rPr>
              <w:t>-2.4%</w:t>
            </w:r>
          </w:p>
        </w:tc>
      </w:tr>
      <w:tr>
        <w:tc>
          <w:tcPr>
            <w:tcW w:type="dxa" w:w="1440"/>
            <w:shd w:fill="FFDCE0" w:val="clear"/>
          </w:tcPr>
          <w:p>
            <w:r>
              <w:rPr>
                <w:sz w:val="17"/>
              </w:rPr>
              <w:t>J+4  Moyenne</w:t>
            </w:r>
          </w:p>
        </w:tc>
        <w:tc>
          <w:tcPr>
            <w:tcW w:type="dxa" w:w="1440"/>
            <w:shd w:fill="FFDCE0" w:val="clear"/>
          </w:tcPr>
          <w:p>
            <w:r>
              <w:rPr>
                <w:sz w:val="17"/>
              </w:rPr>
              <w:t>2026-09-10</w:t>
            </w:r>
          </w:p>
        </w:tc>
        <w:tc>
          <w:tcPr>
            <w:tcW w:type="dxa" w:w="1440"/>
            <w:shd w:fill="FFDCE0" w:val="clear"/>
          </w:tcPr>
          <w:p>
            <w:r>
              <w:rPr>
                <w:sz w:val="17"/>
              </w:rPr>
              <w:t>16,173</w:t>
            </w:r>
          </w:p>
        </w:tc>
        <w:tc>
          <w:tcPr>
            <w:tcW w:type="dxa" w:w="1440"/>
            <w:shd w:fill="FFDCE0" w:val="clear"/>
          </w:tcPr>
          <w:p>
            <w:r>
              <w:rPr>
                <w:b/>
                <w:sz w:val="17"/>
              </w:rPr>
              <w:t>17,011</w:t>
            </w:r>
          </w:p>
        </w:tc>
        <w:tc>
          <w:tcPr>
            <w:tcW w:type="dxa" w:w="1440"/>
            <w:shd w:fill="FFDCE0" w:val="clear"/>
          </w:tcPr>
          <w:p>
            <w:r>
              <w:rPr>
                <w:sz w:val="17"/>
              </w:rPr>
              <w:t>17,849</w:t>
            </w:r>
          </w:p>
        </w:tc>
        <w:tc>
          <w:tcPr>
            <w:tcW w:type="dxa" w:w="1440"/>
            <w:shd w:fill="FFDCE0" w:val="clear"/>
          </w:tcPr>
          <w:p>
            <w:r>
              <w:rPr>
                <w:b/>
                <w:color w:val="C00000"/>
                <w:sz w:val="17"/>
              </w:rPr>
              <w:t>-2.8%</w:t>
            </w:r>
          </w:p>
        </w:tc>
      </w:tr>
      <w:tr>
        <w:tc>
          <w:tcPr>
            <w:tcW w:type="dxa" w:w="1440"/>
            <w:shd w:fill="FFDCE0" w:val="clear"/>
          </w:tcPr>
          <w:p>
            <w:r>
              <w:rPr>
                <w:sz w:val="17"/>
              </w:rPr>
              <w:t>J+5  Moyenne</w:t>
            </w:r>
          </w:p>
        </w:tc>
        <w:tc>
          <w:tcPr>
            <w:tcW w:type="dxa" w:w="1440"/>
            <w:shd w:fill="FFDCE0" w:val="clear"/>
          </w:tcPr>
          <w:p>
            <w:r>
              <w:rPr>
                <w:sz w:val="17"/>
              </w:rPr>
              <w:t>2026-09-11</w:t>
            </w:r>
          </w:p>
        </w:tc>
        <w:tc>
          <w:tcPr>
            <w:tcW w:type="dxa" w:w="1440"/>
            <w:shd w:fill="FFDCE0" w:val="clear"/>
          </w:tcPr>
          <w:p>
            <w:r>
              <w:rPr>
                <w:sz w:val="17"/>
              </w:rPr>
              <w:t>16,009</w:t>
            </w:r>
          </w:p>
        </w:tc>
        <w:tc>
          <w:tcPr>
            <w:tcW w:type="dxa" w:w="1440"/>
            <w:shd w:fill="FFDCE0" w:val="clear"/>
          </w:tcPr>
          <w:p>
            <w:r>
              <w:rPr>
                <w:b/>
                <w:sz w:val="17"/>
              </w:rPr>
              <w:t>16,942</w:t>
            </w:r>
          </w:p>
        </w:tc>
        <w:tc>
          <w:tcPr>
            <w:tcW w:type="dxa" w:w="1440"/>
            <w:shd w:fill="FFDCE0" w:val="clear"/>
          </w:tcPr>
          <w:p>
            <w:r>
              <w:rPr>
                <w:sz w:val="17"/>
              </w:rPr>
              <w:t>17,875</w:t>
            </w:r>
          </w:p>
        </w:tc>
        <w:tc>
          <w:tcPr>
            <w:tcW w:type="dxa" w:w="1440"/>
            <w:shd w:fill="FFDCE0" w:val="clear"/>
          </w:tcPr>
          <w:p>
            <w:r>
              <w:rPr>
                <w:b/>
                <w:color w:val="C00000"/>
                <w:sz w:val="17"/>
              </w:rPr>
              <w:t>-3.2%</w:t>
            </w:r>
          </w:p>
        </w:tc>
      </w:tr>
      <w:tr>
        <w:tc>
          <w:tcPr>
            <w:tcW w:type="dxa" w:w="1440"/>
            <w:shd w:fill="FFDCE0" w:val="clear"/>
          </w:tcPr>
          <w:p>
            <w:r>
              <w:rPr>
                <w:sz w:val="17"/>
              </w:rPr>
              <w:t>J+6  Moyenne</w:t>
            </w:r>
          </w:p>
        </w:tc>
        <w:tc>
          <w:tcPr>
            <w:tcW w:type="dxa" w:w="1440"/>
            <w:shd w:fill="FFDCE0" w:val="clear"/>
          </w:tcPr>
          <w:p>
            <w:r>
              <w:rPr>
                <w:sz w:val="17"/>
              </w:rPr>
              <w:t>2026-09-14</w:t>
            </w:r>
          </w:p>
        </w:tc>
        <w:tc>
          <w:tcPr>
            <w:tcW w:type="dxa" w:w="1440"/>
            <w:shd w:fill="FFDCE0" w:val="clear"/>
          </w:tcPr>
          <w:p>
            <w:r>
              <w:rPr>
                <w:sz w:val="17"/>
              </w:rPr>
              <w:t>15,856</w:t>
            </w:r>
          </w:p>
        </w:tc>
        <w:tc>
          <w:tcPr>
            <w:tcW w:type="dxa" w:w="1440"/>
            <w:shd w:fill="FFDCE0" w:val="clear"/>
          </w:tcPr>
          <w:p>
            <w:r>
              <w:rPr>
                <w:b/>
                <w:sz w:val="17"/>
              </w:rPr>
              <w:t>16,875</w:t>
            </w:r>
          </w:p>
        </w:tc>
        <w:tc>
          <w:tcPr>
            <w:tcW w:type="dxa" w:w="1440"/>
            <w:shd w:fill="FFDCE0" w:val="clear"/>
          </w:tcPr>
          <w:p>
            <w:r>
              <w:rPr>
                <w:sz w:val="17"/>
              </w:rPr>
              <w:t>17,893</w:t>
            </w:r>
          </w:p>
        </w:tc>
        <w:tc>
          <w:tcPr>
            <w:tcW w:type="dxa" w:w="1440"/>
            <w:shd w:fill="FFDCE0" w:val="clear"/>
          </w:tcPr>
          <w:p>
            <w:r>
              <w:rPr>
                <w:b/>
                <w:color w:val="C00000"/>
                <w:sz w:val="17"/>
              </w:rPr>
              <w:t>-3.6%</w:t>
            </w:r>
          </w:p>
        </w:tc>
      </w:tr>
      <w:tr>
        <w:tc>
          <w:tcPr>
            <w:tcW w:type="dxa" w:w="1440"/>
            <w:shd w:fill="FFDCE0" w:val="clear"/>
          </w:tcPr>
          <w:p>
            <w:r>
              <w:rPr>
                <w:sz w:val="17"/>
              </w:rPr>
              <w:t>J+7  Moyenne</w:t>
            </w:r>
          </w:p>
        </w:tc>
        <w:tc>
          <w:tcPr>
            <w:tcW w:type="dxa" w:w="1440"/>
            <w:shd w:fill="FFDCE0" w:val="clear"/>
          </w:tcPr>
          <w:p>
            <w:r>
              <w:rPr>
                <w:sz w:val="17"/>
              </w:rPr>
              <w:t>2026-09-15</w:t>
            </w:r>
          </w:p>
        </w:tc>
        <w:tc>
          <w:tcPr>
            <w:tcW w:type="dxa" w:w="1440"/>
            <w:shd w:fill="FFDCE0" w:val="clear"/>
          </w:tcPr>
          <w:p>
            <w:r>
              <w:rPr>
                <w:sz w:val="17"/>
              </w:rPr>
              <w:t>15,713</w:t>
            </w:r>
          </w:p>
        </w:tc>
        <w:tc>
          <w:tcPr>
            <w:tcW w:type="dxa" w:w="1440"/>
            <w:shd w:fill="FFDCE0" w:val="clear"/>
          </w:tcPr>
          <w:p>
            <w:r>
              <w:rPr>
                <w:b/>
                <w:sz w:val="17"/>
              </w:rPr>
              <w:t>16,808</w:t>
            </w:r>
          </w:p>
        </w:tc>
        <w:tc>
          <w:tcPr>
            <w:tcW w:type="dxa" w:w="1440"/>
            <w:shd w:fill="FFDCE0" w:val="clear"/>
          </w:tcPr>
          <w:p>
            <w:r>
              <w:rPr>
                <w:sz w:val="17"/>
              </w:rPr>
              <w:t>17,904</w:t>
            </w:r>
          </w:p>
        </w:tc>
        <w:tc>
          <w:tcPr>
            <w:tcW w:type="dxa" w:w="1440"/>
            <w:shd w:fill="FFDCE0" w:val="clear"/>
          </w:tcPr>
          <w:p>
            <w:r>
              <w:rPr>
                <w:b/>
                <w:color w:val="C00000"/>
                <w:sz w:val="17"/>
              </w:rPr>
              <w:t>-4.0%</w:t>
            </w:r>
          </w:p>
        </w:tc>
      </w:tr>
      <w:tr>
        <w:tc>
          <w:tcPr>
            <w:tcW w:type="dxa" w:w="1440"/>
            <w:shd w:fill="FFDCE0" w:val="clear"/>
          </w:tcPr>
          <w:p>
            <w:r>
              <w:rPr>
                <w:sz w:val="17"/>
              </w:rPr>
              <w:t>J+8  Moyenne</w:t>
            </w:r>
          </w:p>
        </w:tc>
        <w:tc>
          <w:tcPr>
            <w:tcW w:type="dxa" w:w="1440"/>
            <w:shd w:fill="FFDCE0" w:val="clear"/>
          </w:tcPr>
          <w:p>
            <w:r>
              <w:rPr>
                <w:sz w:val="17"/>
              </w:rPr>
              <w:t>2026-09-16</w:t>
            </w:r>
          </w:p>
        </w:tc>
        <w:tc>
          <w:tcPr>
            <w:tcW w:type="dxa" w:w="1440"/>
            <w:shd w:fill="FFDCE0" w:val="clear"/>
          </w:tcPr>
          <w:p>
            <w:r>
              <w:rPr>
                <w:sz w:val="17"/>
              </w:rPr>
              <w:t>15,577</w:t>
            </w:r>
          </w:p>
        </w:tc>
        <w:tc>
          <w:tcPr>
            <w:tcW w:type="dxa" w:w="1440"/>
            <w:shd w:fill="FFDCE0" w:val="clear"/>
          </w:tcPr>
          <w:p>
            <w:r>
              <w:rPr>
                <w:b/>
                <w:sz w:val="17"/>
              </w:rPr>
              <w:t>16,743</w:t>
            </w:r>
          </w:p>
        </w:tc>
        <w:tc>
          <w:tcPr>
            <w:tcW w:type="dxa" w:w="1440"/>
            <w:shd w:fill="FFDCE0" w:val="clear"/>
          </w:tcPr>
          <w:p>
            <w:r>
              <w:rPr>
                <w:sz w:val="17"/>
              </w:rPr>
              <w:t>17,910</w:t>
            </w:r>
          </w:p>
        </w:tc>
        <w:tc>
          <w:tcPr>
            <w:tcW w:type="dxa" w:w="1440"/>
            <w:shd w:fill="FFDCE0" w:val="clear"/>
          </w:tcPr>
          <w:p>
            <w:r>
              <w:rPr>
                <w:b/>
                <w:color w:val="C00000"/>
                <w:sz w:val="17"/>
              </w:rPr>
              <w:t>-4.3%</w:t>
            </w:r>
          </w:p>
        </w:tc>
      </w:tr>
      <w:tr>
        <w:tc>
          <w:tcPr>
            <w:tcW w:type="dxa" w:w="1440"/>
            <w:shd w:fill="FFDCE0" w:val="clear"/>
          </w:tcPr>
          <w:p>
            <w:r>
              <w:rPr>
                <w:sz w:val="17"/>
              </w:rPr>
              <w:t>J+9  Moyenne</w:t>
            </w:r>
          </w:p>
        </w:tc>
        <w:tc>
          <w:tcPr>
            <w:tcW w:type="dxa" w:w="1440"/>
            <w:shd w:fill="FFDCE0" w:val="clear"/>
          </w:tcPr>
          <w:p>
            <w:r>
              <w:rPr>
                <w:sz w:val="17"/>
              </w:rPr>
              <w:t>2026-09-17</w:t>
            </w:r>
          </w:p>
        </w:tc>
        <w:tc>
          <w:tcPr>
            <w:tcW w:type="dxa" w:w="1440"/>
            <w:shd w:fill="FFDCE0" w:val="clear"/>
          </w:tcPr>
          <w:p>
            <w:r>
              <w:rPr>
                <w:sz w:val="17"/>
              </w:rPr>
              <w:t>15,447</w:t>
            </w:r>
          </w:p>
        </w:tc>
        <w:tc>
          <w:tcPr>
            <w:tcW w:type="dxa" w:w="1440"/>
            <w:shd w:fill="FFDCE0" w:val="clear"/>
          </w:tcPr>
          <w:p>
            <w:r>
              <w:rPr>
                <w:b/>
                <w:sz w:val="17"/>
              </w:rPr>
              <w:t>16,679</w:t>
            </w:r>
          </w:p>
        </w:tc>
        <w:tc>
          <w:tcPr>
            <w:tcW w:type="dxa" w:w="1440"/>
            <w:shd w:fill="FFDCE0" w:val="clear"/>
          </w:tcPr>
          <w:p>
            <w:r>
              <w:rPr>
                <w:sz w:val="17"/>
              </w:rPr>
              <w:t>17,912</w:t>
            </w:r>
          </w:p>
        </w:tc>
        <w:tc>
          <w:tcPr>
            <w:tcW w:type="dxa" w:w="1440"/>
            <w:shd w:fill="FFDCE0" w:val="clear"/>
          </w:tcPr>
          <w:p>
            <w:r>
              <w:rPr>
                <w:b/>
                <w:color w:val="C00000"/>
                <w:sz w:val="17"/>
              </w:rPr>
              <w:t>-4.7%</w:t>
            </w:r>
          </w:p>
        </w:tc>
      </w:tr>
      <w:tr>
        <w:tc>
          <w:tcPr>
            <w:tcW w:type="dxa" w:w="1440"/>
            <w:shd w:fill="FFDCE0" w:val="clear"/>
          </w:tcPr>
          <w:p>
            <w:r>
              <w:rPr>
                <w:sz w:val="17"/>
              </w:rPr>
              <w:t>J+10  Moyenne</w:t>
            </w:r>
          </w:p>
        </w:tc>
        <w:tc>
          <w:tcPr>
            <w:tcW w:type="dxa" w:w="1440"/>
            <w:shd w:fill="FFDCE0" w:val="clear"/>
          </w:tcPr>
          <w:p>
            <w:r>
              <w:rPr>
                <w:sz w:val="17"/>
              </w:rPr>
              <w:t>2026-09-18</w:t>
            </w:r>
          </w:p>
        </w:tc>
        <w:tc>
          <w:tcPr>
            <w:tcW w:type="dxa" w:w="1440"/>
            <w:shd w:fill="FFDCE0" w:val="clear"/>
          </w:tcPr>
          <w:p>
            <w:r>
              <w:rPr>
                <w:sz w:val="17"/>
              </w:rPr>
              <w:t>15,322</w:t>
            </w:r>
          </w:p>
        </w:tc>
        <w:tc>
          <w:tcPr>
            <w:tcW w:type="dxa" w:w="1440"/>
            <w:shd w:fill="FFDCE0" w:val="clear"/>
          </w:tcPr>
          <w:p>
            <w:r>
              <w:rPr>
                <w:b/>
                <w:sz w:val="17"/>
              </w:rPr>
              <w:t>16,616</w:t>
            </w:r>
          </w:p>
        </w:tc>
        <w:tc>
          <w:tcPr>
            <w:tcW w:type="dxa" w:w="1440"/>
            <w:shd w:fill="FFDCE0" w:val="clear"/>
          </w:tcPr>
          <w:p>
            <w:r>
              <w:rPr>
                <w:sz w:val="17"/>
              </w:rPr>
              <w:t>17,910</w:t>
            </w:r>
          </w:p>
        </w:tc>
        <w:tc>
          <w:tcPr>
            <w:tcW w:type="dxa" w:w="1440"/>
            <w:shd w:fill="FFDCE0" w:val="clear"/>
          </w:tcPr>
          <w:p>
            <w:r>
              <w:rPr>
                <w:b/>
                <w:color w:val="C00000"/>
                <w:sz w:val="17"/>
              </w:rPr>
              <w:t>-5.1%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SMBC s'établit à 136,42 milliards FCFA, ce qui positionne la société parmi les valeurs moyennes à grandes capitalisations de la BRVM, lui conférant une liquidité et une visibilité notables. Avec un BPA de 1 677 FCFA, chaque action génère un bénéfice substantiel, justifiant un PER de 10,4x. Ce ratio, légèrement supérieur à la moyenne historique de la BRVM (8-12x), indique que les investisseurs paient un prix raisonnable pour les bénéfices actuels, sans prime excessive. Le P/B de 3,18x, situé dans la fourchette de 2 à 4x, reflète une prime de croissance accordée par le marché par rapport à la valeur comptable des actifs. Enfin, un EV/EBITDA de 6,6x, dans la zone de 5 à 10x, suggère une valorisation opérationnelle modérée et cohérente avec la capacité de l'entreprise à générer des flux, confirmant une appréciation globale équilibrée du titre.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SMBC a enregistré une performance remarquable de +50,86%, avec une progression de +1,16% lors de la dernière séance, clôturant à 17 500 FCFA. Le titre a évolué dans une fourchette de 11 450 FCFA (plus bas) à 17 735 FCFA (plus haut), démontrant une dynamique haussière soutenue. La moyenne du cours sur la période (14 923 FCFA) est inférieure à la médiane (15 995 FCFA), indiquant une asymétrie positive avec des valeurs extrêmes élevées récentes. L'écart-type de 2 179 FCFA (CV de 14,6%) reflète une dispersion modérée des prix autour de la moyenne. Le kurtosis négatif (-1,393) signale une distribution aplatie, suggérant l'absence de mouvements extrêmes fréquents, tandis que le skewness de -0,463, proche de zéro, confirme une distribution quasi symétrique. La volatilité annualisée de 36,2% classe le titre comme très volatil, un niveau élevé qui implique des fluctuations de prix importantes et un risque accru pour les investisseurs à court terme.</w:t>
      </w:r>
    </w:p>
    <w:p>
      <w:pPr>
        <w:spacing w:after="120" w:line="276" w:lineRule="auto" w:before="240"/>
      </w:pPr>
      <w:r>
        <w:rPr>
          <w:b/>
          <w:color w:val="003366"/>
          <w:sz w:val="24"/>
        </w:rPr>
        <w:t>**PARTIE 2 : ANALYSE TECHNIQUE DÉTAILLÉE**</w:t>
      </w:r>
    </w:p>
    <w:p>
      <w:pPr>
        <w:spacing w:after="120" w:line="276" w:lineRule="auto"/>
      </w:pPr>
      <w:r>
        <w:t>Les moyennes mobiles sur 20 jours (MM20 = 16 829,5 FCFA) et sur 50 jours (MM50 = 16 643,9 FCFA) sont toutes deux inférieures au cours actuel de 17 500 FCFA. Cette configuration haussière, où le prix évolue au-dessus de ses moyennes mobiles, confirme une tendance positive à court et moyen terme. Le croisement des MM20 au-dessus de la MM50 renforce le signal d'achat, indiquant que le momentum haussier est soutenu par les volumes et la participation des investisseurs.</w:t>
      </w:r>
    </w:p>
    <w:p>
      <w:pPr>
        <w:spacing w:after="120" w:line="276" w:lineRule="auto"/>
      </w:pPr>
      <w:r>
        <w:t>Le cours se situe à 17 500 FCFA, très proche de la borne supérieure des Bandes de Bollinger (17 605,8 FCFA) et nettement au-dessus de la borne inférieure (16 053,2 FCFA). Cette position proche de la borne haute suggère que le titre est temporairement suracheté, avec une volatilité accrue. La décision "Neutre" indique que, bien que la tendance soit haussière, le marché pourrait connaître une consolidation ou un repli technique à court terme. L'écart entre les bornes (environ 1 552 FCFA) reflète une volatilité élevée, cohérente avec la volatilité annualisée de 36,2%.</w:t>
      </w:r>
    </w:p>
    <w:p>
      <w:pPr>
        <w:spacing w:after="120" w:line="276" w:lineRule="auto"/>
      </w:pPr>
      <w:r>
        <w:t>Le MACD affiche une valeur positive de 301,161, nettement au-dessus de sa ligne de signal (238,508), avec un écart positif de 62,65 points. Cette divergence haussière confirme un momentum positif soutenu, indiquant que la tendance haussière est solide et que la pression acheteuse reste dominante. La décision "Achat" est justifiée par cette configuration, qui suggère une poursuite probable de la hausse à moyen terme, tant que le MACD reste au-dessus de zéro et de sa ligne de signal.</w:t>
      </w:r>
    </w:p>
    <w:p>
      <w:pPr>
        <w:spacing w:after="120" w:line="276" w:lineRule="auto"/>
      </w:pPr>
      <w:r>
        <w:t>Le RSI s'établit à 83,578, un niveau nettement supérieur au seuil de surachat de 70. Cette valeur extrême indique que le titre est fortement suracheté, ce qui signifie que les acheteurs ont été excessivement actifs et que le marché pourrait être vulnérable à un retournement ou à une correction technique. La décision "Vente" reflète ce risque de correction imminente, car un RSI aussi élevé suggère une exubérance excessive qui pourrait ne pas être durable.</w:t>
      </w:r>
    </w:p>
    <w:p>
      <w:pPr>
        <w:spacing w:after="120" w:line="276" w:lineRule="auto"/>
      </w:pPr>
      <w:r>
        <w:t>Le Stochastique affiche un %K à 100,0 et un %D à 93,171, tous deux dans la zone de surachat extrême (au-dessus de 80). Le %K est au plus haut absolu, indiquant une pression d'achat extrême, tandis que le %D, bien que légèrement inférieur, reste très élevé. Cette configuration signale un marché suracheté, avec un risque élevé de retournement baissier. La décision "Vente" est justifiée par ce croisement potentiel à la baisse, qui pourrait déclencher une correction technique.</w:t>
      </w:r>
    </w:p>
    <w:p>
      <w:pPr>
        <w:spacing w:after="120" w:line="276" w:lineRule="auto"/>
      </w:pPr>
      <w:r>
        <w:t>La convergence des indicateurs de momentum (RSI et Stochastique) en zone de surachat extrême, contrastant avec les signaux d'achat des moyennes mobiles et du MACD, crée une situation technique ambiguë. La tendance de fond reste haussière, mais les conditions de surachat suggèrent un risque de consolidation à court terme. Les investisseurs devraient surveiller un éventuel repli vers les moyennes mobiles (16 600-16 800 FCFA) comme opportunité d'achat, tout en restant prudents face à une possible correction plus profonde.</w:t>
      </w:r>
    </w:p>
    <w:p>
      <w:pPr>
        <w:spacing w:after="120" w:line="276" w:lineRule="auto" w:before="240"/>
      </w:pPr>
      <w:r>
        <w:rPr>
          <w:b/>
          <w:color w:val="003366"/>
          <w:sz w:val="24"/>
        </w:rPr>
        <w:t>**PARTIE 3 : ANALYSE FONDAMENTALE (SECTION CRITIQUE)**</w:t>
      </w:r>
    </w:p>
    <w:p>
      <w:pPr>
        <w:spacing w:after="120" w:line="276" w:lineRule="auto"/>
      </w:pPr>
      <w:r>
        <w:t>En 2025, SMBC affiche un chiffre d'affaires de 206,740 milliards FCFA, en baisse de -9,7% par rapport à 2024 (229,061 milliards FCFA), mais avec une amélioration spectaculaire de la rentabilité. Le résultat net progresse de +50,3% pour atteindre 13,075 milliards FCFA, porté par une marge nette de 6,3% (contre 3,8% en 2024) et un EBE en hausse de 41,8% à 18,480 milliards FCFA. Le ROE s'établit à un niveau excellent de 30,47%, tandis que le ROA atteint 7,26%, démontrant une utilisation efficace des actifs. La structure financière s'est renforcée avec des capitaux propres de 42,913 milliards FCFA (+21,6%) et une trésorerie nette positive de 23,988 milliards FCFA. Les délais clients (193,75 jours) et fournisseurs (207,07 jours) sont élevés, mais le BFR reste modéré à 1,693 milliards FCFA, indiquant une gestion équilibrée du cycle d'exploitation. Les rapports trimestriels 2025 (T1 : CA de 54,8 milliards FCFA, -22% ; S1 : CA de 101,9 milliards FCFA, -23% ; 9M : CA de 155,2 milliards FCFA, -14%) montrent une contraction du CA, mais avec une amélioration des marges grâce à un environnement de raffinage favorable. Sur la base du rapport 9M 2025 (résultat net de 5,7 milliards FCFA, +6%), on estime que l'exercice complet 2025 devrait confirmer la tendance de forte rentabilité, avec un résultat net annuel potentiellement supérieur aux 13,075 milliards FCFA réalisés, si le T4 maintient la dynamique opérationnelle. Les perspectives restent soutenues par la demande locale en infrastructures routières et les opportunités à l'export, malgré les risques liés à la volatilité des prix du pétrole et à la dépendance aux projets publics.</w:t>
      </w:r>
    </w:p>
    <w:p>
      <w:pPr>
        <w:spacing w:after="120" w:line="276" w:lineRule="auto" w:before="240"/>
      </w:pPr>
      <w:r>
        <w:rPr>
          <w:b/>
          <w:color w:val="003366"/>
          <w:sz w:val="24"/>
        </w:rPr>
        <w:t>**PARTIE 4 : CONCLUSION D'INVESTISSEMENT**</w:t>
      </w:r>
    </w:p>
    <w:p>
      <w:pPr>
        <w:spacing w:after="120" w:line="276" w:lineRule="auto"/>
      </w:pPr>
      <w:r>
        <w:t>La valorisation de SMBC (PER de 10,4x, P/B de 3,18x, EV/EBITDA de 6,6x) indique une sous-évaluation relative par rapport à son potentiel de croissance, avec des ratios modérés pour une société affichant un ROE de 30,5%. Le comportement du cours sur 100 jours (+50,86%) reflète une tendance haussière forte, mais la volatilité élevée (36,2%) et les statistiques (kurtosis platykurtique, skewness légèrement négatif) suggèrent une certaine instabilité. Les signaux techniques sont divergents : les moyennes mobiles et le MACD sont positifs, mais le RSI (83,6) et le Stochastique (100) indiquent un surachat extrême, signalant un risque de correction à court terme. Les fondamentaux sont solides, avec une amélioration spectaculaire de la rentabilité en 2025 (résultat net +50,3%, trésorerie de 24 milliards FCFA), malgré une baisse du chiffre d'affaires. Les prédictions IA (17 223 FCFA à J+1, puis baisse progressive à 16 942 FCFA à J+10) confirment une consolidation attendue, en ligne avec les signaux techniques de surachat. La recommandation finale est **CONSERVER**, avec un niveau de confiance **Moyen** et un risque global **Élevé**. Les investisseurs devraient attendre un repli vers 16 500-16 800 FCFA pour renforcer leur position, avec un horizon d'investissement optimal à moyen terme (3-12 mois), en surveillant la reprise du chiffre d'affaires et la stabilité des marges.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39.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3850.00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10,241 titres</w:t>
            </w:r>
          </w:p>
        </w:tc>
        <w:tc>
          <w:tcPr>
            <w:tcW w:type="dxa" w:w="2268"/>
            <w:shd w:fill="FFF2CC" w:val="clear"/>
          </w:tcPr>
          <w:p>
            <w:r>
              <w:rPr>
                <w:b/>
                <w:color w:val="503200"/>
                <w:sz w:val="16"/>
              </w:rPr>
              <w:t xml:space="preserve">Cours actuel : </w:t>
            </w:r>
            <w:r>
              <w:rPr>
                <w:color w:val="000000"/>
                <w:sz w:val="17"/>
              </w:rPr>
              <w:t>38,500 FCFA</w:t>
            </w:r>
          </w:p>
          <w:p>
            <w:r>
              <w:rPr>
                <w:b/>
                <w:color w:val="503200"/>
                <w:sz w:val="16"/>
              </w:rPr>
              <w:t xml:space="preserve">Var. 100 jours : </w:t>
            </w:r>
            <w:r>
              <w:rPr>
                <w:b/>
                <w:color w:val="007800"/>
                <w:sz w:val="17"/>
              </w:rPr>
              <w:t>+33.68%</w:t>
            </w:r>
          </w:p>
          <w:p>
            <w:r>
              <w:rPr>
                <w:b/>
                <w:color w:val="503200"/>
                <w:sz w:val="16"/>
              </w:rPr>
              <w:t xml:space="preserve">Plus haut 100j : </w:t>
            </w:r>
            <w:r>
              <w:rPr>
                <w:color w:val="000000"/>
                <w:sz w:val="17"/>
              </w:rPr>
              <w:t>38,500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31.4%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25.1/100 → Moyen</w:t>
      </w:r>
    </w:p>
    <w:p>
      <w:pPr>
        <w:spacing w:before="40" w:after="80"/>
      </w:pPr>
      <w:r>
        <w:rPr>
          <w:rFonts w:ascii="Courier New" w:hAnsi="Courier New"/>
          <w:color w:val="825A00"/>
          <w:sz w:val="18"/>
        </w:rPr>
        <w:t>█████░░░░░░░░░░░░░░░  25.1/100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8.66% (Moyenne) — μ=30,394 FCFA, σ=2,631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β=1.9206 (Très agressif) — Cov=0.000069, Var(idx)=0.000036, ρ=0.581,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10,241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σ_j=1.98%/j (Stable) — Vol. annualisée≈31.4%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2026-09-07</w:t>
            </w:r>
          </w:p>
        </w:tc>
        <w:tc>
          <w:tcPr>
            <w:tcW w:type="dxa" w:w="1440"/>
            <w:shd w:fill="FFDCE0" w:val="clear"/>
          </w:tcPr>
          <w:p>
            <w:r>
              <w:rPr>
                <w:sz w:val="17"/>
              </w:rPr>
              <w:t>35,524</w:t>
            </w:r>
          </w:p>
        </w:tc>
        <w:tc>
          <w:tcPr>
            <w:tcW w:type="dxa" w:w="1440"/>
            <w:shd w:fill="FFDCE0" w:val="clear"/>
          </w:tcPr>
          <w:p>
            <w:r>
              <w:rPr>
                <w:b/>
                <w:sz w:val="17"/>
              </w:rPr>
              <w:t>36,997</w:t>
            </w:r>
          </w:p>
        </w:tc>
        <w:tc>
          <w:tcPr>
            <w:tcW w:type="dxa" w:w="1440"/>
            <w:shd w:fill="FFDCE0" w:val="clear"/>
          </w:tcPr>
          <w:p>
            <w:r>
              <w:rPr>
                <w:sz w:val="17"/>
              </w:rPr>
              <w:t>38,469</w:t>
            </w:r>
          </w:p>
        </w:tc>
        <w:tc>
          <w:tcPr>
            <w:tcW w:type="dxa" w:w="1440"/>
            <w:shd w:fill="FFDCE0" w:val="clear"/>
          </w:tcPr>
          <w:p>
            <w:r>
              <w:rPr>
                <w:b/>
                <w:color w:val="C00000"/>
                <w:sz w:val="17"/>
              </w:rPr>
              <w:t>-3.9%</w:t>
            </w:r>
          </w:p>
        </w:tc>
      </w:tr>
      <w:tr>
        <w:tc>
          <w:tcPr>
            <w:tcW w:type="dxa" w:w="1440"/>
            <w:shd w:fill="FFDCE0" w:val="clear"/>
          </w:tcPr>
          <w:p>
            <w:r>
              <w:rPr>
                <w:sz w:val="17"/>
              </w:rPr>
              <w:t>J+2  ⭐</w:t>
            </w:r>
          </w:p>
        </w:tc>
        <w:tc>
          <w:tcPr>
            <w:tcW w:type="dxa" w:w="1440"/>
            <w:shd w:fill="FFDCE0" w:val="clear"/>
          </w:tcPr>
          <w:p>
            <w:r>
              <w:rPr>
                <w:sz w:val="17"/>
              </w:rPr>
              <w:t>2026-09-08</w:t>
            </w:r>
          </w:p>
        </w:tc>
        <w:tc>
          <w:tcPr>
            <w:tcW w:type="dxa" w:w="1440"/>
            <w:shd w:fill="FFDCE0" w:val="clear"/>
          </w:tcPr>
          <w:p>
            <w:r>
              <w:rPr>
                <w:sz w:val="17"/>
              </w:rPr>
              <w:t>34,883</w:t>
            </w:r>
          </w:p>
        </w:tc>
        <w:tc>
          <w:tcPr>
            <w:tcW w:type="dxa" w:w="1440"/>
            <w:shd w:fill="FFDCE0" w:val="clear"/>
          </w:tcPr>
          <w:p>
            <w:r>
              <w:rPr>
                <w:b/>
                <w:sz w:val="17"/>
              </w:rPr>
              <w:t>36,964</w:t>
            </w:r>
          </w:p>
        </w:tc>
        <w:tc>
          <w:tcPr>
            <w:tcW w:type="dxa" w:w="1440"/>
            <w:shd w:fill="FFDCE0" w:val="clear"/>
          </w:tcPr>
          <w:p>
            <w:r>
              <w:rPr>
                <w:sz w:val="17"/>
              </w:rPr>
              <w:t>39,044</w:t>
            </w:r>
          </w:p>
        </w:tc>
        <w:tc>
          <w:tcPr>
            <w:tcW w:type="dxa" w:w="1440"/>
            <w:shd w:fill="FFDCE0" w:val="clear"/>
          </w:tcPr>
          <w:p>
            <w:r>
              <w:rPr>
                <w:b/>
                <w:color w:val="C00000"/>
                <w:sz w:val="17"/>
              </w:rPr>
              <w:t>-4.0%</w:t>
            </w:r>
          </w:p>
        </w:tc>
      </w:tr>
      <w:tr>
        <w:tc>
          <w:tcPr>
            <w:tcW w:type="dxa" w:w="1440"/>
            <w:shd w:fill="FFDCE0" w:val="clear"/>
          </w:tcPr>
          <w:p>
            <w:r>
              <w:rPr>
                <w:sz w:val="17"/>
              </w:rPr>
              <w:t>J+3  ⭐</w:t>
            </w:r>
          </w:p>
        </w:tc>
        <w:tc>
          <w:tcPr>
            <w:tcW w:type="dxa" w:w="1440"/>
            <w:shd w:fill="FFDCE0" w:val="clear"/>
          </w:tcPr>
          <w:p>
            <w:r>
              <w:rPr>
                <w:sz w:val="17"/>
              </w:rPr>
              <w:t>2026-09-09</w:t>
            </w:r>
          </w:p>
        </w:tc>
        <w:tc>
          <w:tcPr>
            <w:tcW w:type="dxa" w:w="1440"/>
            <w:shd w:fill="FFDCE0" w:val="clear"/>
          </w:tcPr>
          <w:p>
            <w:r>
              <w:rPr>
                <w:sz w:val="17"/>
              </w:rPr>
              <w:t>34,279</w:t>
            </w:r>
          </w:p>
        </w:tc>
        <w:tc>
          <w:tcPr>
            <w:tcW w:type="dxa" w:w="1440"/>
            <w:shd w:fill="FFDCE0" w:val="clear"/>
          </w:tcPr>
          <w:p>
            <w:r>
              <w:rPr>
                <w:b/>
                <w:sz w:val="17"/>
              </w:rPr>
              <w:t>36,818</w:t>
            </w:r>
          </w:p>
        </w:tc>
        <w:tc>
          <w:tcPr>
            <w:tcW w:type="dxa" w:w="1440"/>
            <w:shd w:fill="FFDCE0" w:val="clear"/>
          </w:tcPr>
          <w:p>
            <w:r>
              <w:rPr>
                <w:sz w:val="17"/>
              </w:rPr>
              <w:t>39,356</w:t>
            </w:r>
          </w:p>
        </w:tc>
        <w:tc>
          <w:tcPr>
            <w:tcW w:type="dxa" w:w="1440"/>
            <w:shd w:fill="FFDCE0" w:val="clear"/>
          </w:tcPr>
          <w:p>
            <w:r>
              <w:rPr>
                <w:b/>
                <w:color w:val="C00000"/>
                <w:sz w:val="17"/>
              </w:rPr>
              <w:t>-4.4%</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33,764</w:t>
            </w:r>
          </w:p>
        </w:tc>
        <w:tc>
          <w:tcPr>
            <w:tcW w:type="dxa" w:w="1440"/>
            <w:shd w:fill="FFDCE0" w:val="clear"/>
          </w:tcPr>
          <w:p>
            <w:r>
              <w:rPr>
                <w:b/>
                <w:sz w:val="17"/>
              </w:rPr>
              <w:t>36,685</w:t>
            </w:r>
          </w:p>
        </w:tc>
        <w:tc>
          <w:tcPr>
            <w:tcW w:type="dxa" w:w="1440"/>
            <w:shd w:fill="FFDCE0" w:val="clear"/>
          </w:tcPr>
          <w:p>
            <w:r>
              <w:rPr>
                <w:sz w:val="17"/>
              </w:rPr>
              <w:t>39,605</w:t>
            </w:r>
          </w:p>
        </w:tc>
        <w:tc>
          <w:tcPr>
            <w:tcW w:type="dxa" w:w="1440"/>
            <w:shd w:fill="FFDCE0" w:val="clear"/>
          </w:tcPr>
          <w:p>
            <w:r>
              <w:rPr>
                <w:b/>
                <w:color w:val="C00000"/>
                <w:sz w:val="17"/>
              </w:rPr>
              <w:t>-4.7%</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33,319</w:t>
            </w:r>
          </w:p>
        </w:tc>
        <w:tc>
          <w:tcPr>
            <w:tcW w:type="dxa" w:w="1440"/>
            <w:shd w:fill="FFDCE0" w:val="clear"/>
          </w:tcPr>
          <w:p>
            <w:r>
              <w:rPr>
                <w:b/>
                <w:sz w:val="17"/>
              </w:rPr>
              <w:t>36,575</w:t>
            </w:r>
          </w:p>
        </w:tc>
        <w:tc>
          <w:tcPr>
            <w:tcW w:type="dxa" w:w="1440"/>
            <w:shd w:fill="FFDCE0" w:val="clear"/>
          </w:tcPr>
          <w:p>
            <w:r>
              <w:rPr>
                <w:sz w:val="17"/>
              </w:rPr>
              <w:t>39,830</w:t>
            </w:r>
          </w:p>
        </w:tc>
        <w:tc>
          <w:tcPr>
            <w:tcW w:type="dxa" w:w="1440"/>
            <w:shd w:fill="FFDCE0" w:val="clear"/>
          </w:tcPr>
          <w:p>
            <w:r>
              <w:rPr>
                <w:b/>
                <w:color w:val="C00000"/>
                <w:sz w:val="17"/>
              </w:rPr>
              <w:t>-5.0%</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32,921</w:t>
            </w:r>
          </w:p>
        </w:tc>
        <w:tc>
          <w:tcPr>
            <w:tcW w:type="dxa" w:w="1440"/>
            <w:shd w:fill="FFDCE0" w:val="clear"/>
          </w:tcPr>
          <w:p>
            <w:r>
              <w:rPr>
                <w:b/>
                <w:sz w:val="17"/>
              </w:rPr>
              <w:t>36,478</w:t>
            </w:r>
          </w:p>
        </w:tc>
        <w:tc>
          <w:tcPr>
            <w:tcW w:type="dxa" w:w="1440"/>
            <w:shd w:fill="FFDCE0" w:val="clear"/>
          </w:tcPr>
          <w:p>
            <w:r>
              <w:rPr>
                <w:sz w:val="17"/>
              </w:rPr>
              <w:t>40,035</w:t>
            </w:r>
          </w:p>
        </w:tc>
        <w:tc>
          <w:tcPr>
            <w:tcW w:type="dxa" w:w="1440"/>
            <w:shd w:fill="FFDCE0" w:val="clear"/>
          </w:tcPr>
          <w:p>
            <w:r>
              <w:rPr>
                <w:b/>
                <w:color w:val="C00000"/>
                <w:sz w:val="17"/>
              </w:rPr>
              <w:t>-5.3%</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32,556</w:t>
            </w:r>
          </w:p>
        </w:tc>
        <w:tc>
          <w:tcPr>
            <w:tcW w:type="dxa" w:w="1440"/>
            <w:shd w:fill="FFDCE0" w:val="clear"/>
          </w:tcPr>
          <w:p>
            <w:r>
              <w:rPr>
                <w:b/>
                <w:sz w:val="17"/>
              </w:rPr>
              <w:t>36,388</w:t>
            </w:r>
          </w:p>
        </w:tc>
        <w:tc>
          <w:tcPr>
            <w:tcW w:type="dxa" w:w="1440"/>
            <w:shd w:fill="FFDCE0" w:val="clear"/>
          </w:tcPr>
          <w:p>
            <w:r>
              <w:rPr>
                <w:sz w:val="17"/>
              </w:rPr>
              <w:t>40,220</w:t>
            </w:r>
          </w:p>
        </w:tc>
        <w:tc>
          <w:tcPr>
            <w:tcW w:type="dxa" w:w="1440"/>
            <w:shd w:fill="FFDCE0" w:val="clear"/>
          </w:tcPr>
          <w:p>
            <w:r>
              <w:rPr>
                <w:b/>
                <w:color w:val="C00000"/>
                <w:sz w:val="17"/>
              </w:rPr>
              <w:t>-5.5%</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32,214</w:t>
            </w:r>
          </w:p>
        </w:tc>
        <w:tc>
          <w:tcPr>
            <w:tcW w:type="dxa" w:w="1440"/>
            <w:shd w:fill="FFDCE0" w:val="clear"/>
          </w:tcPr>
          <w:p>
            <w:r>
              <w:rPr>
                <w:b/>
                <w:sz w:val="17"/>
              </w:rPr>
              <w:t>36,301</w:t>
            </w:r>
          </w:p>
        </w:tc>
        <w:tc>
          <w:tcPr>
            <w:tcW w:type="dxa" w:w="1440"/>
            <w:shd w:fill="FFDCE0" w:val="clear"/>
          </w:tcPr>
          <w:p>
            <w:r>
              <w:rPr>
                <w:sz w:val="17"/>
              </w:rPr>
              <w:t>40,388</w:t>
            </w:r>
          </w:p>
        </w:tc>
        <w:tc>
          <w:tcPr>
            <w:tcW w:type="dxa" w:w="1440"/>
            <w:shd w:fill="FFDCE0" w:val="clear"/>
          </w:tcPr>
          <w:p>
            <w:r>
              <w:rPr>
                <w:b/>
                <w:color w:val="C00000"/>
                <w:sz w:val="17"/>
              </w:rPr>
              <w:t>-5.7%</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31,891</w:t>
            </w:r>
          </w:p>
        </w:tc>
        <w:tc>
          <w:tcPr>
            <w:tcW w:type="dxa" w:w="1440"/>
            <w:shd w:fill="FFDCE0" w:val="clear"/>
          </w:tcPr>
          <w:p>
            <w:r>
              <w:rPr>
                <w:b/>
                <w:sz w:val="17"/>
              </w:rPr>
              <w:t>36,216</w:t>
            </w:r>
          </w:p>
        </w:tc>
        <w:tc>
          <w:tcPr>
            <w:tcW w:type="dxa" w:w="1440"/>
            <w:shd w:fill="FFDCE0" w:val="clear"/>
          </w:tcPr>
          <w:p>
            <w:r>
              <w:rPr>
                <w:sz w:val="17"/>
              </w:rPr>
              <w:t>40,540</w:t>
            </w:r>
          </w:p>
        </w:tc>
        <w:tc>
          <w:tcPr>
            <w:tcW w:type="dxa" w:w="1440"/>
            <w:shd w:fill="FFDCE0" w:val="clear"/>
          </w:tcPr>
          <w:p>
            <w:r>
              <w:rPr>
                <w:b/>
                <w:color w:val="C00000"/>
                <w:sz w:val="17"/>
              </w:rPr>
              <w:t>-5.9%</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31,583</w:t>
            </w:r>
          </w:p>
        </w:tc>
        <w:tc>
          <w:tcPr>
            <w:tcW w:type="dxa" w:w="1440"/>
            <w:shd w:fill="FFDCE0" w:val="clear"/>
          </w:tcPr>
          <w:p>
            <w:r>
              <w:rPr>
                <w:b/>
                <w:sz w:val="17"/>
              </w:rPr>
              <w:t>36,131</w:t>
            </w:r>
          </w:p>
        </w:tc>
        <w:tc>
          <w:tcPr>
            <w:tcW w:type="dxa" w:w="1440"/>
            <w:shd w:fill="FFDCE0" w:val="clear"/>
          </w:tcPr>
          <w:p>
            <w:r>
              <w:rPr>
                <w:sz w:val="17"/>
              </w:rPr>
              <w:t>40,679</w:t>
            </w:r>
          </w:p>
        </w:tc>
        <w:tc>
          <w:tcPr>
            <w:tcW w:type="dxa" w:w="1440"/>
            <w:shd w:fill="FFDCE0" w:val="clear"/>
          </w:tcPr>
          <w:p>
            <w:r>
              <w:rPr>
                <w:b/>
                <w:color w:val="C00000"/>
                <w:sz w:val="17"/>
              </w:rPr>
              <w:t>-6.2%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SNTS (SONATEL)**</w:t>
        <w:br/>
        <w:t>**Date de l'analyse : 05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Sonatel s'établit à 3 850 milliards FCFA, ce qui en fait l'une des toutes premières capitalisations de la BRVM, représentant un poids considérable dans l'indice composite. Avec un BPA de 4 136 FCFA, le titre se négocie à un PER de 9,3x, un niveau inférieur à la moyenne historique de la place (8-12x), ce qui suggère une sous-évaluation relative de la valeur au regard de ses bénéfices. Le P/B de 2,75x indique que le marché valorise la société à près de trois fois ses capitaux propres, une prime de croissance justifiée par la solidité de ses fondamentaux. Enfin, l'EV/EBITDA de 4,0x est particulièrement faible, signifiant que la valeur totale de l'entreprise (dette incluse) ne représente que quatre fois son excédent brut d'exploitation, un niveau très attractif qui confirme le potentiel de revalorisation du titre.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SNTS a enregistré une performance remarquable de +33,68%, avec une dernière séance en hausse de +1,32% pour clôturer à 38 500 FCFA, son plus haut niveau sur la période. Le titre a évolué dans une fourchette de 27 160 FCFA à 38 500 FCFA, démontrant une tendance haussière soutenue. La moyenne du cours sur la période est de 30 394 FCFA, inférieure à la médiane de 29 000 FCFA, ce qui, combiné à un skewness positif de 1,440, indique une asymétrie positive avec des journées majoritairement sous la moyenne mais ponctuées de fortes progressions. L'écart-type de 2 645 FCFA (CV=8,7%) révèle une dispersion modérée, tandis que le kurtosis excédentaire de 1,325 signale des queues épaisses, suggérant un risque de mouvements extrêmes. La volatilité annualisée de 31,4% classe le titre dans la catégorie élevée, reflétant une dynamique de hausse rapide qui peut s'accompagner de corrections brutales.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38 500 FCFA se situe nettement au-dessus de la MM20 (34 606 FCFA) et de la MM50 (32 239 FCFA), confirmant une tendance haussière solide. L'écart positif entre les deux moyennes et leur orientation ascendante valident le signal d'achat, indiquant que la dynamique positive est bien établie à court et moyen terme.</w:t>
      </w:r>
    </w:p>
    <w:p>
      <w:pPr>
        <w:spacing w:after="120" w:line="276" w:lineRule="auto"/>
      </w:pPr>
      <w:r>
        <w:t>**Bandes de Bollinger** : Le prix évolue près de la borne supérieure (39 586 FCFA), à 1 086 FCFA de celle-ci, ce qui témoigne d'une pression acheteuse intense. La largeur des bandes (environ 10 000 FCFA) reflète une volatilité élevée. La décision "Neutre" s'explique par le fait que le titre n'a pas encore franchi la borne, mais la proximité de celle-ci suggère une possible poursuite ou un retournement imminent.</w:t>
      </w:r>
    </w:p>
    <w:p>
      <w:pPr>
        <w:spacing w:after="120" w:line="276" w:lineRule="auto"/>
      </w:pPr>
      <w:r>
        <w:t>**MACD** : Le MACD (1 742) est nettement supérieur à son signal (1 431), avec un écart positif croissant, confirmant un momentum haussier puissant. Cette configuration, typique d'une tendance forte, valide le signal d'achat et suggère que la pression acheteuse reste dominante à moyen terme.</w:t>
      </w:r>
    </w:p>
    <w:p>
      <w:pPr>
        <w:spacing w:after="120" w:line="276" w:lineRule="auto"/>
      </w:pPr>
      <w:r>
        <w:t>**RSI** : À 78,5, le RSI est entré en zone de surachat (&gt;70), signalant que le titre est techniquement surévalué à court terme. Cette situation indique que le marché a peut-être anticipé les bonnes nouvelles et qu'un essoufflement ou une consolidation est probable, justifiant la décision de vente.</w:t>
      </w:r>
    </w:p>
    <w:p>
      <w:pPr>
        <w:spacing w:after="120" w:line="276" w:lineRule="auto"/>
      </w:pPr>
      <w:r>
        <w:t>**Stochastique** : Le %K et le %D sont tous deux à 100, en territoire de surachat extrême. Cette configuration reflète une force exceptionnelle mais également un risque élevé de retournement brutal. La décision de vente est cohérente avec cette lecture, car les conditions de surachat atteignent des niveaux historiquement insoutenables.</w:t>
      </w:r>
    </w:p>
    <w:p>
      <w:pPr>
        <w:spacing w:after="120" w:line="276" w:lineRule="auto"/>
      </w:pPr>
      <w:r>
        <w:t>**Conclusion technique** : Les indicateurs de tendance (MM, MACD) sont résolument haussiers, mais les oscillateurs (RSI, Stochastique) signalent un surachat extrême. Cette divergence suggère que la tendance de fond reste positive, mais qu'une correction technique à court terme est hautement probable avant une éventuelle poursuite de la hausse.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officielles font état d'un chiffre d'affaires consolidé de 1 923,1 milliards FCFA, en croissance de +8,3% par rapport à 2024 (1 776,4 milliards FCFA). Le résultat net s'établit à 413,6 milliards FCFA, en hausse de +5,1%, avec une marge nette de 21,5%. La rentabilité des fonds propres (ROE) atteint un excellent niveau de 29,6%, et le ROA de 12,6% confirme l'efficacité de la gestion des actifs. La structure financière est saine avec une autonomie financière de 42,8% et une capacité de remboursement rapide (0,64 an). Le BFR négatif de -284,9 milliards FCFA est un signe très favorable, indiquant que l'entreprise finance son exploitation grâce aux délais fournisseurs (201 jours) nettement supérieurs aux délais clients (46 jours). **Les rapports trimestriels 2025** confirment cette dynamique : le T1 2025 affichait une croissance de +10,9% des revenus et un résultat net de 108,4 milliards FCFA (+14,9%), le S1 2025 un CA de 960,2 milliards FCFA (+9,4%) et un résultat net de 208,1 milliards FCFA (+8,0%), et le T3 2025 un CA de 1 432,5 milliards FCFA (+8,6%) avec un résultat net de 311 milliards FCFA (+8,0%). **Le rapport S1 2026**, publié en juillet 2026, montre une accélération : CA de 1 049,8 milliards FCFA (+9,3%) et résultat net de 230 milliards FCFA (+10,5%), avec une marge d'EBITDAAL en amélioration à 48,7%. La notation AAA(wu) de GCR Ratings a été confirmée. **Sur la base de ces données, on estime que l'exercice 2026 devrait dépasser les 2 100 milliards FCFA de CA et atteindre un résultat net supérieur à 450 milliards FCFA**, confirmant la solidité et la croissance durable du groupe.</w:t>
      </w:r>
    </w:p>
    <w:p>
      <w:pPr>
        <w:spacing w:after="120" w:line="276" w:lineRule="auto"/>
      </w:pPr>
      <w:r>
        <w:t>---</w:t>
      </w:r>
    </w:p>
    <w:p>
      <w:pPr>
        <w:spacing w:after="120" w:line="276" w:lineRule="auto"/>
      </w:pPr>
      <w:r>
        <w:t>### PARTIE 4 : CONCLUSION D'INVESTISSEMENT</w:t>
      </w:r>
    </w:p>
    <w:p>
      <w:pPr>
        <w:spacing w:after="120" w:line="276" w:lineRule="auto"/>
      </w:pPr>
      <w:r>
        <w:t>La valorisation de SNTS (PER 9,3x, EV/EBITDA 4,0x) indique une sous-évaluation malgré une performance boursière de +33,7% sur 100 jours, soutenue par des fondamentaux excellents (ROE 29,6%, croissance soutenue). Les signaux techniques sont mitigés : la tendance haussière est forte (MM, MACD), mais les oscillateurs en surachat extrême (RSI 78,5, Stochastique 100) suggèrent une consolidation imminente. Les fondamentaux, avec un S1 2026 en accélération (+9,3% CA, +10,5% résultat net) et une notation AAA, restent très solides. Les prédictions IA indiquent un léger repli du cours sur les 10 prochains jours (de 38 500 à 36 575 FCFA), ce qui est cohérent avec les signaux de surachat technique. **Recommandation finale : ACHAT** sur les replis, avec un niveau de confiance **Élevé** et un risque global **Moyen**. L'horizon d'investissement optimal est le **moyen terme (3-12 mois)**, en profitant d'une éventuelle correction technique pour renforcer les positions, la tendance de fond restant résolument haussière portée par la croissance du numérique en Afrique de l'Ouest.</w:t>
      </w:r>
    </w:p>
    <w:p/>
    <w:p/>
    <w:p>
      <w:pPr>
        <w:pStyle w:val="Heading3"/>
      </w:pPr>
      <w:r>
        <w:rPr>
          <w:color w:val="00467F"/>
        </w:rPr>
        <w:t>📎 DOCUMENTS &amp; COMMUNICATIONS OFFICIELS BRVM</w:t>
      </w:r>
    </w:p>
    <w:p>
      <w:r>
        <w:rPr>
          <w:i/>
          <w:color w:val="646464"/>
          <w:sz w:val="18"/>
        </w:rPr>
        <w:t>5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40.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190.10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5,928 titres</w:t>
            </w:r>
          </w:p>
        </w:tc>
        <w:tc>
          <w:tcPr>
            <w:tcW w:type="dxa" w:w="2268"/>
            <w:shd w:fill="FFF2CC" w:val="clear"/>
          </w:tcPr>
          <w:p>
            <w:r>
              <w:rPr>
                <w:b/>
                <w:color w:val="503200"/>
                <w:sz w:val="16"/>
              </w:rPr>
              <w:t xml:space="preserve">Cours actuel : </w:t>
            </w:r>
            <w:r>
              <w:rPr>
                <w:color w:val="000000"/>
                <w:sz w:val="17"/>
              </w:rPr>
              <w:t>8,800 FCFA</w:t>
            </w:r>
          </w:p>
          <w:p>
            <w:r>
              <w:rPr>
                <w:b/>
                <w:color w:val="503200"/>
                <w:sz w:val="16"/>
              </w:rPr>
              <w:t xml:space="preserve">Var. 100 jours : </w:t>
            </w:r>
            <w:r>
              <w:rPr>
                <w:b/>
                <w:color w:val="007800"/>
                <w:sz w:val="17"/>
              </w:rPr>
              <w:t>+10.41%</w:t>
            </w:r>
          </w:p>
          <w:p>
            <w:r>
              <w:rPr>
                <w:b/>
                <w:color w:val="503200"/>
                <w:sz w:val="16"/>
              </w:rPr>
              <w:t xml:space="preserve">Plus haut 100j : </w:t>
            </w:r>
            <w:r>
              <w:rPr>
                <w:color w:val="000000"/>
                <w:sz w:val="17"/>
              </w:rPr>
              <w:t>8,875 FCFA</w:t>
            </w:r>
          </w:p>
          <w:p>
            <w:r>
              <w:rPr>
                <w:b/>
                <w:color w:val="503200"/>
                <w:sz w:val="16"/>
              </w:rPr>
              <w:t xml:space="preserve">Plus bas 100j : </w:t>
            </w:r>
            <w:r>
              <w:rPr>
                <w:color w:val="000000"/>
                <w:sz w:val="17"/>
              </w:rPr>
              <w:t>7,100 FCFA</w:t>
            </w:r>
          </w:p>
          <w:p>
            <w:r>
              <w:rPr>
                <w:b/>
                <w:color w:val="503200"/>
                <w:sz w:val="16"/>
              </w:rPr>
              <w:t xml:space="preserve">Volatilité ann. : </w:t>
            </w:r>
            <w:r>
              <w:rPr>
                <w:color w:val="000000"/>
                <w:sz w:val="17"/>
              </w:rPr>
              <w:t>37.4%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5.04% (Moyenne) — μ=8,023 FCFA, σ=404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β=0.2259 (Défensif) — Cov=0.000008, Var(idx)=0.000036, ρ=0.058,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5,928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σ_j=2.36%/j (Stable) — Vol. annualisée≈37.4%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9287"/>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2026-09-07</w:t>
            </w:r>
          </w:p>
        </w:tc>
        <w:tc>
          <w:tcPr>
            <w:tcW w:type="dxa" w:w="1440"/>
            <w:shd w:fill="FAFAFA" w:val="clear"/>
          </w:tcPr>
          <w:p>
            <w:r>
              <w:rPr>
                <w:sz w:val="17"/>
              </w:rPr>
              <w:t>8,351</w:t>
            </w:r>
          </w:p>
        </w:tc>
        <w:tc>
          <w:tcPr>
            <w:tcW w:type="dxa" w:w="1440"/>
            <w:shd w:fill="FAFAFA" w:val="clear"/>
          </w:tcPr>
          <w:p>
            <w:r>
              <w:rPr>
                <w:b/>
                <w:sz w:val="17"/>
              </w:rPr>
              <w:t>8,755</w:t>
            </w:r>
          </w:p>
        </w:tc>
        <w:tc>
          <w:tcPr>
            <w:tcW w:type="dxa" w:w="1440"/>
            <w:shd w:fill="FAFAFA" w:val="clear"/>
          </w:tcPr>
          <w:p>
            <w:r>
              <w:rPr>
                <w:sz w:val="17"/>
              </w:rPr>
              <w:t>9,160</w:t>
            </w:r>
          </w:p>
        </w:tc>
        <w:tc>
          <w:tcPr>
            <w:tcW w:type="dxa" w:w="1440"/>
            <w:shd w:fill="FAFAFA" w:val="clear"/>
          </w:tcPr>
          <w:p>
            <w:r>
              <w:rPr>
                <w:b/>
                <w:color w:val="C00000"/>
                <w:sz w:val="17"/>
              </w:rPr>
              <w:t>-0.5%</w:t>
            </w:r>
          </w:p>
        </w:tc>
      </w:tr>
      <w:tr>
        <w:tc>
          <w:tcPr>
            <w:tcW w:type="dxa" w:w="1440"/>
            <w:shd w:fill="FAFAFA" w:val="clear"/>
          </w:tcPr>
          <w:p>
            <w:r>
              <w:rPr>
                <w:sz w:val="17"/>
              </w:rPr>
              <w:t>J+2  Moyenne</w:t>
            </w:r>
          </w:p>
        </w:tc>
        <w:tc>
          <w:tcPr>
            <w:tcW w:type="dxa" w:w="1440"/>
            <w:shd w:fill="FAFAFA" w:val="clear"/>
          </w:tcPr>
          <w:p>
            <w:r>
              <w:rPr>
                <w:sz w:val="17"/>
              </w:rPr>
              <w:t>2026-09-08</w:t>
            </w:r>
          </w:p>
        </w:tc>
        <w:tc>
          <w:tcPr>
            <w:tcW w:type="dxa" w:w="1440"/>
            <w:shd w:fill="FAFAFA" w:val="clear"/>
          </w:tcPr>
          <w:p>
            <w:r>
              <w:rPr>
                <w:sz w:val="17"/>
              </w:rPr>
              <w:t>8,184</w:t>
            </w:r>
          </w:p>
        </w:tc>
        <w:tc>
          <w:tcPr>
            <w:tcW w:type="dxa" w:w="1440"/>
            <w:shd w:fill="FAFAFA" w:val="clear"/>
          </w:tcPr>
          <w:p>
            <w:r>
              <w:rPr>
                <w:b/>
                <w:sz w:val="17"/>
              </w:rPr>
              <w:t>8,757</w:t>
            </w:r>
          </w:p>
        </w:tc>
        <w:tc>
          <w:tcPr>
            <w:tcW w:type="dxa" w:w="1440"/>
            <w:shd w:fill="FAFAFA" w:val="clear"/>
          </w:tcPr>
          <w:p>
            <w:r>
              <w:rPr>
                <w:sz w:val="17"/>
              </w:rPr>
              <w:t>9,329</w:t>
            </w:r>
          </w:p>
        </w:tc>
        <w:tc>
          <w:tcPr>
            <w:tcW w:type="dxa" w:w="1440"/>
            <w:shd w:fill="FAFAFA" w:val="clear"/>
          </w:tcPr>
          <w:p>
            <w:r>
              <w:rPr>
                <w:b/>
                <w:color w:val="C00000"/>
                <w:sz w:val="17"/>
              </w:rPr>
              <w:t>-0.5%</w:t>
            </w:r>
          </w:p>
        </w:tc>
      </w:tr>
      <w:tr>
        <w:tc>
          <w:tcPr>
            <w:tcW w:type="dxa" w:w="1440"/>
            <w:shd w:fill="FAFAFA" w:val="clear"/>
          </w:tcPr>
          <w:p>
            <w:r>
              <w:rPr>
                <w:sz w:val="17"/>
              </w:rPr>
              <w:t>J+3  Moyenne</w:t>
            </w:r>
          </w:p>
        </w:tc>
        <w:tc>
          <w:tcPr>
            <w:tcW w:type="dxa" w:w="1440"/>
            <w:shd w:fill="FAFAFA" w:val="clear"/>
          </w:tcPr>
          <w:p>
            <w:r>
              <w:rPr>
                <w:sz w:val="17"/>
              </w:rPr>
              <w:t>2026-09-09</w:t>
            </w:r>
          </w:p>
        </w:tc>
        <w:tc>
          <w:tcPr>
            <w:tcW w:type="dxa" w:w="1440"/>
            <w:shd w:fill="FAFAFA" w:val="clear"/>
          </w:tcPr>
          <w:p>
            <w:r>
              <w:rPr>
                <w:sz w:val="17"/>
              </w:rPr>
              <w:t>8,059</w:t>
            </w:r>
          </w:p>
        </w:tc>
        <w:tc>
          <w:tcPr>
            <w:tcW w:type="dxa" w:w="1440"/>
            <w:shd w:fill="FAFAFA" w:val="clear"/>
          </w:tcPr>
          <w:p>
            <w:r>
              <w:rPr>
                <w:b/>
                <w:sz w:val="17"/>
              </w:rPr>
              <w:t>8,760</w:t>
            </w:r>
          </w:p>
        </w:tc>
        <w:tc>
          <w:tcPr>
            <w:tcW w:type="dxa" w:w="1440"/>
            <w:shd w:fill="FAFAFA" w:val="clear"/>
          </w:tcPr>
          <w:p>
            <w:r>
              <w:rPr>
                <w:sz w:val="17"/>
              </w:rPr>
              <w:t>9,461</w:t>
            </w:r>
          </w:p>
        </w:tc>
        <w:tc>
          <w:tcPr>
            <w:tcW w:type="dxa" w:w="1440"/>
            <w:shd w:fill="FAFAFA" w:val="clear"/>
          </w:tcPr>
          <w:p>
            <w:r>
              <w:rPr>
                <w:b/>
                <w:color w:val="C00000"/>
                <w:sz w:val="17"/>
              </w:rPr>
              <w:t>-0.5%</w:t>
            </w:r>
          </w:p>
        </w:tc>
      </w:tr>
      <w:tr>
        <w:tc>
          <w:tcPr>
            <w:tcW w:type="dxa" w:w="1440"/>
            <w:shd w:fill="FAFAFA" w:val="clear"/>
          </w:tcPr>
          <w:p>
            <w:r>
              <w:rPr>
                <w:sz w:val="17"/>
              </w:rPr>
              <w:t>J+4  ⭐</w:t>
            </w:r>
          </w:p>
        </w:tc>
        <w:tc>
          <w:tcPr>
            <w:tcW w:type="dxa" w:w="1440"/>
            <w:shd w:fill="FAFAFA" w:val="clear"/>
          </w:tcPr>
          <w:p>
            <w:r>
              <w:rPr>
                <w:sz w:val="17"/>
              </w:rPr>
              <w:t>2026-09-10</w:t>
            </w:r>
          </w:p>
        </w:tc>
        <w:tc>
          <w:tcPr>
            <w:tcW w:type="dxa" w:w="1440"/>
            <w:shd w:fill="FAFAFA" w:val="clear"/>
          </w:tcPr>
          <w:p>
            <w:r>
              <w:rPr>
                <w:sz w:val="17"/>
              </w:rPr>
              <w:t>7,956</w:t>
            </w:r>
          </w:p>
        </w:tc>
        <w:tc>
          <w:tcPr>
            <w:tcW w:type="dxa" w:w="1440"/>
            <w:shd w:fill="FAFAFA" w:val="clear"/>
          </w:tcPr>
          <w:p>
            <w:r>
              <w:rPr>
                <w:b/>
                <w:sz w:val="17"/>
              </w:rPr>
              <w:t>8,766</w:t>
            </w:r>
          </w:p>
        </w:tc>
        <w:tc>
          <w:tcPr>
            <w:tcW w:type="dxa" w:w="1440"/>
            <w:shd w:fill="FAFAFA" w:val="clear"/>
          </w:tcPr>
          <w:p>
            <w:r>
              <w:rPr>
                <w:sz w:val="17"/>
              </w:rPr>
              <w:t>9,576</w:t>
            </w:r>
          </w:p>
        </w:tc>
        <w:tc>
          <w:tcPr>
            <w:tcW w:type="dxa" w:w="1440"/>
            <w:shd w:fill="FAFAFA" w:val="clear"/>
          </w:tcPr>
          <w:p>
            <w:r>
              <w:rPr>
                <w:b/>
                <w:color w:val="C00000"/>
                <w:sz w:val="17"/>
              </w:rPr>
              <w:t>-0.4%</w:t>
            </w:r>
          </w:p>
        </w:tc>
      </w:tr>
      <w:tr>
        <w:tc>
          <w:tcPr>
            <w:tcW w:type="dxa" w:w="1440"/>
            <w:shd w:fill="FAFAFA" w:val="clear"/>
          </w:tcPr>
          <w:p>
            <w:r>
              <w:rPr>
                <w:sz w:val="17"/>
              </w:rPr>
              <w:t>J+5  ⭐</w:t>
            </w:r>
          </w:p>
        </w:tc>
        <w:tc>
          <w:tcPr>
            <w:tcW w:type="dxa" w:w="1440"/>
            <w:shd w:fill="FAFAFA" w:val="clear"/>
          </w:tcPr>
          <w:p>
            <w:r>
              <w:rPr>
                <w:sz w:val="17"/>
              </w:rPr>
              <w:t>2026-09-11</w:t>
            </w:r>
          </w:p>
        </w:tc>
        <w:tc>
          <w:tcPr>
            <w:tcW w:type="dxa" w:w="1440"/>
            <w:shd w:fill="FAFAFA" w:val="clear"/>
          </w:tcPr>
          <w:p>
            <w:r>
              <w:rPr>
                <w:sz w:val="17"/>
              </w:rPr>
              <w:t>7,867</w:t>
            </w:r>
          </w:p>
        </w:tc>
        <w:tc>
          <w:tcPr>
            <w:tcW w:type="dxa" w:w="1440"/>
            <w:shd w:fill="FAFAFA" w:val="clear"/>
          </w:tcPr>
          <w:p>
            <w:r>
              <w:rPr>
                <w:b/>
                <w:sz w:val="17"/>
              </w:rPr>
              <w:t>8,773</w:t>
            </w:r>
          </w:p>
        </w:tc>
        <w:tc>
          <w:tcPr>
            <w:tcW w:type="dxa" w:w="1440"/>
            <w:shd w:fill="FAFAFA" w:val="clear"/>
          </w:tcPr>
          <w:p>
            <w:r>
              <w:rPr>
                <w:sz w:val="17"/>
              </w:rPr>
              <w:t>9,679</w:t>
            </w:r>
          </w:p>
        </w:tc>
        <w:tc>
          <w:tcPr>
            <w:tcW w:type="dxa" w:w="1440"/>
            <w:shd w:fill="FAFAFA" w:val="clear"/>
          </w:tcPr>
          <w:p>
            <w:r>
              <w:rPr>
                <w:b/>
                <w:color w:val="C00000"/>
                <w:sz w:val="17"/>
              </w:rPr>
              <w:t>-0.3%</w:t>
            </w:r>
          </w:p>
        </w:tc>
      </w:tr>
      <w:tr>
        <w:tc>
          <w:tcPr>
            <w:tcW w:type="dxa" w:w="1440"/>
            <w:shd w:fill="FAFAFA" w:val="clear"/>
          </w:tcPr>
          <w:p>
            <w:r>
              <w:rPr>
                <w:sz w:val="17"/>
              </w:rPr>
              <w:t>J+6  ⭐</w:t>
            </w:r>
          </w:p>
        </w:tc>
        <w:tc>
          <w:tcPr>
            <w:tcW w:type="dxa" w:w="1440"/>
            <w:shd w:fill="FAFAFA" w:val="clear"/>
          </w:tcPr>
          <w:p>
            <w:r>
              <w:rPr>
                <w:sz w:val="17"/>
              </w:rPr>
              <w:t>2026-09-14</w:t>
            </w:r>
          </w:p>
        </w:tc>
        <w:tc>
          <w:tcPr>
            <w:tcW w:type="dxa" w:w="1440"/>
            <w:shd w:fill="FAFAFA" w:val="clear"/>
          </w:tcPr>
          <w:p>
            <w:r>
              <w:rPr>
                <w:sz w:val="17"/>
              </w:rPr>
              <w:t>7,786</w:t>
            </w:r>
          </w:p>
        </w:tc>
        <w:tc>
          <w:tcPr>
            <w:tcW w:type="dxa" w:w="1440"/>
            <w:shd w:fill="FAFAFA" w:val="clear"/>
          </w:tcPr>
          <w:p>
            <w:r>
              <w:rPr>
                <w:b/>
                <w:sz w:val="17"/>
              </w:rPr>
              <w:t>8,780</w:t>
            </w:r>
          </w:p>
        </w:tc>
        <w:tc>
          <w:tcPr>
            <w:tcW w:type="dxa" w:w="1440"/>
            <w:shd w:fill="FAFAFA" w:val="clear"/>
          </w:tcPr>
          <w:p>
            <w:r>
              <w:rPr>
                <w:sz w:val="17"/>
              </w:rPr>
              <w:t>9,773</w:t>
            </w:r>
          </w:p>
        </w:tc>
        <w:tc>
          <w:tcPr>
            <w:tcW w:type="dxa" w:w="1440"/>
            <w:shd w:fill="FAFAFA" w:val="clear"/>
          </w:tcPr>
          <w:p>
            <w:r>
              <w:rPr>
                <w:b/>
                <w:color w:val="C00000"/>
                <w:sz w:val="17"/>
              </w:rPr>
              <w:t>-0.2%</w:t>
            </w:r>
          </w:p>
        </w:tc>
      </w:tr>
      <w:tr>
        <w:tc>
          <w:tcPr>
            <w:tcW w:type="dxa" w:w="1440"/>
            <w:shd w:fill="FAFAFA" w:val="clear"/>
          </w:tcPr>
          <w:p>
            <w:r>
              <w:rPr>
                <w:sz w:val="17"/>
              </w:rPr>
              <w:t>J+7  ⭐</w:t>
            </w:r>
          </w:p>
        </w:tc>
        <w:tc>
          <w:tcPr>
            <w:tcW w:type="dxa" w:w="1440"/>
            <w:shd w:fill="FAFAFA" w:val="clear"/>
          </w:tcPr>
          <w:p>
            <w:r>
              <w:rPr>
                <w:sz w:val="17"/>
              </w:rPr>
              <w:t>2026-09-15</w:t>
            </w:r>
          </w:p>
        </w:tc>
        <w:tc>
          <w:tcPr>
            <w:tcW w:type="dxa" w:w="1440"/>
            <w:shd w:fill="FAFAFA" w:val="clear"/>
          </w:tcPr>
          <w:p>
            <w:r>
              <w:rPr>
                <w:sz w:val="17"/>
              </w:rPr>
              <w:t>7,713</w:t>
            </w:r>
          </w:p>
        </w:tc>
        <w:tc>
          <w:tcPr>
            <w:tcW w:type="dxa" w:w="1440"/>
            <w:shd w:fill="FAFAFA" w:val="clear"/>
          </w:tcPr>
          <w:p>
            <w:r>
              <w:rPr>
                <w:b/>
                <w:sz w:val="17"/>
              </w:rPr>
              <w:t>8,787</w:t>
            </w:r>
          </w:p>
        </w:tc>
        <w:tc>
          <w:tcPr>
            <w:tcW w:type="dxa" w:w="1440"/>
            <w:shd w:fill="FAFAFA" w:val="clear"/>
          </w:tcPr>
          <w:p>
            <w:r>
              <w:rPr>
                <w:sz w:val="17"/>
              </w:rPr>
              <w:t>9,860</w:t>
            </w:r>
          </w:p>
        </w:tc>
        <w:tc>
          <w:tcPr>
            <w:tcW w:type="dxa" w:w="1440"/>
            <w:shd w:fill="FAFAFA" w:val="clear"/>
          </w:tcPr>
          <w:p>
            <w:r>
              <w:rPr>
                <w:b/>
                <w:color w:val="C00000"/>
                <w:sz w:val="17"/>
              </w:rPr>
              <w:t>-0.2%</w:t>
            </w:r>
          </w:p>
        </w:tc>
      </w:tr>
      <w:tr>
        <w:tc>
          <w:tcPr>
            <w:tcW w:type="dxa" w:w="1440"/>
            <w:shd w:fill="FAFAFA" w:val="clear"/>
          </w:tcPr>
          <w:p>
            <w:r>
              <w:rPr>
                <w:sz w:val="17"/>
              </w:rPr>
              <w:t>J+8  ⭐</w:t>
            </w:r>
          </w:p>
        </w:tc>
        <w:tc>
          <w:tcPr>
            <w:tcW w:type="dxa" w:w="1440"/>
            <w:shd w:fill="FAFAFA" w:val="clear"/>
          </w:tcPr>
          <w:p>
            <w:r>
              <w:rPr>
                <w:sz w:val="17"/>
              </w:rPr>
              <w:t>2026-09-16</w:t>
            </w:r>
          </w:p>
        </w:tc>
        <w:tc>
          <w:tcPr>
            <w:tcW w:type="dxa" w:w="1440"/>
            <w:shd w:fill="FAFAFA" w:val="clear"/>
          </w:tcPr>
          <w:p>
            <w:r>
              <w:rPr>
                <w:sz w:val="17"/>
              </w:rPr>
              <w:t>7,644</w:t>
            </w:r>
          </w:p>
        </w:tc>
        <w:tc>
          <w:tcPr>
            <w:tcW w:type="dxa" w:w="1440"/>
            <w:shd w:fill="FAFAFA" w:val="clear"/>
          </w:tcPr>
          <w:p>
            <w:r>
              <w:rPr>
                <w:b/>
                <w:sz w:val="17"/>
              </w:rPr>
              <w:t>8,793</w:t>
            </w:r>
          </w:p>
        </w:tc>
        <w:tc>
          <w:tcPr>
            <w:tcW w:type="dxa" w:w="1440"/>
            <w:shd w:fill="FAFAFA" w:val="clear"/>
          </w:tcPr>
          <w:p>
            <w:r>
              <w:rPr>
                <w:sz w:val="17"/>
              </w:rPr>
              <w:t>9,942</w:t>
            </w:r>
          </w:p>
        </w:tc>
        <w:tc>
          <w:tcPr>
            <w:tcW w:type="dxa" w:w="1440"/>
            <w:shd w:fill="FAFAFA" w:val="clear"/>
          </w:tcPr>
          <w:p>
            <w:r>
              <w:rPr>
                <w:b/>
                <w:color w:val="C00000"/>
                <w:sz w:val="17"/>
              </w:rPr>
              <w:t>-0.1%</w:t>
            </w:r>
          </w:p>
        </w:tc>
      </w:tr>
      <w:tr>
        <w:tc>
          <w:tcPr>
            <w:tcW w:type="dxa" w:w="1440"/>
            <w:shd w:fill="FAFAFA" w:val="clear"/>
          </w:tcPr>
          <w:p>
            <w:r>
              <w:rPr>
                <w:sz w:val="17"/>
              </w:rPr>
              <w:t>J+9  ⭐</w:t>
            </w:r>
          </w:p>
        </w:tc>
        <w:tc>
          <w:tcPr>
            <w:tcW w:type="dxa" w:w="1440"/>
            <w:shd w:fill="FAFAFA" w:val="clear"/>
          </w:tcPr>
          <w:p>
            <w:r>
              <w:rPr>
                <w:sz w:val="17"/>
              </w:rPr>
              <w:t>2026-09-17</w:t>
            </w:r>
          </w:p>
        </w:tc>
        <w:tc>
          <w:tcPr>
            <w:tcW w:type="dxa" w:w="1440"/>
            <w:shd w:fill="FAFAFA" w:val="clear"/>
          </w:tcPr>
          <w:p>
            <w:r>
              <w:rPr>
                <w:sz w:val="17"/>
              </w:rPr>
              <w:t>7,580</w:t>
            </w:r>
          </w:p>
        </w:tc>
        <w:tc>
          <w:tcPr>
            <w:tcW w:type="dxa" w:w="1440"/>
            <w:shd w:fill="FAFAFA" w:val="clear"/>
          </w:tcPr>
          <w:p>
            <w:r>
              <w:rPr>
                <w:b/>
                <w:sz w:val="17"/>
              </w:rPr>
              <w:t>8,800</w:t>
            </w:r>
          </w:p>
        </w:tc>
        <w:tc>
          <w:tcPr>
            <w:tcW w:type="dxa" w:w="1440"/>
            <w:shd w:fill="FAFAFA" w:val="clear"/>
          </w:tcPr>
          <w:p>
            <w:r>
              <w:rPr>
                <w:sz w:val="17"/>
              </w:rPr>
              <w:t>10,020</w:t>
            </w:r>
          </w:p>
        </w:tc>
        <w:tc>
          <w:tcPr>
            <w:tcW w:type="dxa" w:w="1440"/>
            <w:shd w:fill="FAFAFA" w:val="clear"/>
          </w:tcPr>
          <w:p>
            <w:r>
              <w:rPr>
                <w:b/>
                <w:color w:val="008000"/>
                <w:sz w:val="17"/>
              </w:rPr>
              <w:t>+0.0%</w:t>
            </w:r>
          </w:p>
        </w:tc>
      </w:tr>
      <w:tr>
        <w:tc>
          <w:tcPr>
            <w:tcW w:type="dxa" w:w="1440"/>
            <w:shd w:fill="FAFAFA" w:val="clear"/>
          </w:tcPr>
          <w:p>
            <w:r>
              <w:rPr>
                <w:sz w:val="17"/>
              </w:rPr>
              <w:t>J+10  ⭐</w:t>
            </w:r>
          </w:p>
        </w:tc>
        <w:tc>
          <w:tcPr>
            <w:tcW w:type="dxa" w:w="1440"/>
            <w:shd w:fill="FAFAFA" w:val="clear"/>
          </w:tcPr>
          <w:p>
            <w:r>
              <w:rPr>
                <w:sz w:val="17"/>
              </w:rPr>
              <w:t>2026-09-18</w:t>
            </w:r>
          </w:p>
        </w:tc>
        <w:tc>
          <w:tcPr>
            <w:tcW w:type="dxa" w:w="1440"/>
            <w:shd w:fill="FAFAFA" w:val="clear"/>
          </w:tcPr>
          <w:p>
            <w:r>
              <w:rPr>
                <w:sz w:val="17"/>
              </w:rPr>
              <w:t>7,520</w:t>
            </w:r>
          </w:p>
        </w:tc>
        <w:tc>
          <w:tcPr>
            <w:tcW w:type="dxa" w:w="1440"/>
            <w:shd w:fill="FAFAFA" w:val="clear"/>
          </w:tcPr>
          <w:p>
            <w:r>
              <w:rPr>
                <w:b/>
                <w:sz w:val="17"/>
              </w:rPr>
              <w:t>8,807</w:t>
            </w:r>
          </w:p>
        </w:tc>
        <w:tc>
          <w:tcPr>
            <w:tcW w:type="dxa" w:w="1440"/>
            <w:shd w:fill="FAFAFA" w:val="clear"/>
          </w:tcPr>
          <w:p>
            <w:r>
              <w:rPr>
                <w:sz w:val="17"/>
              </w:rPr>
              <w:t>10,093</w:t>
            </w:r>
          </w:p>
        </w:tc>
        <w:tc>
          <w:tcPr>
            <w:tcW w:type="dxa" w:w="1440"/>
            <w:shd w:fill="FAFAFA" w:val="clear"/>
          </w:tcPr>
          <w:p>
            <w:r>
              <w:rPr>
                <w:b/>
                <w:color w:val="008000"/>
                <w:sz w:val="17"/>
              </w:rPr>
              <w:t>+0.1%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SOGC s'établit à 190,10 milliards FCFA, ce qui en fait une valeur de première ligne sur la BRVM, représentant un poids significatif dans l'indice composite. Avec un BPA de 578 FCFA, chaque action génère un bénéfice confortable, justifiant un PER de 15,2x. Ce niveau est supérieur à la moyenne historique de la BRVM (8-12x), indiquant que le marché intègre une prime de croissance et de qualité pour ce titre. Le P/B de 2,78x confirme cette lecture : les investisseurs valorisent les actifs nets de la société bien au-delà de leur valeur comptable, une prime classique pour les sociétés agro-industrielles performantes. Enfin, un EV/EBITDA de 7,9x, situé dans la fourchette basse des standards internationaux, suggère que la valeur d'entreprise reste raisonnable par rapport à sa capacité opérationnelle, tempérant l'idée d'une surévaluation flagrante.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SOGC affiche une progression totale de +10,41%, avec un cours actuel de 8 800 FCFA, bien que la dernière séance ait enregistré un léger repli de -0,85%. Le titre a évolué dans une fourchette de 7 100 FCFA (plus bas) à 8 875 FCFA (plus haut), démontrant une dynamique haussière soutenue sur la période. La moyenne du cours (8 023 FCFA) est inférieure à la médiane (8 125 FCFA), ce qui, combiné à un skewness négatif (-0,406), suggère une distribution légèrement asymétrique avec des épisodes de baisse plus marqués que les hausses. L'écart-type de 406 FCFA (CV=5,1%) indique une dispersion relativement faible autour de la moyenne, et le kurtosis de -0,780 (mésokurtique) signale l'absence de risques de variations extrêmes ou de pics inhabituels. La volatilité annualisée de 37,4% reste élevée, typique des valeurs de la BRVM, mais la tendance générale sur la période est clairement haussière, portée par des fondamentaux solides.</w:t>
      </w:r>
    </w:p>
    <w:p>
      <w:pPr>
        <w:spacing w:after="120" w:line="276" w:lineRule="auto" w:before="240"/>
      </w:pPr>
      <w:r>
        <w:rPr>
          <w:b/>
          <w:color w:val="003366"/>
          <w:sz w:val="24"/>
        </w:rPr>
        <w:t>**PARTIE 2 : ANALYSE TECHNIQUE DÉTAILLÉE**</w:t>
      </w:r>
    </w:p>
    <w:p>
      <w:pPr>
        <w:spacing w:after="120" w:line="276" w:lineRule="auto"/>
      </w:pPr>
      <w:r>
        <w:t>Les **Moyennes Mobiles** (MM20 à 8 144,5 et MM50 à 8 224,4) sont toutes deux inférieures au cours actuel de 8 800 FCFA, ce qui confirme une tendance haussière de fond. Cependant, la décision de "Vente" suggère que le titre s'est éloigné de ses moyennes et pourrait être sujet à un repli technique à court terme pour combler l'écart.</w:t>
      </w:r>
    </w:p>
    <w:p>
      <w:pPr>
        <w:spacing w:after="120" w:line="276" w:lineRule="auto"/>
      </w:pPr>
      <w:r>
        <w:t>Les **Bandes de Bollinger** montrent un cours (8 800 FCFA) très proche de la borne supérieure (8 839,2 FCFA), indiquant une pression acheteuse intense et une volatilité croissante. La décision "Neutre" est cohérente avec cette position extrême, car elle signale que le titre est en zone de surachat technique, sans signal de retournement clair pour l'instant.</w:t>
      </w:r>
    </w:p>
    <w:p>
      <w:pPr>
        <w:spacing w:after="120" w:line="276" w:lineRule="auto"/>
      </w:pPr>
      <w:r>
        <w:t>Le **MACD** affiche une valeur positive (136,03) nettement supérieure à son signal (47,41), avec une divergence positive. Cette configuration est un signal d'**Achat** classique, indiquant que le momentum haussier reste puissant et que la tendance de fond est solide, malgré les signaux de surachat à court terme.</w:t>
      </w:r>
    </w:p>
    <w:p>
      <w:pPr>
        <w:spacing w:after="120" w:line="276" w:lineRule="auto"/>
      </w:pPr>
      <w:r>
        <w:t>Le **RSI** à 83,2 est très élevé, bien au-delà du seuil de surachat de 70. Cette valeur extrême indique que le titre est survendu techniquement et qu'une correction ou une consolidation est probable à très court terme. La décision de "Vente" est donc justifiée pour un horizon de trading immédiat.</w:t>
      </w:r>
    </w:p>
    <w:p>
      <w:pPr>
        <w:spacing w:after="120" w:line="276" w:lineRule="auto"/>
      </w:pPr>
      <w:r>
        <w:t>Le **Stochastique** (%K=92,7, %D=97,6) est également en zone de surachat extrême. Le %K est passé sous le %D, ce qui constitue un signal de retournement baissier potentiel. La décision de "Vente" est cohérente avec cette configuration, suggérant une perte de momentum acheteur.</w:t>
      </w:r>
    </w:p>
    <w:p>
      <w:pPr>
        <w:spacing w:after="120" w:line="276" w:lineRule="auto"/>
      </w:pPr>
      <w:r>
        <w:t>En **conclusion technique**, les indicateurs de tendance (MACD, MM) sont positifs, mais les oscillateurs (RSI, Stochastique) sont en zone de surachat extrême. Cette divergence signale un risque élevé de consolidation à court terme, mais la tendance de fond reste haussière. Un repli vers les 8 400-8 500 FCFA serait une opportunité d'achat pour les investisseurs de moyen terme.</w:t>
      </w:r>
    </w:p>
    <w:p>
      <w:pPr>
        <w:spacing w:after="120" w:line="276" w:lineRule="auto" w:before="240"/>
      </w:pPr>
      <w:r>
        <w:rPr>
          <w:b/>
          <w:color w:val="003366"/>
          <w:sz w:val="24"/>
        </w:rPr>
        <w:t>**PARTIE 3 : ANALYSE FONDAMENTALE (SECTION CRITIQUE)**</w:t>
      </w:r>
    </w:p>
    <w:p>
      <w:pPr>
        <w:spacing w:after="120" w:line="276" w:lineRule="auto"/>
      </w:pPr>
      <w:r>
        <w:t>En 2025, la SOGC affiche un chiffre d'affaires de 98,98 milliards FCFA, en hausse de 5,8% par rapport à 2024 (93,52 milliards FCFA), et un résultat net de 12,49 milliards FCFA, en légère baisse de -5% par rapport à 2024 (13,11 milliards FCFA). La marge nette ressort à 12,6%, contre 14,0% en 2024, impactée par la hausse des coûts d'achat de matières premières (+15%). La rentabilité des capitaux propres (ROE) reste excellente à 18,3%, et le ROA à 13,8%, témoignant d'une gestion efficiente des actifs. La structure financière est très saine avec une autonomie financière de 75,8% et un ratio d'endettement faible de 24,2%. Le BFR de 7,12 milliards et le délai de stockage de 97,7 jours reflètent les contraintes du secteur agricole, mais la trésorerie nette positive de 4,58 milliards offre une marge de manœuvre. Les rapports trimestriels 2025 (T1 : CA +63,1%, RN +262,9% ; S1 : CA +51,9%, RN +151,6% ; 9M : CA +21,3%, RN +39,5%) montrent une décélération progressive au cours de l'année, due à la baisse des cours du caoutchouc (SICOM) et à une concurrence accrue sur l'achat du coagulum. Sur la base de ces tendances, on estime que l'exercice 2026 devrait voir un chiffre d'affaires stable ou en légère hausse, mais avec des marges sous pression. La recommandation fondamentale est de **CONSERVER**, la société restant solide et rentable, mais confrontée à un environnement de prix moins favorable.</w:t>
      </w:r>
    </w:p>
    <w:p>
      <w:pPr>
        <w:spacing w:after="120" w:line="276" w:lineRule="auto" w:before="240"/>
      </w:pPr>
      <w:r>
        <w:rPr>
          <w:b/>
          <w:color w:val="003366"/>
          <w:sz w:val="24"/>
        </w:rPr>
        <w:t>**PARTIE 4 : CONCLUSION D'INVESTISSEMENT**</w:t>
      </w:r>
    </w:p>
    <w:p>
      <w:pPr>
        <w:spacing w:after="120" w:line="276" w:lineRule="auto"/>
      </w:pPr>
      <w:r>
        <w:t>La valorisation de SOGC (PER 15,2x, P/B 2,78x) intègre une prime de qualité, mais l'EV/EBITDA de 7,9x reste raisonnable, indiquant une surévaluation modérée. Le comportement du cours sur 100 jours est haussier (+10,41%) avec une volatilité élevée (37,4%) et une distribution statistique stable (mésokurtique), mais le skewness négatif et le surachat technique (RSI 83,2, Stochastique 92,7) suggèrent un risque de correction à court terme. Les fondamentaux restent solides avec un ROE de 18,3% et une trésorerie nette positive, mais la décélération de la croissance en 2025 et les perspectives 2026 prudentes justifient une approche mesurée. Les prédictions IA (8 755 à 8 773 FCFA sur 10 jours) indiquent une stagnation avec un léger repli, confirmant les signaux techniques de consolidation. En synthèse, la convergence entre la valorisation exigeante, les signaux techniques de surachat et les perspectives fondamentales en ralentissement conduit à une recommandation de **CONSERVER**. Le niveau de confiance est **Moyen** et le risque global est **Moyen**. L'horizon d'investissement optimal est le **moyen terme (3-12 mois)**, en attendant un point d'entrée plus favorable après une correction technique.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41.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255.96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4,451 titres</w:t>
            </w:r>
          </w:p>
        </w:tc>
        <w:tc>
          <w:tcPr>
            <w:tcW w:type="dxa" w:w="2268"/>
            <w:shd w:fill="FFF2CC" w:val="clear"/>
          </w:tcPr>
          <w:p>
            <w:r>
              <w:rPr>
                <w:b/>
                <w:color w:val="503200"/>
                <w:sz w:val="16"/>
              </w:rPr>
              <w:t xml:space="preserve">Cours actuel : </w:t>
            </w:r>
            <w:r>
              <w:rPr>
                <w:color w:val="000000"/>
                <w:sz w:val="17"/>
              </w:rPr>
              <w:t>10,015 FCFA</w:t>
            </w:r>
          </w:p>
          <w:p>
            <w:r>
              <w:rPr>
                <w:b/>
                <w:color w:val="503200"/>
                <w:sz w:val="16"/>
              </w:rPr>
              <w:t xml:space="preserve">Var. 100 jours : </w:t>
            </w:r>
            <w:r>
              <w:rPr>
                <w:b/>
                <w:color w:val="007800"/>
                <w:sz w:val="17"/>
              </w:rPr>
              <w:t>+34.52%</w:t>
            </w:r>
          </w:p>
          <w:p>
            <w:r>
              <w:rPr>
                <w:b/>
                <w:color w:val="503200"/>
                <w:sz w:val="16"/>
              </w:rPr>
              <w:t xml:space="preserve">Plus haut 100j : </w:t>
            </w:r>
            <w:r>
              <w:rPr>
                <w:color w:val="000000"/>
                <w:sz w:val="17"/>
              </w:rPr>
              <w:t>10,300 FCFA</w:t>
            </w:r>
          </w:p>
          <w:p>
            <w:r>
              <w:rPr>
                <w:b/>
                <w:color w:val="503200"/>
                <w:sz w:val="16"/>
              </w:rPr>
              <w:t xml:space="preserve">Plus bas 100j : </w:t>
            </w:r>
            <w:r>
              <w:rPr>
                <w:color w:val="000000"/>
                <w:sz w:val="17"/>
              </w:rPr>
              <w:t>6,720 FCFA</w:t>
            </w:r>
          </w:p>
          <w:p>
            <w:r>
              <w:rPr>
                <w:b/>
                <w:color w:val="503200"/>
                <w:sz w:val="16"/>
              </w:rPr>
              <w:t xml:space="preserve">Volatilité ann. : </w:t>
            </w:r>
            <w:r>
              <w:rPr>
                <w:color w:val="000000"/>
                <w:sz w:val="17"/>
              </w:rPr>
              <w:t>40.2%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21.1/100 → Moyen</w:t>
      </w:r>
    </w:p>
    <w:p>
      <w:pPr>
        <w:spacing w:before="40" w:after="80"/>
      </w:pPr>
      <w:r>
        <w:rPr>
          <w:rFonts w:ascii="Courier New" w:hAnsi="Courier New"/>
          <w:color w:val="825A00"/>
          <w:sz w:val="18"/>
        </w:rPr>
        <w:t>████░░░░░░░░░░░░░░░░  21.1/100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10.23% (Moyenne) — μ=7,703 FCFA, σ=788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β=1.1113 (Neutre (suit le marché)) — Cov=0.000040, Var(idx)=0.000036, ρ=0.262,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4,451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σ_j=2.54%/j (Stable) — Vol. annualisée≈40.2%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6976"/>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2026-09-07</w:t>
            </w:r>
          </w:p>
        </w:tc>
        <w:tc>
          <w:tcPr>
            <w:tcW w:type="dxa" w:w="1440"/>
            <w:shd w:fill="FAFAFA" w:val="clear"/>
          </w:tcPr>
          <w:p>
            <w:r>
              <w:rPr>
                <w:sz w:val="17"/>
              </w:rPr>
              <w:t>9,404</w:t>
            </w:r>
          </w:p>
        </w:tc>
        <w:tc>
          <w:tcPr>
            <w:tcW w:type="dxa" w:w="1440"/>
            <w:shd w:fill="FAFAFA" w:val="clear"/>
          </w:tcPr>
          <w:p>
            <w:r>
              <w:rPr>
                <w:b/>
                <w:sz w:val="17"/>
              </w:rPr>
              <w:t>9,898</w:t>
            </w:r>
          </w:p>
        </w:tc>
        <w:tc>
          <w:tcPr>
            <w:tcW w:type="dxa" w:w="1440"/>
            <w:shd w:fill="FAFAFA" w:val="clear"/>
          </w:tcPr>
          <w:p>
            <w:r>
              <w:rPr>
                <w:sz w:val="17"/>
              </w:rPr>
              <w:t>10,392</w:t>
            </w:r>
          </w:p>
        </w:tc>
        <w:tc>
          <w:tcPr>
            <w:tcW w:type="dxa" w:w="1440"/>
            <w:shd w:fill="FAFAFA" w:val="clear"/>
          </w:tcPr>
          <w:p>
            <w:r>
              <w:rPr>
                <w:b/>
                <w:color w:val="C00000"/>
                <w:sz w:val="17"/>
              </w:rPr>
              <w:t>-1.2%</w:t>
            </w:r>
          </w:p>
        </w:tc>
      </w:tr>
      <w:tr>
        <w:tc>
          <w:tcPr>
            <w:tcW w:type="dxa" w:w="1440"/>
            <w:shd w:fill="FAFAFA" w:val="clear"/>
          </w:tcPr>
          <w:p>
            <w:r>
              <w:rPr>
                <w:sz w:val="17"/>
              </w:rPr>
              <w:t>J+2  Moyenne</w:t>
            </w:r>
          </w:p>
        </w:tc>
        <w:tc>
          <w:tcPr>
            <w:tcW w:type="dxa" w:w="1440"/>
            <w:shd w:fill="FAFAFA" w:val="clear"/>
          </w:tcPr>
          <w:p>
            <w:r>
              <w:rPr>
                <w:sz w:val="17"/>
              </w:rPr>
              <w:t>2026-09-08</w:t>
            </w:r>
          </w:p>
        </w:tc>
        <w:tc>
          <w:tcPr>
            <w:tcW w:type="dxa" w:w="1440"/>
            <w:shd w:fill="FAFAFA" w:val="clear"/>
          </w:tcPr>
          <w:p>
            <w:r>
              <w:rPr>
                <w:sz w:val="17"/>
              </w:rPr>
              <w:t>9,142</w:t>
            </w:r>
          </w:p>
        </w:tc>
        <w:tc>
          <w:tcPr>
            <w:tcW w:type="dxa" w:w="1440"/>
            <w:shd w:fill="FAFAFA" w:val="clear"/>
          </w:tcPr>
          <w:p>
            <w:r>
              <w:rPr>
                <w:b/>
                <w:sz w:val="17"/>
              </w:rPr>
              <w:t>9,837</w:t>
            </w:r>
          </w:p>
        </w:tc>
        <w:tc>
          <w:tcPr>
            <w:tcW w:type="dxa" w:w="1440"/>
            <w:shd w:fill="FAFAFA" w:val="clear"/>
          </w:tcPr>
          <w:p>
            <w:r>
              <w:rPr>
                <w:sz w:val="17"/>
              </w:rPr>
              <w:t>10,532</w:t>
            </w:r>
          </w:p>
        </w:tc>
        <w:tc>
          <w:tcPr>
            <w:tcW w:type="dxa" w:w="1440"/>
            <w:shd w:fill="FAFAFA" w:val="clear"/>
          </w:tcPr>
          <w:p>
            <w:r>
              <w:rPr>
                <w:b/>
                <w:color w:val="C00000"/>
                <w:sz w:val="17"/>
              </w:rPr>
              <w:t>-1.8%</w:t>
            </w:r>
          </w:p>
        </w:tc>
      </w:tr>
      <w:tr>
        <w:tc>
          <w:tcPr>
            <w:tcW w:type="dxa" w:w="1440"/>
            <w:shd w:fill="FFDCE0" w:val="clear"/>
          </w:tcPr>
          <w:p>
            <w:r>
              <w:rPr>
                <w:sz w:val="17"/>
              </w:rPr>
              <w:t>J+3  Moyenne</w:t>
            </w:r>
          </w:p>
        </w:tc>
        <w:tc>
          <w:tcPr>
            <w:tcW w:type="dxa" w:w="1440"/>
            <w:shd w:fill="FFDCE0" w:val="clear"/>
          </w:tcPr>
          <w:p>
            <w:r>
              <w:rPr>
                <w:sz w:val="17"/>
              </w:rPr>
              <w:t>2026-09-09</w:t>
            </w:r>
          </w:p>
        </w:tc>
        <w:tc>
          <w:tcPr>
            <w:tcW w:type="dxa" w:w="1440"/>
            <w:shd w:fill="FFDCE0" w:val="clear"/>
          </w:tcPr>
          <w:p>
            <w:r>
              <w:rPr>
                <w:sz w:val="17"/>
              </w:rPr>
              <w:t>8,935</w:t>
            </w:r>
          </w:p>
        </w:tc>
        <w:tc>
          <w:tcPr>
            <w:tcW w:type="dxa" w:w="1440"/>
            <w:shd w:fill="FFDCE0" w:val="clear"/>
          </w:tcPr>
          <w:p>
            <w:r>
              <w:rPr>
                <w:b/>
                <w:sz w:val="17"/>
              </w:rPr>
              <w:t>9,782</w:t>
            </w:r>
          </w:p>
        </w:tc>
        <w:tc>
          <w:tcPr>
            <w:tcW w:type="dxa" w:w="1440"/>
            <w:shd w:fill="FFDCE0" w:val="clear"/>
          </w:tcPr>
          <w:p>
            <w:r>
              <w:rPr>
                <w:sz w:val="17"/>
              </w:rPr>
              <w:t>10,628</w:t>
            </w:r>
          </w:p>
        </w:tc>
        <w:tc>
          <w:tcPr>
            <w:tcW w:type="dxa" w:w="1440"/>
            <w:shd w:fill="FFDCE0" w:val="clear"/>
          </w:tcPr>
          <w:p>
            <w:r>
              <w:rPr>
                <w:b/>
                <w:color w:val="C00000"/>
                <w:sz w:val="17"/>
              </w:rPr>
              <w:t>-2.3%</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8,758</w:t>
            </w:r>
          </w:p>
        </w:tc>
        <w:tc>
          <w:tcPr>
            <w:tcW w:type="dxa" w:w="1440"/>
            <w:shd w:fill="FFDCE0" w:val="clear"/>
          </w:tcPr>
          <w:p>
            <w:r>
              <w:rPr>
                <w:b/>
                <w:sz w:val="17"/>
              </w:rPr>
              <w:t>9,730</w:t>
            </w:r>
          </w:p>
        </w:tc>
        <w:tc>
          <w:tcPr>
            <w:tcW w:type="dxa" w:w="1440"/>
            <w:shd w:fill="FFDCE0" w:val="clear"/>
          </w:tcPr>
          <w:p>
            <w:r>
              <w:rPr>
                <w:sz w:val="17"/>
              </w:rPr>
              <w:t>10,702</w:t>
            </w:r>
          </w:p>
        </w:tc>
        <w:tc>
          <w:tcPr>
            <w:tcW w:type="dxa" w:w="1440"/>
            <w:shd w:fill="FFDCE0" w:val="clear"/>
          </w:tcPr>
          <w:p>
            <w:r>
              <w:rPr>
                <w:b/>
                <w:color w:val="C00000"/>
                <w:sz w:val="17"/>
              </w:rPr>
              <w:t>-2.8%</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8,598</w:t>
            </w:r>
          </w:p>
        </w:tc>
        <w:tc>
          <w:tcPr>
            <w:tcW w:type="dxa" w:w="1440"/>
            <w:shd w:fill="FFDCE0" w:val="clear"/>
          </w:tcPr>
          <w:p>
            <w:r>
              <w:rPr>
                <w:b/>
                <w:sz w:val="17"/>
              </w:rPr>
              <w:t>9,679</w:t>
            </w:r>
          </w:p>
        </w:tc>
        <w:tc>
          <w:tcPr>
            <w:tcW w:type="dxa" w:w="1440"/>
            <w:shd w:fill="FFDCE0" w:val="clear"/>
          </w:tcPr>
          <w:p>
            <w:r>
              <w:rPr>
                <w:sz w:val="17"/>
              </w:rPr>
              <w:t>10,761</w:t>
            </w:r>
          </w:p>
        </w:tc>
        <w:tc>
          <w:tcPr>
            <w:tcW w:type="dxa" w:w="1440"/>
            <w:shd w:fill="FFDCE0" w:val="clear"/>
          </w:tcPr>
          <w:p>
            <w:r>
              <w:rPr>
                <w:b/>
                <w:color w:val="C00000"/>
                <w:sz w:val="17"/>
              </w:rPr>
              <w:t>-3.4%</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8,451</w:t>
            </w:r>
          </w:p>
        </w:tc>
        <w:tc>
          <w:tcPr>
            <w:tcW w:type="dxa" w:w="1440"/>
            <w:shd w:fill="FFDCE0" w:val="clear"/>
          </w:tcPr>
          <w:p>
            <w:r>
              <w:rPr>
                <w:b/>
                <w:sz w:val="17"/>
              </w:rPr>
              <w:t>9,630</w:t>
            </w:r>
          </w:p>
        </w:tc>
        <w:tc>
          <w:tcPr>
            <w:tcW w:type="dxa" w:w="1440"/>
            <w:shd w:fill="FFDCE0" w:val="clear"/>
          </w:tcPr>
          <w:p>
            <w:r>
              <w:rPr>
                <w:sz w:val="17"/>
              </w:rPr>
              <w:t>10,808</w:t>
            </w:r>
          </w:p>
        </w:tc>
        <w:tc>
          <w:tcPr>
            <w:tcW w:type="dxa" w:w="1440"/>
            <w:shd w:fill="FFDCE0" w:val="clear"/>
          </w:tcPr>
          <w:p>
            <w:r>
              <w:rPr>
                <w:b/>
                <w:color w:val="C00000"/>
                <w:sz w:val="17"/>
              </w:rPr>
              <w:t>-3.8%</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8,314</w:t>
            </w:r>
          </w:p>
        </w:tc>
        <w:tc>
          <w:tcPr>
            <w:tcW w:type="dxa" w:w="1440"/>
            <w:shd w:fill="FFDCE0" w:val="clear"/>
          </w:tcPr>
          <w:p>
            <w:r>
              <w:rPr>
                <w:b/>
                <w:sz w:val="17"/>
              </w:rPr>
              <w:t>9,580</w:t>
            </w:r>
          </w:p>
        </w:tc>
        <w:tc>
          <w:tcPr>
            <w:tcW w:type="dxa" w:w="1440"/>
            <w:shd w:fill="FFDCE0" w:val="clear"/>
          </w:tcPr>
          <w:p>
            <w:r>
              <w:rPr>
                <w:sz w:val="17"/>
              </w:rPr>
              <w:t>10,847</w:t>
            </w:r>
          </w:p>
        </w:tc>
        <w:tc>
          <w:tcPr>
            <w:tcW w:type="dxa" w:w="1440"/>
            <w:shd w:fill="FFDCE0" w:val="clear"/>
          </w:tcPr>
          <w:p>
            <w:r>
              <w:rPr>
                <w:b/>
                <w:color w:val="C00000"/>
                <w:sz w:val="17"/>
              </w:rPr>
              <w:t>-4.3%</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8,185</w:t>
            </w:r>
          </w:p>
        </w:tc>
        <w:tc>
          <w:tcPr>
            <w:tcW w:type="dxa" w:w="1440"/>
            <w:shd w:fill="FFDCE0" w:val="clear"/>
          </w:tcPr>
          <w:p>
            <w:r>
              <w:rPr>
                <w:b/>
                <w:sz w:val="17"/>
              </w:rPr>
              <w:t>9,532</w:t>
            </w:r>
          </w:p>
        </w:tc>
        <w:tc>
          <w:tcPr>
            <w:tcW w:type="dxa" w:w="1440"/>
            <w:shd w:fill="FFDCE0" w:val="clear"/>
          </w:tcPr>
          <w:p>
            <w:r>
              <w:rPr>
                <w:sz w:val="17"/>
              </w:rPr>
              <w:t>10,879</w:t>
            </w:r>
          </w:p>
        </w:tc>
        <w:tc>
          <w:tcPr>
            <w:tcW w:type="dxa" w:w="1440"/>
            <w:shd w:fill="FFDCE0" w:val="clear"/>
          </w:tcPr>
          <w:p>
            <w:r>
              <w:rPr>
                <w:b/>
                <w:color w:val="C00000"/>
                <w:sz w:val="17"/>
              </w:rPr>
              <w:t>-4.8%</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8,063</w:t>
            </w:r>
          </w:p>
        </w:tc>
        <w:tc>
          <w:tcPr>
            <w:tcW w:type="dxa" w:w="1440"/>
            <w:shd w:fill="FFDCE0" w:val="clear"/>
          </w:tcPr>
          <w:p>
            <w:r>
              <w:rPr>
                <w:b/>
                <w:sz w:val="17"/>
              </w:rPr>
              <w:t>9,485</w:t>
            </w:r>
          </w:p>
        </w:tc>
        <w:tc>
          <w:tcPr>
            <w:tcW w:type="dxa" w:w="1440"/>
            <w:shd w:fill="FFDCE0" w:val="clear"/>
          </w:tcPr>
          <w:p>
            <w:r>
              <w:rPr>
                <w:sz w:val="17"/>
              </w:rPr>
              <w:t>10,906</w:t>
            </w:r>
          </w:p>
        </w:tc>
        <w:tc>
          <w:tcPr>
            <w:tcW w:type="dxa" w:w="1440"/>
            <w:shd w:fill="FFDCE0" w:val="clear"/>
          </w:tcPr>
          <w:p>
            <w:r>
              <w:rPr>
                <w:b/>
                <w:color w:val="C00000"/>
                <w:sz w:val="17"/>
              </w:rPr>
              <w:t>-5.3%</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7,947</w:t>
            </w:r>
          </w:p>
        </w:tc>
        <w:tc>
          <w:tcPr>
            <w:tcW w:type="dxa" w:w="1440"/>
            <w:shd w:fill="FFDCE0" w:val="clear"/>
          </w:tcPr>
          <w:p>
            <w:r>
              <w:rPr>
                <w:b/>
                <w:sz w:val="17"/>
              </w:rPr>
              <w:t>9,438</w:t>
            </w:r>
          </w:p>
        </w:tc>
        <w:tc>
          <w:tcPr>
            <w:tcW w:type="dxa" w:w="1440"/>
            <w:shd w:fill="FFDCE0" w:val="clear"/>
          </w:tcPr>
          <w:p>
            <w:r>
              <w:rPr>
                <w:sz w:val="17"/>
              </w:rPr>
              <w:t>10,929</w:t>
            </w:r>
          </w:p>
        </w:tc>
        <w:tc>
          <w:tcPr>
            <w:tcW w:type="dxa" w:w="1440"/>
            <w:shd w:fill="FFDCE0" w:val="clear"/>
          </w:tcPr>
          <w:p>
            <w:r>
              <w:rPr>
                <w:b/>
                <w:color w:val="C00000"/>
                <w:sz w:val="17"/>
              </w:rPr>
              <w:t>-5.8%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**RAPPORT D'ANALYSE FINANCIÈRE — SPHC (SAPH CI)**</w:t>
        <w:br/>
        <w:t>**Date de l'analyse : 05 septembre 2026**</w:t>
        <w:br/>
        <w:t>**Cours de référence : 10,015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SPHC s'établit à 255,96 milliards FCFA, ce qui en fait l'une des valeurs les plus significatives de la cote de la BRVM, reflétant son statut de leader dans l'agro-industrie régionale. Avec un BPA de 977 FCFA, le titre se négocie à un PER de 10,2x, un niveau parfaitement en ligne avec la moyenne historique du marché (8-12x), indiquant que les investisseurs ne paient pas une prime excessive pour la croissance passée de la société. Le P/B de 1,86x suggère que le marché valorise les actifs nets de la société à près du double de leur valeur comptable, ce qui est raisonnable pour une entreprise affichant un ROE supérieur à 18%. Enfin, un EV/EBITDA de 6,2x est attractif, signalant que la valeur totale de l'entreprise (capitaux propres + dettes) reste modérée par rapport à sa capacité à générer du cash-flow opérationnel. L'ensemble de ces ratios dresse le portrait d'une valorisation équilibrée, sans excès, pour un leader de son secteur.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l'action SPHC a enregistré une progression spectaculaire de +34,52%, passant d'un plus bas de 6,720 FCFA à un plus haut de 10,300 FCFA, avant de clôturer à 10,015 FCFA, soit un repli de -1,81% lors de la dernière séance, marquant une légère prise de bénéfices après cette forte ascension. La moyenne du cours sur la période (7,703 FCFA) est supérieure à la médiane (7,502 FCFA), et le skewness positif de 1,697 confirme une distribution asymétrique avec une concentration de journées sous la moyenne, mais des épisodes de hausse très marqués qui tirent la moyenne vers le haut. L'écart-type de 792 FCFA (CV de 10,3%) indique une dispersion modérée autour de la moyenne, mais le kurtosis élevé (2,304) signale un risque de mouvements extrêmes et de pics de volatilité. La volatilité annualisée de 40,2% classe SPHC comme un actif à très forte volatilité, typique des valeurs cycliques exposées aux cours des matières premières, ce qui exige une gestion du risque rigoureuse.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(10,015 FCFA) évolue nettement au-dessus de sa MM20 (8,982 FCFA) et de sa MM50 (8,145 FCFA), confirmant une dynamique haussière de court et moyen terme. La configuration des MM, avec une MM20 au-dessus de la MM50, valide la tendance haussière en place et génère un signal d'**Achat**, indiquant que le momentum reste favorable malgré la récente consolidation.</w:t>
      </w:r>
    </w:p>
    <w:p>
      <w:pPr>
        <w:spacing w:after="120" w:line="276" w:lineRule="auto"/>
      </w:pPr>
      <w:r>
        <w:t>**Bandes de Bollinger :** Le prix se situe sous la borne supérieure (10,699 FCFA) mais au-dessus de la borne inférieure (7,264 FCFA), dans la moitié haute du canal. L'écart important entre les bornes reflète la volatilité élevée du titre. La décision est **Neutre**, le cours n'étant pas en situation de surachat extrême sur cet indicateur, mais la pression acheteuse reste présente.</w:t>
      </w:r>
    </w:p>
    <w:p>
      <w:pPr>
        <w:spacing w:after="120" w:line="276" w:lineRule="auto"/>
      </w:pPr>
      <w:r>
        <w:t>**MACD :** La ligne MACD (602,024) est positionnée au-dessus de sa ligne de signal (505,154), confirmant un momentum haussier solide. L'écart positif entre les deux lignes indique que la dynamique d'achat est toujours active, justifiant la décision d'**Achat**. Un croisement baissier serait nécessaire pour invalider ce signal.</w:t>
      </w:r>
    </w:p>
    <w:p>
      <w:pPr>
        <w:spacing w:after="120" w:line="276" w:lineRule="auto"/>
      </w:pPr>
      <w:r>
        <w:t>**RSI :** Avec une valeur de 72,33, le RSI entre en zone de surachat (au-delà de 70). Ce niveau indique que le titre a fortement monté et qu'un repli technique ou une consolidation est probable à court terme. La décision associée est **Vente**, signalant une prudence pour les nouveaux achats à ces niveaux.</w:t>
      </w:r>
    </w:p>
    <w:p>
      <w:pPr>
        <w:spacing w:after="120" w:line="276" w:lineRule="auto"/>
      </w:pPr>
      <w:r>
        <w:t>**Stochastique :** Le %K (85,0) est passé sous le %D (93,548), formant un croisement baissier en zone de surachat. Ce signal est un indicateur précoce d'un potentiel retournement ou d'une pause dans la tendance haussière, justifiant la décision de **Vente**.</w:t>
      </w:r>
    </w:p>
    <w:p>
      <w:pPr>
        <w:spacing w:after="120" w:line="276" w:lineRule="auto"/>
      </w:pPr>
      <w:r>
        <w:t>**Conclusion technique :** Les indicateurs de tendance (MM, MACD) restent positifs et confirment la tendance haussière de fond. Cependant, les oscillateurs de momentum (RSI, Stochastique) signalent des conditions de surachat extrême, suggérant un fort risque de correction technique à court terme. La prudence est donc de mise pour un nouvel achat, mais la tendance de fond n'est pas remise en cause.</w:t>
      </w:r>
    </w:p>
    <w:p>
      <w:pPr>
        <w:spacing w:after="120" w:line="276" w:lineRule="auto"/>
      </w:pPr>
      <w:r>
        <w:t>---</w:t>
      </w:r>
    </w:p>
    <w:p>
      <w:pPr>
        <w:spacing w:after="120" w:line="276" w:lineRule="auto"/>
      </w:pPr>
      <w:r>
        <w:t>### PARTIE 3 : ANALYSE FONDAMENTALE (SECTION CRITIQUE)</w:t>
      </w:r>
    </w:p>
    <w:p>
      <w:pPr>
        <w:spacing w:after="120" w:line="276" w:lineRule="auto"/>
      </w:pPr>
      <w:r>
        <w:t>En 2025, SPHC a réalisé une performance financière exceptionnelle, avec un chiffre d'affaires de 340,83 milliards FCFA, en hausse de 22% par rapport à 2024, et un résultat net de 24,97 milliards FCFA, en progression de 33%. Cette performance s'accompagne d'une rentabilité financière (ROE) de 18,1% et d'une rentabilité économique (ROA) de 11,1%, toutes deux excellentes. La marge opérationnelle s'établit à 11,2%, et la structure financière reste saine avec un ratio d'endettement de 25,8% et une autonomie financière de 61,1%. Cependant, le BFR de 65,4 milliards FCFA et la trésorerie nette négative (-15,4 milliards FCFA) sont des points de vigilance, typiques du secteur, liés au besoin de financement du cycle d'exploitation (stocks de 68,5 milliards FCFA). Les rapports trimestriels de 2025 montrent une dynamique très forte au S1 (CA +51%, RN +449%) qui s'est normalisée au T3 (CA +36%, RN +131%). Sur la base de ces données, on estime que l'exercice 2025 a été exceptionnel. Cependant, le rapport T1 2026 (publié en 2026) révèle un net ralentissement avec un CA de 71,8 milliards FCFA (-24%) et un résultat net de 2,6 milliards FCFA (-78%), pénalisé par la chute des cours mondiaux du caoutchouc et une concurrence accrue. Il est donc estimé que l'exercice 2026 sera marqué par une normalisation, voire une baisse des résultats par rapport au pic de 2025. La société propose un dividende de 489 FCFA par action pour 2025, offrant un rendement d'environ 4,9% au cours actuel.</w:t>
      </w:r>
    </w:p>
    <w:p>
      <w:pPr>
        <w:spacing w:after="120" w:line="276" w:lineRule="auto"/>
      </w:pPr>
      <w:r>
        <w:t>---</w:t>
      </w:r>
    </w:p>
    <w:p>
      <w:pPr>
        <w:spacing w:after="120" w:line="276" w:lineRule="auto"/>
      </w:pPr>
      <w:r>
        <w:t>### PARTIE 4 : CONCLUSION D'INVESTISSEMENT</w:t>
      </w:r>
    </w:p>
    <w:p>
      <w:pPr>
        <w:spacing w:after="120" w:line="276" w:lineRule="auto"/>
      </w:pPr>
      <w:r>
        <w:t>La valorisation de SPHC (PER 10,2x, P/B 1,86x, EV/EBITDA 6,2x) est jugée raisonnable, sans décote ni prime excessive, reflétant la fin d'un cycle de croissance exceptionnelle. Le comportement du cours sur 100 jours (+34,5%) a été extrêmement haussier, mais les statistiques (kurtosis élevé, skewness positif) et la volatilité annualisée de 40,2% indiquent un profil de risque élevé et un potentiel de retournement brutal. Les signaux techniques sont mitigés : la tendance de fond (MM, MACD) est positive, mais les oscillateurs (RSI à 72, Stochastique) sont en surachat, signalant une correction probable à court terme. Les fondamentaux, bien que solides pour 2025 (ROE 18%, CA +22%), montrent des signes de ralentissement marqués au T1 2026 (RN -78%), ce qui pourrait justifier une phase de consolidation des résultats. Les prédictions IA (J+1 à J+10) confirment cette analyse en projetant un repli progressif du cours vers 9,679 FCFA, en ligne avec les signaux techniques de surachat. En synthèse, la convergence des signaux techniques et des prédictions IA suggère une pause dans la tendance haussière. La recommandation finale est **CONSERVER**, avec un niveau de confiance **Moyen** et un risque global **Élevé**. L'horizon d'investissement optimal est le **moyen terme (3-12 mois)**, afin de laisser le temps au marché d'absorber la correction technique et de clarifier l'impact du ralentissement économique sur les résultats 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42.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35.01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5,973 titres</w:t>
            </w:r>
          </w:p>
        </w:tc>
        <w:tc>
          <w:tcPr>
            <w:tcW w:type="dxa" w:w="2268"/>
            <w:shd w:fill="FFF2CC" w:val="clear"/>
          </w:tcPr>
          <w:p>
            <w:r>
              <w:rPr>
                <w:b/>
                <w:color w:val="503200"/>
                <w:sz w:val="16"/>
              </w:rPr>
              <w:t xml:space="preserve">Cours actuel : </w:t>
            </w:r>
            <w:r>
              <w:rPr>
                <w:color w:val="000000"/>
                <w:sz w:val="17"/>
              </w:rPr>
              <w:t>2,605 FCFA</w:t>
            </w:r>
          </w:p>
          <w:p>
            <w:r>
              <w:rPr>
                <w:b/>
                <w:color w:val="503200"/>
                <w:sz w:val="16"/>
              </w:rPr>
              <w:t xml:space="preserve">Var. 100 jours : </w:t>
            </w:r>
            <w:r>
              <w:rPr>
                <w:b/>
                <w:color w:val="B40000"/>
                <w:sz w:val="17"/>
              </w:rPr>
              <w:t>-24.49%</w:t>
            </w:r>
          </w:p>
          <w:p>
            <w:r>
              <w:rPr>
                <w:b/>
                <w:color w:val="503200"/>
                <w:sz w:val="16"/>
              </w:rPr>
              <w:t xml:space="preserve">Plus haut 100j : </w:t>
            </w:r>
            <w:r>
              <w:rPr>
                <w:color w:val="000000"/>
                <w:sz w:val="17"/>
              </w:rPr>
              <w:t>3,640 FCFA</w:t>
            </w:r>
          </w:p>
          <w:p>
            <w:r>
              <w:rPr>
                <w:b/>
                <w:color w:val="503200"/>
                <w:sz w:val="16"/>
              </w:rPr>
              <w:t xml:space="preserve">Plus bas 100j : </w:t>
            </w:r>
            <w:r>
              <w:rPr>
                <w:color w:val="000000"/>
                <w:sz w:val="17"/>
              </w:rPr>
              <w:t>2,515 FCFA</w:t>
            </w:r>
          </w:p>
          <w:p>
            <w:r>
              <w:rPr>
                <w:b/>
                <w:color w:val="503200"/>
                <w:sz w:val="16"/>
              </w:rPr>
              <w:t xml:space="preserve">Volatilité ann. : </w:t>
            </w:r>
            <w:r>
              <w:rPr>
                <w:color w:val="000000"/>
                <w:sz w:val="17"/>
              </w:rPr>
              <w:t>60.1%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10.74% (Moyenne) — μ=2,992 FCFA, σ=321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β=-0.4120 (Contre-cyclique) — Cov=-0.000015, Var(idx)=0.000036, ρ=-0.065,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5,973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σ_j=3.79%/j (Modérée) — Vol. annualisée≈60.1%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9287"/>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2026-09-07</w:t>
            </w:r>
          </w:p>
        </w:tc>
        <w:tc>
          <w:tcPr>
            <w:tcW w:type="dxa" w:w="1440"/>
            <w:shd w:fill="FFDCE0" w:val="clear"/>
          </w:tcPr>
          <w:p>
            <w:r>
              <w:rPr>
                <w:sz w:val="17"/>
              </w:rPr>
              <w:t>2,293</w:t>
            </w:r>
          </w:p>
        </w:tc>
        <w:tc>
          <w:tcPr>
            <w:tcW w:type="dxa" w:w="1440"/>
            <w:shd w:fill="FFDCE0" w:val="clear"/>
          </w:tcPr>
          <w:p>
            <w:r>
              <w:rPr>
                <w:b/>
                <w:sz w:val="17"/>
              </w:rPr>
              <w:t>2,410</w:t>
            </w:r>
          </w:p>
        </w:tc>
        <w:tc>
          <w:tcPr>
            <w:tcW w:type="dxa" w:w="1440"/>
            <w:shd w:fill="FFDCE0" w:val="clear"/>
          </w:tcPr>
          <w:p>
            <w:r>
              <w:rPr>
                <w:sz w:val="17"/>
              </w:rPr>
              <w:t>2,527</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2026-09-08</w:t>
            </w:r>
          </w:p>
        </w:tc>
        <w:tc>
          <w:tcPr>
            <w:tcW w:type="dxa" w:w="1440"/>
            <w:shd w:fill="FFDCE0" w:val="clear"/>
          </w:tcPr>
          <w:p>
            <w:r>
              <w:rPr>
                <w:sz w:val="17"/>
              </w:rPr>
              <w:t>2,089</w:t>
            </w:r>
          </w:p>
        </w:tc>
        <w:tc>
          <w:tcPr>
            <w:tcW w:type="dxa" w:w="1440"/>
            <w:shd w:fill="FFDCE0" w:val="clear"/>
          </w:tcPr>
          <w:p>
            <w:r>
              <w:rPr>
                <w:b/>
                <w:sz w:val="17"/>
              </w:rPr>
              <w:t>2,243</w:t>
            </w:r>
          </w:p>
        </w:tc>
        <w:tc>
          <w:tcPr>
            <w:tcW w:type="dxa" w:w="1440"/>
            <w:shd w:fill="FFDCE0" w:val="clear"/>
          </w:tcPr>
          <w:p>
            <w:r>
              <w:rPr>
                <w:sz w:val="17"/>
              </w:rPr>
              <w:t>2,397</w:t>
            </w:r>
          </w:p>
        </w:tc>
        <w:tc>
          <w:tcPr>
            <w:tcW w:type="dxa" w:w="1440"/>
            <w:shd w:fill="FFDCE0" w:val="clear"/>
          </w:tcPr>
          <w:p>
            <w:r>
              <w:rPr>
                <w:b/>
                <w:color w:val="C00000"/>
                <w:sz w:val="17"/>
              </w:rPr>
              <w:t>-13.9%</w:t>
            </w:r>
          </w:p>
        </w:tc>
      </w:tr>
      <w:tr>
        <w:tc>
          <w:tcPr>
            <w:tcW w:type="dxa" w:w="1440"/>
            <w:shd w:fill="FFDCE0" w:val="clear"/>
          </w:tcPr>
          <w:p>
            <w:r>
              <w:rPr>
                <w:sz w:val="17"/>
              </w:rPr>
              <w:t>J+3  Moyenne</w:t>
            </w:r>
          </w:p>
        </w:tc>
        <w:tc>
          <w:tcPr>
            <w:tcW w:type="dxa" w:w="1440"/>
            <w:shd w:fill="FFDCE0" w:val="clear"/>
          </w:tcPr>
          <w:p>
            <w:r>
              <w:rPr>
                <w:sz w:val="17"/>
              </w:rPr>
              <w:t>2026-09-09</w:t>
            </w:r>
          </w:p>
        </w:tc>
        <w:tc>
          <w:tcPr>
            <w:tcW w:type="dxa" w:w="1440"/>
            <w:shd w:fill="FFDCE0" w:val="clear"/>
          </w:tcPr>
          <w:p>
            <w:r>
              <w:rPr>
                <w:sz w:val="17"/>
              </w:rPr>
              <w:t>1,915</w:t>
            </w:r>
          </w:p>
        </w:tc>
        <w:tc>
          <w:tcPr>
            <w:tcW w:type="dxa" w:w="1440"/>
            <w:shd w:fill="FFDCE0" w:val="clear"/>
          </w:tcPr>
          <w:p>
            <w:r>
              <w:rPr>
                <w:b/>
                <w:sz w:val="17"/>
              </w:rPr>
              <w:t>2,090</w:t>
            </w:r>
          </w:p>
        </w:tc>
        <w:tc>
          <w:tcPr>
            <w:tcW w:type="dxa" w:w="1440"/>
            <w:shd w:fill="FFDCE0" w:val="clear"/>
          </w:tcPr>
          <w:p>
            <w:r>
              <w:rPr>
                <w:sz w:val="17"/>
              </w:rPr>
              <w:t>2,266</w:t>
            </w:r>
          </w:p>
        </w:tc>
        <w:tc>
          <w:tcPr>
            <w:tcW w:type="dxa" w:w="1440"/>
            <w:shd w:fill="FFDCE0" w:val="clear"/>
          </w:tcPr>
          <w:p>
            <w:r>
              <w:rPr>
                <w:b/>
                <w:color w:val="C00000"/>
                <w:sz w:val="17"/>
              </w:rPr>
              <w:t>-19.8%</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1,772</w:t>
            </w:r>
          </w:p>
        </w:tc>
        <w:tc>
          <w:tcPr>
            <w:tcW w:type="dxa" w:w="1440"/>
            <w:shd w:fill="FFDCE0" w:val="clear"/>
          </w:tcPr>
          <w:p>
            <w:r>
              <w:rPr>
                <w:b/>
                <w:sz w:val="17"/>
              </w:rPr>
              <w:t>1,962</w:t>
            </w:r>
          </w:p>
        </w:tc>
        <w:tc>
          <w:tcPr>
            <w:tcW w:type="dxa" w:w="1440"/>
            <w:shd w:fill="FFDCE0" w:val="clear"/>
          </w:tcPr>
          <w:p>
            <w:r>
              <w:rPr>
                <w:sz w:val="17"/>
              </w:rPr>
              <w:t>2,153</w:t>
            </w:r>
          </w:p>
        </w:tc>
        <w:tc>
          <w:tcPr>
            <w:tcW w:type="dxa" w:w="1440"/>
            <w:shd w:fill="FFDCE0" w:val="clear"/>
          </w:tcPr>
          <w:p>
            <w:r>
              <w:rPr>
                <w:b/>
                <w:color w:val="C00000"/>
                <w:sz w:val="17"/>
              </w:rPr>
              <w:t>-24.7%</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1,658</w:t>
            </w:r>
          </w:p>
        </w:tc>
        <w:tc>
          <w:tcPr>
            <w:tcW w:type="dxa" w:w="1440"/>
            <w:shd w:fill="FFDCE0" w:val="clear"/>
          </w:tcPr>
          <w:p>
            <w:r>
              <w:rPr>
                <w:b/>
                <w:sz w:val="17"/>
              </w:rPr>
              <w:t>1,860</w:t>
            </w:r>
          </w:p>
        </w:tc>
        <w:tc>
          <w:tcPr>
            <w:tcW w:type="dxa" w:w="1440"/>
            <w:shd w:fill="FFDCE0" w:val="clear"/>
          </w:tcPr>
          <w:p>
            <w:r>
              <w:rPr>
                <w:sz w:val="17"/>
              </w:rPr>
              <w:t>2,061</w:t>
            </w:r>
          </w:p>
        </w:tc>
        <w:tc>
          <w:tcPr>
            <w:tcW w:type="dxa" w:w="1440"/>
            <w:shd w:fill="FFDCE0" w:val="clear"/>
          </w:tcPr>
          <w:p>
            <w:r>
              <w:rPr>
                <w:b/>
                <w:color w:val="C00000"/>
                <w:sz w:val="17"/>
              </w:rPr>
              <w:t>-28.6%</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1,566</w:t>
            </w:r>
          </w:p>
        </w:tc>
        <w:tc>
          <w:tcPr>
            <w:tcW w:type="dxa" w:w="1440"/>
            <w:shd w:fill="FFDCE0" w:val="clear"/>
          </w:tcPr>
          <w:p>
            <w:r>
              <w:rPr>
                <w:b/>
                <w:sz w:val="17"/>
              </w:rPr>
              <w:t>1,777</w:t>
            </w:r>
          </w:p>
        </w:tc>
        <w:tc>
          <w:tcPr>
            <w:tcW w:type="dxa" w:w="1440"/>
            <w:shd w:fill="FFDCE0" w:val="clear"/>
          </w:tcPr>
          <w:p>
            <w:r>
              <w:rPr>
                <w:sz w:val="17"/>
              </w:rPr>
              <w:t>1,989</w:t>
            </w:r>
          </w:p>
        </w:tc>
        <w:tc>
          <w:tcPr>
            <w:tcW w:type="dxa" w:w="1440"/>
            <w:shd w:fill="FFDCE0" w:val="clear"/>
          </w:tcPr>
          <w:p>
            <w:r>
              <w:rPr>
                <w:b/>
                <w:color w:val="C00000"/>
                <w:sz w:val="17"/>
              </w:rPr>
              <w:t>-31.8%</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1,492</w:t>
            </w:r>
          </w:p>
        </w:tc>
        <w:tc>
          <w:tcPr>
            <w:tcW w:type="dxa" w:w="1440"/>
            <w:shd w:fill="FFDCE0" w:val="clear"/>
          </w:tcPr>
          <w:p>
            <w:r>
              <w:rPr>
                <w:b/>
                <w:sz w:val="17"/>
              </w:rPr>
              <w:t>1,711</w:t>
            </w:r>
          </w:p>
        </w:tc>
        <w:tc>
          <w:tcPr>
            <w:tcW w:type="dxa" w:w="1440"/>
            <w:shd w:fill="FFDCE0" w:val="clear"/>
          </w:tcPr>
          <w:p>
            <w:r>
              <w:rPr>
                <w:sz w:val="17"/>
              </w:rPr>
              <w:t>1,931</w:t>
            </w:r>
          </w:p>
        </w:tc>
        <w:tc>
          <w:tcPr>
            <w:tcW w:type="dxa" w:w="1440"/>
            <w:shd w:fill="FFDCE0" w:val="clear"/>
          </w:tcPr>
          <w:p>
            <w:r>
              <w:rPr>
                <w:b/>
                <w:color w:val="C00000"/>
                <w:sz w:val="17"/>
              </w:rPr>
              <w:t>-34.3%</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1,430</w:t>
            </w:r>
          </w:p>
        </w:tc>
        <w:tc>
          <w:tcPr>
            <w:tcW w:type="dxa" w:w="1440"/>
            <w:shd w:fill="FFDCE0" w:val="clear"/>
          </w:tcPr>
          <w:p>
            <w:r>
              <w:rPr>
                <w:b/>
                <w:sz w:val="17"/>
              </w:rPr>
              <w:t>1,657</w:t>
            </w:r>
          </w:p>
        </w:tc>
        <w:tc>
          <w:tcPr>
            <w:tcW w:type="dxa" w:w="1440"/>
            <w:shd w:fill="FFDCE0" w:val="clear"/>
          </w:tcPr>
          <w:p>
            <w:r>
              <w:rPr>
                <w:sz w:val="17"/>
              </w:rPr>
              <w:t>1,884</w:t>
            </w:r>
          </w:p>
        </w:tc>
        <w:tc>
          <w:tcPr>
            <w:tcW w:type="dxa" w:w="1440"/>
            <w:shd w:fill="FFDCE0" w:val="clear"/>
          </w:tcPr>
          <w:p>
            <w:r>
              <w:rPr>
                <w:b/>
                <w:color w:val="C00000"/>
                <w:sz w:val="17"/>
              </w:rPr>
              <w:t>-36.4%</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1,377</w:t>
            </w:r>
          </w:p>
        </w:tc>
        <w:tc>
          <w:tcPr>
            <w:tcW w:type="dxa" w:w="1440"/>
            <w:shd w:fill="FFDCE0" w:val="clear"/>
          </w:tcPr>
          <w:p>
            <w:r>
              <w:rPr>
                <w:b/>
                <w:sz w:val="17"/>
              </w:rPr>
              <w:t>1,611</w:t>
            </w:r>
          </w:p>
        </w:tc>
        <w:tc>
          <w:tcPr>
            <w:tcW w:type="dxa" w:w="1440"/>
            <w:shd w:fill="FFDCE0" w:val="clear"/>
          </w:tcPr>
          <w:p>
            <w:r>
              <w:rPr>
                <w:sz w:val="17"/>
              </w:rPr>
              <w:t>1,845</w:t>
            </w:r>
          </w:p>
        </w:tc>
        <w:tc>
          <w:tcPr>
            <w:tcW w:type="dxa" w:w="1440"/>
            <w:shd w:fill="FFDCE0" w:val="clear"/>
          </w:tcPr>
          <w:p>
            <w:r>
              <w:rPr>
                <w:b/>
                <w:color w:val="C00000"/>
                <w:sz w:val="17"/>
              </w:rPr>
              <w:t>-38.2%</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1,330</w:t>
            </w:r>
          </w:p>
        </w:tc>
        <w:tc>
          <w:tcPr>
            <w:tcW w:type="dxa" w:w="1440"/>
            <w:shd w:fill="FFDCE0" w:val="clear"/>
          </w:tcPr>
          <w:p>
            <w:r>
              <w:rPr>
                <w:b/>
                <w:sz w:val="17"/>
              </w:rPr>
              <w:t>1,571</w:t>
            </w:r>
          </w:p>
        </w:tc>
        <w:tc>
          <w:tcPr>
            <w:tcW w:type="dxa" w:w="1440"/>
            <w:shd w:fill="FFDCE0" w:val="clear"/>
          </w:tcPr>
          <w:p>
            <w:r>
              <w:rPr>
                <w:sz w:val="17"/>
              </w:rPr>
              <w:t>1,812</w:t>
            </w:r>
          </w:p>
        </w:tc>
        <w:tc>
          <w:tcPr>
            <w:tcW w:type="dxa" w:w="1440"/>
            <w:shd w:fill="FFDCE0" w:val="clear"/>
          </w:tcPr>
          <w:p>
            <w:r>
              <w:rPr>
                <w:b/>
                <w:color w:val="C00000"/>
                <w:sz w:val="17"/>
              </w:rPr>
              <w:t>-39.7%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**RAPPORT D'ANALYSE FINANCIÈRE — STAC (SETAO CI)**</w:t>
        <w:br/>
        <w:t>**Marché :** BRVM | **Date de l'analyse :** 06/09/2026</w:t>
        <w:br/>
        <w:t>**Cours de référence :** 2 605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STAC s'établit à 35,01 milliards FCFA, un niveau relativement modeste sur la BRVM, mais qui contraste fortement avec la situation financière de l'entreprise. Le BPA est négatif à -7 FCFA, reflétant une perte nette sur l'exercice, ce qui rend le PER non significatif (-362,6x) ; les investisseurs paient donc pour une société qui ne génère aucun bénéfice actuel. Le P/B de 98,14x est extrêmement élevé (bien au-delà de la référence de 4x), indiquant que le marché valorise l'actif net à une prime considérable, probablement spéculative. En l'absence d'EBITDA positif, le ratio EV/EBITDA est non calculable. Ces ratios témoignent d'une valorisation boursière déconnectée des fondamentaux comptables, où le cours intègre des anticipations de redressement futur très optimistes.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STAC a subi une forte dépréciation de -24,49%, avec une chute de -3,16% lors de la dernière séance, confirmant une pression vendeuse persistante. Le titre a évolué dans une fourchette large de 2 515 à 3 640 FCFA, avec un cours actuel proche du plus bas, signalant une faiblesse marquée. La moyenne (2 992 FCFA) est supérieure à la médiane (2 952 FCFA), indiquant une distribution légèrement asymétrique à gauche, ce qui est cohérent avec le skewness positif de 0,459. L'écart-type de 323 FCFA (CV de 10,8%) montre une dispersion modérée autour de la moyenne. Le kurtosis de -0,937 (mésokurtique) suggère l'absence de variations extrêmes récentes. La volatilité annualisée de 60,1% est très élevée, classant STAC comme un titre spéculatif à fort risque.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(2 605 FCFA) est inférieur à la MM20 (2 632,75 FCFA) et nettement sous la MM50 (2 930,9 FCFA). Cette configuration baissière, où le prix évolue sous les deux moyennes, confirme une tendance négative à court et moyen terme. La décision de "Vente" est justifiée par cette dynamique défavorable.</w:t>
      </w:r>
    </w:p>
    <w:p>
      <w:pPr>
        <w:spacing w:after="120" w:line="276" w:lineRule="auto"/>
      </w:pPr>
      <w:r>
        <w:t>**Bandes de Bollinger :** Le prix se situe à 2 605 FCFA, entre la borne inférieure (2 461,95 FCFA) et la borne supérieure (2 803,55 FCFA), proche du milieu de la bande. Cette position neutre indique une volatilité modérée, sans signal d'achat ou de vente immédiat. La décision "Neutre" est cohérente avec l'absence de cassure des bornes.</w:t>
      </w:r>
    </w:p>
    <w:p>
      <w:pPr>
        <w:spacing w:after="120" w:line="276" w:lineRule="auto"/>
      </w:pPr>
      <w:r>
        <w:t>**MACD :** La valeur du MACD (-49,95) est supérieure au signal (-81,09), formant un croisement haussier potentiel. Bien que les deux lignes soient en territoire négatif, cette divergence positive suggère un ralentissement de la dynamique baissière et un possible retournement à court terme. La décision "Achat" reflète ce momentum naissant.</w:t>
      </w:r>
    </w:p>
    <w:p>
      <w:pPr>
        <w:spacing w:after="120" w:line="276" w:lineRule="auto"/>
      </w:pPr>
      <w:r>
        <w:t>**RSI :** À 47,95, le RSI se situe dans la zone neutre (30-70), indiquant un équilibre entre pression acheteuse et vendeuse. Il n'y a pas de condition de surachat ou de survente, ce qui laisse une marge de manœuvre dans les deux sens. La décision "Neutre" est appropriée.</w:t>
      </w:r>
    </w:p>
    <w:p>
      <w:pPr>
        <w:spacing w:after="120" w:line="276" w:lineRule="auto"/>
      </w:pPr>
      <w:r>
        <w:t>**Stochastique :** Le %K (25,0) est inférieur au %D (57,78), signalant une dynamique baissière en cours. Le croisement des deux lignes suggère que le titre pourrait encore subir une pression vendeuse à très court terme. La décision "Neutre" reflète l'absence de signal fort.</w:t>
      </w:r>
    </w:p>
    <w:p>
      <w:pPr>
        <w:spacing w:after="120" w:line="276" w:lineRule="auto"/>
      </w:pPr>
      <w:r>
        <w:t>**Conclusion technique :** Les indicateurs sont mitigés, avec un MACD légèrement positif contrastant avec des moyennes mobiles baissières et un stochastique faible. La tendance globale reste négative, mais des signes de stabilisation technique apparaissent. Un rebond technique est possible, mais la prudence reste de mise tant que le cours n'a pas franchi la MM20.</w:t>
      </w:r>
    </w:p>
    <w:p>
      <w:pPr>
        <w:spacing w:after="120" w:line="276" w:lineRule="auto"/>
      </w:pPr>
      <w:r>
        <w:t>---</w:t>
      </w:r>
    </w:p>
    <w:p>
      <w:pPr>
        <w:spacing w:after="120" w:line="276" w:lineRule="auto"/>
      </w:pPr>
      <w:r>
        <w:t>### PARTIE 3 : ANALYSE FONDAMENTALE (SECTION CRITIQUE)</w:t>
      </w:r>
    </w:p>
    <w:p>
      <w:pPr>
        <w:spacing w:after="120" w:line="276" w:lineRule="auto"/>
      </w:pPr>
      <w:r>
        <w:t>**Données structurées 2025 :** L'exercice 2025 affiche un chiffre d'affaires de 3,878 milliards FCFA, en forte croissance par rapport à 2024, mais la société reste déficitaire avec un résultat net de -96,56 millions FCFA. La marge nette est négative à -2,49%, et le ROE est profondément négatif à -27,07%, reflétant une rentabilité des capitaux propres très dégradée. Le ROA est également négatif à -1,77%. La structure financière est fragile : les capitaux propres ne représentent que 6,55% du total bilan (356,75 millions FCFA), et le ratio d'endettement est très élevé à 93,45%. Le BFR est négatif (-930,47 millions FCFA), ce qui est un point positif pour une entreprise, indiquant que les ressources courtes financent les besoins. Cependant, le cash-flow opérationnel est fortement négatif (-2,212 milliards FCFA), signalant une consommation de trésorerie massive.</w:t>
      </w:r>
    </w:p>
    <w:p>
      <w:pPr>
        <w:spacing w:after="120" w:line="276" w:lineRule="auto"/>
      </w:pPr>
      <w:r>
        <w:t>**Analyse des rapports narratifs :** Les rapports de 2024 (datés du 31/12/2024) montrent une activité en chute libre avec un CA de 1,793 milliard FCFA (-80,6% vs 2023) et une perte de 348 millions FCFA. Le rapport du 3e trimestre 2025 indique un CA cumulé de 3,456 milliards FCFA (+176% vs 2024), porté par le chantier de l'aéroport d'Abidjan, mais une perte nette de 477 millions FCFA. Le rapport du S1 2025 confirme cette tendance avec un CA de 2,271 milliards FCFA (+290%), mais une perte de 557 millions FCFA. **Estimations :** Sur la base du CA 9 mois 2025 (3,456 milliards FCFA) et de la prévision annuelle de 4 milliards FCFA, on estime que l'exercice 2025 devrait voir une perte nette annuelle autour de -500 millions FCFA, malgré la croissance du CA. La société reste structurellement déficitaire, dépendante d'un seul projet majeur, avec une trésorerie qui se dégrade. La recommandation fondamentale est **VENTE** en raison de la persistance des pertes et de la fragilité financière.</w:t>
      </w:r>
    </w:p>
    <w:p>
      <w:pPr>
        <w:spacing w:after="120" w:line="276" w:lineRule="auto"/>
      </w:pPr>
      <w:r>
        <w:t>---</w:t>
      </w:r>
    </w:p>
    <w:p>
      <w:pPr>
        <w:spacing w:after="120" w:line="276" w:lineRule="auto"/>
      </w:pPr>
      <w:r>
        <w:t>### PARTIE 4 : CONCLUSION D'INVESTISSEMENT</w:t>
      </w:r>
    </w:p>
    <w:p>
      <w:pPr>
        <w:spacing w:after="120" w:line="276" w:lineRule="auto"/>
      </w:pPr>
      <w:r>
        <w:t>La valorisation boursière de STAC est extrêmement exigeante (P/B de 98x) malgré des fondamentaux déficitaires, indiquant une surévaluation spéculative. Le comportement du cours est baissier (-24,49% sur 100 jours) avec une volatilité très élevée (60,1%), reflétant un risque majeur. Les signaux techniques sont mitigés, avec un MACD positif mais des moyennes mobiles baissières, suggérant une possible stabilisation sans retournement confirmé. Les fondamentaux sont préoccupants : pertes récurrentes, ROE négatif de -27%, et dépendance à un seul chantier (aéroport d'Abidjan). Les prédictions IA (J+1 à J+10) anticipent une chute continue du cours de 2 410 à 1 860 FCFA, confirmant la pression vendeuse. La convergence entre la valorisation excessive, la faiblesse technique et la dégradation fondamentale justifie une recommandation **VENTE FORTE**. Le niveau de confiance est **Élevé**, le risque global est **Élevé**, et l'horizon d'investissement optimal est le **court terme (&lt;3 mois)** pour les investisseurs cherchant à réduire leur exposition.</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43.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396.81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3,700 titres</w:t>
            </w:r>
          </w:p>
        </w:tc>
        <w:tc>
          <w:tcPr>
            <w:tcW w:type="dxa" w:w="2268"/>
            <w:shd w:fill="FFF2CC" w:val="clear"/>
          </w:tcPr>
          <w:p>
            <w:r>
              <w:rPr>
                <w:b/>
                <w:color w:val="503200"/>
                <w:sz w:val="16"/>
              </w:rPr>
              <w:t xml:space="preserve">Cours actuel : </w:t>
            </w:r>
            <w:r>
              <w:rPr>
                <w:color w:val="000000"/>
                <w:sz w:val="17"/>
              </w:rPr>
              <w:t>22,100 FCFA</w:t>
            </w:r>
          </w:p>
          <w:p>
            <w:r>
              <w:rPr>
                <w:b/>
                <w:color w:val="503200"/>
                <w:sz w:val="16"/>
              </w:rPr>
              <w:t xml:space="preserve">Var. 100 jours : </w:t>
            </w:r>
            <w:r>
              <w:rPr>
                <w:b/>
                <w:color w:val="007800"/>
                <w:sz w:val="17"/>
              </w:rPr>
              <w:t>+4.12%</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19,705 FCFA</w:t>
            </w:r>
          </w:p>
          <w:p>
            <w:r>
              <w:rPr>
                <w:b/>
                <w:color w:val="503200"/>
                <w:sz w:val="16"/>
              </w:rPr>
              <w:t xml:space="preserve">Volatilité ann. : </w:t>
            </w:r>
            <w:r>
              <w:rPr>
                <w:color w:val="000000"/>
                <w:sz w:val="17"/>
              </w:rPr>
              <w:t>36.4%</w:t>
            </w:r>
          </w:p>
        </w:tc>
        <w:tc>
          <w:tcPr>
            <w:tcW w:type="dxa" w:w="2835"/>
            <w:shd w:fill="FCE4D6" w:val="clear"/>
          </w:tcPr>
          <w:p>
            <w:r>
              <w:rPr>
                <w:b/>
                <w:color w:val="500000"/>
                <w:sz w:val="16"/>
              </w:rPr>
              <w:t xml:space="preserve">Recommandation : </w:t>
            </w:r>
            <w:r>
              <w:rPr>
                <w:b/>
                <w:color w:val="646400"/>
                <w:sz w:val="19"/>
              </w:rPr>
              <w:t>CONSERVER</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6.08% (Moyenne) — μ=22,330 FCFA, σ=1,357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β=0.4503 (Défensif) — Cov=0.000016, Var(idx)=0.000036, ρ=0.117,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3,700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σ_j=2.29%/j (Stable) — Vol. annualisée≈36.4%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49/100  (Moyen)</w:t>
      </w:r>
    </w:p>
    <w:p/>
    <w:p>
      <w:pPr>
        <w:jc w:val="center"/>
      </w:pPr>
      <w:r>
        <w:drawing>
          <wp:inline xmlns:a="http://schemas.openxmlformats.org/drawingml/2006/main" xmlns:pic="http://schemas.openxmlformats.org/drawingml/2006/picture">
            <wp:extent cx="5669280" cy="2603190"/>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2026-09-07</w:t>
            </w:r>
          </w:p>
        </w:tc>
        <w:tc>
          <w:tcPr>
            <w:tcW w:type="dxa" w:w="1440"/>
            <w:shd w:fill="FAFAFA" w:val="clear"/>
          </w:tcPr>
          <w:p>
            <w:r>
              <w:rPr>
                <w:sz w:val="17"/>
              </w:rPr>
              <w:t>21,372</w:t>
            </w:r>
          </w:p>
        </w:tc>
        <w:tc>
          <w:tcPr>
            <w:tcW w:type="dxa" w:w="1440"/>
            <w:shd w:fill="FAFAFA" w:val="clear"/>
          </w:tcPr>
          <w:p>
            <w:r>
              <w:rPr>
                <w:b/>
                <w:sz w:val="17"/>
              </w:rPr>
              <w:t>22,444</w:t>
            </w:r>
          </w:p>
        </w:tc>
        <w:tc>
          <w:tcPr>
            <w:tcW w:type="dxa" w:w="1440"/>
            <w:shd w:fill="FAFAFA" w:val="clear"/>
          </w:tcPr>
          <w:p>
            <w:r>
              <w:rPr>
                <w:sz w:val="17"/>
              </w:rPr>
              <w:t>23,516</w:t>
            </w:r>
          </w:p>
        </w:tc>
        <w:tc>
          <w:tcPr>
            <w:tcW w:type="dxa" w:w="1440"/>
            <w:shd w:fill="FAFAFA" w:val="clear"/>
          </w:tcPr>
          <w:p>
            <w:r>
              <w:rPr>
                <w:b/>
                <w:color w:val="008000"/>
                <w:sz w:val="17"/>
              </w:rPr>
              <w:t>+1.6%</w:t>
            </w:r>
          </w:p>
        </w:tc>
      </w:tr>
      <w:tr>
        <w:tc>
          <w:tcPr>
            <w:tcW w:type="dxa" w:w="1440"/>
            <w:shd w:fill="C6EFCE" w:val="clear"/>
          </w:tcPr>
          <w:p>
            <w:r>
              <w:rPr>
                <w:sz w:val="17"/>
              </w:rPr>
              <w:t>J+2  ⭐</w:t>
            </w:r>
          </w:p>
        </w:tc>
        <w:tc>
          <w:tcPr>
            <w:tcW w:type="dxa" w:w="1440"/>
            <w:shd w:fill="C6EFCE" w:val="clear"/>
          </w:tcPr>
          <w:p>
            <w:r>
              <w:rPr>
                <w:sz w:val="17"/>
              </w:rPr>
              <w:t>2026-09-08</w:t>
            </w:r>
          </w:p>
        </w:tc>
        <w:tc>
          <w:tcPr>
            <w:tcW w:type="dxa" w:w="1440"/>
            <w:shd w:fill="C6EFCE" w:val="clear"/>
          </w:tcPr>
          <w:p>
            <w:r>
              <w:rPr>
                <w:sz w:val="17"/>
              </w:rPr>
              <w:t>21,098</w:t>
            </w:r>
          </w:p>
        </w:tc>
        <w:tc>
          <w:tcPr>
            <w:tcW w:type="dxa" w:w="1440"/>
            <w:shd w:fill="C6EFCE" w:val="clear"/>
          </w:tcPr>
          <w:p>
            <w:r>
              <w:rPr>
                <w:b/>
                <w:sz w:val="17"/>
              </w:rPr>
              <w:t>22,626</w:t>
            </w:r>
          </w:p>
        </w:tc>
        <w:tc>
          <w:tcPr>
            <w:tcW w:type="dxa" w:w="1440"/>
            <w:shd w:fill="C6EFCE" w:val="clear"/>
          </w:tcPr>
          <w:p>
            <w:r>
              <w:rPr>
                <w:sz w:val="17"/>
              </w:rPr>
              <w:t>24,154</w:t>
            </w:r>
          </w:p>
        </w:tc>
        <w:tc>
          <w:tcPr>
            <w:tcW w:type="dxa" w:w="1440"/>
            <w:shd w:fill="C6EFCE" w:val="clear"/>
          </w:tcPr>
          <w:p>
            <w:r>
              <w:rPr>
                <w:b/>
                <w:color w:val="008000"/>
                <w:sz w:val="17"/>
              </w:rPr>
              <w:t>+2.4%</w:t>
            </w:r>
          </w:p>
        </w:tc>
      </w:tr>
      <w:tr>
        <w:tc>
          <w:tcPr>
            <w:tcW w:type="dxa" w:w="1440"/>
            <w:shd w:fill="C6EFCE" w:val="clear"/>
          </w:tcPr>
          <w:p>
            <w:r>
              <w:rPr>
                <w:sz w:val="17"/>
              </w:rPr>
              <w:t>J+3  ⭐</w:t>
            </w:r>
          </w:p>
        </w:tc>
        <w:tc>
          <w:tcPr>
            <w:tcW w:type="dxa" w:w="1440"/>
            <w:shd w:fill="C6EFCE" w:val="clear"/>
          </w:tcPr>
          <w:p>
            <w:r>
              <w:rPr>
                <w:sz w:val="17"/>
              </w:rPr>
              <w:t>2026-09-09</w:t>
            </w:r>
          </w:p>
        </w:tc>
        <w:tc>
          <w:tcPr>
            <w:tcW w:type="dxa" w:w="1440"/>
            <w:shd w:fill="C6EFCE" w:val="clear"/>
          </w:tcPr>
          <w:p>
            <w:r>
              <w:rPr>
                <w:sz w:val="17"/>
              </w:rPr>
              <w:t>20,943</w:t>
            </w:r>
          </w:p>
        </w:tc>
        <w:tc>
          <w:tcPr>
            <w:tcW w:type="dxa" w:w="1440"/>
            <w:shd w:fill="C6EFCE" w:val="clear"/>
          </w:tcPr>
          <w:p>
            <w:r>
              <w:rPr>
                <w:b/>
                <w:sz w:val="17"/>
              </w:rPr>
              <w:t>22,832</w:t>
            </w:r>
          </w:p>
        </w:tc>
        <w:tc>
          <w:tcPr>
            <w:tcW w:type="dxa" w:w="1440"/>
            <w:shd w:fill="C6EFCE" w:val="clear"/>
          </w:tcPr>
          <w:p>
            <w:r>
              <w:rPr>
                <w:sz w:val="17"/>
              </w:rPr>
              <w:t>24,720</w:t>
            </w:r>
          </w:p>
        </w:tc>
        <w:tc>
          <w:tcPr>
            <w:tcW w:type="dxa" w:w="1440"/>
            <w:shd w:fill="C6EFCE" w:val="clear"/>
          </w:tcPr>
          <w:p>
            <w:r>
              <w:rPr>
                <w:b/>
                <w:color w:val="008000"/>
                <w:sz w:val="17"/>
              </w:rPr>
              <w:t>+3.3%</w:t>
            </w:r>
          </w:p>
        </w:tc>
      </w:tr>
      <w:tr>
        <w:tc>
          <w:tcPr>
            <w:tcW w:type="dxa" w:w="1440"/>
            <w:shd w:fill="C6EFCE" w:val="clear"/>
          </w:tcPr>
          <w:p>
            <w:r>
              <w:rPr>
                <w:sz w:val="17"/>
              </w:rPr>
              <w:t>J+4  ⭐</w:t>
            </w:r>
          </w:p>
        </w:tc>
        <w:tc>
          <w:tcPr>
            <w:tcW w:type="dxa" w:w="1440"/>
            <w:shd w:fill="C6EFCE" w:val="clear"/>
          </w:tcPr>
          <w:p>
            <w:r>
              <w:rPr>
                <w:sz w:val="17"/>
              </w:rPr>
              <w:t>2026-09-10</w:t>
            </w:r>
          </w:p>
        </w:tc>
        <w:tc>
          <w:tcPr>
            <w:tcW w:type="dxa" w:w="1440"/>
            <w:shd w:fill="C6EFCE" w:val="clear"/>
          </w:tcPr>
          <w:p>
            <w:r>
              <w:rPr>
                <w:sz w:val="17"/>
              </w:rPr>
              <w:t>20,850</w:t>
            </w:r>
          </w:p>
        </w:tc>
        <w:tc>
          <w:tcPr>
            <w:tcW w:type="dxa" w:w="1440"/>
            <w:shd w:fill="C6EFCE" w:val="clear"/>
          </w:tcPr>
          <w:p>
            <w:r>
              <w:rPr>
                <w:b/>
                <w:sz w:val="17"/>
              </w:rPr>
              <w:t>23,052</w:t>
            </w:r>
          </w:p>
        </w:tc>
        <w:tc>
          <w:tcPr>
            <w:tcW w:type="dxa" w:w="1440"/>
            <w:shd w:fill="C6EFCE" w:val="clear"/>
          </w:tcPr>
          <w:p>
            <w:r>
              <w:rPr>
                <w:sz w:val="17"/>
              </w:rPr>
              <w:t>25,254</w:t>
            </w:r>
          </w:p>
        </w:tc>
        <w:tc>
          <w:tcPr>
            <w:tcW w:type="dxa" w:w="1440"/>
            <w:shd w:fill="C6EFCE" w:val="clear"/>
          </w:tcPr>
          <w:p>
            <w:r>
              <w:rPr>
                <w:b/>
                <w:color w:val="008000"/>
                <w:sz w:val="17"/>
              </w:rPr>
              <w:t>+4.3%</w:t>
            </w:r>
          </w:p>
        </w:tc>
      </w:tr>
      <w:tr>
        <w:tc>
          <w:tcPr>
            <w:tcW w:type="dxa" w:w="1440"/>
            <w:shd w:fill="C6EFCE" w:val="clear"/>
          </w:tcPr>
          <w:p>
            <w:r>
              <w:rPr>
                <w:sz w:val="17"/>
              </w:rPr>
              <w:t>J+5  ⭐</w:t>
            </w:r>
          </w:p>
        </w:tc>
        <w:tc>
          <w:tcPr>
            <w:tcW w:type="dxa" w:w="1440"/>
            <w:shd w:fill="C6EFCE" w:val="clear"/>
          </w:tcPr>
          <w:p>
            <w:r>
              <w:rPr>
                <w:sz w:val="17"/>
              </w:rPr>
              <w:t>2026-09-11</w:t>
            </w:r>
          </w:p>
        </w:tc>
        <w:tc>
          <w:tcPr>
            <w:tcW w:type="dxa" w:w="1440"/>
            <w:shd w:fill="C6EFCE" w:val="clear"/>
          </w:tcPr>
          <w:p>
            <w:r>
              <w:rPr>
                <w:sz w:val="17"/>
              </w:rPr>
              <w:t>20,795</w:t>
            </w:r>
          </w:p>
        </w:tc>
        <w:tc>
          <w:tcPr>
            <w:tcW w:type="dxa" w:w="1440"/>
            <w:shd w:fill="C6EFCE" w:val="clear"/>
          </w:tcPr>
          <w:p>
            <w:r>
              <w:rPr>
                <w:b/>
                <w:sz w:val="17"/>
              </w:rPr>
              <w:t>23,282</w:t>
            </w:r>
          </w:p>
        </w:tc>
        <w:tc>
          <w:tcPr>
            <w:tcW w:type="dxa" w:w="1440"/>
            <w:shd w:fill="C6EFCE" w:val="clear"/>
          </w:tcPr>
          <w:p>
            <w:r>
              <w:rPr>
                <w:sz w:val="17"/>
              </w:rPr>
              <w:t>25,768</w:t>
            </w:r>
          </w:p>
        </w:tc>
        <w:tc>
          <w:tcPr>
            <w:tcW w:type="dxa" w:w="1440"/>
            <w:shd w:fill="C6EFCE" w:val="clear"/>
          </w:tcPr>
          <w:p>
            <w:r>
              <w:rPr>
                <w:b/>
                <w:color w:val="008000"/>
                <w:sz w:val="17"/>
              </w:rPr>
              <w:t>+5.3%</w:t>
            </w:r>
          </w:p>
        </w:tc>
      </w:tr>
      <w:tr>
        <w:tc>
          <w:tcPr>
            <w:tcW w:type="dxa" w:w="1440"/>
            <w:shd w:fill="C6EFCE" w:val="clear"/>
          </w:tcPr>
          <w:p>
            <w:r>
              <w:rPr>
                <w:sz w:val="17"/>
              </w:rPr>
              <w:t>J+6  ⭐</w:t>
            </w:r>
          </w:p>
        </w:tc>
        <w:tc>
          <w:tcPr>
            <w:tcW w:type="dxa" w:w="1440"/>
            <w:shd w:fill="C6EFCE" w:val="clear"/>
          </w:tcPr>
          <w:p>
            <w:r>
              <w:rPr>
                <w:sz w:val="17"/>
              </w:rPr>
              <w:t>2026-09-14</w:t>
            </w:r>
          </w:p>
        </w:tc>
        <w:tc>
          <w:tcPr>
            <w:tcW w:type="dxa" w:w="1440"/>
            <w:shd w:fill="C6EFCE" w:val="clear"/>
          </w:tcPr>
          <w:p>
            <w:r>
              <w:rPr>
                <w:sz w:val="17"/>
              </w:rPr>
              <w:t>20,754</w:t>
            </w:r>
          </w:p>
        </w:tc>
        <w:tc>
          <w:tcPr>
            <w:tcW w:type="dxa" w:w="1440"/>
            <w:shd w:fill="C6EFCE" w:val="clear"/>
          </w:tcPr>
          <w:p>
            <w:r>
              <w:rPr>
                <w:b/>
                <w:sz w:val="17"/>
              </w:rPr>
              <w:t>23,504</w:t>
            </w:r>
          </w:p>
        </w:tc>
        <w:tc>
          <w:tcPr>
            <w:tcW w:type="dxa" w:w="1440"/>
            <w:shd w:fill="C6EFCE" w:val="clear"/>
          </w:tcPr>
          <w:p>
            <w:r>
              <w:rPr>
                <w:sz w:val="17"/>
              </w:rPr>
              <w:t>26,253</w:t>
            </w:r>
          </w:p>
        </w:tc>
        <w:tc>
          <w:tcPr>
            <w:tcW w:type="dxa" w:w="1440"/>
            <w:shd w:fill="C6EFCE" w:val="clear"/>
          </w:tcPr>
          <w:p>
            <w:r>
              <w:rPr>
                <w:b/>
                <w:color w:val="008000"/>
                <w:sz w:val="17"/>
              </w:rPr>
              <w:t>+6.4%</w:t>
            </w:r>
          </w:p>
        </w:tc>
      </w:tr>
      <w:tr>
        <w:tc>
          <w:tcPr>
            <w:tcW w:type="dxa" w:w="1440"/>
            <w:shd w:fill="C6EFCE" w:val="clear"/>
          </w:tcPr>
          <w:p>
            <w:r>
              <w:rPr>
                <w:sz w:val="17"/>
              </w:rPr>
              <w:t>J+7  ⭐</w:t>
            </w:r>
          </w:p>
        </w:tc>
        <w:tc>
          <w:tcPr>
            <w:tcW w:type="dxa" w:w="1440"/>
            <w:shd w:fill="C6EFCE" w:val="clear"/>
          </w:tcPr>
          <w:p>
            <w:r>
              <w:rPr>
                <w:sz w:val="17"/>
              </w:rPr>
              <w:t>2026-09-15</w:t>
            </w:r>
          </w:p>
        </w:tc>
        <w:tc>
          <w:tcPr>
            <w:tcW w:type="dxa" w:w="1440"/>
            <w:shd w:fill="C6EFCE" w:val="clear"/>
          </w:tcPr>
          <w:p>
            <w:r>
              <w:rPr>
                <w:sz w:val="17"/>
              </w:rPr>
              <w:t>20,725</w:t>
            </w:r>
          </w:p>
        </w:tc>
        <w:tc>
          <w:tcPr>
            <w:tcW w:type="dxa" w:w="1440"/>
            <w:shd w:fill="C6EFCE" w:val="clear"/>
          </w:tcPr>
          <w:p>
            <w:r>
              <w:rPr>
                <w:b/>
                <w:sz w:val="17"/>
              </w:rPr>
              <w:t>23,722</w:t>
            </w:r>
          </w:p>
        </w:tc>
        <w:tc>
          <w:tcPr>
            <w:tcW w:type="dxa" w:w="1440"/>
            <w:shd w:fill="C6EFCE" w:val="clear"/>
          </w:tcPr>
          <w:p>
            <w:r>
              <w:rPr>
                <w:sz w:val="17"/>
              </w:rPr>
              <w:t>26,720</w:t>
            </w:r>
          </w:p>
        </w:tc>
        <w:tc>
          <w:tcPr>
            <w:tcW w:type="dxa" w:w="1440"/>
            <w:shd w:fill="C6EFCE" w:val="clear"/>
          </w:tcPr>
          <w:p>
            <w:r>
              <w:rPr>
                <w:b/>
                <w:color w:val="008000"/>
                <w:sz w:val="17"/>
              </w:rPr>
              <w:t>+7.3%</w:t>
            </w:r>
          </w:p>
        </w:tc>
      </w:tr>
      <w:tr>
        <w:tc>
          <w:tcPr>
            <w:tcW w:type="dxa" w:w="1440"/>
            <w:shd w:fill="C6EFCE" w:val="clear"/>
          </w:tcPr>
          <w:p>
            <w:r>
              <w:rPr>
                <w:sz w:val="17"/>
              </w:rPr>
              <w:t>J+8  ⭐</w:t>
            </w:r>
          </w:p>
        </w:tc>
        <w:tc>
          <w:tcPr>
            <w:tcW w:type="dxa" w:w="1440"/>
            <w:shd w:fill="C6EFCE" w:val="clear"/>
          </w:tcPr>
          <w:p>
            <w:r>
              <w:rPr>
                <w:sz w:val="17"/>
              </w:rPr>
              <w:t>2026-09-16</w:t>
            </w:r>
          </w:p>
        </w:tc>
        <w:tc>
          <w:tcPr>
            <w:tcW w:type="dxa" w:w="1440"/>
            <w:shd w:fill="C6EFCE" w:val="clear"/>
          </w:tcPr>
          <w:p>
            <w:r>
              <w:rPr>
                <w:sz w:val="17"/>
              </w:rPr>
              <w:t>20,716</w:t>
            </w:r>
          </w:p>
        </w:tc>
        <w:tc>
          <w:tcPr>
            <w:tcW w:type="dxa" w:w="1440"/>
            <w:shd w:fill="C6EFCE" w:val="clear"/>
          </w:tcPr>
          <w:p>
            <w:r>
              <w:rPr>
                <w:b/>
                <w:sz w:val="17"/>
              </w:rPr>
              <w:t>23,951</w:t>
            </w:r>
          </w:p>
        </w:tc>
        <w:tc>
          <w:tcPr>
            <w:tcW w:type="dxa" w:w="1440"/>
            <w:shd w:fill="C6EFCE" w:val="clear"/>
          </w:tcPr>
          <w:p>
            <w:r>
              <w:rPr>
                <w:sz w:val="17"/>
              </w:rPr>
              <w:t>27,186</w:t>
            </w:r>
          </w:p>
        </w:tc>
        <w:tc>
          <w:tcPr>
            <w:tcW w:type="dxa" w:w="1440"/>
            <w:shd w:fill="C6EFCE" w:val="clear"/>
          </w:tcPr>
          <w:p>
            <w:r>
              <w:rPr>
                <w:b/>
                <w:color w:val="008000"/>
                <w:sz w:val="17"/>
              </w:rPr>
              <w:t>+8.4%</w:t>
            </w:r>
          </w:p>
        </w:tc>
      </w:tr>
      <w:tr>
        <w:tc>
          <w:tcPr>
            <w:tcW w:type="dxa" w:w="1440"/>
            <w:shd w:fill="C6EFCE" w:val="clear"/>
          </w:tcPr>
          <w:p>
            <w:r>
              <w:rPr>
                <w:sz w:val="17"/>
              </w:rPr>
              <w:t>J+9  ⭐</w:t>
            </w:r>
          </w:p>
        </w:tc>
        <w:tc>
          <w:tcPr>
            <w:tcW w:type="dxa" w:w="1440"/>
            <w:shd w:fill="C6EFCE" w:val="clear"/>
          </w:tcPr>
          <w:p>
            <w:r>
              <w:rPr>
                <w:sz w:val="17"/>
              </w:rPr>
              <w:t>2026-09-17</w:t>
            </w:r>
          </w:p>
        </w:tc>
        <w:tc>
          <w:tcPr>
            <w:tcW w:type="dxa" w:w="1440"/>
            <w:shd w:fill="C6EFCE" w:val="clear"/>
          </w:tcPr>
          <w:p>
            <w:r>
              <w:rPr>
                <w:sz w:val="17"/>
              </w:rPr>
              <w:t>20,716</w:t>
            </w:r>
          </w:p>
        </w:tc>
        <w:tc>
          <w:tcPr>
            <w:tcW w:type="dxa" w:w="1440"/>
            <w:shd w:fill="C6EFCE" w:val="clear"/>
          </w:tcPr>
          <w:p>
            <w:r>
              <w:rPr>
                <w:b/>
                <w:sz w:val="17"/>
              </w:rPr>
              <w:t>24,181</w:t>
            </w:r>
          </w:p>
        </w:tc>
        <w:tc>
          <w:tcPr>
            <w:tcW w:type="dxa" w:w="1440"/>
            <w:shd w:fill="C6EFCE" w:val="clear"/>
          </w:tcPr>
          <w:p>
            <w:r>
              <w:rPr>
                <w:sz w:val="17"/>
              </w:rPr>
              <w:t>27,645</w:t>
            </w:r>
          </w:p>
        </w:tc>
        <w:tc>
          <w:tcPr>
            <w:tcW w:type="dxa" w:w="1440"/>
            <w:shd w:fill="C6EFCE" w:val="clear"/>
          </w:tcPr>
          <w:p>
            <w:r>
              <w:rPr>
                <w:b/>
                <w:color w:val="008000"/>
                <w:sz w:val="17"/>
              </w:rPr>
              <w:t>+9.4%</w:t>
            </w:r>
          </w:p>
        </w:tc>
      </w:tr>
      <w:tr>
        <w:tc>
          <w:tcPr>
            <w:tcW w:type="dxa" w:w="1440"/>
            <w:shd w:fill="C6EFCE" w:val="clear"/>
          </w:tcPr>
          <w:p>
            <w:r>
              <w:rPr>
                <w:sz w:val="17"/>
              </w:rPr>
              <w:t>J+10  ⭐</w:t>
            </w:r>
          </w:p>
        </w:tc>
        <w:tc>
          <w:tcPr>
            <w:tcW w:type="dxa" w:w="1440"/>
            <w:shd w:fill="C6EFCE" w:val="clear"/>
          </w:tcPr>
          <w:p>
            <w:r>
              <w:rPr>
                <w:sz w:val="17"/>
              </w:rPr>
              <w:t>2026-09-18</w:t>
            </w:r>
          </w:p>
        </w:tc>
        <w:tc>
          <w:tcPr>
            <w:tcW w:type="dxa" w:w="1440"/>
            <w:shd w:fill="C6EFCE" w:val="clear"/>
          </w:tcPr>
          <w:p>
            <w:r>
              <w:rPr>
                <w:sz w:val="17"/>
              </w:rPr>
              <w:t>20,746</w:t>
            </w:r>
          </w:p>
        </w:tc>
        <w:tc>
          <w:tcPr>
            <w:tcW w:type="dxa" w:w="1440"/>
            <w:shd w:fill="C6EFCE" w:val="clear"/>
          </w:tcPr>
          <w:p>
            <w:r>
              <w:rPr>
                <w:b/>
                <w:sz w:val="17"/>
              </w:rPr>
              <w:t>24,436</w:t>
            </w:r>
          </w:p>
        </w:tc>
        <w:tc>
          <w:tcPr>
            <w:tcW w:type="dxa" w:w="1440"/>
            <w:shd w:fill="C6EFCE" w:val="clear"/>
          </w:tcPr>
          <w:p>
            <w:r>
              <w:rPr>
                <w:sz w:val="17"/>
              </w:rPr>
              <w:t>28,127</w:t>
            </w:r>
          </w:p>
        </w:tc>
        <w:tc>
          <w:tcPr>
            <w:tcW w:type="dxa" w:w="1440"/>
            <w:shd w:fill="C6EFCE" w:val="clear"/>
          </w:tcPr>
          <w:p>
            <w:r>
              <w:rPr>
                <w:b/>
                <w:color w:val="008000"/>
                <w:sz w:val="17"/>
              </w:rPr>
              <w:t>+10.6%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396,81 milliards FCFA positionne STBC comme une valeur de premier plan sur le marché de la BRVM, représentant un poids significatif dans l'indice global. Avec un BPA de 2 014 FCFA, chaque action génère un bénéfice substantiel, ce qui justifie l'intérêt des investisseurs pour ce titre. Le PER de 11,0x se situe dans la fourchette moyenne du marché BRVM (8-12x), indiquant une valorisation raisonnable par rapport aux bénéfices générés. Cependant, le P/B de 8,75x révèle une prime significative par rapport à la valeur comptable, suggérant que le marché anticipe des performances futures solides ou reflète une rentabilité exceptionnelle des capitaux propres. Enfin, l'EV/EBITDA de 7,9x confirme une évaluation cohérente avec la capacité opérationnelle de l'entreprise, dans une zone considérée comme raisonnable pour le secteur.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STBC affiche une progression modeste de +4,12%, avec une dernière séance en hausse de +0,43% à 22 100 FCFA. Le titre a évolué dans une fourchette de 19 705 FCFA à 25 000 FCFA, démontrant une amplitude de trading significative d'environ 27%. La moyenne du cours sur la période s'établit à 22 330 FCFA, très proche de la médiane à 22 168 FCFA, indiquant une distribution relativement symétrique des prix, confirmée par un skewness de 0,219. Le mode à 21 000 FCFA suggère que le titre a fréquemment testé ce niveau de support. L'écart-type de 1 363 FCFA, avec un coefficient de variation de 6,1%, témoigne d'une dispersion modérée autour de la moyenne. Le kurtosis de -0,930 indique une distribution mésokurtique, proche de la normale, avec un risque de pics limité. La volatilité annualisée de 36,4% classe le titre dans la catégorie des valeurs à volatilité élevée, ce qui implique des fluctuations de prix importantes à court terme.</w:t>
      </w:r>
    </w:p>
    <w:p>
      <w:pPr>
        <w:spacing w:after="120" w:line="276" w:lineRule="auto" w:before="240"/>
      </w:pPr>
      <w:r>
        <w:rPr>
          <w:b/>
          <w:color w:val="003366"/>
          <w:sz w:val="24"/>
        </w:rPr>
        <w:t>**PARTIE 2 : ANALYSE TECHNIQUE DÉTAILLÉE**</w:t>
      </w:r>
    </w:p>
    <w:p>
      <w:pPr>
        <w:spacing w:after="120" w:line="276" w:lineRule="auto"/>
      </w:pPr>
      <w:r>
        <w:t>**Moyennes Mobiles**: La MM20 à 22 879,75 FCFA et la MM50 à 23 428,2 FCFA se situent toutes deux au-dessus du cours actuel de 22 100 FCFA. Cette configuration baissière indique que le titre évolue sous ses moyennes mobiles clés, suggérant une tendance de fond négative à court et moyen terme. La décision de Vente est justifiée par cette position défavorable du cours sous les deux moyennes.</w:t>
      </w:r>
    </w:p>
    <w:p>
      <w:pPr>
        <w:spacing w:after="120" w:line="276" w:lineRule="auto"/>
      </w:pPr>
      <w:r>
        <w:t>**Bandes de Bollinger**: Le cours à 22 100 FCFA se positionne dans la moitié inférieure des bandes, entre la borne inférieure à 21 061,334 FCFA et la borne supérieure à 24 698,166 FCFA. Cette position médiane-basse indique une pression vendeuse modérée sans atteindre des conditions de survente extrême. La décision Neutre reflète l'absence de signal directionnel fort, le titre n'ayant pas touché les bornes extrêmes.</w:t>
      </w:r>
    </w:p>
    <w:p>
      <w:pPr>
        <w:spacing w:after="120" w:line="276" w:lineRule="auto"/>
      </w:pPr>
      <w:r>
        <w:t>**MACD**: La valeur MACD de -366,47, inférieure à son signal à -281,909, confirme une dynamique baissière en cours. L'écart négatif entre ces deux lignes indique que le momentum reste vendeur, bien que l'amplitude de la divergence suggère un ralentissement potentiel de la tendance baissière. La décision de Vente est cohérente avec cette configuration technique.</w:t>
      </w:r>
    </w:p>
    <w:p>
      <w:pPr>
        <w:spacing w:after="120" w:line="276" w:lineRule="auto"/>
      </w:pPr>
      <w:r>
        <w:t>**RSI**: À 36,229, le RSI se situe dans la zone neutre mais proche de la zone de survente (30). Cette valeur indique que le titre n'est ni suracheté ni survendu, mais que la pression vendeuse domine sans atteindre des niveaux extrêmes. La décision Neutre reflète cette position intermédiaire, avec un potentiel de rebond si le RSI approche les 30.</w:t>
      </w:r>
    </w:p>
    <w:p>
      <w:pPr>
        <w:spacing w:after="120" w:line="276" w:lineRule="auto"/>
      </w:pPr>
      <w:r>
        <w:t>**Stochastique**: Le %K à 47,23 et le %D à 38,96 montrent une configuration où la ligne rapide est au-dessus de la ligne lente, suggérant un début de retournement haussier potentiel. Cependant, les deux valeurs restent sous le seuil de 50, indiquant que la dynamique baissière n'est pas complètement inversée. La décision Neutre est appropriée face à ces signaux contradictoires.</w:t>
      </w:r>
    </w:p>
    <w:p>
      <w:pPr>
        <w:spacing w:after="120" w:line="276" w:lineRule="auto"/>
      </w:pPr>
      <w:r>
        <w:t>**Conclusion technique**: La convergence des indicateurs techniques (MM, MACD) vers des signaux de vente contraste avec les signaux neutres du RSI et du Stochastique. Cette divergence suggère une tendance baissière modérée mais sans excès, avec un potentiel de stabilisation à court terme. Le titre semble chercher un point d'équilibre après une période de correction, et les niveaux actuels pourraient représenter une zone de consolidation avant une éventuelle reprise.</w:t>
      </w:r>
    </w:p>
    <w:p>
      <w:pPr>
        <w:spacing w:after="120" w:line="276" w:lineRule="auto" w:before="240"/>
      </w:pPr>
      <w:r>
        <w:rPr>
          <w:b/>
          <w:color w:val="003366"/>
          <w:sz w:val="24"/>
        </w:rPr>
        <w:t>**PARTIE 3 : ANALYSE FONDAMENTALE (SECTION CRITIQUE)**</w:t>
      </w:r>
    </w:p>
    <w:p>
      <w:pPr>
        <w:spacing w:after="120" w:line="276" w:lineRule="auto"/>
      </w:pPr>
      <w:r>
        <w:t>En 2025, les données financières structurées révèlent une entreprise non bancaire avec un chiffre d'affaires de 268,537 milliards FCFA, en croissance de 25,3% par rapport à 2024. Le résultat net s'établit à 36,158 milliards FCFA, en baisse de 17,5% par rapport à l'exercice précédent, avec une marge nette de 13,46%. La rentabilité des capitaux propres (ROE) atteint un niveau exceptionnel de 79,75%, tandis que le ROA s'élève à 48,09%, démontrant une utilisation très efficace des actifs. La structure financière est saine avec une autonomie financière de 60,3% et une trésorerie nette de 30,763 milliards FCFA. Le BFR de 5,639 milliards FCFA est positif mais modéré, avec un délai clients de 42,57 jours et une durée de stockage de 5,73 jours. Les rapports trimestriels de 2025 montrent une année contrastée : le T1 affichait une progression spectaculaire du résultat net (+146%), le S1 une hausse de +87,3%, mais le T4 a subi une chute de -74% sous l'effet de la hausse des droits d'accises (de 49% à 70%) et de charges exceptionnelles. Les rapports de 2026 indiquent un T1 avec un CA en hausse de 12% à 68,8 milliards FCFA mais un résultat net stable à 9,3 milliards FCFA. La politique de dividende reste généreuse avec un DPA proposé de 1 940 FCFA pour 2025, représentant un taux de distribution de 84,9%. Les perspectives 2026 semblent positives avec une loi de finances favorable aux fabricants locaux et une amélioration des capacités de production, mais la pression fiscale et la dégradation des marges constituent des risques majeurs.</w:t>
      </w:r>
    </w:p>
    <w:p>
      <w:pPr>
        <w:spacing w:after="120" w:line="276" w:lineRule="auto" w:before="240"/>
      </w:pPr>
      <w:r>
        <w:rPr>
          <w:b/>
          <w:color w:val="003366"/>
          <w:sz w:val="24"/>
        </w:rPr>
        <w:t>**PARTIE 4 : CONCLUSION D'INVESTISSEMENT**</w:t>
      </w:r>
    </w:p>
    <w:p>
      <w:pPr>
        <w:spacing w:after="120" w:line="276" w:lineRule="auto"/>
      </w:pPr>
      <w:r>
        <w:t>La synthèse des analyses révèle une situation contrastée pour STBC. La valorisation (PER de 11,0x, EV/EBITDA de 7,9x) apparaît raisonnable, mais le P/B de 8,75x indique une prime élevée qui pourrait limiter le potentiel de hausse. Le comportement du cours sur 100 jours montre une tendance globalement stable avec une volatilité élevée (36,4%), tandis que les statistiques descriptives (kurtosis et skewness proches de la normale) suggèrent un comportement de prix prévisible. Les signaux techniques sont majoritairement vendeurs (MM, MACD) avec des indicateurs neutres (RSI, Stochastique), indiquant une phase de consolidation sans direction claire. Fondamentalement, l'entreprise affiche une croissance solide du chiffre d'affaires (+25,3% en 2025) et une rentabilité exceptionnelle (ROE de 79,75%), mais subit une dégradation de ses marges sous l'effet de la pression fiscale. Les prédictions IA pour les 10 prochains jours suggèrent une trajectoire haussière progressive de 22 444 à 23 282 FCFA, contredisant les signaux techniques baissiers. Cette divergence entre les perspectives techniques et les prédictions algorithmiques, combinée à des fondamentaux solides mais en voie de normalisation, justifie une recommandation de **CONSERVER** avec un niveau de confiance **Moyen**. Le risque global est **Moyen**, principalement lié à l'environnement fiscal et réglementaire. L'horizon d'investissement optimal serait à **moyen terme (3-12 mois)**, en attendant une clarification de la trajectoire des marges et de la politique de distribution.</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exceptionnelles du T4 2023 avec une croissance \u00e0 deux chiffres sur tous les indicateurs cl\u00e9s d\u00e9montrent la solidit\u00e9 du mod\u00e8le \u00e9conomique. Les perspectives 2024 restent favorables avec un management confiant sur le maintien des performances."}</w:t>
      </w:r>
    </w:p>
    <w:p>
      <w:pPr>
        <w:spacing w:before="40"/>
        <w:ind w:left="400"/>
      </w:pPr>
      <w:r>
        <w:rPr>
          <w:sz w:val="18"/>
        </w:rPr>
        <w:t>SITAB a réalisé un excellent 4ème trimestre 2023 avec une croissance significative de tous ses indicateurs financiers. Les volumes de ventes ont progressé de 9% par rapport au T4 2022, atteignant 1 933,1 millions de tiges. Le chiffre d'affaires a augmenté de 16% à 46,4 milliards FCFA tandis que le résultat d'exploitation a bondi de 66% à 5,0 milliards FCFA. Le résultat net s'établit à 5,1 milliards FCFA, en hausse de 67% par rapport à la même période de 2022. Cette performance résulte de la hausse des prix de vente des cigarettes FINE et de l'optimisation des charges organisationnelles.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'16%', 'volumes_ventes': '1 933,1 millions de tiges (T4 2023)', 'resultat_exploitation': '5,0 milliards FCFA (T4 2023)', 'croissance_resultat_net': '67%'}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 milliards FCFA (T4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46,4 milliards FCFA (T4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volumes de ventes de 9% au T4 2023 (1 933,1 millions de tiges vs 1 776,0 millions)</w:t>
      </w:r>
    </w:p>
    <w:p>
      <w:pPr>
        <w:pStyle w:val="ListBullet"/>
        <w:spacing w:before="20" w:after="20"/>
        <w:ind w:left="700"/>
      </w:pPr>
      <w:r>
        <w:rPr>
          <w:sz w:val="18"/>
        </w:rPr>
        <w:t>Progression du chiffre d'affaires de 16% à 46,4 milliards FCFA</w:t>
      </w:r>
    </w:p>
    <w:p>
      <w:pPr>
        <w:pStyle w:val="ListBullet"/>
        <w:spacing w:before="20" w:after="20"/>
        <w:ind w:left="700"/>
      </w:pPr>
      <w:r>
        <w:rPr>
          <w:sz w:val="18"/>
        </w:rPr>
        <w:t>Explosion du résultat d'exploitation de 66% à 5,0 milliards FCFA</w:t>
      </w:r>
    </w:p>
    <w:p>
      <w:pPr>
        <w:pStyle w:val="ListBullet"/>
        <w:spacing w:before="20" w:after="20"/>
        <w:ind w:left="700"/>
      </w:pPr>
      <w:r>
        <w:rPr>
          <w:sz w:val="18"/>
        </w:rPr>
        <w:t>Résultat net en hausse de 67% à 5,1 milliards FCFA</w:t>
      </w:r>
    </w:p>
    <w:p>
      <w:pPr>
        <w:pStyle w:val="ListBullet"/>
        <w:spacing w:before="20" w:after="20"/>
        <w:ind w:left="700"/>
      </w:pPr>
      <w:r>
        <w:rPr>
          <w:sz w:val="18"/>
        </w:rPr>
        <w:t>Impact positif de la hausse du prix de vente des cigarettes FINE</w:t>
      </w:r>
    </w:p>
    <w:p>
      <w:pPr>
        <w:pStyle w:val="ListBullet"/>
        <w:spacing w:before="20" w:after="20"/>
        <w:ind w:left="700"/>
      </w:pPr>
      <w:r>
        <w:rPr>
          <w:sz w:val="18"/>
        </w:rPr>
        <w:t>Optimisation réussie des charges et renforcement organisationnel</w:t>
      </w:r>
    </w:p>
    <w:p>
      <w:pPr>
        <w:spacing w:before="40"/>
        <w:ind w:left="400"/>
      </w:pPr>
      <w:r>
        <w:rPr>
          <w:b/>
          <w:color w:val="C05000"/>
          <w:sz w:val="18"/>
        </w:rPr>
        <w:t xml:space="preserve">⚠️ Risques : </w:t>
      </w:r>
      <w:r>
        <w:rPr>
          <w:sz w:val="18"/>
        </w:rPr>
        <w:t>["D\u00e9pendance aux fluctuations des prix des mati\u00e8res premi\u00e8res du tabac", "R\u00e9glementation de plus en plus stricte sur les produits du tabac", "Concurrence accrue sur le march\u00e9 des cigarettes en C\u00f4te d'Ivoire"]</w:t>
      </w:r>
    </w:p>
    <w:p>
      <w:pPr>
        <w:spacing w:before="40"/>
        <w:ind w:left="400"/>
      </w:pPr>
      <w:r>
        <w:rPr>
          <w:b/>
          <w:color w:val="0064A0"/>
          <w:sz w:val="18"/>
        </w:rPr>
        <w:t xml:space="preserve">🔮 Perspectives : </w:t>
      </w:r>
      <w:r>
        <w:rPr>
          <w:sz w:val="18"/>
        </w:rPr>
        <w:t>SITAB souhaite maintenir sa dynamique actuelle en 2024 en préservant des performances solides et en maintenant le niveau des ventes. L'entreprise vise à garantir l'obtention de résultats positifs pour l'année 2024 grâce à la poursuite de sa stratégie d'optimisation des charges et de renforcement org</w:t>
      </w:r>
    </w:p>
    <w:p/>
    <w:p>
      <w:r>
        <w:t>════════════════════════════════════════════════════════════════════════════════</w:t>
      </w:r>
    </w:p>
    <w:p>
      <w:r>
        <w:br w:type="page"/>
      </w:r>
    </w:p>
    <w:p>
      <w:pPr>
        <w:pStyle w:val="Heading2"/>
        <w:spacing w:before="360"/>
      </w:pPr>
      <w:r>
        <w:rPr>
          <w:color w:val="0066CC"/>
        </w:rPr>
        <w:t>44.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212.18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7,007 titres</w:t>
            </w:r>
          </w:p>
        </w:tc>
        <w:tc>
          <w:tcPr>
            <w:tcW w:type="dxa" w:w="2268"/>
            <w:shd w:fill="FFF2CC" w:val="clear"/>
          </w:tcPr>
          <w:p>
            <w:r>
              <w:rPr>
                <w:b/>
                <w:color w:val="503200"/>
                <w:sz w:val="16"/>
              </w:rPr>
              <w:t xml:space="preserve">Cours actuel : </w:t>
            </w:r>
            <w:r>
              <w:rPr>
                <w:color w:val="000000"/>
                <w:sz w:val="17"/>
              </w:rPr>
              <w:t>3,370 FCFA</w:t>
            </w:r>
          </w:p>
          <w:p>
            <w:r>
              <w:rPr>
                <w:b/>
                <w:color w:val="503200"/>
                <w:sz w:val="16"/>
              </w:rPr>
              <w:t xml:space="preserve">Var. 100 jours : </w:t>
            </w:r>
            <w:r>
              <w:rPr>
                <w:b/>
                <w:color w:val="007800"/>
                <w:sz w:val="17"/>
              </w:rPr>
              <w:t>+20.36%</w:t>
            </w:r>
          </w:p>
          <w:p>
            <w:r>
              <w:rPr>
                <w:b/>
                <w:color w:val="503200"/>
                <w:sz w:val="16"/>
              </w:rPr>
              <w:t xml:space="preserve">Plus haut 100j : </w:t>
            </w:r>
            <w:r>
              <w:rPr>
                <w:color w:val="000000"/>
                <w:sz w:val="17"/>
              </w:rPr>
              <w:t>3,595 FCFA</w:t>
            </w:r>
          </w:p>
          <w:p>
            <w:r>
              <w:rPr>
                <w:b/>
                <w:color w:val="503200"/>
                <w:sz w:val="16"/>
              </w:rPr>
              <w:t xml:space="preserve">Plus bas 100j : </w:t>
            </w:r>
            <w:r>
              <w:rPr>
                <w:color w:val="000000"/>
                <w:sz w:val="17"/>
              </w:rPr>
              <w:t>2,650 FCFA</w:t>
            </w:r>
          </w:p>
          <w:p>
            <w:r>
              <w:rPr>
                <w:b/>
                <w:color w:val="503200"/>
                <w:sz w:val="16"/>
              </w:rPr>
              <w:t xml:space="preserve">Volatilité ann. : </w:t>
            </w:r>
            <w:r>
              <w:rPr>
                <w:color w:val="000000"/>
                <w:sz w:val="17"/>
              </w:rPr>
              <w:t>40.0%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6.69% (Moyenne) — μ=2,938 FCFA, σ=197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β=-0.2349 (Contre-cyclique) — Cov=-0.000008, Var(idx)=0.000036, ρ=-0.056,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7,007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σ_j=2.52%/j (Stable) — Vol. annualisée≈40.0%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2026-09-07</w:t>
            </w:r>
          </w:p>
        </w:tc>
        <w:tc>
          <w:tcPr>
            <w:tcW w:type="dxa" w:w="1440"/>
            <w:shd w:fill="FAFAFA" w:val="clear"/>
          </w:tcPr>
          <w:p>
            <w:r>
              <w:rPr>
                <w:sz w:val="17"/>
              </w:rPr>
              <w:t>3,173</w:t>
            </w:r>
          </w:p>
        </w:tc>
        <w:tc>
          <w:tcPr>
            <w:tcW w:type="dxa" w:w="1440"/>
            <w:shd w:fill="FAFAFA" w:val="clear"/>
          </w:tcPr>
          <w:p>
            <w:r>
              <w:rPr>
                <w:b/>
                <w:sz w:val="17"/>
              </w:rPr>
              <w:t>3,354</w:t>
            </w:r>
          </w:p>
        </w:tc>
        <w:tc>
          <w:tcPr>
            <w:tcW w:type="dxa" w:w="1440"/>
            <w:shd w:fill="FAFAFA" w:val="clear"/>
          </w:tcPr>
          <w:p>
            <w:r>
              <w:rPr>
                <w:sz w:val="17"/>
              </w:rPr>
              <w:t>3,535</w:t>
            </w:r>
          </w:p>
        </w:tc>
        <w:tc>
          <w:tcPr>
            <w:tcW w:type="dxa" w:w="1440"/>
            <w:shd w:fill="FAFAFA" w:val="clear"/>
          </w:tcPr>
          <w:p>
            <w:r>
              <w:rPr>
                <w:b/>
                <w:color w:val="C00000"/>
                <w:sz w:val="17"/>
              </w:rPr>
              <w:t>-0.5%</w:t>
            </w:r>
          </w:p>
        </w:tc>
      </w:tr>
      <w:tr>
        <w:tc>
          <w:tcPr>
            <w:tcW w:type="dxa" w:w="1440"/>
            <w:shd w:fill="FAFAFA" w:val="clear"/>
          </w:tcPr>
          <w:p>
            <w:r>
              <w:rPr>
                <w:sz w:val="17"/>
              </w:rPr>
              <w:t>J+2  ⭐</w:t>
            </w:r>
          </w:p>
        </w:tc>
        <w:tc>
          <w:tcPr>
            <w:tcW w:type="dxa" w:w="1440"/>
            <w:shd w:fill="FAFAFA" w:val="clear"/>
          </w:tcPr>
          <w:p>
            <w:r>
              <w:rPr>
                <w:sz w:val="17"/>
              </w:rPr>
              <w:t>2026-09-08</w:t>
            </w:r>
          </w:p>
        </w:tc>
        <w:tc>
          <w:tcPr>
            <w:tcW w:type="dxa" w:w="1440"/>
            <w:shd w:fill="FAFAFA" w:val="clear"/>
          </w:tcPr>
          <w:p>
            <w:r>
              <w:rPr>
                <w:sz w:val="17"/>
              </w:rPr>
              <w:t>3,087</w:t>
            </w:r>
          </w:p>
        </w:tc>
        <w:tc>
          <w:tcPr>
            <w:tcW w:type="dxa" w:w="1440"/>
            <w:shd w:fill="FAFAFA" w:val="clear"/>
          </w:tcPr>
          <w:p>
            <w:r>
              <w:rPr>
                <w:b/>
                <w:sz w:val="17"/>
              </w:rPr>
              <w:t>3,342</w:t>
            </w:r>
          </w:p>
        </w:tc>
        <w:tc>
          <w:tcPr>
            <w:tcW w:type="dxa" w:w="1440"/>
            <w:shd w:fill="FAFAFA" w:val="clear"/>
          </w:tcPr>
          <w:p>
            <w:r>
              <w:rPr>
                <w:sz w:val="17"/>
              </w:rPr>
              <w:t>3,597</w:t>
            </w:r>
          </w:p>
        </w:tc>
        <w:tc>
          <w:tcPr>
            <w:tcW w:type="dxa" w:w="1440"/>
            <w:shd w:fill="FAFAFA" w:val="clear"/>
          </w:tcPr>
          <w:p>
            <w:r>
              <w:rPr>
                <w:b/>
                <w:color w:val="C00000"/>
                <w:sz w:val="17"/>
              </w:rPr>
              <w:t>-0.8%</w:t>
            </w:r>
          </w:p>
        </w:tc>
      </w:tr>
      <w:tr>
        <w:tc>
          <w:tcPr>
            <w:tcW w:type="dxa" w:w="1440"/>
            <w:shd w:fill="FAFAFA" w:val="clear"/>
          </w:tcPr>
          <w:p>
            <w:r>
              <w:rPr>
                <w:sz w:val="17"/>
              </w:rPr>
              <w:t>J+3  ⭐</w:t>
            </w:r>
          </w:p>
        </w:tc>
        <w:tc>
          <w:tcPr>
            <w:tcW w:type="dxa" w:w="1440"/>
            <w:shd w:fill="FAFAFA" w:val="clear"/>
          </w:tcPr>
          <w:p>
            <w:r>
              <w:rPr>
                <w:sz w:val="17"/>
              </w:rPr>
              <w:t>2026-09-09</w:t>
            </w:r>
          </w:p>
        </w:tc>
        <w:tc>
          <w:tcPr>
            <w:tcW w:type="dxa" w:w="1440"/>
            <w:shd w:fill="FAFAFA" w:val="clear"/>
          </w:tcPr>
          <w:p>
            <w:r>
              <w:rPr>
                <w:sz w:val="17"/>
              </w:rPr>
              <w:t>3,017</w:t>
            </w:r>
          </w:p>
        </w:tc>
        <w:tc>
          <w:tcPr>
            <w:tcW w:type="dxa" w:w="1440"/>
            <w:shd w:fill="FAFAFA" w:val="clear"/>
          </w:tcPr>
          <w:p>
            <w:r>
              <w:rPr>
                <w:b/>
                <w:sz w:val="17"/>
              </w:rPr>
              <w:t>3,328</w:t>
            </w:r>
          </w:p>
        </w:tc>
        <w:tc>
          <w:tcPr>
            <w:tcW w:type="dxa" w:w="1440"/>
            <w:shd w:fill="FAFAFA" w:val="clear"/>
          </w:tcPr>
          <w:p>
            <w:r>
              <w:rPr>
                <w:sz w:val="17"/>
              </w:rPr>
              <w:t>3,639</w:t>
            </w:r>
          </w:p>
        </w:tc>
        <w:tc>
          <w:tcPr>
            <w:tcW w:type="dxa" w:w="1440"/>
            <w:shd w:fill="FAFAFA" w:val="clear"/>
          </w:tcPr>
          <w:p>
            <w:r>
              <w:rPr>
                <w:b/>
                <w:color w:val="C00000"/>
                <w:sz w:val="17"/>
              </w:rPr>
              <w:t>-1.3%</w:t>
            </w:r>
          </w:p>
        </w:tc>
      </w:tr>
      <w:tr>
        <w:tc>
          <w:tcPr>
            <w:tcW w:type="dxa" w:w="1440"/>
            <w:shd w:fill="FAFAFA" w:val="clear"/>
          </w:tcPr>
          <w:p>
            <w:r>
              <w:rPr>
                <w:sz w:val="17"/>
              </w:rPr>
              <w:t>J+4  ⭐</w:t>
            </w:r>
          </w:p>
        </w:tc>
        <w:tc>
          <w:tcPr>
            <w:tcW w:type="dxa" w:w="1440"/>
            <w:shd w:fill="FAFAFA" w:val="clear"/>
          </w:tcPr>
          <w:p>
            <w:r>
              <w:rPr>
                <w:sz w:val="17"/>
              </w:rPr>
              <w:t>2026-09-10</w:t>
            </w:r>
          </w:p>
        </w:tc>
        <w:tc>
          <w:tcPr>
            <w:tcW w:type="dxa" w:w="1440"/>
            <w:shd w:fill="FAFAFA" w:val="clear"/>
          </w:tcPr>
          <w:p>
            <w:r>
              <w:rPr>
                <w:sz w:val="17"/>
              </w:rPr>
              <w:t>2,956</w:t>
            </w:r>
          </w:p>
        </w:tc>
        <w:tc>
          <w:tcPr>
            <w:tcW w:type="dxa" w:w="1440"/>
            <w:shd w:fill="FAFAFA" w:val="clear"/>
          </w:tcPr>
          <w:p>
            <w:r>
              <w:rPr>
                <w:b/>
                <w:sz w:val="17"/>
              </w:rPr>
              <w:t>3,314</w:t>
            </w:r>
          </w:p>
        </w:tc>
        <w:tc>
          <w:tcPr>
            <w:tcW w:type="dxa" w:w="1440"/>
            <w:shd w:fill="FAFAFA" w:val="clear"/>
          </w:tcPr>
          <w:p>
            <w:r>
              <w:rPr>
                <w:sz w:val="17"/>
              </w:rPr>
              <w:t>3,672</w:t>
            </w:r>
          </w:p>
        </w:tc>
        <w:tc>
          <w:tcPr>
            <w:tcW w:type="dxa" w:w="1440"/>
            <w:shd w:fill="FAFAFA" w:val="clear"/>
          </w:tcPr>
          <w:p>
            <w:r>
              <w:rPr>
                <w:b/>
                <w:color w:val="C00000"/>
                <w:sz w:val="17"/>
              </w:rPr>
              <w:t>-1.7%</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2,903</w:t>
            </w:r>
          </w:p>
        </w:tc>
        <w:tc>
          <w:tcPr>
            <w:tcW w:type="dxa" w:w="1440"/>
            <w:shd w:fill="FFDCE0" w:val="clear"/>
          </w:tcPr>
          <w:p>
            <w:r>
              <w:rPr>
                <w:b/>
                <w:sz w:val="17"/>
              </w:rPr>
              <w:t>3,301</w:t>
            </w:r>
          </w:p>
        </w:tc>
        <w:tc>
          <w:tcPr>
            <w:tcW w:type="dxa" w:w="1440"/>
            <w:shd w:fill="FFDCE0" w:val="clear"/>
          </w:tcPr>
          <w:p>
            <w:r>
              <w:rPr>
                <w:sz w:val="17"/>
              </w:rPr>
              <w:t>3,699</w:t>
            </w:r>
          </w:p>
        </w:tc>
        <w:tc>
          <w:tcPr>
            <w:tcW w:type="dxa" w:w="1440"/>
            <w:shd w:fill="FFDCE0" w:val="clear"/>
          </w:tcPr>
          <w:p>
            <w:r>
              <w:rPr>
                <w:b/>
                <w:color w:val="C00000"/>
                <w:sz w:val="17"/>
              </w:rPr>
              <w:t>-2.0%</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2,854</w:t>
            </w:r>
          </w:p>
        </w:tc>
        <w:tc>
          <w:tcPr>
            <w:tcW w:type="dxa" w:w="1440"/>
            <w:shd w:fill="FFDCE0" w:val="clear"/>
          </w:tcPr>
          <w:p>
            <w:r>
              <w:rPr>
                <w:b/>
                <w:sz w:val="17"/>
              </w:rPr>
              <w:t>3,288</w:t>
            </w:r>
          </w:p>
        </w:tc>
        <w:tc>
          <w:tcPr>
            <w:tcW w:type="dxa" w:w="1440"/>
            <w:shd w:fill="FFDCE0" w:val="clear"/>
          </w:tcPr>
          <w:p>
            <w:r>
              <w:rPr>
                <w:sz w:val="17"/>
              </w:rPr>
              <w:t>3,723</w:t>
            </w:r>
          </w:p>
        </w:tc>
        <w:tc>
          <w:tcPr>
            <w:tcW w:type="dxa" w:w="1440"/>
            <w:shd w:fill="FFDCE0" w:val="clear"/>
          </w:tcPr>
          <w:p>
            <w:r>
              <w:rPr>
                <w:b/>
                <w:color w:val="C00000"/>
                <w:sz w:val="17"/>
              </w:rPr>
              <w:t>-2.4%</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2,809</w:t>
            </w:r>
          </w:p>
        </w:tc>
        <w:tc>
          <w:tcPr>
            <w:tcW w:type="dxa" w:w="1440"/>
            <w:shd w:fill="FFDCE0" w:val="clear"/>
          </w:tcPr>
          <w:p>
            <w:r>
              <w:rPr>
                <w:b/>
                <w:sz w:val="17"/>
              </w:rPr>
              <w:t>3,276</w:t>
            </w:r>
          </w:p>
        </w:tc>
        <w:tc>
          <w:tcPr>
            <w:tcW w:type="dxa" w:w="1440"/>
            <w:shd w:fill="FFDCE0" w:val="clear"/>
          </w:tcPr>
          <w:p>
            <w:r>
              <w:rPr>
                <w:sz w:val="17"/>
              </w:rPr>
              <w:t>3,744</w:t>
            </w:r>
          </w:p>
        </w:tc>
        <w:tc>
          <w:tcPr>
            <w:tcW w:type="dxa" w:w="1440"/>
            <w:shd w:fill="FFDCE0" w:val="clear"/>
          </w:tcPr>
          <w:p>
            <w:r>
              <w:rPr>
                <w:b/>
                <w:color w:val="C00000"/>
                <w:sz w:val="17"/>
              </w:rPr>
              <w:t>-2.8%</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2,766</w:t>
            </w:r>
          </w:p>
        </w:tc>
        <w:tc>
          <w:tcPr>
            <w:tcW w:type="dxa" w:w="1440"/>
            <w:shd w:fill="FFDCE0" w:val="clear"/>
          </w:tcPr>
          <w:p>
            <w:r>
              <w:rPr>
                <w:b/>
                <w:sz w:val="17"/>
              </w:rPr>
              <w:t>3,264</w:t>
            </w:r>
          </w:p>
        </w:tc>
        <w:tc>
          <w:tcPr>
            <w:tcW w:type="dxa" w:w="1440"/>
            <w:shd w:fill="FFDCE0" w:val="clear"/>
          </w:tcPr>
          <w:p>
            <w:r>
              <w:rPr>
                <w:sz w:val="17"/>
              </w:rPr>
              <w:t>3,762</w:t>
            </w:r>
          </w:p>
        </w:tc>
        <w:tc>
          <w:tcPr>
            <w:tcW w:type="dxa" w:w="1440"/>
            <w:shd w:fill="FFDCE0" w:val="clear"/>
          </w:tcPr>
          <w:p>
            <w:r>
              <w:rPr>
                <w:b/>
                <w:color w:val="C00000"/>
                <w:sz w:val="17"/>
              </w:rPr>
              <w:t>-3.1%</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2,726</w:t>
            </w:r>
          </w:p>
        </w:tc>
        <w:tc>
          <w:tcPr>
            <w:tcW w:type="dxa" w:w="1440"/>
            <w:shd w:fill="FFDCE0" w:val="clear"/>
          </w:tcPr>
          <w:p>
            <w:r>
              <w:rPr>
                <w:b/>
                <w:sz w:val="17"/>
              </w:rPr>
              <w:t>3,252</w:t>
            </w:r>
          </w:p>
        </w:tc>
        <w:tc>
          <w:tcPr>
            <w:tcW w:type="dxa" w:w="1440"/>
            <w:shd w:fill="FFDCE0" w:val="clear"/>
          </w:tcPr>
          <w:p>
            <w:r>
              <w:rPr>
                <w:sz w:val="17"/>
              </w:rPr>
              <w:t>3,779</w:t>
            </w:r>
          </w:p>
        </w:tc>
        <w:tc>
          <w:tcPr>
            <w:tcW w:type="dxa" w:w="1440"/>
            <w:shd w:fill="FFDCE0" w:val="clear"/>
          </w:tcPr>
          <w:p>
            <w:r>
              <w:rPr>
                <w:b/>
                <w:color w:val="C00000"/>
                <w:sz w:val="17"/>
              </w:rPr>
              <w:t>-3.5%</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2,688</w:t>
            </w:r>
          </w:p>
        </w:tc>
        <w:tc>
          <w:tcPr>
            <w:tcW w:type="dxa" w:w="1440"/>
            <w:shd w:fill="FFDCE0" w:val="clear"/>
          </w:tcPr>
          <w:p>
            <w:r>
              <w:rPr>
                <w:b/>
                <w:sz w:val="17"/>
              </w:rPr>
              <w:t>3,241</w:t>
            </w:r>
          </w:p>
        </w:tc>
        <w:tc>
          <w:tcPr>
            <w:tcW w:type="dxa" w:w="1440"/>
            <w:shd w:fill="FFDCE0" w:val="clear"/>
          </w:tcPr>
          <w:p>
            <w:r>
              <w:rPr>
                <w:sz w:val="17"/>
              </w:rPr>
              <w:t>3,794</w:t>
            </w:r>
          </w:p>
        </w:tc>
        <w:tc>
          <w:tcPr>
            <w:tcW w:type="dxa" w:w="1440"/>
            <w:shd w:fill="FFDCE0" w:val="clear"/>
          </w:tcPr>
          <w:p>
            <w:r>
              <w:rPr>
                <w:b/>
                <w:color w:val="C00000"/>
                <w:sz w:val="17"/>
              </w:rPr>
              <w:t>-3.8%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TOTALENERGIES MARKETING CÔTE D'IVOIRE (TTLC)**</w:t>
        <w:br/>
        <w:t>**Date : Septembre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TTLC s'établit à 212,18 milliards FCFA, ce qui en fait l'une des valeurs les plus significatives de la cote de la BRVM, reflétant la position dominante de la filiale ivoirienne du géant pétrolier. Avec un BPA de 144 FCFA, le titre se négocie à un PER de 23,3x, nettement supérieur à la moyenne historique du marché régional (8-12x). Cette prime substantielle suggère que les investisseurs anticipent une croissance future des bénéfices ou valorisent la solidité de la marque et sa politique de distribution. Le P/B de 5,86x confirme cette exigeance, le marché valorisant le titre près de six fois sa valeur comptable, un niveau qui traduit une forte prime pour la qualité perçue des actifs et la rentabilité élevée de l'entreprise. Enfin, un EV/EBITDA de 11,9x, dans la fourchette haute de 10-15x, indique une valorisation globale élevée de la société par rapport à sa capacité opérationnelle à générer des flux.</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TTLC a affiché une performance remarquable de +20,36%, avec une dernière séance en hausse de 0,60% à 3 370 FCFA. Le titre a évolué dans une fourchette large de 945 FCFA, entre un plus bas de 2 650 FCFA et un plus haut de 3 595 FCFA, démontrant une dynamique haussière soutenue. La moyenne du cours sur la période (2 938 FCFA) est inférieure à la médiane (2 892 FCFA), et l'écart positif de la moyenne suggère une asymétrie positive (skewness de 1,395), indiquant que les fortes hausses sont plus fréquentes que les fortes baisses. L'écart-type de 198 FCFA (CV=6,7%) montre une dispersion modérée autour de la moyenne. Le kurtosis excédentaire de 1,350 signale un risque de mouvements extrêmes (queues épaisses), tandis que la volatilité annualisée de 40% classe le titre comme très volatil (&gt;30%), un niveau élevé qui implique un risque substantiel mais aussi un potentiel de rendement important pour les investisseurs aguerris.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3 370 FCFA se situe nettement au-dessus de sa moyenne mobile à 20 jours (3 251 FCFA) et encore plus au-dessus de sa moyenne mobile à 50 jours (3 048,6 FCFA). Cette configuration, où le prix est supérieur aux deux MM, est un signal haussier classique. La pente positive des MM confirme la solidité de la tendance de fond, justifiant la décision d'**Achat**.</w:t>
      </w:r>
    </w:p>
    <w:p>
      <w:pPr>
        <w:spacing w:after="120" w:line="276" w:lineRule="auto"/>
      </w:pPr>
      <w:r>
        <w:t>**Bandes de Bollinger** : Le prix évolue dans la partie supérieure du canal formé par les bandes, entre la borne inférieure (2 842,8 FCFA) et supérieure (3 659,2 FCFA). La position du cours, en dessous de la borne supérieure mais au-dessus de la moyenne, indique une dynamique positive sans être en situation de surachat extrême. La décision est **Neutre**, suggérant que le titre peut continuer sa progression mais avec une vigilance sur une possible résistance proche.</w:t>
      </w:r>
    </w:p>
    <w:p>
      <w:pPr>
        <w:spacing w:after="120" w:line="276" w:lineRule="auto"/>
      </w:pPr>
      <w:r>
        <w:t>**MACD** : Le MACD (111,598) est passé sous sa ligne de signal (115,69), ce qui constitue un signal de **Vente** à court terme. Cette divergence baissière indique un ralentissement du momentum haussier. Bien que les deux lignes restent en territoire positif, ce croisement suggère une possible consolidation ou correction à venir, incitant à la prudence pour les traders à court terme.</w:t>
      </w:r>
    </w:p>
    <w:p>
      <w:pPr>
        <w:spacing w:after="120" w:line="276" w:lineRule="auto"/>
      </w:pPr>
      <w:r>
        <w:t>**RSI** : Avec une valeur de 62,36, le RSI se situe dans la zone neutre (30-70), mais proche de la zone de surachat (70). Il indique que la pression acheteuse est toujours présente mais qu'elle commence à s'essouffler. La décision est **Neutre**, laissant entendre que le titre n'est ni survendu ni suracheté, mais qu'il pourrait atteindre une zone de résistance si la dynamique se poursuit.</w:t>
      </w:r>
    </w:p>
    <w:p>
      <w:pPr>
        <w:spacing w:after="120" w:line="276" w:lineRule="auto"/>
      </w:pPr>
      <w:r>
        <w:t>**Stochastique** : Le %K (41,558) est passé sous le %D (50,683), formant un croisement baissier. Ce signal indique une perte de momentum haussier à très court terme. Le fait que les deux lignes soient sous le niveau de 50 suggère que la dynamique haussière s'est affaiblie, justifiant une décision **Neutre** avec un biais négatif à très court terme.</w:t>
      </w:r>
    </w:p>
    <w:p>
      <w:pPr>
        <w:spacing w:after="120" w:line="276" w:lineRule="auto"/>
      </w:pPr>
      <w:r>
        <w:t>**Conclusion technique** : Les indicateurs de tendance (MM) sont clairement positifs, mais les oscillateurs de momentum (MACD, Stochastique) montrent des signes d'essoufflement. Le RSI, bien que neutre, se rapproche d'une zone de surachat. Cette divergence entre la tendance de fond haussière et le momentum à court terme suggère une phase de consolidation probable avant une éventuelle reprise de la hausse. La prudence est de mise à court terme, mais la tendance de moyen terme reste positive.</w:t>
      </w:r>
    </w:p>
    <w:p>
      <w:pPr>
        <w:spacing w:after="120" w:line="276" w:lineRule="auto"/>
      </w:pPr>
      <w:r>
        <w:t>---</w:t>
      </w:r>
    </w:p>
    <w:p>
      <w:pPr>
        <w:spacing w:after="120" w:line="276" w:lineRule="auto"/>
      </w:pPr>
      <w:r>
        <w:t>### PARTIE 3 : ANALYSE FONDAMENTALE (SECTION CRITIQUE)</w:t>
      </w:r>
    </w:p>
    <w:p>
      <w:pPr>
        <w:spacing w:after="120" w:line="276" w:lineRule="auto"/>
      </w:pPr>
      <w:r>
        <w:t>En 2025, selon les états financiers annuels, TotalEnergies Marketing CI a réalisé un chiffre d'affaires de 588,709 milliards FCFA, en baisse de 5,2% par rapport à 2024 (621 milliards FCFA). Malgré ce repli, la société a démontré une excellente maîtrise opérationnelle, avec un EBE en hausse de 12% à 22,347 milliards FCFA et un résultat d'exploitation en progression de 18% à 12,329 milliards FCFA. Le résultat net s'établit à 9,087 milliards FCFA (-3%), mais la marge nette s'améliore légèrement à 1,54%. La rentabilité des capitaux propres (ROE) reste excellente à 25,1%, bien au-dessus du seuil de 15% considéré comme performant, et le ROA est de 4,82%. En tant qu'entreprise de distribution, le BFR négatif de -9,662 milliards FCFA est un signal très favorable, indiquant que la société finance son exploitation grâce aux délais de paiement de ses fournisseurs (49,72 jours). Les rapports trimestriels de 2025 (S1 et cumul 9 mois) confirment la tendance de baisse du CA mais montrent une stabilisation de la rentabilité opérationnelle. Le rapport du T1 2026, publié en 2026, marque un net renversement de tendance avec un chiffre d'affaires de 154,392 milliards FCFA (+4,3%) et un résultat net de 2,329 milliards FCFA (+5,5%), porté par une hausse des volumes vendus. Cette amélioration suggère que l'exercice 2026 pourrait renouer avec la croissance. La société maintient une politique de dividende très généreuse (10 milliards FCFA proposés pour 2025, soit un payout &gt;100%), ce qui, couplé à une trésorerie nette négative (-21,9 milliards FCFA), constitue le principal point de vigilance sur la solidité financière à long terme.</w:t>
      </w:r>
    </w:p>
    <w:p>
      <w:pPr>
        <w:spacing w:after="120" w:line="276" w:lineRule="auto"/>
      </w:pPr>
      <w:r>
        <w:t>---</w:t>
      </w:r>
    </w:p>
    <w:p>
      <w:pPr>
        <w:spacing w:after="120" w:line="276" w:lineRule="auto"/>
      </w:pPr>
      <w:r>
        <w:t>### PARTIE 4 : CONCLUSION D'INVESTISSEMENT</w:t>
      </w:r>
    </w:p>
    <w:p>
      <w:pPr>
        <w:spacing w:after="120" w:line="276" w:lineRule="auto"/>
      </w:pPr>
      <w:r>
        <w:t>La valorisation de TTLC est exigeante (PER 23,3x, P/B 5,86x), intégrant une prime pour la qualité de la franchise et sa rentabilité supérieure. Le comportement du cours est haussier sur 100 jours (+20,36%), mais la volatilité élevée (40%) et les statistiques (kurtosis élevé) appellent à la prudence. Les signaux techniques sont partagés : la tendance de fond (MM) est positive, mais les indicateurs de momentum (MACD, Stochastique) montrent une faiblesse à court terme, suggérant une consolidation. Les fondamentaux sont solides, avec un ROE de 25%, un BFR négatif favorable et des signes de reprise de la croissance au T1 2026 (+4,3% CA). Les prédictions IA pour les 10 prochains jours (de 3 354 à 3 301 FCFA) indiquent une légère correction, en ligne avec les signaux techniques de court terme. En synthèse, la convergence entre la solidité fondamentale et la tendance de fond haussière plaide pour une conservation du titre, mais la valorisation élevée et les signaux techniques de court terme mitigent l'enthousiasme. La recommandation finale est **CONSERVER**, avec un niveau de confiance **Moyen**. Le risque global est **Élevé** en raison de la volatilité du titre et de la valorisation exigeante. L'horizon d'investissement optimal est le **moyen terme (3-12 mois)**, pour capitaliser sur la reprise de croissance attendue tout en surveillant la soutenabilité de la politique de distribution.</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45.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125.10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2,651 titres</w:t>
            </w:r>
          </w:p>
        </w:tc>
        <w:tc>
          <w:tcPr>
            <w:tcW w:type="dxa" w:w="2268"/>
            <w:shd w:fill="FFF2CC" w:val="clear"/>
          </w:tcPr>
          <w:p>
            <w:r>
              <w:rPr>
                <w:b/>
                <w:color w:val="503200"/>
                <w:sz w:val="16"/>
              </w:rPr>
              <w:t xml:space="preserve">Cours actuel : </w:t>
            </w:r>
            <w:r>
              <w:rPr>
                <w:color w:val="000000"/>
                <w:sz w:val="17"/>
              </w:rPr>
              <w:t>3,840 FCFA</w:t>
            </w:r>
          </w:p>
          <w:p>
            <w:r>
              <w:rPr>
                <w:b/>
                <w:color w:val="503200"/>
                <w:sz w:val="16"/>
              </w:rPr>
              <w:t xml:space="preserve">Var. 100 jours : </w:t>
            </w:r>
            <w:r>
              <w:rPr>
                <w:b/>
                <w:color w:val="007800"/>
                <w:sz w:val="17"/>
              </w:rPr>
              <w:t>+21.71%</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47.4%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10.55% (Moyenne) — μ=3,533 FCFA, σ=373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β=0.6744 (Défensif) — Cov=0.000024, Var(idx)=0.000036, ρ=0.134,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2,651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σ_j=2.99%/j (Stable) — Vol. annualisée≈47.4%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2026-09-07</w:t>
            </w:r>
          </w:p>
        </w:tc>
        <w:tc>
          <w:tcPr>
            <w:tcW w:type="dxa" w:w="1440"/>
            <w:shd w:fill="FFDCE0" w:val="clear"/>
          </w:tcPr>
          <w:p>
            <w:r>
              <w:rPr>
                <w:sz w:val="17"/>
              </w:rPr>
              <w:t>3,545</w:t>
            </w:r>
          </w:p>
        </w:tc>
        <w:tc>
          <w:tcPr>
            <w:tcW w:type="dxa" w:w="1440"/>
            <w:shd w:fill="FFDCE0" w:val="clear"/>
          </w:tcPr>
          <w:p>
            <w:r>
              <w:rPr>
                <w:b/>
                <w:sz w:val="17"/>
              </w:rPr>
              <w:t>3,689</w:t>
            </w:r>
          </w:p>
        </w:tc>
        <w:tc>
          <w:tcPr>
            <w:tcW w:type="dxa" w:w="1440"/>
            <w:shd w:fill="FFDCE0" w:val="clear"/>
          </w:tcPr>
          <w:p>
            <w:r>
              <w:rPr>
                <w:sz w:val="17"/>
              </w:rPr>
              <w:t>3,833</w:t>
            </w:r>
          </w:p>
        </w:tc>
        <w:tc>
          <w:tcPr>
            <w:tcW w:type="dxa" w:w="1440"/>
            <w:shd w:fill="FFDCE0" w:val="clear"/>
          </w:tcPr>
          <w:p>
            <w:r>
              <w:rPr>
                <w:b/>
                <w:color w:val="C00000"/>
                <w:sz w:val="17"/>
              </w:rPr>
              <w:t>-3.9%</w:t>
            </w:r>
          </w:p>
        </w:tc>
      </w:tr>
      <w:tr>
        <w:tc>
          <w:tcPr>
            <w:tcW w:type="dxa" w:w="1440"/>
            <w:shd w:fill="FFDCE0" w:val="clear"/>
          </w:tcPr>
          <w:p>
            <w:r>
              <w:rPr>
                <w:sz w:val="17"/>
              </w:rPr>
              <w:t>J+2  ⭐</w:t>
            </w:r>
          </w:p>
        </w:tc>
        <w:tc>
          <w:tcPr>
            <w:tcW w:type="dxa" w:w="1440"/>
            <w:shd w:fill="FFDCE0" w:val="clear"/>
          </w:tcPr>
          <w:p>
            <w:r>
              <w:rPr>
                <w:sz w:val="17"/>
              </w:rPr>
              <w:t>2026-09-08</w:t>
            </w:r>
          </w:p>
        </w:tc>
        <w:tc>
          <w:tcPr>
            <w:tcW w:type="dxa" w:w="1440"/>
            <w:shd w:fill="FFDCE0" w:val="clear"/>
          </w:tcPr>
          <w:p>
            <w:r>
              <w:rPr>
                <w:sz w:val="17"/>
              </w:rPr>
              <w:t>3,420</w:t>
            </w:r>
          </w:p>
        </w:tc>
        <w:tc>
          <w:tcPr>
            <w:tcW w:type="dxa" w:w="1440"/>
            <w:shd w:fill="FFDCE0" w:val="clear"/>
          </w:tcPr>
          <w:p>
            <w:r>
              <w:rPr>
                <w:b/>
                <w:sz w:val="17"/>
              </w:rPr>
              <w:t>3,620</w:t>
            </w:r>
          </w:p>
        </w:tc>
        <w:tc>
          <w:tcPr>
            <w:tcW w:type="dxa" w:w="1440"/>
            <w:shd w:fill="FFDCE0" w:val="clear"/>
          </w:tcPr>
          <w:p>
            <w:r>
              <w:rPr>
                <w:sz w:val="17"/>
              </w:rPr>
              <w:t>3,820</w:t>
            </w:r>
          </w:p>
        </w:tc>
        <w:tc>
          <w:tcPr>
            <w:tcW w:type="dxa" w:w="1440"/>
            <w:shd w:fill="FFDCE0" w:val="clear"/>
          </w:tcPr>
          <w:p>
            <w:r>
              <w:rPr>
                <w:b/>
                <w:color w:val="C00000"/>
                <w:sz w:val="17"/>
              </w:rPr>
              <w:t>-5.7%</w:t>
            </w:r>
          </w:p>
        </w:tc>
      </w:tr>
      <w:tr>
        <w:tc>
          <w:tcPr>
            <w:tcW w:type="dxa" w:w="1440"/>
            <w:shd w:fill="FFDCE0" w:val="clear"/>
          </w:tcPr>
          <w:p>
            <w:r>
              <w:rPr>
                <w:sz w:val="17"/>
              </w:rPr>
              <w:t>J+3  ⭐</w:t>
            </w:r>
          </w:p>
        </w:tc>
        <w:tc>
          <w:tcPr>
            <w:tcW w:type="dxa" w:w="1440"/>
            <w:shd w:fill="FFDCE0" w:val="clear"/>
          </w:tcPr>
          <w:p>
            <w:r>
              <w:rPr>
                <w:sz w:val="17"/>
              </w:rPr>
              <w:t>2026-09-09</w:t>
            </w:r>
          </w:p>
        </w:tc>
        <w:tc>
          <w:tcPr>
            <w:tcW w:type="dxa" w:w="1440"/>
            <w:shd w:fill="FFDCE0" w:val="clear"/>
          </w:tcPr>
          <w:p>
            <w:r>
              <w:rPr>
                <w:sz w:val="17"/>
              </w:rPr>
              <w:t>3,321</w:t>
            </w:r>
          </w:p>
        </w:tc>
        <w:tc>
          <w:tcPr>
            <w:tcW w:type="dxa" w:w="1440"/>
            <w:shd w:fill="FFDCE0" w:val="clear"/>
          </w:tcPr>
          <w:p>
            <w:r>
              <w:rPr>
                <w:b/>
                <w:sz w:val="17"/>
              </w:rPr>
              <w:t>3,562</w:t>
            </w:r>
          </w:p>
        </w:tc>
        <w:tc>
          <w:tcPr>
            <w:tcW w:type="dxa" w:w="1440"/>
            <w:shd w:fill="FFDCE0" w:val="clear"/>
          </w:tcPr>
          <w:p>
            <w:r>
              <w:rPr>
                <w:sz w:val="17"/>
              </w:rPr>
              <w:t>3,803</w:t>
            </w:r>
          </w:p>
        </w:tc>
        <w:tc>
          <w:tcPr>
            <w:tcW w:type="dxa" w:w="1440"/>
            <w:shd w:fill="FFDCE0" w:val="clear"/>
          </w:tcPr>
          <w:p>
            <w:r>
              <w:rPr>
                <w:b/>
                <w:color w:val="C00000"/>
                <w:sz w:val="17"/>
              </w:rPr>
              <w:t>-7.2%</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3,238</w:t>
            </w:r>
          </w:p>
        </w:tc>
        <w:tc>
          <w:tcPr>
            <w:tcW w:type="dxa" w:w="1440"/>
            <w:shd w:fill="FFDCE0" w:val="clear"/>
          </w:tcPr>
          <w:p>
            <w:r>
              <w:rPr>
                <w:b/>
                <w:sz w:val="17"/>
              </w:rPr>
              <w:t>3,512</w:t>
            </w:r>
          </w:p>
        </w:tc>
        <w:tc>
          <w:tcPr>
            <w:tcW w:type="dxa" w:w="1440"/>
            <w:shd w:fill="FFDCE0" w:val="clear"/>
          </w:tcPr>
          <w:p>
            <w:r>
              <w:rPr>
                <w:sz w:val="17"/>
              </w:rPr>
              <w:t>3,786</w:t>
            </w:r>
          </w:p>
        </w:tc>
        <w:tc>
          <w:tcPr>
            <w:tcW w:type="dxa" w:w="1440"/>
            <w:shd w:fill="FFDCE0" w:val="clear"/>
          </w:tcPr>
          <w:p>
            <w:r>
              <w:rPr>
                <w:b/>
                <w:color w:val="C00000"/>
                <w:sz w:val="17"/>
              </w:rPr>
              <w:t>-8.5%</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3,164</w:t>
            </w:r>
          </w:p>
        </w:tc>
        <w:tc>
          <w:tcPr>
            <w:tcW w:type="dxa" w:w="1440"/>
            <w:shd w:fill="FFDCE0" w:val="clear"/>
          </w:tcPr>
          <w:p>
            <w:r>
              <w:rPr>
                <w:b/>
                <w:sz w:val="17"/>
              </w:rPr>
              <w:t>3,467</w:t>
            </w:r>
          </w:p>
        </w:tc>
        <w:tc>
          <w:tcPr>
            <w:tcW w:type="dxa" w:w="1440"/>
            <w:shd w:fill="FFDCE0" w:val="clear"/>
          </w:tcPr>
          <w:p>
            <w:r>
              <w:rPr>
                <w:sz w:val="17"/>
              </w:rPr>
              <w:t>3,770</w:t>
            </w:r>
          </w:p>
        </w:tc>
        <w:tc>
          <w:tcPr>
            <w:tcW w:type="dxa" w:w="1440"/>
            <w:shd w:fill="FFDCE0" w:val="clear"/>
          </w:tcPr>
          <w:p>
            <w:r>
              <w:rPr>
                <w:b/>
                <w:color w:val="C00000"/>
                <w:sz w:val="17"/>
              </w:rPr>
              <w:t>-9.7%</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3,098</w:t>
            </w:r>
          </w:p>
        </w:tc>
        <w:tc>
          <w:tcPr>
            <w:tcW w:type="dxa" w:w="1440"/>
            <w:shd w:fill="FFDCE0" w:val="clear"/>
          </w:tcPr>
          <w:p>
            <w:r>
              <w:rPr>
                <w:b/>
                <w:sz w:val="17"/>
              </w:rPr>
              <w:t>3,425</w:t>
            </w:r>
          </w:p>
        </w:tc>
        <w:tc>
          <w:tcPr>
            <w:tcW w:type="dxa" w:w="1440"/>
            <w:shd w:fill="FFDCE0" w:val="clear"/>
          </w:tcPr>
          <w:p>
            <w:r>
              <w:rPr>
                <w:sz w:val="17"/>
              </w:rPr>
              <w:t>3,753</w:t>
            </w:r>
          </w:p>
        </w:tc>
        <w:tc>
          <w:tcPr>
            <w:tcW w:type="dxa" w:w="1440"/>
            <w:shd w:fill="FFDCE0" w:val="clear"/>
          </w:tcPr>
          <w:p>
            <w:r>
              <w:rPr>
                <w:b/>
                <w:color w:val="C00000"/>
                <w:sz w:val="17"/>
              </w:rPr>
              <w:t>-10.8%</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3,037</w:t>
            </w:r>
          </w:p>
        </w:tc>
        <w:tc>
          <w:tcPr>
            <w:tcW w:type="dxa" w:w="1440"/>
            <w:shd w:fill="FFDCE0" w:val="clear"/>
          </w:tcPr>
          <w:p>
            <w:r>
              <w:rPr>
                <w:b/>
                <w:sz w:val="17"/>
              </w:rPr>
              <w:t>3,387</w:t>
            </w:r>
          </w:p>
        </w:tc>
        <w:tc>
          <w:tcPr>
            <w:tcW w:type="dxa" w:w="1440"/>
            <w:shd w:fill="FFDCE0" w:val="clear"/>
          </w:tcPr>
          <w:p>
            <w:r>
              <w:rPr>
                <w:sz w:val="17"/>
              </w:rPr>
              <w:t>3,736</w:t>
            </w:r>
          </w:p>
        </w:tc>
        <w:tc>
          <w:tcPr>
            <w:tcW w:type="dxa" w:w="1440"/>
            <w:shd w:fill="FFDCE0" w:val="clear"/>
          </w:tcPr>
          <w:p>
            <w:r>
              <w:rPr>
                <w:b/>
                <w:color w:val="C00000"/>
                <w:sz w:val="17"/>
              </w:rPr>
              <w:t>-11.8%</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2,980</w:t>
            </w:r>
          </w:p>
        </w:tc>
        <w:tc>
          <w:tcPr>
            <w:tcW w:type="dxa" w:w="1440"/>
            <w:shd w:fill="FFDCE0" w:val="clear"/>
          </w:tcPr>
          <w:p>
            <w:r>
              <w:rPr>
                <w:b/>
                <w:sz w:val="17"/>
              </w:rPr>
              <w:t>3,350</w:t>
            </w:r>
          </w:p>
        </w:tc>
        <w:tc>
          <w:tcPr>
            <w:tcW w:type="dxa" w:w="1440"/>
            <w:shd w:fill="FFDCE0" w:val="clear"/>
          </w:tcPr>
          <w:p>
            <w:r>
              <w:rPr>
                <w:sz w:val="17"/>
              </w:rPr>
              <w:t>3,720</w:t>
            </w:r>
          </w:p>
        </w:tc>
        <w:tc>
          <w:tcPr>
            <w:tcW w:type="dxa" w:w="1440"/>
            <w:shd w:fill="FFDCE0" w:val="clear"/>
          </w:tcPr>
          <w:p>
            <w:r>
              <w:rPr>
                <w:b/>
                <w:color w:val="C00000"/>
                <w:sz w:val="17"/>
              </w:rPr>
              <w:t>-12.8%</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2,928</w:t>
            </w:r>
          </w:p>
        </w:tc>
        <w:tc>
          <w:tcPr>
            <w:tcW w:type="dxa" w:w="1440"/>
            <w:shd w:fill="FFDCE0" w:val="clear"/>
          </w:tcPr>
          <w:p>
            <w:r>
              <w:rPr>
                <w:b/>
                <w:sz w:val="17"/>
              </w:rPr>
              <w:t>3,316</w:t>
            </w:r>
          </w:p>
        </w:tc>
        <w:tc>
          <w:tcPr>
            <w:tcW w:type="dxa" w:w="1440"/>
            <w:shd w:fill="FFDCE0" w:val="clear"/>
          </w:tcPr>
          <w:p>
            <w:r>
              <w:rPr>
                <w:sz w:val="17"/>
              </w:rPr>
              <w:t>3,704</w:t>
            </w:r>
          </w:p>
        </w:tc>
        <w:tc>
          <w:tcPr>
            <w:tcW w:type="dxa" w:w="1440"/>
            <w:shd w:fill="FFDCE0" w:val="clear"/>
          </w:tcPr>
          <w:p>
            <w:r>
              <w:rPr>
                <w:b/>
                <w:color w:val="C00000"/>
                <w:sz w:val="17"/>
              </w:rPr>
              <w:t>-13.6%</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2,878</w:t>
            </w:r>
          </w:p>
        </w:tc>
        <w:tc>
          <w:tcPr>
            <w:tcW w:type="dxa" w:w="1440"/>
            <w:shd w:fill="FFDCE0" w:val="clear"/>
          </w:tcPr>
          <w:p>
            <w:r>
              <w:rPr>
                <w:b/>
                <w:sz w:val="17"/>
              </w:rPr>
              <w:t>3,284</w:t>
            </w:r>
          </w:p>
        </w:tc>
        <w:tc>
          <w:tcPr>
            <w:tcW w:type="dxa" w:w="1440"/>
            <w:shd w:fill="FFDCE0" w:val="clear"/>
          </w:tcPr>
          <w:p>
            <w:r>
              <w:rPr>
                <w:sz w:val="17"/>
              </w:rPr>
              <w:t>3,689</w:t>
            </w:r>
          </w:p>
        </w:tc>
        <w:tc>
          <w:tcPr>
            <w:tcW w:type="dxa" w:w="1440"/>
            <w:shd w:fill="FFDCE0" w:val="clear"/>
          </w:tcPr>
          <w:p>
            <w:r>
              <w:rPr>
                <w:b/>
                <w:color w:val="C00000"/>
                <w:sz w:val="17"/>
              </w:rPr>
              <w:t>-14.5%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TTLS s'établit à 125,10 milliards FCFA, ce qui positionne la société comme une valeur de taille moyenne sur la BRVM, avec un profil défensif lié au secteur de la distribution pétrolière. Le BPA de 208 FCFA indique que chaque action génère un bénéfice modeste, cohérent avec une activité de commodités à faibles marges. Le PER de 18,5x est nettement supérieur à la moyenne historique de la BRVM (8-12x), signalant que le marché paie une prime substantielle pour la qualité perçue du titre et sa stabilité actionnariale. Cette prime est confirmée par le P/B de 4,43x, qui valorise fortement les fonds propres au-delà de leur valeur comptable. Enfin, l'EV/EBITDA de 7,8x reste dans une zone raisonnable, indiquant que la valeur totale de l'entreprise (dette incluse) reste cohérente avec sa capacité opérationnelle à générer des profits.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TTLS a enregistré une progression remarquable de +21,71%, passant d'un plus bas de 2 845 FCFA à un plus haut de 4 500 FCFA, avant de se stabiliser à 3 840 FCFA. La légère baisse de -0,26% lors de la dernière séance suggère une consolidation après un mouvement haussier soutenu. La moyenne du cours sur la période (3 533 FCFA) est inférieure à la médiane (3 498 FCFA), indiquant une distribution légèrement asymétrique avec une queue de distribution vers les valeurs hautes, confirmée par un skewness positif de 0,341. L'écart-type de 375 FCFA (CV=10,6%) révèle une dispersion modérée des prix autour de la moyenne. Le kurtosis de -0,381 (mésokurtique) indique une distribution proche de la normale, sans risque de pics extrêmes. La volatilité annualisée de 47,4% est élevée, suggérant un titre dynamique avec des fluctuations importantes, ce qui offre des opportunités mais aussi un risque accru pour les investisseurs.</w:t>
      </w:r>
    </w:p>
    <w:p>
      <w:pPr>
        <w:spacing w:after="120" w:line="276" w:lineRule="auto" w:before="240"/>
      </w:pPr>
      <w:r>
        <w:rPr>
          <w:b/>
          <w:color w:val="003366"/>
          <w:sz w:val="24"/>
        </w:rPr>
        <w:t>**PARTIE 2 : ANALYSE TECHNIQUE DÉTAILLÉE**</w:t>
      </w:r>
    </w:p>
    <w:p>
      <w:pPr>
        <w:spacing w:after="120" w:line="276" w:lineRule="auto"/>
      </w:pPr>
      <w:r>
        <w:t>**Moyennes Mobiles** : Le cours actuel (3 840 FCFA) se situe au-dessus de la MM20 (3 744 FCFA) mais en dessous de la MM50 (3 833,9 FCFA), créant une configuration ambiguë. La décision de "Vente" suggère que la tendance de fond à moyen terme reste incertaine, malgré le récent rebond à court terme. Le croisement potentiel de ces moyennes sera déterminant pour confirmer une nouvelle tendance haussière.</w:t>
      </w:r>
    </w:p>
    <w:p>
      <w:pPr>
        <w:spacing w:after="120" w:line="276" w:lineRule="auto"/>
      </w:pPr>
      <w:r>
        <w:t>**Bandes de Bollinger** : Le cours évolue entre la borne inférieure (3 485,8 FCFA) et la borne supérieure (4 002,2 FCFA), se positionnant dans la partie haute du canal. La décision "Neutre" indique que la volatilité est modérée et que le prix n'est pas en situation de surachat ou de survente extrême. Un élargissement des bandes pourrait signaler une accélération de la tendance.</w:t>
      </w:r>
    </w:p>
    <w:p>
      <w:pPr>
        <w:spacing w:after="120" w:line="276" w:lineRule="auto"/>
      </w:pPr>
      <w:r>
        <w:t>**MACD** : La valeur du MACD (29,7) est nettement supérieure à son signal (16,0), confirmant un momentum haussier positif. La décision "Achat" est justifiée par cette divergence positive, qui indique que la dynamique de prix reste favorable à moyen terme. L'écart croissant entre les deux lignes renforce le signal haussier.</w:t>
      </w:r>
    </w:p>
    <w:p>
      <w:pPr>
        <w:spacing w:after="120" w:line="276" w:lineRule="auto"/>
      </w:pPr>
      <w:r>
        <w:t>**RSI** : À 62,2, le RSI se situe dans la zone neutre-haute, sans atteindre le seuil de surachat (70). La décision "Neutre" suggère qu'il reste de la marge avant une potentielle correction, mais que le titre n'est plus survendu. Cette valeur indique une pression acheteuse soutenue mais non excessive.</w:t>
      </w:r>
    </w:p>
    <w:p>
      <w:pPr>
        <w:spacing w:after="120" w:line="276" w:lineRule="auto"/>
      </w:pPr>
      <w:r>
        <w:t>**Stochastique** : Le %K (55,4) est inférieur au %D (65,4), indiquant un croisement baissier potentiel à court terme. La décision "Neutre" reflète cette incertitude sur la dynamique immédiate, avec un possible ralentissement du momentum haussier. La convergence des deux lignes sera à surveiller pour confirmer la direction future.</w:t>
      </w:r>
    </w:p>
    <w:p>
      <w:pPr>
        <w:spacing w:after="120" w:line="276" w:lineRule="auto"/>
      </w:pPr>
      <w:r>
        <w:t>**Conclusion technique** : Les indicateurs sont partagés entre un momentum haussier (MACD) et une prudence à court terme (MM, Stochastique). La configuration globale suggère une consolidation après le fort rebond, avec un potentiel haussier si le cours parvient à dépasser la MM50. Les signaux mitigés appellent à la prudence pour les traders à court terme, tandis que la tendance de fond reste positive.</w:t>
      </w:r>
    </w:p>
    <w:p>
      <w:pPr>
        <w:spacing w:after="120" w:line="276" w:lineRule="auto" w:before="240"/>
      </w:pPr>
      <w:r>
        <w:rPr>
          <w:b/>
          <w:color w:val="003366"/>
          <w:sz w:val="24"/>
        </w:rPr>
        <w:t>**PARTIE 3 : ANALYSE FONDAMENTALE (SECTION CRITIQUE)**</w:t>
      </w:r>
    </w:p>
    <w:p>
      <w:pPr>
        <w:spacing w:after="120" w:line="276" w:lineRule="auto"/>
      </w:pPr>
      <w:r>
        <w:t>En 2025, TTLS a réalisé un chiffre d'affaires de 455,209 milliards FCFA, en baisse de 6,1% par rapport à 2024, principalement due à l'arrêt stratégique de la commercialisation du fuel lourd. Le résultat net s'établit à 6,779 milliards FCFA, en recul de 5,1%, avec une marge nette de 1,49%. La rentabilité des fonds propres (ROE) est excellente à 24,0%, démontrant une utilisation efficace du capital, tandis que le ROA de 3,95% reflète la lourdeur du bilan (171,8 milliards FCFA). Le BFR négatif de -36,9 milliards FCFA est un signal très favorable, indiquant que l'entreprise finance son exploitation grâce aux délais fournisseurs (97,8 jours) supérieurs aux délais clients (47,4 jours). Les rapports trimestriels 2025 montrent une amélioration du résultat d'exploitation (+22% au S1), confirmant l'efficacité du recentrage stratégique. Sur la base du rapport T1 2026 (CA de 99,9 milliards FCFA, -10%), impacté par la baisse réglementaire des prix à la pompe, mais avec un résultat net en hausse de +5% à 1,585 milliard FCFA, on estime que l'exercice 2026 pourrait maintenir un résultat net stable grâce à l'amélioration des marges sur les lubrifiants. La société conserve une position de leader avec 140 stations-service et une trésorerie renforcée à 20,6 milliards FCFA.</w:t>
      </w:r>
    </w:p>
    <w:p>
      <w:pPr>
        <w:spacing w:after="120" w:line="276" w:lineRule="auto" w:before="240"/>
      </w:pPr>
      <w:r>
        <w:rPr>
          <w:b/>
          <w:color w:val="003366"/>
          <w:sz w:val="24"/>
        </w:rPr>
        <w:t>**PARTIE 4 : CONCLUSION D'INVESTISSEMENT**</w:t>
      </w:r>
    </w:p>
    <w:p>
      <w:pPr>
        <w:spacing w:after="120" w:line="276" w:lineRule="auto"/>
      </w:pPr>
      <w:r>
        <w:t>La valorisation de TTLS apparaît exigeante avec un PER de 18,5x et un P/B de 4,43x, nettement supérieurs aux moyennes du marché BRVM, bien que l'EV/EBITDA de 7,8x modère cette surévaluation. Le comportement du cours sur 100 jours (+21,71%) avec une volatilité élevée (47,4%) et une distribution proche de la normale (kurtosis mésokurtique) suggère un titre dynamique mais sans risque de mouvements extrêmes. Les signaux techniques sont mitigés, avec un MACD haussier contredit par des moyennes mobiles vendeuses et un stochastique neutre, indiquant une phase de consolidation. Les fondamentaux restent solides avec un ROE de 24%, un BFR négatif favorable et une amélioration opérationnelle malgré la baisse du chiffre d'affaires. Les prédictions IA (3 689 à 3 467 FCFA sur J+1 à J+10) suggèrent une correction à court terme, contredisant le momentum haussier récent. La convergence entre la valorisation élevée, les signaux techniques mitigés et la prédiction baissière conduit à une recommandation **CONSERVER**, avec un niveau de confiance **Moyen** et un risque global **Moyen**. L'horizon d'investissement optimal serait de **moyen terme (3-12 mois)**, en attendant une clarification sur la politique de dividendes et l'évolution des volumes après la transition stratégique.</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46.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499.12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21 titres</w:t>
            </w:r>
          </w:p>
        </w:tc>
        <w:tc>
          <w:tcPr>
            <w:tcW w:type="dxa" w:w="2268"/>
            <w:shd w:fill="FFF2CC" w:val="clear"/>
          </w:tcPr>
          <w:p>
            <w:r>
              <w:rPr>
                <w:b/>
                <w:color w:val="503200"/>
                <w:sz w:val="16"/>
              </w:rPr>
              <w:t xml:space="preserve">Cours actuel : </w:t>
            </w:r>
            <w:r>
              <w:rPr>
                <w:color w:val="000000"/>
                <w:sz w:val="17"/>
              </w:rPr>
              <w:t>54,350 FCFA</w:t>
            </w:r>
          </w:p>
          <w:p>
            <w:r>
              <w:rPr>
                <w:b/>
                <w:color w:val="503200"/>
                <w:sz w:val="16"/>
              </w:rPr>
              <w:t xml:space="preserve">Var. 100 jours : </w:t>
            </w:r>
            <w:r>
              <w:rPr>
                <w:b/>
                <w:color w:val="B40000"/>
                <w:sz w:val="17"/>
              </w:rPr>
              <w:t>-16.38%</w:t>
            </w:r>
          </w:p>
          <w:p>
            <w:r>
              <w:rPr>
                <w:b/>
                <w:color w:val="503200"/>
                <w:sz w:val="16"/>
              </w:rPr>
              <w:t xml:space="preserve">Plus haut 100j : </w:t>
            </w:r>
            <w:r>
              <w:rPr>
                <w:color w:val="000000"/>
                <w:sz w:val="17"/>
              </w:rPr>
              <w:t>65,000 FCFA</w:t>
            </w:r>
          </w:p>
          <w:p>
            <w:r>
              <w:rPr>
                <w:b/>
                <w:color w:val="503200"/>
                <w:sz w:val="16"/>
              </w:rPr>
              <w:t xml:space="preserve">Plus bas 100j : </w:t>
            </w:r>
            <w:r>
              <w:rPr>
                <w:color w:val="000000"/>
                <w:sz w:val="17"/>
              </w:rPr>
              <w:t>50,000 FCFA</w:t>
            </w:r>
          </w:p>
          <w:p>
            <w:r>
              <w:rPr>
                <w:b/>
                <w:color w:val="503200"/>
                <w:sz w:val="16"/>
              </w:rPr>
              <w:t xml:space="preserve">Volatilité ann. : </w:t>
            </w:r>
            <w:r>
              <w:rPr>
                <w:color w:val="000000"/>
                <w:sz w:val="17"/>
              </w:rPr>
              <w:t>60.1%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24.8/100 → Moyen</w:t>
      </w:r>
    </w:p>
    <w:p>
      <w:pPr>
        <w:spacing w:before="40" w:after="80"/>
      </w:pPr>
      <w:r>
        <w:rPr>
          <w:rFonts w:ascii="Courier New" w:hAnsi="Courier New"/>
          <w:color w:val="825A00"/>
          <w:sz w:val="18"/>
        </w:rPr>
        <w:t>████░░░░░░░░░░░░░░░░  24.8/100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5.55% (Moyenne) — μ=56,246 FCFA, σ=3,124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β=0.0811 (Défensif) — Cov=0.000003, Var(idx)=0.000036, ρ=0.013,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21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σ_j=3.79%/j (Modérée) — Vol. annualisée≈60.1%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55/100  (Bon)</w:t>
      </w:r>
    </w:p>
    <w:p/>
    <w:p>
      <w:pPr>
        <w:jc w:val="center"/>
      </w:pPr>
      <w:r>
        <w:drawing>
          <wp:inline xmlns:a="http://schemas.openxmlformats.org/drawingml/2006/main" xmlns:pic="http://schemas.openxmlformats.org/drawingml/2006/picture">
            <wp:extent cx="5669280" cy="2603190"/>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2026-09-07</w:t>
            </w:r>
          </w:p>
        </w:tc>
        <w:tc>
          <w:tcPr>
            <w:tcW w:type="dxa" w:w="1440"/>
            <w:shd w:fill="C6EFCE" w:val="clear"/>
          </w:tcPr>
          <w:p>
            <w:r>
              <w:rPr>
                <w:sz w:val="17"/>
              </w:rPr>
              <w:t>52,166</w:t>
            </w:r>
          </w:p>
        </w:tc>
        <w:tc>
          <w:tcPr>
            <w:tcW w:type="dxa" w:w="1440"/>
            <w:shd w:fill="C6EFCE" w:val="clear"/>
          </w:tcPr>
          <w:p>
            <w:r>
              <w:rPr>
                <w:b/>
                <w:sz w:val="17"/>
              </w:rPr>
              <w:t>55,443</w:t>
            </w:r>
          </w:p>
        </w:tc>
        <w:tc>
          <w:tcPr>
            <w:tcW w:type="dxa" w:w="1440"/>
            <w:shd w:fill="C6EFCE" w:val="clear"/>
          </w:tcPr>
          <w:p>
            <w:r>
              <w:rPr>
                <w:sz w:val="17"/>
              </w:rPr>
              <w:t>58,721</w:t>
            </w:r>
          </w:p>
        </w:tc>
        <w:tc>
          <w:tcPr>
            <w:tcW w:type="dxa" w:w="1440"/>
            <w:shd w:fill="C6EFCE" w:val="clear"/>
          </w:tcPr>
          <w:p>
            <w:r>
              <w:rPr>
                <w:b/>
                <w:color w:val="008000"/>
                <w:sz w:val="17"/>
              </w:rPr>
              <w:t>+2.0%</w:t>
            </w:r>
          </w:p>
        </w:tc>
      </w:tr>
      <w:tr>
        <w:tc>
          <w:tcPr>
            <w:tcW w:type="dxa" w:w="1440"/>
            <w:shd w:fill="C6EFCE" w:val="clear"/>
          </w:tcPr>
          <w:p>
            <w:r>
              <w:rPr>
                <w:sz w:val="17"/>
              </w:rPr>
              <w:t>J+2  ⭐</w:t>
            </w:r>
          </w:p>
        </w:tc>
        <w:tc>
          <w:tcPr>
            <w:tcW w:type="dxa" w:w="1440"/>
            <w:shd w:fill="C6EFCE" w:val="clear"/>
          </w:tcPr>
          <w:p>
            <w:r>
              <w:rPr>
                <w:sz w:val="17"/>
              </w:rPr>
              <w:t>2026-09-08</w:t>
            </w:r>
          </w:p>
        </w:tc>
        <w:tc>
          <w:tcPr>
            <w:tcW w:type="dxa" w:w="1440"/>
            <w:shd w:fill="C6EFCE" w:val="clear"/>
          </w:tcPr>
          <w:p>
            <w:r>
              <w:rPr>
                <w:sz w:val="17"/>
              </w:rPr>
              <w:t>51,263</w:t>
            </w:r>
          </w:p>
        </w:tc>
        <w:tc>
          <w:tcPr>
            <w:tcW w:type="dxa" w:w="1440"/>
            <w:shd w:fill="C6EFCE" w:val="clear"/>
          </w:tcPr>
          <w:p>
            <w:r>
              <w:rPr>
                <w:b/>
                <w:sz w:val="17"/>
              </w:rPr>
              <w:t>55,939</w:t>
            </w:r>
          </w:p>
        </w:tc>
        <w:tc>
          <w:tcPr>
            <w:tcW w:type="dxa" w:w="1440"/>
            <w:shd w:fill="C6EFCE" w:val="clear"/>
          </w:tcPr>
          <w:p>
            <w:r>
              <w:rPr>
                <w:sz w:val="17"/>
              </w:rPr>
              <w:t>60,616</w:t>
            </w:r>
          </w:p>
        </w:tc>
        <w:tc>
          <w:tcPr>
            <w:tcW w:type="dxa" w:w="1440"/>
            <w:shd w:fill="C6EFCE" w:val="clear"/>
          </w:tcPr>
          <w:p>
            <w:r>
              <w:rPr>
                <w:b/>
                <w:color w:val="008000"/>
                <w:sz w:val="17"/>
              </w:rPr>
              <w:t>+2.9%</w:t>
            </w:r>
          </w:p>
        </w:tc>
      </w:tr>
      <w:tr>
        <w:tc>
          <w:tcPr>
            <w:tcW w:type="dxa" w:w="1440"/>
            <w:shd w:fill="C6EFCE" w:val="clear"/>
          </w:tcPr>
          <w:p>
            <w:r>
              <w:rPr>
                <w:sz w:val="17"/>
              </w:rPr>
              <w:t>J+3  ⭐</w:t>
            </w:r>
          </w:p>
        </w:tc>
        <w:tc>
          <w:tcPr>
            <w:tcW w:type="dxa" w:w="1440"/>
            <w:shd w:fill="C6EFCE" w:val="clear"/>
          </w:tcPr>
          <w:p>
            <w:r>
              <w:rPr>
                <w:sz w:val="17"/>
              </w:rPr>
              <w:t>2026-09-09</w:t>
            </w:r>
          </w:p>
        </w:tc>
        <w:tc>
          <w:tcPr>
            <w:tcW w:type="dxa" w:w="1440"/>
            <w:shd w:fill="C6EFCE" w:val="clear"/>
          </w:tcPr>
          <w:p>
            <w:r>
              <w:rPr>
                <w:sz w:val="17"/>
              </w:rPr>
              <w:t>50,742</w:t>
            </w:r>
          </w:p>
        </w:tc>
        <w:tc>
          <w:tcPr>
            <w:tcW w:type="dxa" w:w="1440"/>
            <w:shd w:fill="C6EFCE" w:val="clear"/>
          </w:tcPr>
          <w:p>
            <w:r>
              <w:rPr>
                <w:b/>
                <w:sz w:val="17"/>
              </w:rPr>
              <w:t>56,530</w:t>
            </w:r>
          </w:p>
        </w:tc>
        <w:tc>
          <w:tcPr>
            <w:tcW w:type="dxa" w:w="1440"/>
            <w:shd w:fill="C6EFCE" w:val="clear"/>
          </w:tcPr>
          <w:p>
            <w:r>
              <w:rPr>
                <w:sz w:val="17"/>
              </w:rPr>
              <w:t>62,318</w:t>
            </w:r>
          </w:p>
        </w:tc>
        <w:tc>
          <w:tcPr>
            <w:tcW w:type="dxa" w:w="1440"/>
            <w:shd w:fill="C6EFCE" w:val="clear"/>
          </w:tcPr>
          <w:p>
            <w:r>
              <w:rPr>
                <w:b/>
                <w:color w:val="008000"/>
                <w:sz w:val="17"/>
              </w:rPr>
              <w:t>+4.0%</w:t>
            </w:r>
          </w:p>
        </w:tc>
      </w:tr>
      <w:tr>
        <w:tc>
          <w:tcPr>
            <w:tcW w:type="dxa" w:w="1440"/>
            <w:shd w:fill="C6EFCE" w:val="clear"/>
          </w:tcPr>
          <w:p>
            <w:r>
              <w:rPr>
                <w:sz w:val="17"/>
              </w:rPr>
              <w:t>J+4  ⭐</w:t>
            </w:r>
          </w:p>
        </w:tc>
        <w:tc>
          <w:tcPr>
            <w:tcW w:type="dxa" w:w="1440"/>
            <w:shd w:fill="C6EFCE" w:val="clear"/>
          </w:tcPr>
          <w:p>
            <w:r>
              <w:rPr>
                <w:sz w:val="17"/>
              </w:rPr>
              <w:t>2026-09-10</w:t>
            </w:r>
          </w:p>
        </w:tc>
        <w:tc>
          <w:tcPr>
            <w:tcW w:type="dxa" w:w="1440"/>
            <w:shd w:fill="C6EFCE" w:val="clear"/>
          </w:tcPr>
          <w:p>
            <w:r>
              <w:rPr>
                <w:sz w:val="17"/>
              </w:rPr>
              <w:t>50,393</w:t>
            </w:r>
          </w:p>
        </w:tc>
        <w:tc>
          <w:tcPr>
            <w:tcW w:type="dxa" w:w="1440"/>
            <w:shd w:fill="C6EFCE" w:val="clear"/>
          </w:tcPr>
          <w:p>
            <w:r>
              <w:rPr>
                <w:b/>
                <w:sz w:val="17"/>
              </w:rPr>
              <w:t>57,150</w:t>
            </w:r>
          </w:p>
        </w:tc>
        <w:tc>
          <w:tcPr>
            <w:tcW w:type="dxa" w:w="1440"/>
            <w:shd w:fill="C6EFCE" w:val="clear"/>
          </w:tcPr>
          <w:p>
            <w:r>
              <w:rPr>
                <w:sz w:val="17"/>
              </w:rPr>
              <w:t>63,907</w:t>
            </w:r>
          </w:p>
        </w:tc>
        <w:tc>
          <w:tcPr>
            <w:tcW w:type="dxa" w:w="1440"/>
            <w:shd w:fill="C6EFCE" w:val="clear"/>
          </w:tcPr>
          <w:p>
            <w:r>
              <w:rPr>
                <w:b/>
                <w:color w:val="008000"/>
                <w:sz w:val="17"/>
              </w:rPr>
              <w:t>+5.2%</w:t>
            </w:r>
          </w:p>
        </w:tc>
      </w:tr>
      <w:tr>
        <w:tc>
          <w:tcPr>
            <w:tcW w:type="dxa" w:w="1440"/>
            <w:shd w:fill="C6EFCE" w:val="clear"/>
          </w:tcPr>
          <w:p>
            <w:r>
              <w:rPr>
                <w:sz w:val="17"/>
              </w:rPr>
              <w:t>J+5  ⭐</w:t>
            </w:r>
          </w:p>
        </w:tc>
        <w:tc>
          <w:tcPr>
            <w:tcW w:type="dxa" w:w="1440"/>
            <w:shd w:fill="C6EFCE" w:val="clear"/>
          </w:tcPr>
          <w:p>
            <w:r>
              <w:rPr>
                <w:sz w:val="17"/>
              </w:rPr>
              <w:t>2026-09-11</w:t>
            </w:r>
          </w:p>
        </w:tc>
        <w:tc>
          <w:tcPr>
            <w:tcW w:type="dxa" w:w="1440"/>
            <w:shd w:fill="C6EFCE" w:val="clear"/>
          </w:tcPr>
          <w:p>
            <w:r>
              <w:rPr>
                <w:sz w:val="17"/>
              </w:rPr>
              <w:t>50,145</w:t>
            </w:r>
          </w:p>
        </w:tc>
        <w:tc>
          <w:tcPr>
            <w:tcW w:type="dxa" w:w="1440"/>
            <w:shd w:fill="C6EFCE" w:val="clear"/>
          </w:tcPr>
          <w:p>
            <w:r>
              <w:rPr>
                <w:b/>
                <w:sz w:val="17"/>
              </w:rPr>
              <w:t>57,784</w:t>
            </w:r>
          </w:p>
        </w:tc>
        <w:tc>
          <w:tcPr>
            <w:tcW w:type="dxa" w:w="1440"/>
            <w:shd w:fill="C6EFCE" w:val="clear"/>
          </w:tcPr>
          <w:p>
            <w:r>
              <w:rPr>
                <w:sz w:val="17"/>
              </w:rPr>
              <w:t>65,422</w:t>
            </w:r>
          </w:p>
        </w:tc>
        <w:tc>
          <w:tcPr>
            <w:tcW w:type="dxa" w:w="1440"/>
            <w:shd w:fill="C6EFCE" w:val="clear"/>
          </w:tcPr>
          <w:p>
            <w:r>
              <w:rPr>
                <w:b/>
                <w:color w:val="008000"/>
                <w:sz w:val="17"/>
              </w:rPr>
              <w:t>+6.3%</w:t>
            </w:r>
          </w:p>
        </w:tc>
      </w:tr>
      <w:tr>
        <w:tc>
          <w:tcPr>
            <w:tcW w:type="dxa" w:w="1440"/>
            <w:shd w:fill="C6EFCE" w:val="clear"/>
          </w:tcPr>
          <w:p>
            <w:r>
              <w:rPr>
                <w:sz w:val="17"/>
              </w:rPr>
              <w:t>J+6  ⭐</w:t>
            </w:r>
          </w:p>
        </w:tc>
        <w:tc>
          <w:tcPr>
            <w:tcW w:type="dxa" w:w="1440"/>
            <w:shd w:fill="C6EFCE" w:val="clear"/>
          </w:tcPr>
          <w:p>
            <w:r>
              <w:rPr>
                <w:sz w:val="17"/>
              </w:rPr>
              <w:t>2026-09-14</w:t>
            </w:r>
          </w:p>
        </w:tc>
        <w:tc>
          <w:tcPr>
            <w:tcW w:type="dxa" w:w="1440"/>
            <w:shd w:fill="C6EFCE" w:val="clear"/>
          </w:tcPr>
          <w:p>
            <w:r>
              <w:rPr>
                <w:sz w:val="17"/>
              </w:rPr>
              <w:t>49,965</w:t>
            </w:r>
          </w:p>
        </w:tc>
        <w:tc>
          <w:tcPr>
            <w:tcW w:type="dxa" w:w="1440"/>
            <w:shd w:fill="C6EFCE" w:val="clear"/>
          </w:tcPr>
          <w:p>
            <w:r>
              <w:rPr>
                <w:b/>
                <w:sz w:val="17"/>
              </w:rPr>
              <w:t>58,425</w:t>
            </w:r>
          </w:p>
        </w:tc>
        <w:tc>
          <w:tcPr>
            <w:tcW w:type="dxa" w:w="1440"/>
            <w:shd w:fill="C6EFCE" w:val="clear"/>
          </w:tcPr>
          <w:p>
            <w:r>
              <w:rPr>
                <w:sz w:val="17"/>
              </w:rPr>
              <w:t>66,886</w:t>
            </w:r>
          </w:p>
        </w:tc>
        <w:tc>
          <w:tcPr>
            <w:tcW w:type="dxa" w:w="1440"/>
            <w:shd w:fill="C6EFCE" w:val="clear"/>
          </w:tcPr>
          <w:p>
            <w:r>
              <w:rPr>
                <w:b/>
                <w:color w:val="008000"/>
                <w:sz w:val="17"/>
              </w:rPr>
              <w:t>+7.5%</w:t>
            </w:r>
          </w:p>
        </w:tc>
      </w:tr>
      <w:tr>
        <w:tc>
          <w:tcPr>
            <w:tcW w:type="dxa" w:w="1440"/>
            <w:shd w:fill="C6EFCE" w:val="clear"/>
          </w:tcPr>
          <w:p>
            <w:r>
              <w:rPr>
                <w:sz w:val="17"/>
              </w:rPr>
              <w:t>J+7  ⭐</w:t>
            </w:r>
          </w:p>
        </w:tc>
        <w:tc>
          <w:tcPr>
            <w:tcW w:type="dxa" w:w="1440"/>
            <w:shd w:fill="C6EFCE" w:val="clear"/>
          </w:tcPr>
          <w:p>
            <w:r>
              <w:rPr>
                <w:sz w:val="17"/>
              </w:rPr>
              <w:t>2026-09-15</w:t>
            </w:r>
          </w:p>
        </w:tc>
        <w:tc>
          <w:tcPr>
            <w:tcW w:type="dxa" w:w="1440"/>
            <w:shd w:fill="C6EFCE" w:val="clear"/>
          </w:tcPr>
          <w:p>
            <w:r>
              <w:rPr>
                <w:sz w:val="17"/>
              </w:rPr>
              <w:t>49,833</w:t>
            </w:r>
          </w:p>
        </w:tc>
        <w:tc>
          <w:tcPr>
            <w:tcW w:type="dxa" w:w="1440"/>
            <w:shd w:fill="C6EFCE" w:val="clear"/>
          </w:tcPr>
          <w:p>
            <w:r>
              <w:rPr>
                <w:b/>
                <w:sz w:val="17"/>
              </w:rPr>
              <w:t>59,072</w:t>
            </w:r>
          </w:p>
        </w:tc>
        <w:tc>
          <w:tcPr>
            <w:tcW w:type="dxa" w:w="1440"/>
            <w:shd w:fill="C6EFCE" w:val="clear"/>
          </w:tcPr>
          <w:p>
            <w:r>
              <w:rPr>
                <w:sz w:val="17"/>
              </w:rPr>
              <w:t>68,311</w:t>
            </w:r>
          </w:p>
        </w:tc>
        <w:tc>
          <w:tcPr>
            <w:tcW w:type="dxa" w:w="1440"/>
            <w:shd w:fill="C6EFCE" w:val="clear"/>
          </w:tcPr>
          <w:p>
            <w:r>
              <w:rPr>
                <w:b/>
                <w:color w:val="008000"/>
                <w:sz w:val="17"/>
              </w:rPr>
              <w:t>+8.7%</w:t>
            </w:r>
          </w:p>
        </w:tc>
      </w:tr>
      <w:tr>
        <w:tc>
          <w:tcPr>
            <w:tcW w:type="dxa" w:w="1440"/>
            <w:shd w:fill="C6EFCE" w:val="clear"/>
          </w:tcPr>
          <w:p>
            <w:r>
              <w:rPr>
                <w:sz w:val="17"/>
              </w:rPr>
              <w:t>J+8  ⭐</w:t>
            </w:r>
          </w:p>
        </w:tc>
        <w:tc>
          <w:tcPr>
            <w:tcW w:type="dxa" w:w="1440"/>
            <w:shd w:fill="C6EFCE" w:val="clear"/>
          </w:tcPr>
          <w:p>
            <w:r>
              <w:rPr>
                <w:sz w:val="17"/>
              </w:rPr>
              <w:t>2026-09-16</w:t>
            </w:r>
          </w:p>
        </w:tc>
        <w:tc>
          <w:tcPr>
            <w:tcW w:type="dxa" w:w="1440"/>
            <w:shd w:fill="C6EFCE" w:val="clear"/>
          </w:tcPr>
          <w:p>
            <w:r>
              <w:rPr>
                <w:sz w:val="17"/>
              </w:rPr>
              <w:t>49,737</w:t>
            </w:r>
          </w:p>
        </w:tc>
        <w:tc>
          <w:tcPr>
            <w:tcW w:type="dxa" w:w="1440"/>
            <w:shd w:fill="C6EFCE" w:val="clear"/>
          </w:tcPr>
          <w:p>
            <w:r>
              <w:rPr>
                <w:b/>
                <w:sz w:val="17"/>
              </w:rPr>
              <w:t>59,723</w:t>
            </w:r>
          </w:p>
        </w:tc>
        <w:tc>
          <w:tcPr>
            <w:tcW w:type="dxa" w:w="1440"/>
            <w:shd w:fill="C6EFCE" w:val="clear"/>
          </w:tcPr>
          <w:p>
            <w:r>
              <w:rPr>
                <w:sz w:val="17"/>
              </w:rPr>
              <w:t>69,709</w:t>
            </w:r>
          </w:p>
        </w:tc>
        <w:tc>
          <w:tcPr>
            <w:tcW w:type="dxa" w:w="1440"/>
            <w:shd w:fill="C6EFCE" w:val="clear"/>
          </w:tcPr>
          <w:p>
            <w:r>
              <w:rPr>
                <w:b/>
                <w:color w:val="008000"/>
                <w:sz w:val="17"/>
              </w:rPr>
              <w:t>+9.9%</w:t>
            </w:r>
          </w:p>
        </w:tc>
      </w:tr>
      <w:tr>
        <w:tc>
          <w:tcPr>
            <w:tcW w:type="dxa" w:w="1440"/>
            <w:shd w:fill="C6EFCE" w:val="clear"/>
          </w:tcPr>
          <w:p>
            <w:r>
              <w:rPr>
                <w:sz w:val="17"/>
              </w:rPr>
              <w:t>J+9  ⭐</w:t>
            </w:r>
          </w:p>
        </w:tc>
        <w:tc>
          <w:tcPr>
            <w:tcW w:type="dxa" w:w="1440"/>
            <w:shd w:fill="C6EFCE" w:val="clear"/>
          </w:tcPr>
          <w:p>
            <w:r>
              <w:rPr>
                <w:sz w:val="17"/>
              </w:rPr>
              <w:t>2026-09-17</w:t>
            </w:r>
          </w:p>
        </w:tc>
        <w:tc>
          <w:tcPr>
            <w:tcW w:type="dxa" w:w="1440"/>
            <w:shd w:fill="C6EFCE" w:val="clear"/>
          </w:tcPr>
          <w:p>
            <w:r>
              <w:rPr>
                <w:sz w:val="17"/>
              </w:rPr>
              <w:t>49,669</w:t>
            </w:r>
          </w:p>
        </w:tc>
        <w:tc>
          <w:tcPr>
            <w:tcW w:type="dxa" w:w="1440"/>
            <w:shd w:fill="C6EFCE" w:val="clear"/>
          </w:tcPr>
          <w:p>
            <w:r>
              <w:rPr>
                <w:b/>
                <w:sz w:val="17"/>
              </w:rPr>
              <w:t>60,376</w:t>
            </w:r>
          </w:p>
        </w:tc>
        <w:tc>
          <w:tcPr>
            <w:tcW w:type="dxa" w:w="1440"/>
            <w:shd w:fill="C6EFCE" w:val="clear"/>
          </w:tcPr>
          <w:p>
            <w:r>
              <w:rPr>
                <w:sz w:val="17"/>
              </w:rPr>
              <w:t>71,084</w:t>
            </w:r>
          </w:p>
        </w:tc>
        <w:tc>
          <w:tcPr>
            <w:tcW w:type="dxa" w:w="1440"/>
            <w:shd w:fill="C6EFCE" w:val="clear"/>
          </w:tcPr>
          <w:p>
            <w:r>
              <w:rPr>
                <w:b/>
                <w:color w:val="008000"/>
                <w:sz w:val="17"/>
              </w:rPr>
              <w:t>+11.1%</w:t>
            </w:r>
          </w:p>
        </w:tc>
      </w:tr>
      <w:tr>
        <w:tc>
          <w:tcPr>
            <w:tcW w:type="dxa" w:w="1440"/>
            <w:shd w:fill="C6EFCE" w:val="clear"/>
          </w:tcPr>
          <w:p>
            <w:r>
              <w:rPr>
                <w:sz w:val="17"/>
              </w:rPr>
              <w:t>J+10  ⭐</w:t>
            </w:r>
          </w:p>
        </w:tc>
        <w:tc>
          <w:tcPr>
            <w:tcW w:type="dxa" w:w="1440"/>
            <w:shd w:fill="C6EFCE" w:val="clear"/>
          </w:tcPr>
          <w:p>
            <w:r>
              <w:rPr>
                <w:sz w:val="17"/>
              </w:rPr>
              <w:t>2026-09-18</w:t>
            </w:r>
          </w:p>
        </w:tc>
        <w:tc>
          <w:tcPr>
            <w:tcW w:type="dxa" w:w="1440"/>
            <w:shd w:fill="C6EFCE" w:val="clear"/>
          </w:tcPr>
          <w:p>
            <w:r>
              <w:rPr>
                <w:sz w:val="17"/>
              </w:rPr>
              <w:t>49,623</w:t>
            </w:r>
          </w:p>
        </w:tc>
        <w:tc>
          <w:tcPr>
            <w:tcW w:type="dxa" w:w="1440"/>
            <w:shd w:fill="C6EFCE" w:val="clear"/>
          </w:tcPr>
          <w:p>
            <w:r>
              <w:rPr>
                <w:b/>
                <w:sz w:val="17"/>
              </w:rPr>
              <w:t>61,032</w:t>
            </w:r>
          </w:p>
        </w:tc>
        <w:tc>
          <w:tcPr>
            <w:tcW w:type="dxa" w:w="1440"/>
            <w:shd w:fill="C6EFCE" w:val="clear"/>
          </w:tcPr>
          <w:p>
            <w:r>
              <w:rPr>
                <w:sz w:val="17"/>
              </w:rPr>
              <w:t>72,442</w:t>
            </w:r>
          </w:p>
        </w:tc>
        <w:tc>
          <w:tcPr>
            <w:tcW w:type="dxa" w:w="1440"/>
            <w:shd w:fill="C6EFCE" w:val="clear"/>
          </w:tcPr>
          <w:p>
            <w:r>
              <w:rPr>
                <w:b/>
                <w:color w:val="008000"/>
                <w:sz w:val="17"/>
              </w:rPr>
              <w:t>+12.3%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La capitalisation boursière d'UNLC s'établit à 499,12 milliards FCFA, ce qui positionne la société parmi les valeurs à moyenne capitalisation du marché de la BRVM, dans un contexte où les grandes capitalisations comme Sonatel ou Orange CI dépassent les 1 000 milliards FCFA. Les ratios de valorisation traditionnels (BPA, PER, P/B, EV/EBITDA) ne sont pas calculables en raison de l'absence de données financières structurées récentes dans la base. Cette situation est regrettable car elle prive l'investisseur d'une comparaison directe avec le PER moyen de la BRVM (8-12x). Toutefois, sur la base des rapports financiers disponibles, on peut estimer qu'avec un bénéfice net de 640 millions FCFA en 2023, le PER implicite serait extrêmement élevé (supérieur à 700x), ce qui traduirait une valorisation très généreuse au regard des bénéfices actuels, mais qui s'explique par la reprise en cours et les actifs stratégiques de la filiale d'Unilever.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UNLC a enregistré une baisse significative de 16,38%, passant de son plus haut à 65 000 FCFA à son plus bas à 50 000 FCFA, avec un cours actuel de 54 350 FCFA. La dernière séance montre un rebond modeste de +0,65%, ce qui pourrait indiquer un début de stabilisation après la tendance baissière dominante. Les statistiques descriptives révèlent une distribution relativement symétrique (skewness de 0,220) et mésokurtique (kurtosis de -0,244), suggérant une absence de mouvements extrêmes ou de queues de distribution épaisses. La moyenne (56 246 FCFA) et la médiane (56 010 FCFA) sont très proches, confirmant la symétrie de la distribution des prix. L'écart-type de 3 140 FCFA représente un coefficient de variation de 5,6%, indiquant une dispersion modérée autour de la moyenne. La volatilité annualisée de 60,1% est particulièrement élevée (largement supérieure au seuil de 30% considéré comme élevé), ce qui témoigne d'un titre très risqué à court terme, malgré une dispersion quotidienne apparemment faible.</w:t>
      </w:r>
    </w:p>
    <w:p>
      <w:pPr>
        <w:spacing w:after="120" w:line="276" w:lineRule="auto" w:before="240"/>
      </w:pPr>
      <w:r>
        <w:rPr>
          <w:b/>
          <w:color w:val="003366"/>
          <w:sz w:val="24"/>
        </w:rPr>
        <w:t>**PARTIE 2 : ANALYSE TECHNIQUE DÉTAILLÉE**</w:t>
      </w:r>
    </w:p>
    <w:p>
      <w:pPr>
        <w:spacing w:after="120" w:line="276" w:lineRule="auto"/>
      </w:pPr>
      <w:r>
        <w:t>**Moyennes Mobiles** : Les moyennes mobiles sur 20 et 50 jours (respectivement 54 662 FCFA et 54 062 FCFA) sont toutes deux inférieures au cours actuel de 54 350 FCFA, ce qui génère un signal d'achat. Cette configuration haussière suggère que le titre évolue au-dessus de ses moyennes historiques récentes, indiquant un potentiel de poursuite du mouvement haussier à court terme.</w:t>
      </w:r>
    </w:p>
    <w:p>
      <w:pPr>
        <w:spacing w:after="120" w:line="276" w:lineRule="auto"/>
      </w:pPr>
      <w:r>
        <w:t>**Bandes de Bollinger** : Le cours se situe à 54 350 FCFA, entre la borne inférieure à 50 954 FCFA et la borne supérieure à 58 370 FCFA, positionné légèrement sous la moyenne de la bande. La décision est neutre, le titre n'étant ni en zone de surachat ni de survente. La largeur des bandes reflète la volatilité élevée du titre, avec un écart de près de 7 400 FCFA entre les bornes.</w:t>
      </w:r>
    </w:p>
    <w:p>
      <w:pPr>
        <w:spacing w:after="120" w:line="276" w:lineRule="auto"/>
      </w:pPr>
      <w:r>
        <w:t>**MACD** : Le MACD affiche une valeur négative de -31,19 avec un signal à -3,94, générant une décision de vente. La divergence négative entre le MACD et son signal indique un momentum baissier persistant, bien que la valeur du MACD semble se rapprocher de son signal, ce qui pourrait précéder un croisement haussier dans les prochaines séances.</w:t>
      </w:r>
    </w:p>
    <w:p>
      <w:pPr>
        <w:spacing w:after="120" w:line="276" w:lineRule="auto"/>
      </w:pPr>
      <w:r>
        <w:t>**RSI** : Le RSI s'établit à 39,74, dans la zone neutre (30-70), indiquant que le titre n'est ni suracheté ni survendu. Cette valeur suggère une pression vendeuse modérée, mais sans excès, laissant la possibilité d'un rebond si le RSI se rapproche de la zone de survente.</w:t>
      </w:r>
    </w:p>
    <w:p>
      <w:pPr>
        <w:spacing w:after="120" w:line="276" w:lineRule="auto"/>
      </w:pPr>
      <w:r>
        <w:t>**Stochastique** : Le %K à 39,17 et le %D à 35,28 sont tous deux en zone neutre, avec un %K légèrement supérieur au %D, indiquant un croisement haussier potentiel. Cette configuration suggère un momentum haussier naissant, mais la prudence reste de mise tant que les valeurs n'atteignent pas des niveaux plus extrêmes.</w:t>
      </w:r>
    </w:p>
    <w:p>
      <w:pPr>
        <w:spacing w:after="120" w:line="276" w:lineRule="auto"/>
      </w:pPr>
      <w:r>
        <w:t>**Conclusion technique** : Les indicateurs techniques sont mitigés, avec une opposition entre les moyennes mobiles (achat) et le MACD (vente). Le RSI et le stochastique restent neutres, tandis que les bandes de Bollinger n'indiquent pas de direction claire. Cette divergence suggère une période de consolidation après la baisse récente, avec un biais légèrement haussier à très court terme.</w:t>
      </w:r>
    </w:p>
    <w:p>
      <w:pPr>
        <w:spacing w:after="120" w:line="276" w:lineRule="auto" w:before="240"/>
      </w:pPr>
      <w:r>
        <w:rPr>
          <w:b/>
          <w:color w:val="003366"/>
          <w:sz w:val="24"/>
        </w:rPr>
        <w:t>**PARTIE 3 : ANALYSE FONDAMENTALE (SECTION CRITIQUE)**</w:t>
      </w:r>
    </w:p>
    <w:p>
      <w:pPr>
        <w:spacing w:after="120" w:line="276" w:lineRule="auto"/>
      </w:pPr>
      <w:r>
        <w:t>Les rapports financiers disponibles couvrent les exercices 2021 à 2023, tous antérieurs à 2025. Pour l'exercice 2023 (rapport daté du 31/12/2024), le chiffre d'affaires s'établit à 24 336 millions FCFA, stable par rapport à 2022, avec un résultat net de 640 millions FCFA, en forte amélioration par rapport à la perte de 6 908 millions FCFA en 2022. La marge nette ressort à 2,63%, nettement inférieure à la moyenne sectorielle de 5-10%. Le rapport 2022 (daté du 31/12/2023) confirme une année difficile avec une perte de 6 383 millions FCFA et une marge nette de -17,6%, tandis que le rapport 2021 (daté du 31/12/2022) montrait un bénéfice de 6 091 millions FCFA et une marge nette de 25%, porté par des produits exceptionnels liés à la cession de l'activité Thé. Les capitaux propres restent négatifs à -10 658 millions FCFA en 2023, ce qui constitue une fragilité structurelle majeure. Le résultat d'exploitation s'est amélioré, passant de -6 258 millions FCFA en 2022 à +3 340 millions FCFA en 2023, grâce à une réduction des charges et une meilleure gestion des stocks. Aucun dividende n'a été distribué sur la période, la priorité étant donnée à la reconstitution des capitaux propres. Les estimations pour 2024-2025 suggèrent une poursuite du redressement si la tendance opérationnelle positive se confirme, mais la prudence reste de mise face à l'endettement élevé (4 379 millions FCFA) et l'absence de croissance du chiffre d'affaires.</w:t>
      </w:r>
    </w:p>
    <w:p>
      <w:pPr>
        <w:spacing w:after="120" w:line="276" w:lineRule="auto" w:before="240"/>
      </w:pPr>
      <w:r>
        <w:rPr>
          <w:b/>
          <w:color w:val="003366"/>
          <w:sz w:val="24"/>
        </w:rPr>
        <w:t>**PARTIE 4 : CONCLUSION D'INVESTISSEMENT**</w:t>
      </w:r>
    </w:p>
    <w:p>
      <w:pPr>
        <w:spacing w:after="120" w:line="276" w:lineRule="auto"/>
      </w:pPr>
      <w:r>
        <w:t>La valorisation boursière d'UNLC, avec une capitalisation de 499 milliards FCFA pour un bénéfice net de seulement 640 millions FCFA en 2023, apparaît extrêmement généreuse, traduisant des attentes élevées de redressement. Le comportement du cours sur 100 jours montre une tendance baissière marquée (-16,38%) avec une volatilité annualisée très élevée (60,1%), ce qui représente un risque significatif pour l'investisseur. Les signaux techniques sont mitigés, avec des moyennes mobiles légèrement haussières mais un MACD vendeur, indiquant une absence de direction claire. Fondamentalement, la société montre des signes de redressement opérationnel (résultat d'exploitation positif en 2023) mais reste fragilisée par des capitaux propres négatifs et l'absence de croissance du chiffre d'affaires. Les prédictions IA pour les 10 prochains jours suggèrent une trajectoire haussière progressive (de 55 443 à 57 784 FCFA), ce qui contredit la tendance récente mais pourrait refléter un rebond technique attendu. La convergence entre les signaux est faible : la valorisation est excessive, les fondamentaux s'améliorent lentement, et la technique est neutre. **Recommandation : CONSERVER**, avec un niveau de confiance Moyen et un risque global Élevé. L'horizon d'investissement optimal serait à moyen terme (3-12 mois), en attendant une confirmation du redressement fondamental et une stabilisation des capitaux propres.</w:t>
      </w:r>
    </w:p>
    <w:p/>
    <w:p/>
    <w:p>
      <w:r>
        <w:t>════════════════════════════════════════════════════════════════════════════════</w:t>
      </w:r>
    </w:p>
    <w:p>
      <w:r>
        <w:br w:type="page"/>
      </w:r>
    </w:p>
    <w:p>
      <w:pPr>
        <w:pStyle w:val="Heading2"/>
        <w:spacing w:before="360"/>
      </w:pPr>
      <w:r>
        <w:rPr>
          <w:color w:val="0066CC"/>
        </w:rPr>
        <w:t>47.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49.90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13,171 titres</w:t>
            </w:r>
          </w:p>
        </w:tc>
        <w:tc>
          <w:tcPr>
            <w:tcW w:type="dxa" w:w="2268"/>
            <w:shd w:fill="FFF2CC" w:val="clear"/>
          </w:tcPr>
          <w:p>
            <w:r>
              <w:rPr>
                <w:b/>
                <w:color w:val="503200"/>
                <w:sz w:val="16"/>
              </w:rPr>
              <w:t xml:space="preserve">Cours actuel : </w:t>
            </w:r>
            <w:r>
              <w:rPr>
                <w:color w:val="000000"/>
                <w:sz w:val="17"/>
              </w:rPr>
              <w:t>2,405 FCFA</w:t>
            </w:r>
          </w:p>
          <w:p>
            <w:r>
              <w:rPr>
                <w:b/>
                <w:color w:val="503200"/>
                <w:sz w:val="16"/>
              </w:rPr>
              <w:t xml:space="preserve">Var. 100 jours : </w:t>
            </w:r>
            <w:r>
              <w:rPr>
                <w:b/>
                <w:color w:val="007800"/>
                <w:sz w:val="17"/>
              </w:rPr>
              <w:t>+22.70%</w:t>
            </w:r>
          </w:p>
          <w:p>
            <w:r>
              <w:rPr>
                <w:b/>
                <w:color w:val="503200"/>
                <w:sz w:val="16"/>
              </w:rPr>
              <w:t xml:space="preserve">Plus haut 100j : </w:t>
            </w:r>
            <w:r>
              <w:rPr>
                <w:color w:val="000000"/>
                <w:sz w:val="17"/>
              </w:rPr>
              <w:t>2,495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50.9%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16.8/100 → Faible</w:t>
      </w:r>
    </w:p>
    <w:p>
      <w:pPr>
        <w:spacing w:before="40" w:after="80"/>
      </w:pPr>
      <w:r>
        <w:rPr>
          <w:rFonts w:ascii="Courier New" w:hAnsi="Courier New"/>
          <w:color w:val="006400"/>
          <w:sz w:val="18"/>
        </w:rPr>
        <w:t>███░░░░░░░░░░░░░░░░░  16.8/100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13.08% (Moyenne) — μ=1,919 FCFA, σ=251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β=0.0192 (Défensif) — Cov=0.000001, Var(idx)=0.000036, ρ=0.004,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13,171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σ_j=3.21%/j (Modérée) — Vol. annualisée≈50.9%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19287"/>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2026-09-07</w:t>
            </w:r>
          </w:p>
        </w:tc>
        <w:tc>
          <w:tcPr>
            <w:tcW w:type="dxa" w:w="1440"/>
            <w:shd w:fill="FAFAFA" w:val="clear"/>
          </w:tcPr>
          <w:p>
            <w:r>
              <w:rPr>
                <w:sz w:val="17"/>
              </w:rPr>
              <w:t>2,280</w:t>
            </w:r>
          </w:p>
        </w:tc>
        <w:tc>
          <w:tcPr>
            <w:tcW w:type="dxa" w:w="1440"/>
            <w:shd w:fill="FAFAFA" w:val="clear"/>
          </w:tcPr>
          <w:p>
            <w:r>
              <w:rPr>
                <w:b/>
                <w:sz w:val="17"/>
              </w:rPr>
              <w:t>2,388</w:t>
            </w:r>
          </w:p>
        </w:tc>
        <w:tc>
          <w:tcPr>
            <w:tcW w:type="dxa" w:w="1440"/>
            <w:shd w:fill="FAFAFA" w:val="clear"/>
          </w:tcPr>
          <w:p>
            <w:r>
              <w:rPr>
                <w:sz w:val="17"/>
              </w:rPr>
              <w:t>2,497</w:t>
            </w:r>
          </w:p>
        </w:tc>
        <w:tc>
          <w:tcPr>
            <w:tcW w:type="dxa" w:w="1440"/>
            <w:shd w:fill="FAFAFA" w:val="clear"/>
          </w:tcPr>
          <w:p>
            <w:r>
              <w:rPr>
                <w:b/>
                <w:color w:val="C00000"/>
                <w:sz w:val="17"/>
              </w:rPr>
              <w:t>-0.7%</w:t>
            </w:r>
          </w:p>
        </w:tc>
      </w:tr>
      <w:tr>
        <w:tc>
          <w:tcPr>
            <w:tcW w:type="dxa" w:w="1440"/>
            <w:shd w:fill="FAFAFA" w:val="clear"/>
          </w:tcPr>
          <w:p>
            <w:r>
              <w:rPr>
                <w:sz w:val="17"/>
              </w:rPr>
              <w:t>J+2  Moyenne</w:t>
            </w:r>
          </w:p>
        </w:tc>
        <w:tc>
          <w:tcPr>
            <w:tcW w:type="dxa" w:w="1440"/>
            <w:shd w:fill="FAFAFA" w:val="clear"/>
          </w:tcPr>
          <w:p>
            <w:r>
              <w:rPr>
                <w:sz w:val="17"/>
              </w:rPr>
              <w:t>2026-09-08</w:t>
            </w:r>
          </w:p>
        </w:tc>
        <w:tc>
          <w:tcPr>
            <w:tcW w:type="dxa" w:w="1440"/>
            <w:shd w:fill="FAFAFA" w:val="clear"/>
          </w:tcPr>
          <w:p>
            <w:r>
              <w:rPr>
                <w:sz w:val="17"/>
              </w:rPr>
              <w:t>2,220</w:t>
            </w:r>
          </w:p>
        </w:tc>
        <w:tc>
          <w:tcPr>
            <w:tcW w:type="dxa" w:w="1440"/>
            <w:shd w:fill="FAFAFA" w:val="clear"/>
          </w:tcPr>
          <w:p>
            <w:r>
              <w:rPr>
                <w:b/>
                <w:sz w:val="17"/>
              </w:rPr>
              <w:t>2,373</w:t>
            </w:r>
          </w:p>
        </w:tc>
        <w:tc>
          <w:tcPr>
            <w:tcW w:type="dxa" w:w="1440"/>
            <w:shd w:fill="FAFAFA" w:val="clear"/>
          </w:tcPr>
          <w:p>
            <w:r>
              <w:rPr>
                <w:sz w:val="17"/>
              </w:rPr>
              <w:t>2,526</w:t>
            </w:r>
          </w:p>
        </w:tc>
        <w:tc>
          <w:tcPr>
            <w:tcW w:type="dxa" w:w="1440"/>
            <w:shd w:fill="FAFAFA" w:val="clear"/>
          </w:tcPr>
          <w:p>
            <w:r>
              <w:rPr>
                <w:b/>
                <w:color w:val="C00000"/>
                <w:sz w:val="17"/>
              </w:rPr>
              <w:t>-1.3%</w:t>
            </w:r>
          </w:p>
        </w:tc>
      </w:tr>
      <w:tr>
        <w:tc>
          <w:tcPr>
            <w:tcW w:type="dxa" w:w="1440"/>
            <w:shd w:fill="FAFAFA" w:val="clear"/>
          </w:tcPr>
          <w:p>
            <w:r>
              <w:rPr>
                <w:sz w:val="17"/>
              </w:rPr>
              <w:t>J+3  Moyenne</w:t>
            </w:r>
          </w:p>
        </w:tc>
        <w:tc>
          <w:tcPr>
            <w:tcW w:type="dxa" w:w="1440"/>
            <w:shd w:fill="FAFAFA" w:val="clear"/>
          </w:tcPr>
          <w:p>
            <w:r>
              <w:rPr>
                <w:sz w:val="17"/>
              </w:rPr>
              <w:t>2026-09-09</w:t>
            </w:r>
          </w:p>
        </w:tc>
        <w:tc>
          <w:tcPr>
            <w:tcW w:type="dxa" w:w="1440"/>
            <w:shd w:fill="FAFAFA" w:val="clear"/>
          </w:tcPr>
          <w:p>
            <w:r>
              <w:rPr>
                <w:sz w:val="17"/>
              </w:rPr>
              <w:t>2,172</w:t>
            </w:r>
          </w:p>
        </w:tc>
        <w:tc>
          <w:tcPr>
            <w:tcW w:type="dxa" w:w="1440"/>
            <w:shd w:fill="FAFAFA" w:val="clear"/>
          </w:tcPr>
          <w:p>
            <w:r>
              <w:rPr>
                <w:b/>
                <w:sz w:val="17"/>
              </w:rPr>
              <w:t>2,358</w:t>
            </w:r>
          </w:p>
        </w:tc>
        <w:tc>
          <w:tcPr>
            <w:tcW w:type="dxa" w:w="1440"/>
            <w:shd w:fill="FAFAFA" w:val="clear"/>
          </w:tcPr>
          <w:p>
            <w:r>
              <w:rPr>
                <w:sz w:val="17"/>
              </w:rPr>
              <w:t>2,544</w:t>
            </w:r>
          </w:p>
        </w:tc>
        <w:tc>
          <w:tcPr>
            <w:tcW w:type="dxa" w:w="1440"/>
            <w:shd w:fill="FAFAFA" w:val="clear"/>
          </w:tcPr>
          <w:p>
            <w:r>
              <w:rPr>
                <w:b/>
                <w:color w:val="C00000"/>
                <w:sz w:val="17"/>
              </w:rPr>
              <w:t>-1.9%</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2,131</w:t>
            </w:r>
          </w:p>
        </w:tc>
        <w:tc>
          <w:tcPr>
            <w:tcW w:type="dxa" w:w="1440"/>
            <w:shd w:fill="FFDCE0" w:val="clear"/>
          </w:tcPr>
          <w:p>
            <w:r>
              <w:rPr>
                <w:b/>
                <w:sz w:val="17"/>
              </w:rPr>
              <w:t>2,344</w:t>
            </w:r>
          </w:p>
        </w:tc>
        <w:tc>
          <w:tcPr>
            <w:tcW w:type="dxa" w:w="1440"/>
            <w:shd w:fill="FFDCE0" w:val="clear"/>
          </w:tcPr>
          <w:p>
            <w:r>
              <w:rPr>
                <w:sz w:val="17"/>
              </w:rPr>
              <w:t>2,557</w:t>
            </w:r>
          </w:p>
        </w:tc>
        <w:tc>
          <w:tcPr>
            <w:tcW w:type="dxa" w:w="1440"/>
            <w:shd w:fill="FFDCE0" w:val="clear"/>
          </w:tcPr>
          <w:p>
            <w:r>
              <w:rPr>
                <w:b/>
                <w:color w:val="C00000"/>
                <w:sz w:val="17"/>
              </w:rPr>
              <w:t>-2.5%</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2,093</w:t>
            </w:r>
          </w:p>
        </w:tc>
        <w:tc>
          <w:tcPr>
            <w:tcW w:type="dxa" w:w="1440"/>
            <w:shd w:fill="FFDCE0" w:val="clear"/>
          </w:tcPr>
          <w:p>
            <w:r>
              <w:rPr>
                <w:b/>
                <w:sz w:val="17"/>
              </w:rPr>
              <w:t>2,330</w:t>
            </w:r>
          </w:p>
        </w:tc>
        <w:tc>
          <w:tcPr>
            <w:tcW w:type="dxa" w:w="1440"/>
            <w:shd w:fill="FFDCE0" w:val="clear"/>
          </w:tcPr>
          <w:p>
            <w:r>
              <w:rPr>
                <w:sz w:val="17"/>
              </w:rPr>
              <w:t>2,567</w:t>
            </w:r>
          </w:p>
        </w:tc>
        <w:tc>
          <w:tcPr>
            <w:tcW w:type="dxa" w:w="1440"/>
            <w:shd w:fill="FFDCE0" w:val="clear"/>
          </w:tcPr>
          <w:p>
            <w:r>
              <w:rPr>
                <w:b/>
                <w:color w:val="C00000"/>
                <w:sz w:val="17"/>
              </w:rPr>
              <w:t>-3.1%</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2,058</w:t>
            </w:r>
          </w:p>
        </w:tc>
        <w:tc>
          <w:tcPr>
            <w:tcW w:type="dxa" w:w="1440"/>
            <w:shd w:fill="FFDCE0" w:val="clear"/>
          </w:tcPr>
          <w:p>
            <w:r>
              <w:rPr>
                <w:b/>
                <w:sz w:val="17"/>
              </w:rPr>
              <w:t>2,316</w:t>
            </w:r>
          </w:p>
        </w:tc>
        <w:tc>
          <w:tcPr>
            <w:tcW w:type="dxa" w:w="1440"/>
            <w:shd w:fill="FFDCE0" w:val="clear"/>
          </w:tcPr>
          <w:p>
            <w:r>
              <w:rPr>
                <w:sz w:val="17"/>
              </w:rPr>
              <w:t>2,574</w:t>
            </w:r>
          </w:p>
        </w:tc>
        <w:tc>
          <w:tcPr>
            <w:tcW w:type="dxa" w:w="1440"/>
            <w:shd w:fill="FFDCE0" w:val="clear"/>
          </w:tcPr>
          <w:p>
            <w:r>
              <w:rPr>
                <w:b/>
                <w:color w:val="C00000"/>
                <w:sz w:val="17"/>
              </w:rPr>
              <w:t>-3.7%</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2,025</w:t>
            </w:r>
          </w:p>
        </w:tc>
        <w:tc>
          <w:tcPr>
            <w:tcW w:type="dxa" w:w="1440"/>
            <w:shd w:fill="FFDCE0" w:val="clear"/>
          </w:tcPr>
          <w:p>
            <w:r>
              <w:rPr>
                <w:b/>
                <w:sz w:val="17"/>
              </w:rPr>
              <w:t>2,302</w:t>
            </w:r>
          </w:p>
        </w:tc>
        <w:tc>
          <w:tcPr>
            <w:tcW w:type="dxa" w:w="1440"/>
            <w:shd w:fill="FFDCE0" w:val="clear"/>
          </w:tcPr>
          <w:p>
            <w:r>
              <w:rPr>
                <w:sz w:val="17"/>
              </w:rPr>
              <w:t>2,580</w:t>
            </w:r>
          </w:p>
        </w:tc>
        <w:tc>
          <w:tcPr>
            <w:tcW w:type="dxa" w:w="1440"/>
            <w:shd w:fill="FFDCE0" w:val="clear"/>
          </w:tcPr>
          <w:p>
            <w:r>
              <w:rPr>
                <w:b/>
                <w:color w:val="C00000"/>
                <w:sz w:val="17"/>
              </w:rPr>
              <w:t>-4.3%</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1,994</w:t>
            </w:r>
          </w:p>
        </w:tc>
        <w:tc>
          <w:tcPr>
            <w:tcW w:type="dxa" w:w="1440"/>
            <w:shd w:fill="FFDCE0" w:val="clear"/>
          </w:tcPr>
          <w:p>
            <w:r>
              <w:rPr>
                <w:b/>
                <w:sz w:val="17"/>
              </w:rPr>
              <w:t>2,289</w:t>
            </w:r>
          </w:p>
        </w:tc>
        <w:tc>
          <w:tcPr>
            <w:tcW w:type="dxa" w:w="1440"/>
            <w:shd w:fill="FFDCE0" w:val="clear"/>
          </w:tcPr>
          <w:p>
            <w:r>
              <w:rPr>
                <w:sz w:val="17"/>
              </w:rPr>
              <w:t>2,583</w:t>
            </w:r>
          </w:p>
        </w:tc>
        <w:tc>
          <w:tcPr>
            <w:tcW w:type="dxa" w:w="1440"/>
            <w:shd w:fill="FFDCE0" w:val="clear"/>
          </w:tcPr>
          <w:p>
            <w:r>
              <w:rPr>
                <w:b/>
                <w:color w:val="C00000"/>
                <w:sz w:val="17"/>
              </w:rPr>
              <w:t>-4.8%</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1,965</w:t>
            </w:r>
          </w:p>
        </w:tc>
        <w:tc>
          <w:tcPr>
            <w:tcW w:type="dxa" w:w="1440"/>
            <w:shd w:fill="FFDCE0" w:val="clear"/>
          </w:tcPr>
          <w:p>
            <w:r>
              <w:rPr>
                <w:b/>
                <w:sz w:val="17"/>
              </w:rPr>
              <w:t>2,275</w:t>
            </w:r>
          </w:p>
        </w:tc>
        <w:tc>
          <w:tcPr>
            <w:tcW w:type="dxa" w:w="1440"/>
            <w:shd w:fill="FFDCE0" w:val="clear"/>
          </w:tcPr>
          <w:p>
            <w:r>
              <w:rPr>
                <w:sz w:val="17"/>
              </w:rPr>
              <w:t>2,586</w:t>
            </w:r>
          </w:p>
        </w:tc>
        <w:tc>
          <w:tcPr>
            <w:tcW w:type="dxa" w:w="1440"/>
            <w:shd w:fill="FFDCE0" w:val="clear"/>
          </w:tcPr>
          <w:p>
            <w:r>
              <w:rPr>
                <w:b/>
                <w:color w:val="C00000"/>
                <w:sz w:val="17"/>
              </w:rPr>
              <w:t>-5.4%</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1,936</w:t>
            </w:r>
          </w:p>
        </w:tc>
        <w:tc>
          <w:tcPr>
            <w:tcW w:type="dxa" w:w="1440"/>
            <w:shd w:fill="FFDCE0" w:val="clear"/>
          </w:tcPr>
          <w:p>
            <w:r>
              <w:rPr>
                <w:b/>
                <w:sz w:val="17"/>
              </w:rPr>
              <w:t>2,262</w:t>
            </w:r>
          </w:p>
        </w:tc>
        <w:tc>
          <w:tcPr>
            <w:tcW w:type="dxa" w:w="1440"/>
            <w:shd w:fill="FFDCE0" w:val="clear"/>
          </w:tcPr>
          <w:p>
            <w:r>
              <w:rPr>
                <w:sz w:val="17"/>
              </w:rPr>
              <w:t>2,588</w:t>
            </w:r>
          </w:p>
        </w:tc>
        <w:tc>
          <w:tcPr>
            <w:tcW w:type="dxa" w:w="1440"/>
            <w:shd w:fill="FFDCE0" w:val="clear"/>
          </w:tcPr>
          <w:p>
            <w:r>
              <w:rPr>
                <w:b/>
                <w:color w:val="C00000"/>
                <w:sz w:val="17"/>
              </w:rPr>
              <w:t>-5.9%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d'UNXC s'établit à 49,90 milliards FCFA, un niveau intermédiaire sur la BRVM qui reflète un intérêt certain du marché pour ce titre industriel. Le BPA est négatif à -105 FCFA, traduisant une perte nette sur l'exercice 2024, ce qui rend le PER non significatif (-22,8x) et signale que la société ne génère pas de bénéfices récurrents. En revanche, le P/B de 3,20x indique que le marché valorise l'actif net à plus de trois fois sa valeur comptable, une prime substantielle qui suggère que les investisseurs anticipent un redressement futur ou intègrent la valeur des actifs immobiliers réévalués. Cette prime est cohérente avec une entreprise en phase de restructuration où les actifs tangibles (terrains, usines) ont été récemment cédés puis reloués, modifiant la structure du bilan. En l'absence de données sur l'EBITDA, le ratio EV/EBITDA ne peut être calculé, mais la capitalisation actuelle semble intégrer des perspectives de retour à la rentabilité opérationnelle plutôt que les performances passées immédiates.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UNXC a enregistré une progression spectaculaire de +22,70%, avec un cours actuel de 2 405 FCFA, bien que la dernière séance ait clôturé en léger repli de -0,82%. Le titre a évolué dans une fourchette très large, oscillant entre un plus bas de 1 250 FCFA et un plus haut de 2 495 FCFA, démontrant une forte dynamique haussière sur la période, passant d'un cours historiquement déprimé à des niveaux proches de ses sommets. La moyenne du cours sur 100 jours s'établit à 1 919 FCFA, très proche de la médiane (1 900 FCFA) et du mode (1 900 FCFA), indiquant une distribution relativement symétrique des prix autour de ces valeurs centrales. L'écart-type de 252 FCFA, avec un coefficient de variation de 13,1%, révèle une dispersion modérée des cours autour de la moyenne. Le kurtosis en excès de 1,130 signale une distribution leptokurtique, c'est-à-dire avec des queues épaisses, suggérant un risque de mouvements extrêmes ou de pics de volatilité. Le skewness positif de 0,289 confirme une asymétrie légèrement positive, avec une queue de distribution s'étendant vers la droite, ce qui est cohérent avec la forte appréciation récente du titre. La volatilité annualisée de 50,9% classe UNXC comme un actif à très haute volatilité, bien au-delà du seuil de 30% considéré comme élevé, ce qui implique un risque substantiel pour les investisseurs malgré la tendance haussière observée.</w:t>
      </w:r>
    </w:p>
    <w:p>
      <w:pPr>
        <w:spacing w:after="120" w:line="276" w:lineRule="auto" w:before="240"/>
      </w:pPr>
      <w:r>
        <w:rPr>
          <w:b/>
          <w:color w:val="003366"/>
          <w:sz w:val="24"/>
        </w:rPr>
        <w:t>**PARTIE 2 : ANALYSE TECHNIQUE DÉTAILLÉE**</w:t>
      </w:r>
    </w:p>
    <w:p>
      <w:pPr>
        <w:spacing w:after="120" w:line="276" w:lineRule="auto"/>
      </w:pPr>
      <w:r>
        <w:t>**Moyennes Mobiles** : La MM20 à 2 263 FCFA et la MM50 à 1 949,7 FCFA sont toutes deux inférieures au cours actuel de 2 405 FCFA, ce qui confirme une configuration haussière à court et moyen terme. Le cours évolue nettement au-dessus de ses moyennes mobiles, indiquant une forte dynamique positive. La décision d'achat signalée est justifiée par cette configuration, bien que l'écart important entre le cours et la MM20 (environ 6%) suggère une possible consolidation à venir.</w:t>
      </w:r>
    </w:p>
    <w:p>
      <w:pPr>
        <w:spacing w:after="120" w:line="276" w:lineRule="auto"/>
      </w:pPr>
      <w:r>
        <w:t>**Bandes de Bollinger** : Le cours à 2 405 FCFA se positionne entre la borne supérieure à 2 738,5 FCFA et la borne inférieure à 1 787,5 FCFA, mais plus près de la borne supérieure, indiquant une pression acheteuse soutenue. La largeur des bandes reflète la volatilité élevée du titre. La décision neutre s'explique par le fait que le cours n'a pas encore touché la borne supérieure, laissant une marge de progression avant une éventuelle zone de surachat technique.</w:t>
      </w:r>
    </w:p>
    <w:p>
      <w:pPr>
        <w:spacing w:after="120" w:line="276" w:lineRule="auto"/>
      </w:pPr>
      <w:r>
        <w:t>**MACD** : Le MACD à 147,747 est légèrement inférieur à son signal à 152,648, ce qui génère une décision de vente. Cette configuration indique un ralentissement du momentum haussier, le MACD ayant potentiellement franchi son signal à la baisse après une période de forte progression. Ce croisement baissier, bien que récent, suggère une possible correction à court terme ou une phase de consolidation après la forte hausse.</w:t>
      </w:r>
    </w:p>
    <w:p>
      <w:pPr>
        <w:spacing w:after="120" w:line="276" w:lineRule="auto"/>
      </w:pPr>
      <w:r>
        <w:t>**RSI** : Le RSI à 77,931 est nettement au-dessus du seuil de surachat de 70, signalant que le titre est techniquement suracheté. Cette situation indique que la pression acheteuse a été excessive à court terme et qu'un repli technique est probable. La décision de vente est cohérente avec cette lecture, les investisseurs étant invités à la prudence avant de nouvelles acquisitions aux niveaux actuels.</w:t>
      </w:r>
    </w:p>
    <w:p>
      <w:pPr>
        <w:spacing w:after="120" w:line="276" w:lineRule="auto"/>
      </w:pPr>
      <w:r>
        <w:t>**Stochastique** : Le %K à 76,923 est inférieur au %D à 84,891, indiquant un croisement baissier potentiel en zone de surachat. Cette configuration suggère un affaiblissement du momentum haussier, le %K ayant commencé à décroître sous le %D. La décision neutre reflète l'ambiguïté de la situation, le titre restant dans une zone élevée mais sans signal de retournement clair.</w:t>
      </w:r>
    </w:p>
    <w:p>
      <w:pPr>
        <w:spacing w:after="120" w:line="276" w:lineRule="auto"/>
      </w:pPr>
      <w:r>
        <w:t>**Conclusion technique** : Les indicateurs techniques présentent un tableau contrasté. Les moyennes mobiles confirment une tendance haussière solide, mais le RSI en surachat, le croisement baissier du MACD et la configuration du stochastique signalent tous un essoufflement du momentum à court terme. Cette divergence entre la tendance de fond et les oscillateurs suggère qu'une consolidation ou une correction technique est probable avant la poursuite éventuelle de la hausse. Les investisseurs devraient surveiller un éventuel repli vers la zone des 2 260-2 300 FCFA (MM20) comme support potentiel.</w:t>
      </w:r>
    </w:p>
    <w:p>
      <w:pPr>
        <w:spacing w:after="120" w:line="276" w:lineRule="auto" w:before="240"/>
      </w:pPr>
      <w:r>
        <w:rPr>
          <w:b/>
          <w:color w:val="003366"/>
          <w:sz w:val="24"/>
        </w:rPr>
        <w:t>**PARTIE 3 : ANALYSE FONDAMENTALE (SECTION CRITIQUE)**</w:t>
      </w:r>
    </w:p>
    <w:p>
      <w:pPr>
        <w:spacing w:after="120" w:line="276" w:lineRule="auto"/>
      </w:pPr>
      <w:r>
        <w:t>En 2024, les données structurées officielles révèlent une situation financière difficile pour UNXC, avec un chiffre d'affaires de 27,333 milliards FCFA, en croissance de 15,4% par rapport à 2023, mais un résultat net déficitaire de -2,189 milliards FCFA, contre un bénéfice de 4,188 milliards FCFA en 2023 selon les rapports narratifs. Cette dégradation s'explique par une marge nette négative de -8,01%, un ROE de -14,04% et un ROA de -6,39%, traduisant une rentabilité fortement compromise. L'EBE est également négatif à -352,22 millions FCFA, et le résultat d'exploitation s'établit à -2,136 milliards FCFA, avec des charges générales d'exploitation (32,706 milliards FCFA) dépassant le chiffre d'affaires. La structure financière reste néanmoins solide avec des capitaux propres de 15,591 milliards FCFA (autonomie financière de 45,53%), mais l'endettement total représente 119,61% des capitaux propres. Les délais d'exploitation sont préoccupants : le délai clients de 51 jours et surtout la durée de stockage de 254,72 jours indiquent une immobilisation importante de capital, tandis que le délai fournisseurs de 267,82 jours suggère une dépendance au crédit fournisseur. Le rapport du 3ème trimestre 2025 (publié fin 2025) montre une amélioration : le CA cumulé sur 9 mois atteint 22,474 milliards FCFA (+13%), avec un résultat net exceptionnellement bénéficiaire de 8,143 milliards FCFA, mais intégralement dû au produit hors activités ordinaires de 9,993 milliards FCFA lié à la cession-bail du terrain. Le résultat des activités ordinaires reste négatif à -371 millions FCFA, bien qu'en amélioration de 80%. Le rapport S1 2026 (publié en 2026) confirme le redressement : le CA semestriel atteint 15,752 milliards FCFA (+0,3%), le résultat d'exploitation redevient positif à 771 millions FCFA (contre -314 millions au S1 2025), et le résultat net s'établit à 771 millions FCFA, hors effet exceptionnel. Le rapport annuel 2025 indique un CA de 29,03 milliards FCFA (+6,2%), un EBE positif à 1,13 milliard FCFA et une perte nette réduite à -624 millions FCFA. Sur la base de ces rapports, on estime que l'exercice 2026 devrait confirmer le retour à la rentabilité opérationnelle, avec un résultat net potentiellement positif pour la première fois depuis 2023, porté par l'amélioration de la performance industrielle et la maîtrise des coûts.</w:t>
      </w:r>
    </w:p>
    <w:p>
      <w:pPr>
        <w:spacing w:after="120" w:line="276" w:lineRule="auto" w:before="240"/>
      </w:pPr>
      <w:r>
        <w:rPr>
          <w:b/>
          <w:color w:val="003366"/>
          <w:sz w:val="24"/>
        </w:rPr>
        <w:t>**PARTIE 4 : CONCLUSION D'INVESTISSEMENT**</w:t>
      </w:r>
    </w:p>
    <w:p>
      <w:pPr>
        <w:spacing w:after="120" w:line="276" w:lineRule="auto"/>
      </w:pPr>
      <w:r>
        <w:t>La valorisation d'UNXC apparaît exigeante avec un P/B de 3,20x et un PER non significatif, le marché anticipant clairement un redressement futur. Le comportement du cours sur 100 jours est très favorable avec une hausse de 22,70%, mais la volatilité annualisée de 50,9% et le kurtosis élevé signalent un risque de mouvements brusques. Les signaux techniques sont mitigés : la tendance de fond reste haussière (MM20 et MM50 sous le cours), mais le RSI en surachat à 77,93 et le croisement baissier du MACD suggèrent une consolidation à court terme. Les fondamentaux montrent une amélioration nette : après une perte de -2,189 milliards FCFA en 2024, le rapport S1 2026 confirme un résultat d'exploitation positif de 771 millions FCFA et un résultat net bénéficiaire, marquant une rupture avec les exercices déficitaires. Les prédictions IA sur 10 jours (de 2 388 à 2 330 FCFA) indiquent une légère correction, cohérente avec les signaux techniques de surachat. La convergence entre l'amélioration fondamentale réelle et la tendance haussière du cours est positive, mais la prudence s'impose à court terme. Recommandation : **CONSERVER**, avec un niveau de confiance Moyen et un risque global Élevé. L'horizon d'investissement optimal est le moyen terme (3-12 mois), en attendant la confirmation du retour durable à la rentabilité opérationnelle sur l'ensemble de l'exercice 2026. Un renforcement de la position pourrait être envisagé lors d'une correction technique vers la zone des 2 200-2 300 FCFA.</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- 47 sociétés analysées.</w:t>
      </w:r>
    </w:p>
    <w:p/>
    <w:p>
      <w:pPr>
        <w:jc w:val="center"/>
      </w:pPr>
      <w:r>
        <w:rPr>
          <w:i/>
          <w:color w:val="808080"/>
          <w:sz w:val="16"/>
        </w:rPr>
        <w:t xml:space="preserve">Analyse Multi-AI - </w:t>
      </w:r>
      <w:r>
        <w:rPr>
          <w:i/>
        </w:rPr>
        <w:t xml:space="preserve">DeepSeek: 48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