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06/09/2026 à 08:54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SIVC  (score 79/100)</w:t>
      </w:r>
    </w:p>
    <w:p>
      <w:pPr>
        <w:spacing w:before="20" w:after="20"/>
        <w:ind w:left="360" w:right="360"/>
        <w:shd w:val="clear" w:color="auto" w:fill="EBF5FB"/>
      </w:pPr>
      <w:r>
        <w:rPr>
          <w:b/>
          <w:sz w:val="19"/>
        </w:rPr>
        <w:t xml:space="preserve">Secteur surperformant :  </w:t>
      </w:r>
      <w:r>
        <w:rPr>
          <w:color w:val="008000"/>
          <w:sz w:val="19"/>
        </w:rPr>
        <w:t>SERVICES PUBLICS  (+98.0%)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548.60 points </w:t>
      </w:r>
      <w:r>
        <w:rPr>
          <w:color w:val="008000"/>
        </w:rPr>
        <w:t>(+0.45%)</w:t>
      </w:r>
      <w:r>
        <w:t xml:space="preserve"> sur la séance. </w:t>
      </w:r>
      <w:r>
        <w:t>La capitalisation globale du marché atteint 2 115,475 milliards FCFA.</w:t>
      </w:r>
    </w:p>
    <w:p/>
    <w:p>
      <w:pPr>
        <w:pStyle w:val="Heading3"/>
      </w:pPr>
      <w:r>
        <w:t>📊 Évolution de l'indice BRVM Composite (100 derniers jours)</w:t>
      </w:r>
    </w:p>
    <w:p>
      <w:r>
        <w:rPr>
          <w:b/>
        </w:rPr>
        <w:t xml:space="preserve">BRVM Composite — </w:t>
      </w:r>
      <w:r>
        <w:t xml:space="preserve">Sur les 100 derniers jours de cotation (2026-04-10 au 2026-09-04), l'indice BRVM Composite a évolué de </w:t>
      </w:r>
      <w:r>
        <w:rPr>
          <w:b/>
          <w:color w:val="008000"/>
        </w:rPr>
        <w:t>+35.00%</w:t>
      </w:r>
      <w:r>
        <w:t>, passant de 406.38 pts à 548.60 pts. Le plus haut atteint est 548.60 pts et le plus bas 397.33 pts. Sur l'ensemble de la période, la moyenne de l'indice s'établit à 454.23 pts, la médiane à 445.94 pts et le mode à 397.33 pts</w:t>
      </w:r>
      <w:r>
        <w:t xml:space="preserve"> (asymétrie positive — plus de jours sous la moyenne). </w:t>
      </w:r>
      <w:r>
        <w:t xml:space="preserve">L'écart-type de 42.37 pts (CV=9.3%) traduit une modérée dispersion des cotations. Le kurtosis de -0.85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-86.50%</w:t>
      </w:r>
      <w:r>
        <w:t xml:space="preserve"> sur la période, passant de 15 668,243 Mds FCFA à 2 115,475 Mds FCFA. Le pic de capitalisation observé est de 19 886,911 Mds FCFA et le plancher de 2 003,618 Mds FCFA. La moyenne de la capitalisation sur la période s'établit à 15 471,736 Mds FCFA, la médiane à 16 816,942 Mds FCFA et le mode à 2 003,618 Mds FCFA</w:t>
      </w:r>
      <w:r>
        <w:t xml:space="preserve"> (asymétrie négative). </w:t>
      </w:r>
      <w:r>
        <w:t>L'écart-type de 4 895,846 Mds FCFA (CV=31.6%) reflète une forte variabilité de la valorisation du marché. Le kurtosis de 3.40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SDSC - SDSC - AFRICA GLOBAL LOGISTICS CI</w:t>
      </w:r>
      <w:r>
        <w:t xml:space="preserve"> | Prix: 3205 FCFA | </w:t>
      </w:r>
      <w:r>
        <w:rPr>
          <w:b/>
          <w:color w:val="008000"/>
        </w:rPr>
        <w:t>ACHAT FORT</w:t>
      </w:r>
      <w:r>
        <w:t xml:space="preserve"> | Confiance: Élevée | Risque: Moyen</w:t>
      </w:r>
    </w:p>
    <w:p>
      <w:pPr>
        <w:pStyle w:val="ListNumber"/>
      </w:pPr>
      <w:r>
        <w:rPr>
          <w:b/>
        </w:rPr>
        <w:t>ABJC - ABJC - SERVAIR ABIDJAN CI</w:t>
      </w:r>
      <w:r>
        <w:t xml:space="preserve"> | Prix: 3900 FCFA | </w:t>
      </w:r>
      <w:r>
        <w:rPr>
          <w:b/>
          <w:color w:val="008000"/>
        </w:rPr>
        <w:t>ACHAT</w:t>
      </w:r>
      <w:r>
        <w:t xml:space="preserve"> | Confiance: Moyen | Risque: Moyen</w:t>
      </w:r>
    </w:p>
    <w:p>
      <w:pPr>
        <w:pStyle w:val="ListNumber"/>
      </w:pPr>
      <w:r>
        <w:rPr>
          <w:b/>
        </w:rPr>
        <w:t>BICB - BIIC BN - Banque internationale pour le commerce du benin</w:t>
      </w:r>
      <w:r>
        <w:t xml:space="preserve"> | Prix: 10400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33005 FCFA | </w:t>
      </w:r>
      <w:r>
        <w:rPr>
          <w:b/>
          <w:color w:val="008000"/>
        </w:rPr>
        <w:t>ACHAT</w:t>
      </w:r>
      <w:r>
        <w:t xml:space="preserve"> | Confiance: Faible | Risque: Moyen</w:t>
      </w:r>
    </w:p>
    <w:p>
      <w:pPr>
        <w:pStyle w:val="ListNumber"/>
      </w:pPr>
      <w:r>
        <w:rPr>
          <w:b/>
        </w:rPr>
        <w:t>BNBC - BNBC - BERNABE CI</w:t>
      </w:r>
      <w:r>
        <w:t xml:space="preserve"> | Prix: 2175 FCFA | </w:t>
      </w:r>
      <w:r>
        <w:rPr>
          <w:b/>
          <w:color w:val="008000"/>
        </w:rPr>
        <w:t>ACHAT</w:t>
      </w:r>
      <w:r>
        <w:t xml:space="preserve"> | Confiance: Élevée | Risque: Faible</w:t>
      </w:r>
    </w:p>
    <w:p>
      <w:pPr>
        <w:pStyle w:val="ListNumber"/>
      </w:pPr>
      <w:r>
        <w:rPr>
          <w:b/>
        </w:rPr>
        <w:t>BOAB - BANK OF AFRICA BENIN</w:t>
      </w:r>
      <w:r>
        <w:t xml:space="preserve"> | Prix: 10300 FCFA | </w:t>
      </w:r>
      <w:r>
        <w:rPr>
          <w:b/>
          <w:color w:val="008000"/>
        </w:rPr>
        <w:t>ACHAT</w:t>
      </w:r>
      <w:r>
        <w:t xml:space="preserve"> | Confiance: Moyen | Risque: Moyen</w:t>
      </w:r>
    </w:p>
    <w:p>
      <w:pPr>
        <w:pStyle w:val="ListNumber"/>
      </w:pPr>
      <w:r>
        <w:rPr>
          <w:b/>
        </w:rPr>
        <w:t>BOABF - BANK OF AFRICA BURKINA FASO</w:t>
      </w:r>
      <w:r>
        <w:t xml:space="preserve"> | Prix: 8880 FCFA | </w:t>
      </w:r>
      <w:r>
        <w:rPr>
          <w:b/>
          <w:color w:val="008000"/>
        </w:rPr>
        <w:t>ACHAT</w:t>
      </w:r>
      <w:r>
        <w:t xml:space="preserve"> | Confiance: Moyen | Risque: Moyen</w:t>
      </w:r>
    </w:p>
    <w:p>
      <w:pPr>
        <w:pStyle w:val="ListNumber"/>
      </w:pPr>
      <w:r>
        <w:rPr>
          <w:b/>
        </w:rPr>
        <w:t>BOAC - BANK OF AFRICA COTE D'IVOIRE</w:t>
      </w:r>
      <w:r>
        <w:t xml:space="preserve"> | Prix: 12500 FCFA | </w:t>
      </w:r>
      <w:r>
        <w:rPr>
          <w:b/>
          <w:color w:val="008000"/>
        </w:rPr>
        <w:t>ACHAT</w:t>
      </w:r>
      <w:r>
        <w:t xml:space="preserve"> | Confiance: Élevée | Risque: Moyen</w:t>
      </w:r>
    </w:p>
    <w:p>
      <w:pPr>
        <w:pStyle w:val="ListNumber"/>
      </w:pPr>
      <w:r>
        <w:rPr>
          <w:b/>
        </w:rPr>
        <w:t>BOAM - BANK OF AFRICA MALI</w:t>
      </w:r>
      <w:r>
        <w:t xml:space="preserve"> | Prix: 6400 FCFA | </w:t>
      </w:r>
      <w:r>
        <w:rPr>
          <w:b/>
          <w:color w:val="008000"/>
        </w:rPr>
        <w:t>ACHAT</w:t>
      </w:r>
      <w:r>
        <w:t xml:space="preserve"> | Confiance: Moyen | Risque: Faible</w:t>
      </w:r>
    </w:p>
    <w:p>
      <w:pPr>
        <w:pStyle w:val="ListNumber"/>
      </w:pPr>
      <w:r>
        <w:rPr>
          <w:b/>
        </w:rPr>
        <w:t>BOAN - BANK OF AFRICA NIGER</w:t>
      </w:r>
      <w:r>
        <w:t xml:space="preserve"> | Prix: 5450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97.95%</w:t>
      </w:r>
      <w:r>
        <w:t xml:space="preserve">  |  </w:t>
      </w:r>
      <w:r>
        <w:rPr>
          <w:b/>
        </w:rPr>
        <w:t xml:space="preserve">vs BRVM Composite: </w:t>
      </w:r>
      <w:r>
        <w:rPr>
          <w:b/>
          <w:color w:val="008000"/>
        </w:rPr>
        <w:t>+62.96%  🟢 Surperformance</w:t>
      </w:r>
      <w:r>
        <w:br/>
      </w:r>
      <w:r>
        <w:rPr>
          <w:b/>
        </w:rPr>
        <w:t xml:space="preserve">Sentiment général: </w:t>
      </w:r>
      <w:r>
        <w:t xml:space="preserve">ACHAT  |  </w:t>
      </w:r>
      <w:r>
        <w:rPr>
          <w:b/>
        </w:rPr>
        <w:t xml:space="preserve">Risque moyen: </w:t>
      </w:r>
      <w:r>
        <w:t xml:space="preserve">Moyen  |  </w:t>
      </w:r>
      <w:r>
        <w:rPr>
          <w:b/>
        </w:rPr>
        <w:t xml:space="preserve">Prix moyen: </w:t>
      </w:r>
      <w:r>
        <w:t>10100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47.18%</w:t>
      </w:r>
      <w:r>
        <w:t xml:space="preserve">  |  </w:t>
      </w:r>
      <w:r>
        <w:rPr>
          <w:b/>
        </w:rPr>
        <w:t xml:space="preserve">vs BRVM Composite: </w:t>
      </w:r>
      <w:r>
        <w:rPr>
          <w:b/>
          <w:color w:val="008000"/>
        </w:rPr>
        <w:t>+12.18%  🟢 Surperformance</w:t>
      </w:r>
      <w:r>
        <w:br/>
      </w:r>
      <w:r>
        <w:rPr>
          <w:b/>
        </w:rPr>
        <w:t xml:space="preserve">Sentiment général: </w:t>
      </w:r>
      <w:r>
        <w:t xml:space="preserve">ACHAT  |  </w:t>
      </w:r>
      <w:r>
        <w:rPr>
          <w:b/>
        </w:rPr>
        <w:t xml:space="preserve">Risque moyen: </w:t>
      </w:r>
      <w:r>
        <w:t xml:space="preserve">Moyen  |  </w:t>
      </w:r>
      <w:r>
        <w:rPr>
          <w:b/>
        </w:rPr>
        <w:t xml:space="preserve">Prix moyen: </w:t>
      </w:r>
      <w:r>
        <w:t>14167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29.00%</w:t>
      </w:r>
      <w:r>
        <w:t xml:space="preserve">  |  </w:t>
      </w:r>
      <w:r>
        <w:rPr>
          <w:b/>
        </w:rPr>
        <w:t xml:space="preserve">vs BRVM Composite: </w:t>
      </w:r>
      <w:r>
        <w:rPr>
          <w:b/>
          <w:color w:val="C00000"/>
        </w:rPr>
        <w:t>-5.99%  🔴 Sous-performance</w:t>
      </w:r>
      <w:r>
        <w:br/>
      </w:r>
      <w:r>
        <w:rPr>
          <w:b/>
        </w:rPr>
        <w:t xml:space="preserve">Sentiment général: </w:t>
      </w:r>
      <w:r>
        <w:t xml:space="preserve">ACHAT  |  </w:t>
      </w:r>
      <w:r>
        <w:rPr>
          <w:b/>
        </w:rPr>
        <w:t xml:space="preserve">Risque moyen: </w:t>
      </w:r>
      <w:r>
        <w:t xml:space="preserve">Moyen  |  </w:t>
      </w:r>
      <w:r>
        <w:rPr>
          <w:b/>
        </w:rPr>
        <w:t xml:space="preserve">Prix moyen: </w:t>
      </w:r>
      <w:r>
        <w:t>18929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26.89%</w:t>
      </w:r>
      <w:r>
        <w:t xml:space="preserve">  |  </w:t>
      </w:r>
      <w:r>
        <w:rPr>
          <w:b/>
        </w:rPr>
        <w:t xml:space="preserve">vs BRVM Composite: </w:t>
      </w:r>
      <w:r>
        <w:rPr>
          <w:b/>
          <w:color w:val="C00000"/>
        </w:rPr>
        <w:t>-8.10%  🔴 Sous-performance</w:t>
      </w:r>
      <w:r>
        <w:br/>
      </w:r>
      <w:r>
        <w:rPr>
          <w:b/>
        </w:rPr>
        <w:t xml:space="preserve">Sentiment général: </w:t>
      </w:r>
      <w:r>
        <w:t xml:space="preserve">ACHAT  |  </w:t>
      </w:r>
      <w:r>
        <w:rPr>
          <w:b/>
        </w:rPr>
        <w:t xml:space="preserve">Risque moyen: </w:t>
      </w:r>
      <w:r>
        <w:t xml:space="preserve">Moyen  |  </w:t>
      </w:r>
      <w:r>
        <w:rPr>
          <w:b/>
        </w:rPr>
        <w:t xml:space="preserve">Prix moyen: </w:t>
      </w:r>
      <w:r>
        <w:t>3089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26.12%</w:t>
      </w:r>
      <w:r>
        <w:t xml:space="preserve">  |  </w:t>
      </w:r>
      <w:r>
        <w:rPr>
          <w:b/>
        </w:rPr>
        <w:t xml:space="preserve">vs BRVM Composite: </w:t>
      </w:r>
      <w:r>
        <w:rPr>
          <w:b/>
          <w:color w:val="C00000"/>
        </w:rPr>
        <w:t>-8.88%  🔴 Sous-performance</w:t>
      </w:r>
      <w:r>
        <w:br/>
      </w:r>
      <w:r>
        <w:rPr>
          <w:b/>
        </w:rPr>
        <w:t xml:space="preserve">Sentiment général: </w:t>
      </w:r>
      <w:r>
        <w:t xml:space="preserve">ACHAT  |  </w:t>
      </w:r>
      <w:r>
        <w:rPr>
          <w:b/>
        </w:rPr>
        <w:t xml:space="preserve">Risque moyen: </w:t>
      </w:r>
      <w:r>
        <w:t xml:space="preserve">Moyen  |  </w:t>
      </w:r>
      <w:r>
        <w:rPr>
          <w:b/>
        </w:rPr>
        <w:t xml:space="preserve">Prix moyen: </w:t>
      </w:r>
      <w:r>
        <w:t>20810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25.63%</w:t>
      </w:r>
      <w:r>
        <w:t xml:space="preserve">  |  </w:t>
      </w:r>
      <w:r>
        <w:rPr>
          <w:b/>
        </w:rPr>
        <w:t xml:space="preserve">vs BRVM Composite: </w:t>
      </w:r>
      <w:r>
        <w:rPr>
          <w:b/>
          <w:color w:val="C00000"/>
        </w:rPr>
        <w:t>-9.37%  🔴 Sous-performance</w:t>
      </w:r>
      <w:r>
        <w:br/>
      </w:r>
      <w:r>
        <w:rPr>
          <w:b/>
        </w:rPr>
        <w:t xml:space="preserve">Sentiment général: </w:t>
      </w:r>
      <w:r>
        <w:t xml:space="preserve">ACHAT  |  </w:t>
      </w:r>
      <w:r>
        <w:rPr>
          <w:b/>
        </w:rPr>
        <w:t xml:space="preserve">Risque moyen: </w:t>
      </w:r>
      <w:r>
        <w:t xml:space="preserve">Moyen  |  </w:t>
      </w:r>
      <w:r>
        <w:rPr>
          <w:b/>
        </w:rPr>
        <w:t xml:space="preserve">Prix moyen: </w:t>
      </w:r>
      <w:r>
        <w:t>6778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-3.72%</w:t>
      </w:r>
      <w:r>
        <w:t xml:space="preserve">  |  </w:t>
      </w:r>
      <w:r>
        <w:rPr>
          <w:b/>
        </w:rPr>
        <w:t xml:space="preserve">vs BRVM Composite: </w:t>
      </w:r>
      <w:r>
        <w:rPr>
          <w:b/>
          <w:color w:val="C00000"/>
        </w:rPr>
        <w:t>-38.71%  🔴 Sous-performance</w:t>
      </w:r>
      <w:r>
        <w:br/>
      </w:r>
      <w:r>
        <w:rPr>
          <w:b/>
        </w:rPr>
        <w:t xml:space="preserve">Sentiment général: </w:t>
      </w:r>
      <w:r>
        <w:t xml:space="preserve">ACHAT  |  </w:t>
      </w:r>
      <w:r>
        <w:rPr>
          <w:b/>
        </w:rPr>
        <w:t xml:space="preserve">Risque moyen: </w:t>
      </w:r>
      <w:r>
        <w:t xml:space="preserve">Moyen  |  </w:t>
      </w:r>
      <w:r>
        <w:rPr>
          <w:b/>
        </w:rPr>
        <w:t xml:space="preserve">Prix moyen: </w:t>
      </w:r>
      <w:r>
        <w:t>2568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BOAC, BOAS, CFAC, PALC, SEMC, SICC, SIVC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BOABF, BOAM, BOAN, CABC, FTSC, NEIC, NTLC, ORAC, SAFC, SCRC, SDCC, SDSC, SGBC, SIBC, SLBC, SMBC, SNTS, SPHC, STAC, TTLC,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BICC, CBIBF, CIEC, ECOC, ETIT, LNBB, NSBC, ONTBF, ORGT, PRSC, SHEC, SOGC, STBC, UNXC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1459388</w:t>
            </w:r>
          </w:p>
        </w:tc>
        <w:tc>
          <w:tcPr>
            <w:tcW w:type="dxa" w:w="1728"/>
          </w:tcPr>
          <w:p>
            <w:r>
              <w:t>96904076 FCFA</w:t>
            </w:r>
          </w:p>
        </w:tc>
        <w:tc>
          <w:tcPr>
            <w:tcW w:type="dxa" w:w="1728"/>
          </w:tcPr>
          <w:p>
            <w:r>
              <w:t>108.82%</w:t>
            </w:r>
          </w:p>
        </w:tc>
        <w:tc>
          <w:tcPr>
            <w:tcW w:type="dxa" w:w="1728"/>
          </w:tcPr>
          <w:p>
            <w:r>
              <w:t>ACHAT</w:t>
            </w:r>
          </w:p>
        </w:tc>
      </w:tr>
      <w:tr>
        <w:tc>
          <w:tcPr>
            <w:tcW w:type="dxa" w:w="1728"/>
          </w:tcPr>
          <w:p>
            <w:r>
              <w:t>BICB (BIIC BN - Banque internationale pour le commerce du benin)</w:t>
            </w:r>
          </w:p>
        </w:tc>
        <w:tc>
          <w:tcPr>
            <w:tcW w:type="dxa" w:w="1728"/>
          </w:tcPr>
          <w:p>
            <w:r>
              <w:t>20868</w:t>
            </w:r>
          </w:p>
        </w:tc>
        <w:tc>
          <w:tcPr>
            <w:tcW w:type="dxa" w:w="1728"/>
          </w:tcPr>
          <w:p>
            <w:r>
              <w:t>173903836 FCFA</w:t>
            </w:r>
          </w:p>
        </w:tc>
        <w:tc>
          <w:tcPr>
            <w:tcW w:type="dxa" w:w="1728"/>
          </w:tcPr>
          <w:p>
            <w:r>
              <w:t>101.94%</w:t>
            </w:r>
          </w:p>
        </w:tc>
        <w:tc>
          <w:tcPr>
            <w:tcW w:type="dxa" w:w="1728"/>
          </w:tcPr>
          <w:p>
            <w:r>
              <w:t>ACHAT</w:t>
            </w:r>
          </w:p>
        </w:tc>
      </w:tr>
      <w:tr>
        <w:tc>
          <w:tcPr>
            <w:tcW w:type="dxa" w:w="1728"/>
          </w:tcPr>
          <w:p>
            <w:r>
              <w:t>SDSC (SDSC - AFRICA GLOBAL LOGISTICS CI)</w:t>
            </w:r>
          </w:p>
        </w:tc>
        <w:tc>
          <w:tcPr>
            <w:tcW w:type="dxa" w:w="1728"/>
          </w:tcPr>
          <w:p>
            <w:r>
              <w:t>19353</w:t>
            </w:r>
          </w:p>
        </w:tc>
        <w:tc>
          <w:tcPr>
            <w:tcW w:type="dxa" w:w="1728"/>
          </w:tcPr>
          <w:p>
            <w:r>
              <w:t>53049452 FCFA</w:t>
            </w:r>
          </w:p>
        </w:tc>
        <w:tc>
          <w:tcPr>
            <w:tcW w:type="dxa" w:w="1728"/>
          </w:tcPr>
          <w:p>
            <w:r>
              <w:t>69.13%</w:t>
            </w:r>
          </w:p>
        </w:tc>
        <w:tc>
          <w:tcPr>
            <w:tcW w:type="dxa" w:w="1728"/>
          </w:tcPr>
          <w:p>
            <w:r>
              <w:t>ACHAT FORT</w:t>
            </w:r>
          </w:p>
        </w:tc>
      </w:tr>
      <w:tr>
        <w:tc>
          <w:tcPr>
            <w:tcW w:type="dxa" w:w="1728"/>
          </w:tcPr>
          <w:p>
            <w:r>
              <w:t>UNXC (UNXC - UNIWAX COTE D'IVOIRE)</w:t>
            </w:r>
          </w:p>
        </w:tc>
        <w:tc>
          <w:tcPr>
            <w:tcW w:type="dxa" w:w="1728"/>
          </w:tcPr>
          <w:p>
            <w:r>
              <w:t>16181</w:t>
            </w:r>
          </w:p>
        </w:tc>
        <w:tc>
          <w:tcPr>
            <w:tcW w:type="dxa" w:w="1728"/>
          </w:tcPr>
          <w:p>
            <w:r>
              <w:t>37223429 FCFA</w:t>
            </w:r>
          </w:p>
        </w:tc>
        <w:tc>
          <w:tcPr>
            <w:tcW w:type="dxa" w:w="1728"/>
          </w:tcPr>
          <w:p>
            <w:r>
              <w:t>22.70%</w:t>
            </w:r>
          </w:p>
        </w:tc>
        <w:tc>
          <w:tcPr>
            <w:tcW w:type="dxa" w:w="1728"/>
          </w:tcPr>
          <w:p>
            <w:r>
              <w:t>ACHAT</w:t>
            </w:r>
          </w:p>
        </w:tc>
      </w:tr>
      <w:tr>
        <w:tc>
          <w:tcPr>
            <w:tcW w:type="dxa" w:w="1728"/>
          </w:tcPr>
          <w:p>
            <w:r>
              <w:t>BOAS (BANK OF AFRICA SENEGAL)</w:t>
            </w:r>
          </w:p>
        </w:tc>
        <w:tc>
          <w:tcPr>
            <w:tcW w:type="dxa" w:w="1728"/>
          </w:tcPr>
          <w:p>
            <w:r>
              <w:t>15516</w:t>
            </w:r>
          </w:p>
        </w:tc>
        <w:tc>
          <w:tcPr>
            <w:tcW w:type="dxa" w:w="1728"/>
          </w:tcPr>
          <w:p>
            <w:r>
              <w:t>123967257 FCFA</w:t>
            </w:r>
          </w:p>
        </w:tc>
        <w:tc>
          <w:tcPr>
            <w:tcW w:type="dxa" w:w="1728"/>
          </w:tcPr>
          <w:p>
            <w:r>
              <w:t>23.17%</w:t>
            </w:r>
          </w:p>
        </w:tc>
        <w:tc>
          <w:tcPr>
            <w:tcW w:type="dxa" w:w="1728"/>
          </w:tcPr>
          <w:p>
            <w:r>
              <w:t>ACHAT</w:t>
            </w:r>
          </w:p>
        </w:tc>
      </w:tr>
      <w:tr>
        <w:tc>
          <w:tcPr>
            <w:tcW w:type="dxa" w:w="1728"/>
          </w:tcPr>
          <w:p>
            <w:r>
              <w:t>SIBC (SIBC - SOCIETE IVOIRIENNE DE BANQUE)</w:t>
            </w:r>
          </w:p>
        </w:tc>
        <w:tc>
          <w:tcPr>
            <w:tcW w:type="dxa" w:w="1728"/>
          </w:tcPr>
          <w:p>
            <w:r>
              <w:t>14916</w:t>
            </w:r>
          </w:p>
        </w:tc>
        <w:tc>
          <w:tcPr>
            <w:tcW w:type="dxa" w:w="1728"/>
          </w:tcPr>
          <w:p>
            <w:r>
              <w:t>136280282 FCFA</w:t>
            </w:r>
          </w:p>
        </w:tc>
        <w:tc>
          <w:tcPr>
            <w:tcW w:type="dxa" w:w="1728"/>
          </w:tcPr>
          <w:p>
            <w:r>
              <w:t>29.67%</w:t>
            </w:r>
          </w:p>
        </w:tc>
        <w:tc>
          <w:tcPr>
            <w:tcW w:type="dxa" w:w="1728"/>
          </w:tcPr>
          <w:p>
            <w:r>
              <w:t>ACHAT</w:t>
            </w:r>
          </w:p>
        </w:tc>
      </w:tr>
      <w:tr>
        <w:tc>
          <w:tcPr>
            <w:tcW w:type="dxa" w:w="1728"/>
          </w:tcPr>
          <w:p>
            <w:r>
              <w:t>SOGC (SOGC - Société des caoutchoucs de Grand-Béréby)</w:t>
            </w:r>
          </w:p>
        </w:tc>
        <w:tc>
          <w:tcPr>
            <w:tcW w:type="dxa" w:w="1728"/>
          </w:tcPr>
          <w:p>
            <w:r>
              <w:t>11974</w:t>
            </w:r>
          </w:p>
        </w:tc>
        <w:tc>
          <w:tcPr>
            <w:tcW w:type="dxa" w:w="1728"/>
          </w:tcPr>
          <w:p>
            <w:r>
              <w:t>91076941 FCFA</w:t>
            </w:r>
          </w:p>
        </w:tc>
        <w:tc>
          <w:tcPr>
            <w:tcW w:type="dxa" w:w="1728"/>
          </w:tcPr>
          <w:p>
            <w:r>
              <w:t>10.41%</w:t>
            </w:r>
          </w:p>
        </w:tc>
        <w:tc>
          <w:tcPr>
            <w:tcW w:type="dxa" w:w="1728"/>
          </w:tcPr>
          <w:p>
            <w:r>
              <w:t>ACHAT</w:t>
            </w:r>
          </w:p>
        </w:tc>
      </w:tr>
      <w:tr>
        <w:tc>
          <w:tcPr>
            <w:tcW w:type="dxa" w:w="1728"/>
          </w:tcPr>
          <w:p>
            <w:r>
              <w:t>SNTS (SNTS - SONATEL SN)</w:t>
            </w:r>
          </w:p>
        </w:tc>
        <w:tc>
          <w:tcPr>
            <w:tcW w:type="dxa" w:w="1728"/>
          </w:tcPr>
          <w:p>
            <w:r>
              <w:t>11058</w:t>
            </w:r>
          </w:p>
        </w:tc>
        <w:tc>
          <w:tcPr>
            <w:tcW w:type="dxa" w:w="1728"/>
          </w:tcPr>
          <w:p>
            <w:r>
              <w:t>383247054 FCFA</w:t>
            </w:r>
          </w:p>
        </w:tc>
        <w:tc>
          <w:tcPr>
            <w:tcW w:type="dxa" w:w="1728"/>
          </w:tcPr>
          <w:p>
            <w:r>
              <w:t>33.68%</w:t>
            </w:r>
          </w:p>
        </w:tc>
        <w:tc>
          <w:tcPr>
            <w:tcW w:type="dxa" w:w="1728"/>
          </w:tcPr>
          <w:p>
            <w:r>
              <w:t>ACHAT</w:t>
            </w:r>
          </w:p>
        </w:tc>
      </w:tr>
      <w:tr>
        <w:tc>
          <w:tcPr>
            <w:tcW w:type="dxa" w:w="1728"/>
          </w:tcPr>
          <w:p>
            <w:r>
              <w:t>BOAC (BANK OF AFRICA COTE D'IVOIRE)</w:t>
            </w:r>
          </w:p>
        </w:tc>
        <w:tc>
          <w:tcPr>
            <w:tcW w:type="dxa" w:w="1728"/>
          </w:tcPr>
          <w:p>
            <w:r>
              <w:t>10510</w:t>
            </w:r>
          </w:p>
        </w:tc>
        <w:tc>
          <w:tcPr>
            <w:tcW w:type="dxa" w:w="1728"/>
          </w:tcPr>
          <w:p>
            <w:r>
              <w:t>133148861 FCFA</w:t>
            </w:r>
          </w:p>
        </w:tc>
        <w:tc>
          <w:tcPr>
            <w:tcW w:type="dxa" w:w="1728"/>
          </w:tcPr>
          <w:p>
            <w:r>
              <w:t>47.32%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3935</w:t>
            </w:r>
          </w:p>
        </w:tc>
        <w:tc>
          <w:tcPr>
            <w:tcW w:type="dxa" w:w="1728"/>
          </w:tcPr>
          <w:p>
            <w:r>
              <w:t>90074910 FCFA</w:t>
            </w:r>
          </w:p>
        </w:tc>
        <w:tc>
          <w:tcPr>
            <w:tcW w:type="dxa" w:w="1728"/>
          </w:tcPr>
          <w:p>
            <w:r>
              <w:t>4.12%</w:t>
            </w:r>
          </w:p>
        </w:tc>
        <w:tc>
          <w:tcPr>
            <w:tcW w:type="dxa" w:w="1728"/>
          </w:tcPr>
          <w:p>
            <w:r>
              <w:t>ACHAT</w:t>
            </w:r>
          </w:p>
        </w:tc>
      </w:tr>
      <w:tr>
        <w:tc>
          <w:tcPr>
            <w:tcW w:type="dxa" w:w="1728"/>
          </w:tcPr>
          <w:p>
            <w:r>
              <w:t>ORGT (ORGT - ORAGROUP TOGO)</w:t>
            </w:r>
          </w:p>
        </w:tc>
        <w:tc>
          <w:tcPr>
            <w:tcW w:type="dxa" w:w="1728"/>
          </w:tcPr>
          <w:p>
            <w:r>
              <w:t>3744</w:t>
            </w:r>
          </w:p>
        </w:tc>
        <w:tc>
          <w:tcPr>
            <w:tcW w:type="dxa" w:w="1728"/>
          </w:tcPr>
          <w:p>
            <w:r>
              <w:t>11773972 FCFA</w:t>
            </w:r>
          </w:p>
        </w:tc>
        <w:tc>
          <w:tcPr>
            <w:tcW w:type="dxa" w:w="1728"/>
          </w:tcPr>
          <w:p>
            <w:r>
              <w:t>-8.63%</w:t>
            </w:r>
          </w:p>
        </w:tc>
        <w:tc>
          <w:tcPr>
            <w:tcW w:type="dxa" w:w="1728"/>
          </w:tcPr>
          <w:p>
            <w:r>
              <w:t>ACHAT</w:t>
            </w:r>
          </w:p>
        </w:tc>
      </w:tr>
      <w:tr>
        <w:tc>
          <w:tcPr>
            <w:tcW w:type="dxa" w:w="1728"/>
          </w:tcPr>
          <w:p>
            <w:r>
              <w:t>ABJC (ABJC - SERVAIR ABIDJAN CI)</w:t>
            </w:r>
          </w:p>
        </w:tc>
        <w:tc>
          <w:tcPr>
            <w:tcW w:type="dxa" w:w="1728"/>
          </w:tcPr>
          <w:p>
            <w:r>
              <w:t>3728</w:t>
            </w:r>
          </w:p>
        </w:tc>
        <w:tc>
          <w:tcPr>
            <w:tcW w:type="dxa" w:w="1728"/>
          </w:tcPr>
          <w:p>
            <w:r>
              <w:t>13168921 FCFA</w:t>
            </w:r>
          </w:p>
        </w:tc>
        <w:tc>
          <w:tcPr>
            <w:tcW w:type="dxa" w:w="1728"/>
          </w:tcPr>
          <w:p>
            <w:r>
              <w:t>12.39%</w:t>
            </w:r>
          </w:p>
        </w:tc>
        <w:tc>
          <w:tcPr>
            <w:tcW w:type="dxa" w:w="1728"/>
          </w:tcPr>
          <w:p>
            <w:r>
              <w:t>ACHAT</w:t>
            </w:r>
          </w:p>
        </w:tc>
      </w:tr>
      <w:tr>
        <w:tc>
          <w:tcPr>
            <w:tcW w:type="dxa" w:w="1728"/>
          </w:tcPr>
          <w:p>
            <w:r>
              <w:t>CFAC (CFAC - CFAO MOTORS CI)</w:t>
            </w:r>
          </w:p>
        </w:tc>
        <w:tc>
          <w:tcPr>
            <w:tcW w:type="dxa" w:w="1728"/>
          </w:tcPr>
          <w:p>
            <w:r>
              <w:t>3672</w:t>
            </w:r>
          </w:p>
        </w:tc>
        <w:tc>
          <w:tcPr>
            <w:tcW w:type="dxa" w:w="1728"/>
          </w:tcPr>
          <w:p>
            <w:r>
              <w:t>6241754 FCFA</w:t>
            </w:r>
          </w:p>
        </w:tc>
        <w:tc>
          <w:tcPr>
            <w:tcW w:type="dxa" w:w="1728"/>
          </w:tcPr>
          <w:p>
            <w:r>
              <w:t>6.40%</w:t>
            </w:r>
          </w:p>
        </w:tc>
        <w:tc>
          <w:tcPr>
            <w:tcW w:type="dxa" w:w="1728"/>
          </w:tcPr>
          <w:p>
            <w:r>
              <w:t>ACHAT</w:t>
            </w:r>
          </w:p>
        </w:tc>
      </w:tr>
      <w:tr>
        <w:tc>
          <w:tcPr>
            <w:tcW w:type="dxa" w:w="1728"/>
          </w:tcPr>
          <w:p>
            <w:r>
              <w:t>FTSC (FTSC - FILTISAC COTE D'IVOIRE)</w:t>
            </w:r>
          </w:p>
        </w:tc>
        <w:tc>
          <w:tcPr>
            <w:tcW w:type="dxa" w:w="1728"/>
          </w:tcPr>
          <w:p>
            <w:r>
              <w:t>3431</w:t>
            </w:r>
          </w:p>
        </w:tc>
        <w:tc>
          <w:tcPr>
            <w:tcW w:type="dxa" w:w="1728"/>
          </w:tcPr>
          <w:p>
            <w:r>
              <w:t>7404791 FCFA</w:t>
            </w:r>
          </w:p>
        </w:tc>
        <w:tc>
          <w:tcPr>
            <w:tcW w:type="dxa" w:w="1728"/>
          </w:tcPr>
          <w:p>
            <w:r>
              <w:t>-6.72%</w:t>
            </w:r>
          </w:p>
        </w:tc>
        <w:tc>
          <w:tcPr>
            <w:tcW w:type="dxa" w:w="1728"/>
          </w:tcPr>
          <w:p>
            <w:r>
              <w:t>ACHAT</w:t>
            </w:r>
          </w:p>
        </w:tc>
      </w:tr>
      <w:tr>
        <w:tc>
          <w:tcPr>
            <w:tcW w:type="dxa" w:w="1728"/>
          </w:tcPr>
          <w:p>
            <w:r>
              <w:t>ORAC (ORAC - ORANGE COTE D'IVOIRE)</w:t>
            </w:r>
          </w:p>
        </w:tc>
        <w:tc>
          <w:tcPr>
            <w:tcW w:type="dxa" w:w="1728"/>
          </w:tcPr>
          <w:p>
            <w:r>
              <w:t>2956</w:t>
            </w:r>
          </w:p>
        </w:tc>
        <w:tc>
          <w:tcPr>
            <w:tcW w:type="dxa" w:w="1728"/>
          </w:tcPr>
          <w:p>
            <w:r>
              <w:t>59714368 FCFA</w:t>
            </w:r>
          </w:p>
        </w:tc>
        <w:tc>
          <w:tcPr>
            <w:tcW w:type="dxa" w:w="1728"/>
          </w:tcPr>
          <w:p>
            <w:r>
              <w:t>40.02%</w:t>
            </w:r>
          </w:p>
        </w:tc>
        <w:tc>
          <w:tcPr>
            <w:tcW w:type="dxa" w:w="1728"/>
          </w:tcPr>
          <w:p>
            <w:r>
              <w:t>ACHAT</w:t>
            </w:r>
          </w:p>
        </w:tc>
      </w:tr>
      <w:tr>
        <w:tc>
          <w:tcPr>
            <w:tcW w:type="dxa" w:w="1728"/>
          </w:tcPr>
          <w:p>
            <w:r>
              <w:t>PALC (PALC - PALM COTE D'IVOIRE)</w:t>
            </w:r>
          </w:p>
        </w:tc>
        <w:tc>
          <w:tcPr>
            <w:tcW w:type="dxa" w:w="1728"/>
          </w:tcPr>
          <w:p>
            <w:r>
              <w:t>2947</w:t>
            </w:r>
          </w:p>
        </w:tc>
        <w:tc>
          <w:tcPr>
            <w:tcW w:type="dxa" w:w="1728"/>
          </w:tcPr>
          <w:p>
            <w:r>
              <w:t>26988877 FCFA</w:t>
            </w:r>
          </w:p>
        </w:tc>
        <w:tc>
          <w:tcPr>
            <w:tcW w:type="dxa" w:w="1728"/>
          </w:tcPr>
          <w:p>
            <w:r>
              <w:t>4.65%</w:t>
            </w:r>
          </w:p>
        </w:tc>
        <w:tc>
          <w:tcPr>
            <w:tcW w:type="dxa" w:w="1728"/>
          </w:tcPr>
          <w:p>
            <w:r>
              <w:t>ACHAT</w:t>
            </w:r>
          </w:p>
        </w:tc>
      </w:tr>
      <w:tr>
        <w:tc>
          <w:tcPr>
            <w:tcW w:type="dxa" w:w="1728"/>
          </w:tcPr>
          <w:p>
            <w:r>
              <w:t>CABC (CABC - SICABLE COTE D'IVOIRE)</w:t>
            </w:r>
          </w:p>
        </w:tc>
        <w:tc>
          <w:tcPr>
            <w:tcW w:type="dxa" w:w="1728"/>
          </w:tcPr>
          <w:p>
            <w:r>
              <w:t>2579</w:t>
            </w:r>
          </w:p>
        </w:tc>
        <w:tc>
          <w:tcPr>
            <w:tcW w:type="dxa" w:w="1728"/>
          </w:tcPr>
          <w:p>
            <w:r>
              <w:t>9085252 FCFA</w:t>
            </w:r>
          </w:p>
        </w:tc>
        <w:tc>
          <w:tcPr>
            <w:tcW w:type="dxa" w:w="1728"/>
          </w:tcPr>
          <w:p>
            <w:r>
              <w:t>-18.43%</w:t>
            </w:r>
          </w:p>
        </w:tc>
        <w:tc>
          <w:tcPr>
            <w:tcW w:type="dxa" w:w="1728"/>
          </w:tcPr>
          <w:p>
            <w:r>
              <w:t>ACHAT</w:t>
            </w:r>
          </w:p>
        </w:tc>
      </w:tr>
      <w:tr>
        <w:tc>
          <w:tcPr>
            <w:tcW w:type="dxa" w:w="1728"/>
          </w:tcPr>
          <w:p>
            <w:r>
              <w:t>TTLS (TTLS - TOTAL ENERGIES MARKETING SENEGAL)</w:t>
            </w:r>
          </w:p>
        </w:tc>
        <w:tc>
          <w:tcPr>
            <w:tcW w:type="dxa" w:w="1728"/>
          </w:tcPr>
          <w:p>
            <w:r>
              <w:t>2500</w:t>
            </w:r>
          </w:p>
        </w:tc>
        <w:tc>
          <w:tcPr>
            <w:tcW w:type="dxa" w:w="1728"/>
          </w:tcPr>
          <w:p>
            <w:r>
              <w:t>9383418 FCFA</w:t>
            </w:r>
          </w:p>
        </w:tc>
        <w:tc>
          <w:tcPr>
            <w:tcW w:type="dxa" w:w="1728"/>
          </w:tcPr>
          <w:p>
            <w:r>
              <w:t>21.71%</w:t>
            </w:r>
          </w:p>
        </w:tc>
        <w:tc>
          <w:tcPr>
            <w:tcW w:type="dxa" w:w="1728"/>
          </w:tcPr>
          <w:p>
            <w:r>
              <w:t>ACHAT</w:t>
            </w:r>
          </w:p>
        </w:tc>
      </w:tr>
      <w:tr>
        <w:tc>
          <w:tcPr>
            <w:tcW w:type="dxa" w:w="1728"/>
          </w:tcPr>
          <w:p>
            <w:r>
              <w:t>NEIC (NEIC - NEI-CEDA CI)</w:t>
            </w:r>
          </w:p>
        </w:tc>
        <w:tc>
          <w:tcPr>
            <w:tcW w:type="dxa" w:w="1728"/>
          </w:tcPr>
          <w:p>
            <w:r>
              <w:t>2412</w:t>
            </w:r>
          </w:p>
        </w:tc>
        <w:tc>
          <w:tcPr>
            <w:tcW w:type="dxa" w:w="1728"/>
          </w:tcPr>
          <w:p>
            <w:r>
              <w:t>6483117 FCFA</w:t>
            </w:r>
          </w:p>
        </w:tc>
        <w:tc>
          <w:tcPr>
            <w:tcW w:type="dxa" w:w="1728"/>
          </w:tcPr>
          <w:p>
            <w:r>
              <w:t>118.98%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ETIT - ETIT - Ecobank Transnational Incorporated Togo</w:t>
      </w:r>
    </w:p>
    <w:p>
      <w:r>
        <w:rPr>
          <w:b/>
        </w:rPr>
        <w:t xml:space="preserve">Score de divergence: </w:t>
      </w:r>
      <w:r>
        <w:t>5/8</w:t>
        <w:br/>
      </w:r>
      <w:r>
        <w:rPr>
          <w:b/>
        </w:rPr>
        <w:t xml:space="preserve">Description: </w:t>
      </w:r>
      <w:r>
        <w:t>Signaux d'achat: MM | Signaux de vente: Bollinger, MACD, Stochastique | Recommandation finale: ACHAT</w:t>
        <w:br/>
      </w:r>
    </w:p>
    <w:p/>
    <w:p>
      <w:pPr>
        <w:pStyle w:val="Heading3"/>
      </w:pPr>
      <w:r>
        <w:t>2.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3. SOGC - SOGC - Société des caoutchoucs de Grand-Béréby</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4.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5. BICB - BIIC BN - Banque internationale pour le commerce du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BICC - BICI CI - Banque internationale pour le commerce et l'industrie de la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CBIBF - CBIBF - CORIS BANK INTERNATIONAL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CIEC - CIEC - Compagnie Ivoirienne d'Electricité</w:t>
      </w:r>
    </w:p>
    <w:p>
      <w:r>
        <w:rPr>
          <w:b/>
        </w:rPr>
        <w:t xml:space="preserve">Score de divergence: </w:t>
      </w:r>
      <w:r>
        <w:t>4/8</w:t>
        <w:br/>
      </w:r>
      <w:r>
        <w:rPr>
          <w:b/>
        </w:rPr>
        <w:t xml:space="preserve">Description: </w:t>
      </w:r>
      <w:r>
        <w:t>Signaux d'achat: MM | Signaux de vente: MACD, RSI | Recommandation finale: ACHAT</w:t>
        <w:br/>
      </w:r>
    </w:p>
    <w:p/>
    <w:p>
      <w:pPr>
        <w:pStyle w:val="Heading3"/>
      </w:pPr>
      <w:r>
        <w:t>9. ECOC - ECOC - ECOBANK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NSBC - NSBC - NSIA BANQUE COTE D'IVOIRE</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MACRO-FINANCIÈRE — BRVM**</w:t>
      </w:r>
    </w:p>
    <w:p>
      <w:pPr>
        <w:spacing w:before="20" w:after="40"/>
        <w:ind w:left="0"/>
      </w:pPr>
      <w:r>
        <w:rPr>
          <w:sz w:val="18"/>
        </w:rPr>
        <w:t>**Date : 06 Septembre 2026**</w:t>
      </w:r>
    </w:p>
    <w:p>
      <w:pPr>
        <w:spacing w:before="20" w:after="40"/>
        <w:ind w:left="0"/>
      </w:pPr>
      <w:r>
        <w:rPr>
          <w:sz w:val="18"/>
        </w:rPr>
        <w:t>**Indice BRVM Composite : 548,6 points**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L'environnement mondial est dominé par une politique monétaire restrictive en Europe. La BCE devrait relever ses taux d'intérêt la semaine prochaine pour lutter contre l'inflation, dans un contexte de ralentissement économique. Parallèlement, les banques françaises deviennent plus sélectives dans l'octroi de crédits immobiliers, anticipant des taux proches de 4%, ce qui reflète un resserrement global des conditions de financement.</w:t>
      </w:r>
    </w:p>
    <w:p>
      <w:pPr>
        <w:pStyle w:val="Heading3"/>
      </w:pPr>
      <w:r>
        <w:rPr>
          <w:color w:val="500050"/>
        </w:rPr>
        <w:t>⚡ Impact estimé sur la BRVM</w:t>
      </w:r>
    </w:p>
    <w:p>
      <w:pPr>
        <w:spacing w:before="20" w:after="40"/>
        <w:ind w:left="280"/>
      </w:pPr>
      <w:r>
        <w:rPr>
          <w:i/>
          <w:sz w:val="18"/>
        </w:rPr>
        <w:t>Le resserrement monétaire en Europe pourrait maintenir la pression sur l'Euro et le FCFA, mais n'affecte pas directement les fondamentaux des sociétés locales. Toutefois, la hausse des taux en Europe pourrait réduire l'appétit pour le risque des investisseurs internationaux vis-à-vis des marchés émergents, y compris la BRVM, limitant potentiellement les flux entrants à court terme.</w:t>
      </w:r>
    </w:p>
    <w:p>
      <w:pPr>
        <w:pStyle w:val="Heading2"/>
      </w:pPr>
      <w:r>
        <w:rPr>
          <w:color w:val="006E32"/>
        </w:rPr>
        <w:t>🌍 Plan Africain</w:t>
      </w:r>
    </w:p>
    <w:p>
      <w:pPr>
        <w:spacing w:before="20" w:after="40"/>
        <w:ind w:left="0"/>
      </w:pPr>
      <w:r>
        <w:rPr>
          <w:sz w:val="18"/>
        </w:rPr>
        <w:t>Le FMI a conclu un accord avec le Sénégal pour un programme d'aide d'environ 1,9 milliard d'euros sur 36 mois, un signal positif pour la zone. Par ailleurs, Goldman Sachs prévoit que l'Afrique du Sud retrouve sa notation "Investment grade" dès 2028, indiquant une amélioration des fondamentaux macroéconomiques du continent.</w:t>
      </w:r>
    </w:p>
    <w:p>
      <w:pPr>
        <w:pStyle w:val="Heading3"/>
      </w:pPr>
      <w:r>
        <w:rPr>
          <w:color w:val="500050"/>
        </w:rPr>
        <w:t>⚡ Impact estimé sur la BRVM</w:t>
      </w:r>
    </w:p>
    <w:p>
      <w:pPr>
        <w:spacing w:before="20" w:after="40"/>
        <w:ind w:left="280"/>
      </w:pPr>
      <w:r>
        <w:rPr>
          <w:i/>
          <w:sz w:val="18"/>
        </w:rPr>
        <w:t>L'accord FMI-Sénégal renforce la crédibilité financière de la zone UEMOA, bénéfique pour la confiance des investisseurs. Les banques cotées ayant des filiales ou des activités transfrontalières, comme **BOAB** ou **BOAC**, pourraient indirectement bénéficier d'un environnement macroéconomique régional plus stable.</w:t>
      </w:r>
    </w:p>
    <w:p>
      <w:pPr>
        <w:pStyle w:val="Heading2"/>
      </w:pPr>
      <w:r>
        <w:rPr>
          <w:color w:val="145A28"/>
        </w:rPr>
        <w:t>🌍 Plan Afrique de l'Ouest</w:t>
      </w:r>
    </w:p>
    <w:p>
      <w:pPr>
        <w:spacing w:before="20" w:after="40"/>
        <w:ind w:left="0"/>
      </w:pPr>
      <w:r>
        <w:rPr>
          <w:sz w:val="18"/>
        </w:rPr>
        <w:t>La CEDEAO a officialisé la prise de fonction du général sénégalais Birame Diop à la tête de sa Commission à Abuja. Cette transition institutionnelle marque une étape clé pour l'intégration économique régionale, bien que son impact économique immédiat reste neutre.</w:t>
      </w:r>
    </w:p>
    <w:p>
      <w:pPr>
        <w:pStyle w:val="Heading3"/>
      </w:pPr>
      <w:r>
        <w:rPr>
          <w:color w:val="500050"/>
        </w:rPr>
        <w:t>⚡ Impact estimé sur la BRVM</w:t>
      </w:r>
    </w:p>
    <w:p>
      <w:pPr>
        <w:spacing w:before="20" w:after="40"/>
        <w:ind w:left="280"/>
      </w:pPr>
      <w:r>
        <w:rPr>
          <w:i/>
          <w:sz w:val="18"/>
        </w:rPr>
        <w:t>La stabilité institutionnelle de la CEDEAO est un facteur de soutien pour les échanges commerciaux régionaux. Les sociétés de distribution et de consommation comme **CFAC** et **BNBC**, présentes dans plusieurs pays de la sous-région, bénéficient d'un environnement politique apaisé pour leurs opérations.</w:t>
      </w:r>
    </w:p>
    <w:p>
      <w:pPr>
        <w:pStyle w:val="Heading2"/>
      </w:pPr>
      <w:r>
        <w:rPr>
          <w:color w:val="8C4600"/>
        </w:rPr>
        <w:t>🏦 Plan UEMOA / Zone Franc</w:t>
      </w:r>
    </w:p>
    <w:p>
      <w:pPr>
        <w:spacing w:before="20" w:after="40"/>
        <w:ind w:left="0"/>
      </w:pPr>
      <w:r>
        <w:rPr>
          <w:sz w:val="18"/>
        </w:rPr>
        <w:t>Des tensions sociales sont apparues au Sénégal avec une manifestation contre la cherté de la vie, reflétant une pression inflationniste sur le coût de la vie dans la zone. Aucune décision de politique monétaire de la BCEAO n'a été rapportée dans les actualités collectées.</w:t>
      </w:r>
    </w:p>
    <w:p>
      <w:pPr>
        <w:pStyle w:val="Heading3"/>
      </w:pPr>
      <w:r>
        <w:rPr>
          <w:color w:val="500050"/>
        </w:rPr>
        <w:t>⚡ Impact estimé sur la BRVM</w:t>
      </w:r>
    </w:p>
    <w:p>
      <w:pPr>
        <w:spacing w:before="20" w:after="40"/>
        <w:ind w:left="280"/>
      </w:pPr>
      <w:r>
        <w:rPr>
          <w:i/>
          <w:sz w:val="18"/>
        </w:rPr>
        <w:t>Le mécontentement social lié au coût de la vie pourrait peser sur la consommation des ménages, affectant les secteurs de la consommation de base et discrétionnaire. Les valeurs comme **PALC** (agroalimentaire) et **BNBC** pourraient voir leurs volumes de ventes sous pression si le pouvoir d'achat se dégrade dans la région.</w:t>
      </w:r>
    </w:p>
    <w:p>
      <w:pPr>
        <w:pStyle w:val="Heading2"/>
      </w:pPr>
      <w:r>
        <w:rPr>
          <w:color w:val="003366"/>
        </w:rPr>
        <w:t>📈 Plan BRVM</w:t>
      </w:r>
    </w:p>
    <w:p>
      <w:pPr>
        <w:spacing w:before="20" w:after="40"/>
        <w:ind w:left="0"/>
      </w:pPr>
      <w:r>
        <w:rPr>
          <w:sz w:val="18"/>
        </w:rPr>
        <w:t>Les résultats encourageants des sociétés cotées ivoiriennes ont été mis en avant par la presse spécialisée, confirmant une dynamique positive des fondamentaux des entreprises de la place. L'indice Composite se situe à 548,6 points.</w:t>
      </w:r>
    </w:p>
    <w:p>
      <w:pPr>
        <w:pStyle w:val="Heading3"/>
      </w:pPr>
      <w:r>
        <w:rPr>
          <w:color w:val="500050"/>
        </w:rPr>
        <w:t>⚡ Impact estimé sur la BRVM</w:t>
      </w:r>
    </w:p>
    <w:p>
      <w:pPr>
        <w:spacing w:before="20" w:after="40"/>
        <w:ind w:left="280"/>
      </w:pPr>
      <w:r>
        <w:rPr>
          <w:i/>
          <w:sz w:val="18"/>
        </w:rPr>
        <w:t>Cette publication positive renforce l'attractivité des valeurs ivoiriennes. Les investisseurs devraient surveiller les titres bancaires comme **SGBC**, **BICB** et **BOAS** qui, portés par de bons résultats, pourraient continuer à soutenir l'indice. Les valeurs industrielles telles que **SIVC** et **SDSC** restent également des piliers solides du marché.</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actualités politiques internationales sont dominées par les décisions de politique monétaire de la BCE, sans événement géopolitique majeur (conflit, sanction) rapporté dans les données collectées.</w:t>
      </w:r>
    </w:p>
    <w:p>
      <w:pPr>
        <w:pStyle w:val="Heading3"/>
      </w:pPr>
      <w:r>
        <w:rPr>
          <w:color w:val="500050"/>
        </w:rPr>
        <w:t>⚡ Impact estimé sur la BRVM</w:t>
      </w:r>
    </w:p>
    <w:p>
      <w:pPr>
        <w:spacing w:before="20" w:after="40"/>
        <w:ind w:left="280"/>
      </w:pPr>
      <w:r>
        <w:rPr>
          <w:i/>
          <w:sz w:val="18"/>
        </w:rPr>
        <w:t>Données insuffisantes pour établir un impact géopolitique direct. L'attention reste focalisée sur les politiques monétaires des banques centrales des pays développés.</w:t>
      </w:r>
    </w:p>
    <w:p>
      <w:pPr>
        <w:pStyle w:val="Heading2"/>
      </w:pPr>
      <w:r>
        <w:rPr>
          <w:color w:val="006E32"/>
        </w:rPr>
        <w:t>🌍 Plan Africain</w:t>
      </w:r>
    </w:p>
    <w:p>
      <w:pPr>
        <w:spacing w:before="20" w:after="40"/>
        <w:ind w:left="0"/>
      </w:pPr>
      <w:r>
        <w:rPr>
          <w:sz w:val="18"/>
        </w:rPr>
        <w:t>Aucune actualité politique majeure (élection, coup d'État, transition) n'a été rapportée au niveau continental dans les données fournies.</w:t>
      </w:r>
    </w:p>
    <w:p>
      <w:pPr>
        <w:pStyle w:val="Heading3"/>
      </w:pPr>
      <w:r>
        <w:rPr>
          <w:color w:val="500050"/>
        </w:rPr>
        <w:t>⚡ Impact estimé sur la BRVM</w:t>
      </w:r>
    </w:p>
    <w:p>
      <w:pPr>
        <w:spacing w:before="20" w:after="40"/>
        <w:ind w:left="280"/>
      </w:pPr>
      <w:r>
        <w:rPr>
          <w:i/>
          <w:sz w:val="18"/>
        </w:rPr>
        <w:t>Données insuffisantes. L'absence de choc politique majeur sur le continent est un facteur de stabilité relative pour les flux de capitaux vers les places financières africaines.</w:t>
      </w:r>
    </w:p>
    <w:p>
      <w:pPr>
        <w:pStyle w:val="Heading2"/>
      </w:pPr>
      <w:r>
        <w:rPr>
          <w:color w:val="145A28"/>
        </w:rPr>
        <w:t>🌍 Plan Afrique de l'Ouest</w:t>
      </w:r>
    </w:p>
    <w:p>
      <w:pPr>
        <w:spacing w:before="20" w:after="40"/>
        <w:ind w:left="0"/>
      </w:pPr>
      <w:r>
        <w:rPr>
          <w:sz w:val="18"/>
        </w:rPr>
        <w:t>La nomination du général Birame Diop à la tête de la Commission de la CEDEAO est l'événement politique principal. Cette transition institutionnelle est perçue comme un signal de continuité et de stabilité pour la gouvernance régionale.</w:t>
      </w:r>
    </w:p>
    <w:p>
      <w:pPr>
        <w:pStyle w:val="Heading3"/>
      </w:pPr>
      <w:r>
        <w:rPr>
          <w:color w:val="500050"/>
        </w:rPr>
        <w:t>⚡ Impact estimé sur la BRVM</w:t>
      </w:r>
    </w:p>
    <w:p>
      <w:pPr>
        <w:spacing w:before="20" w:after="40"/>
        <w:ind w:left="280"/>
      </w:pPr>
      <w:r>
        <w:rPr>
          <w:i/>
          <w:sz w:val="18"/>
        </w:rPr>
        <w:t>La stabilité de la CEDEAO est cruciale pour les sociétés cotées ayant une empreinte régionale. Les groupes comme **ETIT** (câblage et équipements) et **ORGT** qui opèrent sur des projets d'infrastructure dans plusieurs pays membres bénéficient d'un climat de coopération régionale stable.</w:t>
      </w:r>
    </w:p>
    <w:p>
      <w:pPr>
        <w:pStyle w:val="Heading2"/>
      </w:pPr>
      <w:r>
        <w:rPr>
          <w:color w:val="8C4600"/>
        </w:rPr>
        <w:t>🏦 Plan UEMOA / Zone Franc</w:t>
      </w:r>
    </w:p>
    <w:p>
      <w:pPr>
        <w:spacing w:before="20" w:after="40"/>
        <w:ind w:left="0"/>
      </w:pPr>
      <w:r>
        <w:rPr>
          <w:sz w:val="18"/>
        </w:rPr>
        <w:t>Une polémique politique a éclaté au Sénégal entre personnalités politiques locales, sans impact direct sur les institutions économiques de l'UEMOA. Le climat politique général dans la zone semble stable, malgré les tensions sociales liées au coût de la vie.</w:t>
      </w:r>
    </w:p>
    <w:p>
      <w:pPr>
        <w:pStyle w:val="Heading3"/>
      </w:pPr>
      <w:r>
        <w:rPr>
          <w:color w:val="500050"/>
        </w:rPr>
        <w:t>⚡ Impact estimé sur la BRVM</w:t>
      </w:r>
    </w:p>
    <w:p>
      <w:pPr>
        <w:spacing w:before="20" w:after="40"/>
        <w:ind w:left="280"/>
      </w:pPr>
      <w:r>
        <w:rPr>
          <w:i/>
          <w:sz w:val="18"/>
        </w:rPr>
        <w:t>Les risques politiques directs pour la BRVM sont limités. Les réformes institutionnelles et la stabilité des États membres, notamment la Côte d'Ivoire et le Sénégal, restent des piliers pour la confiance des investisseurs dans les valeurs financières comme **BOAC** et **ECOC**.</w:t>
      </w:r>
    </w:p>
    <w:p>
      <w:pPr>
        <w:pStyle w:val="Heading2"/>
      </w:pPr>
      <w:r>
        <w:rPr>
          <w:color w:val="003366"/>
        </w:rPr>
        <w:t>📈 Plan BRVM</w:t>
      </w:r>
    </w:p>
    <w:p>
      <w:pPr>
        <w:spacing w:before="20" w:after="40"/>
        <w:ind w:left="0"/>
      </w:pPr>
      <w:r>
        <w:rPr>
          <w:sz w:val="18"/>
        </w:rPr>
        <w:t>Aucune actualité réglementaire spécifique (CREPMF) ou de gouvernance d'entreprise majeure n'a été rapportée dans les données collectées pour cette période.</w:t>
      </w:r>
    </w:p>
    <w:p>
      <w:pPr>
        <w:pStyle w:val="Heading3"/>
      </w:pPr>
      <w:r>
        <w:rPr>
          <w:color w:val="500050"/>
        </w:rPr>
        <w:t>⚡ Impact estimé sur la BRVM</w:t>
      </w:r>
    </w:p>
    <w:p>
      <w:pPr>
        <w:spacing w:before="20" w:after="40"/>
        <w:ind w:left="280"/>
      </w:pPr>
      <w:r>
        <w:rPr>
          <w:i/>
          <w:sz w:val="18"/>
        </w:rPr>
        <w:t>Données insuffisantes. L'absence de nouvelles réglementaires majeures suggère un environnement stable, permettant aux investisseurs de se concentrer sur les fondamentaux des sociétés.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financiers mondiaux sont en attente de la décision de la BCE sur les taux. Un relèvement des taux est anticipé, ce qui pourrait renforcer l'Euro et potentiellement créer de la volatilité sur les marchés émergents. Le secteur immobilier français montre des signes de ralentissement avec des banques plus sélectives.</w:t>
      </w:r>
    </w:p>
    <w:p>
      <w:pPr>
        <w:pStyle w:val="Heading3"/>
      </w:pPr>
      <w:r>
        <w:rPr>
          <w:color w:val="500050"/>
        </w:rPr>
        <w:t>⚡ Impact estimé sur la BRVM</w:t>
      </w:r>
    </w:p>
    <w:p>
      <w:pPr>
        <w:spacing w:before="20" w:after="40"/>
        <w:ind w:left="280"/>
      </w:pPr>
      <w:r>
        <w:rPr>
          <w:i/>
          <w:sz w:val="18"/>
        </w:rPr>
        <w:t>Une hausse des taux en Europe pourrait rendre les actifs européens plus attractifs, détournant potentiellement une partie des flux d'investissement dédiés aux marchés émergents. Cependant, la BRVM, avec son rendement de dividende élevé, pourrait rester attractive pour les investisseurs à la recherche de rendement.</w:t>
      </w:r>
    </w:p>
    <w:p>
      <w:pPr>
        <w:pStyle w:val="Heading2"/>
      </w:pPr>
      <w:r>
        <w:rPr>
          <w:color w:val="006E32"/>
        </w:rPr>
        <w:t>🌍 Plan Africain</w:t>
      </w:r>
    </w:p>
    <w:p>
      <w:pPr>
        <w:spacing w:before="20" w:after="40"/>
        <w:ind w:left="0"/>
      </w:pPr>
      <w:r>
        <w:rPr>
          <w:sz w:val="18"/>
        </w:rPr>
        <w:t>Les perspectives positives pour l'Afrique du Sud (retour au "Investment grade") et l'accord FMI avec le Sénégal créent un sentiment positif autour des actifs africains. Cela pourrait attirer l'attention des investisseurs internationaux sur le continent.</w:t>
      </w:r>
    </w:p>
    <w:p>
      <w:pPr>
        <w:pStyle w:val="Heading3"/>
      </w:pPr>
      <w:r>
        <w:rPr>
          <w:color w:val="500050"/>
        </w:rPr>
        <w:t>⚡ Impact estimé sur la BRVM</w:t>
      </w:r>
    </w:p>
    <w:p>
      <w:pPr>
        <w:spacing w:before="20" w:after="40"/>
        <w:ind w:left="280"/>
      </w:pPr>
      <w:r>
        <w:rPr>
          <w:i/>
          <w:sz w:val="18"/>
        </w:rPr>
        <w:t>Le renforcement de la crédibilité financière de l'Afrique est une opportunité pour la BRVM de se positionner comme une place de choix. Les fonds d'investissement panafricains pourraient accroître leurs allocations vers les valeurs sûres de la BRVM comme **SGBC** et **PALC**.</w:t>
      </w:r>
    </w:p>
    <w:p>
      <w:pPr>
        <w:pStyle w:val="Heading2"/>
      </w:pPr>
      <w:r>
        <w:rPr>
          <w:color w:val="145A28"/>
        </w:rPr>
        <w:t>🌍 Plan Afrique de l'Ouest</w:t>
      </w:r>
    </w:p>
    <w:p>
      <w:pPr>
        <w:spacing w:before="20" w:after="40"/>
        <w:ind w:left="0"/>
      </w:pPr>
      <w:r>
        <w:rPr>
          <w:sz w:val="18"/>
        </w:rPr>
        <w:t>Aucune actualité spécifique concernant les bourses régionales concurrentes ou les flux de capitaux sous-régionaux n'a été rapportée.</w:t>
      </w:r>
    </w:p>
    <w:p>
      <w:pPr>
        <w:pStyle w:val="Heading3"/>
      </w:pPr>
      <w:r>
        <w:rPr>
          <w:color w:val="500050"/>
        </w:rPr>
        <w:t>⚡ Impact estimé sur la BRVM</w:t>
      </w:r>
    </w:p>
    <w:p>
      <w:pPr>
        <w:spacing w:before="20" w:after="40"/>
        <w:ind w:left="280"/>
      </w:pPr>
      <w:r>
        <w:rPr>
          <w:i/>
          <w:sz w:val="18"/>
        </w:rPr>
        <w:t>Données insuffisantes. La BRVM conserve son statut de principale place financière de la sous-région, avec un avantage concurrentiel grâce à sa liquidité et sa diversité sectorielle.</w:t>
      </w:r>
    </w:p>
    <w:p>
      <w:pPr>
        <w:pStyle w:val="Heading2"/>
      </w:pPr>
      <w:r>
        <w:rPr>
          <w:color w:val="8C4600"/>
        </w:rPr>
        <w:t>🏦 Plan UEMOA / Zone Franc</w:t>
      </w:r>
    </w:p>
    <w:p>
      <w:pPr>
        <w:spacing w:before="20" w:after="40"/>
        <w:ind w:left="0"/>
      </w:pPr>
      <w:r>
        <w:rPr>
          <w:sz w:val="18"/>
        </w:rPr>
        <w:t>Le marché des titres publics de l'UEMOA n'a pas fait l'objet d'actualités spécifiques. Cependant, le contexte de hausse des taux en Europe pourrait influencer les rendements obligataires de la zone.</w:t>
      </w:r>
    </w:p>
    <w:p>
      <w:pPr>
        <w:pStyle w:val="Heading3"/>
      </w:pPr>
      <w:r>
        <w:rPr>
          <w:color w:val="500050"/>
        </w:rPr>
        <w:t>⚡ Impact estimé sur la BRVM</w:t>
      </w:r>
    </w:p>
    <w:p>
      <w:pPr>
        <w:spacing w:before="20" w:after="40"/>
        <w:ind w:left="280"/>
      </w:pPr>
      <w:r>
        <w:rPr>
          <w:i/>
          <w:sz w:val="18"/>
        </w:rPr>
        <w:t>Si les rendements des titres publics de l'UEMOA augmentent pour rester compétitifs, cela pourrait créer un arbitrage en faveur des obligations souveraines au détriment des actions BRVM. Les investisseurs institutionnels pourraient temporairement réduire leurs positions sur les valeurs comme **BNBC** ou **SMBC** pour se tourner vers la dette publique.</w:t>
      </w:r>
    </w:p>
    <w:p>
      <w:pPr>
        <w:pStyle w:val="Heading2"/>
      </w:pPr>
      <w:r>
        <w:rPr>
          <w:color w:val="003366"/>
        </w:rPr>
        <w:t>📈 Plan BRVM</w:t>
      </w:r>
    </w:p>
    <w:p>
      <w:pPr>
        <w:spacing w:before="20" w:after="40"/>
        <w:ind w:left="0"/>
      </w:pPr>
      <w:r>
        <w:rPr>
          <w:sz w:val="18"/>
        </w:rPr>
        <w:t>L'indice BRVM Composite se maintient à 548,6 points. Les résultats encourageants des sociétés ivoiriennes, notamment dans le secteur financier, constituent le principal moteur de la place. Les volumes et les mouvements spécifiques de titres ne sont pas détaillés dans les actualités.</w:t>
      </w:r>
    </w:p>
    <w:p>
      <w:pPr>
        <w:pStyle w:val="Heading3"/>
      </w:pPr>
      <w:r>
        <w:rPr>
          <w:color w:val="500050"/>
        </w:rPr>
        <w:t>⚡ Impact estimé sur la BRVM</w:t>
      </w:r>
    </w:p>
    <w:p>
      <w:pPr>
        <w:spacing w:before="20" w:after="40"/>
        <w:ind w:left="280"/>
      </w:pPr>
      <w:r>
        <w:rPr>
          <w:i/>
          <w:sz w:val="18"/>
        </w:rPr>
        <w:t>La tendance reste positive, soutenue par les fondamentaux. Recommandations :</w:t>
      </w:r>
    </w:p>
    <w:p>
      <w:pPr>
        <w:pStyle w:val="ListBullet"/>
        <w:spacing w:before="20" w:after="20"/>
        <w:ind w:left="560"/>
      </w:pPr>
      <w:r>
        <w:rPr>
          <w:color w:val="008000"/>
          <w:sz w:val="18"/>
        </w:rPr>
        <w:t>**Achat / Renforcement** : **SGBC**, **BICB**, **BOAS** (résultats solides, momentum positif).</w:t>
      </w:r>
    </w:p>
    <w:p>
      <w:pPr>
        <w:pStyle w:val="ListBullet"/>
        <w:spacing w:before="20" w:after="20"/>
        <w:ind w:left="560"/>
      </w:pPr>
      <w:r>
        <w:rPr>
          <w:color w:val="500050"/>
          <w:sz w:val="18"/>
        </w:rPr>
        <w:t>**Conserver** : **PALC**, **SIVC** (fondamentaux stables, mais sensibilité à la consommation).</w:t>
      </w:r>
    </w:p>
    <w:p>
      <w:pPr>
        <w:pStyle w:val="ListBullet"/>
        <w:spacing w:before="20" w:after="20"/>
        <w:ind w:left="560"/>
      </w:pPr>
      <w:r>
        <w:rPr>
          <w:color w:val="500050"/>
          <w:sz w:val="18"/>
        </w:rPr>
        <w:t>**Surveillance** : **CFAC**, **BNBC** (exposition à la cherté de la vie et au pouvoir d'achat).</w:t>
      </w:r>
    </w:p>
    <w:p>
      <w:pPr>
        <w:pStyle w:val="ListBullet"/>
        <w:spacing w:before="20" w:after="20"/>
        <w:ind w:left="560"/>
      </w:pPr>
      <w:r>
        <w:rPr>
          <w:color w:val="500050"/>
          <w:sz w:val="18"/>
        </w:rPr>
        <w:t>**Potentiel de rendement** : **ETIT**, **ONTBF** (à suivre pour leur exposition aux infrastructures et télécoms).</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pour la BRVM reste favorable. Les fondamentaux des sociétés cotées sont solides, comme en témoignent les résultats encourageants des entreprises ivoiriennes. L'accord FMI avec le Sénégal et les perspectives positives pour l'Afrique du Sud renforcent l'attractivité du continent, tandis que la stabilité politique de la CEDEAO et de l'UEMOA offre un cadre rassurant.</w:t>
      </w:r>
    </w:p>
    <w:p>
      <w:pPr>
        <w:spacing w:before="20" w:after="40"/>
        <w:ind w:left="0"/>
      </w:pPr>
      <w:r>
        <w:rPr>
          <w:sz w:val="18"/>
        </w:rPr>
        <w:t>Les principaux risques proviennent de l'environnement extérieur, avec une BCE hawkish qui pourrait réduire l'appétit pour le risque, et des tensions sociales locales liées au coût de la vie qui pourraient peser sur la consommation. Cependant, ces facteurs ne remettent pas en cause la tendance de fond du marché.</w:t>
      </w:r>
    </w:p>
    <w:p>
      <w:pPr>
        <w:spacing w:before="20" w:after="40"/>
        <w:ind w:left="0"/>
      </w:pPr>
      <w:r>
        <w:rPr>
          <w:sz w:val="18"/>
        </w:rPr>
        <w:t>**Recommandation :** Maintenir une exposition aux valeurs bancaires et industrielles de qualité (**SGBC**, **BICB**, **SIVC**), tout en surveillant les indicateurs de consommation pour ajuster les positions sur les valeurs discrétionnaires (**CFAC**, **BNBC**).</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 xml:space="preserve">Prix des carburants : pourquoi le prix du Superéthanol-E85 reste-t-il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2026-09-04</w:t>
            </w:r>
          </w:p>
        </w:tc>
        <w:tc>
          <w:tcPr>
            <w:tcW w:type="dxa" w:w="1728"/>
          </w:tcPr>
          <w:p>
            <w:r>
              <w:rPr>
                <w:sz w:val="14"/>
              </w:rPr>
              <w:t xml:space="preserve">La Banque centrale européenne va-t-elle relever ses taux d'intérêt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CEDEAO : Le général sénégalais Birame Diop prend officiellement la têt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2026-09-03</w:t>
            </w:r>
          </w:p>
        </w:tc>
        <w:tc>
          <w:tcPr>
            <w:tcW w:type="dxa" w:w="1728"/>
          </w:tcPr>
          <w:p>
            <w:r>
              <w:rPr>
                <w:sz w:val="14"/>
              </w:rPr>
              <w:t>E35 : Afrique de l'Ouest : investiture du nouveau Président de la CEDE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VIDÉO. Sénégal: manifestation contre la cherté de la vie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 xml:space="preserve">Au Mali, les proches de Mountaga Tall réclament une « preuve de vie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​Création du Comité national de politique pénale: le Sénégal se dote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VIDÉO. Sénégal: manifestation contre la cherté de la vie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Les banques deviennent plus sélectives » : vers des taux d’intérêt 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2026-09-06</w:t>
            </w:r>
          </w:p>
        </w:tc>
        <w:tc>
          <w:tcPr>
            <w:tcW w:type="dxa" w:w="1728"/>
          </w:tcPr>
          <w:p>
            <w:r>
              <w:rPr>
                <w:sz w:val="14"/>
              </w:rPr>
              <w:t>La Banque centrale européenne devrait relever ses taux d'intérêt la 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2026-09-04</w:t>
            </w:r>
          </w:p>
        </w:tc>
        <w:tc>
          <w:tcPr>
            <w:tcW w:type="dxa" w:w="1728"/>
          </w:tcPr>
          <w:p>
            <w:r>
              <w:rPr>
                <w:sz w:val="14"/>
              </w:rPr>
              <w:t xml:space="preserve">Décision de la BCE sur les taux d’intérêt : à quoi s’attendre jeudi -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Mali : L'ex-colonel Alpha Yaya Sangaré condamné à 20 ans de prison - 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(4 alerte(s))</w:t>
      </w:r>
    </w:p>
    <w:p>
      <w:pPr>
        <w:spacing w:before="40" w:after="40"/>
        <w:ind w:left="360"/>
      </w:pPr>
      <w:r>
        <w:rPr>
          <w:color w:val="646464"/>
          <w:sz w:val="17"/>
        </w:rPr>
        <w:t xml:space="preserve">[06/09/2026] ⚪  </w:t>
      </w:r>
      <w:r>
        <w:rPr>
          <w:b/>
          <w:color w:val="505050"/>
          <w:sz w:val="18"/>
        </w:rPr>
        <w:t>La Banque centrale européenne devrait relever ses taux d'intérêt la semaine prochaine. - Vietnam.vn</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devrait relever ses taux d'intérêt lors de sa prochaine réunion, selon une information rapportée par Vietnam.vn. Cette décision s'inscrit dans un contexte de lutte contre l'inflation persistante dans la zone euro. Une hausse des taux de la BCE pourrait renforcer l'euro et influencer les politiques monétaires mond</w:t>
      </w:r>
    </w:p>
    <w:p>
      <w:pPr>
        <w:spacing w:before="0" w:after="40"/>
        <w:ind w:left="600"/>
      </w:pPr>
      <w:r>
        <w:rPr>
          <w:color w:val="00643C"/>
          <w:sz w:val="16"/>
        </w:rPr>
        <w:t>Points clés : La BCE prévoit une hausse de ses taux d'intérêt la semaine prochaine.  •  Cette action vise à contrer l'inflation dans la zone euro.  •  La décision pourrait avoir des répercussions sur les marchés financiers internationaux et les devises.</w:t>
      </w:r>
    </w:p>
    <w:p>
      <w:pPr>
        <w:spacing w:before="0" w:after="60"/>
        <w:ind w:left="600"/>
      </w:pPr>
      <w:r>
        <w:rPr>
          <w:color w:val="0064B4"/>
          <w:sz w:val="15"/>
        </w:rPr>
        <w:t>Source : https://news.google.com/rss/articles/CBMikwFBVV95cUxQc21VOXRiQXdrTC1RYXZ2WTBqTnk</w:t>
      </w:r>
    </w:p>
    <w:p>
      <w:pPr>
        <w:spacing w:before="40" w:after="40"/>
        <w:ind w:left="360"/>
      </w:pPr>
      <w:r>
        <w:rPr>
          <w:color w:val="646464"/>
          <w:sz w:val="17"/>
        </w:rPr>
        <w:t xml:space="preserve">[04/09/2026] ⚪  </w:t>
      </w:r>
      <w:r>
        <w:rPr>
          <w:b/>
          <w:color w:val="505050"/>
          <w:sz w:val="18"/>
        </w:rPr>
        <w:t>Décision de la BCE sur les taux d’intérêt : à quoi s’attendre jeudi - Morningstar</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doit annoncer jeudi sa décision sur les taux d'intérêt, dans un contexte de ralentissement économique et d'inflation en baisse. Les marchés anticipent une possible baisse des taux, mais la BCE pourrait adopter une approche prudente en raison des incertitudes géopolitiques et de la vigueur des salaires. Cette déci</w:t>
      </w:r>
    </w:p>
    <w:p>
      <w:pPr>
        <w:spacing w:before="0" w:after="40"/>
        <w:ind w:left="600"/>
      </w:pPr>
      <w:r>
        <w:rPr>
          <w:color w:val="00643C"/>
          <w:sz w:val="16"/>
        </w:rPr>
        <w:t>Points clés : La BCE doit décider jeudi de maintenir ou de réduire ses taux directeurs.  •  Les attentes du marché sont partagées entre une baisse immédiate et un statu quo temporaire.  •  La décision dépendra des dernières données sur l'inflation et la croissance en zone euro.  •  Une baisse des taux européens pourrait affaiblir l'euro et renforcer l'attrait des actifs à rendement plus élevé en Afrique de l'Ouest.</w:t>
      </w:r>
    </w:p>
    <w:p>
      <w:pPr>
        <w:spacing w:before="0" w:after="60"/>
        <w:ind w:left="600"/>
      </w:pPr>
      <w:r>
        <w:rPr>
          <w:color w:val="0064B4"/>
          <w:sz w:val="15"/>
        </w:rPr>
        <w:t>Source : https://news.google.com/rss/articles/CBMiowFBVV95cUxPLXhNMm5pRHV0eVdyR0Yyd1lPeFd</w:t>
      </w:r>
    </w:p>
    <w:p>
      <w:pPr>
        <w:spacing w:before="40" w:after="40"/>
        <w:ind w:left="360"/>
      </w:pPr>
      <w:r>
        <w:rPr>
          <w:color w:val="646464"/>
          <w:sz w:val="17"/>
        </w:rPr>
        <w:t xml:space="preserve">[04/09/2026] ⚪  </w:t>
      </w:r>
      <w:r>
        <w:rPr>
          <w:b/>
          <w:color w:val="505050"/>
          <w:sz w:val="18"/>
        </w:rPr>
        <w:t xml:space="preserve">La Banque centrale européenne va-t-elle relever ses taux d'intérêt la semaine prochaine, et cette fois pour la dernière </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se réunit la semaine prochaine pour décider d'une éventuelle hausse de ses taux d'intérêt, qui pourrait être la dernière du cycle actuel. Cette décision intervient dans un contexte de ralentissement économique et de baisse de l'inflation dans la zone euro. Les marchés anticipent une pause ou une hausse modérée, m</w:t>
      </w:r>
    </w:p>
    <w:p>
      <w:pPr>
        <w:spacing w:before="0" w:after="40"/>
        <w:ind w:left="600"/>
      </w:pPr>
      <w:r>
        <w:rPr>
          <w:color w:val="00643C"/>
          <w:sz w:val="16"/>
        </w:rPr>
        <w:t>Points clés : La BCE pourrait relever ses taux pour la dernière fois la semaine prochaine.  •  La décision dépendra des données d'inflation et de croissance économique.</w:t>
      </w:r>
    </w:p>
    <w:p>
      <w:pPr>
        <w:spacing w:before="0" w:after="60"/>
        <w:ind w:left="600"/>
      </w:pPr>
      <w:r>
        <w:rPr>
          <w:color w:val="0064B4"/>
          <w:sz w:val="15"/>
        </w:rPr>
        <w:t>Source : https://news.google.com/rss/articles/CBMikAFBVV95cUxQQzhaUEk1WnotT1h1SlM2VXpxMjY</w:t>
      </w:r>
    </w:p>
    <w:p>
      <w:pPr>
        <w:spacing w:before="40" w:after="40"/>
        <w:ind w:left="360"/>
      </w:pPr>
      <w:r>
        <w:rPr>
          <w:color w:val="646464"/>
          <w:sz w:val="17"/>
        </w:rPr>
        <w:t xml:space="preserve">[03/09/2026] ⚪  </w:t>
      </w:r>
      <w:r>
        <w:rPr>
          <w:b/>
          <w:color w:val="505050"/>
          <w:sz w:val="18"/>
        </w:rPr>
        <w:t>Une BCE vigilante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maintient une position de vigilance face aux incertitudes économiques et aux pressions inflationnistes. Elle surveille de près l'évolution des taux d'intérêt et des conditions de financement. Cette prudence vise à assurer la stabilité des prix tout en soutenant la croissance. Les marchés financiers suivent attent</w:t>
      </w:r>
    </w:p>
    <w:p>
      <w:pPr>
        <w:spacing w:before="0" w:after="40"/>
        <w:ind w:left="600"/>
      </w:pPr>
      <w:r>
        <w:rPr>
          <w:color w:val="00643C"/>
          <w:sz w:val="16"/>
        </w:rPr>
        <w:t>Points clés : La BCE reste vigilante sur l'inflation et les perspectives économiques.  •  Les décisions de politique monétaire de la BCE influencent les marchés financiers mondiaux.</w:t>
      </w:r>
    </w:p>
    <w:p>
      <w:pPr>
        <w:spacing w:before="0" w:after="60"/>
        <w:ind w:left="600"/>
      </w:pPr>
      <w:r>
        <w:rPr>
          <w:color w:val="0064B4"/>
          <w:sz w:val="15"/>
        </w:rPr>
        <w:t>Source : https://news.google.com/rss/articles/CBMioAFBVV95cUxNQnJsTFFDZFFOTUJHTV9aTzkwWkh</w:t>
      </w:r>
    </w:p>
    <w:p>
      <w:pPr>
        <w:spacing w:before="120" w:after="40"/>
      </w:pPr>
      <w:r>
        <w:rPr>
          <w:b/>
          <w:color w:val="00467F"/>
          <w:sz w:val="20"/>
        </w:rPr>
        <w:t>🔑 politique  (9 alerte(s))</w:t>
      </w:r>
    </w:p>
    <w:p>
      <w:pPr>
        <w:spacing w:before="40" w:after="40"/>
        <w:ind w:left="360"/>
      </w:pPr>
      <w:r>
        <w:rPr>
          <w:color w:val="646464"/>
          <w:sz w:val="17"/>
        </w:rPr>
        <w:t xml:space="preserve">[06/09/2026] 🔴  </w:t>
      </w:r>
      <w:r>
        <w:rPr>
          <w:b/>
          <w:color w:val="C00000"/>
          <w:sz w:val="18"/>
        </w:rPr>
        <w:t>VIDÉO. Sénégal: manifestation contre la cherté de la vie - tv5monde</w:t>
      </w:r>
      <w:r>
        <w:rPr>
          <w:color w:val="787878"/>
          <w:sz w:val="15"/>
        </w:rPr>
        <w:t xml:space="preserve">  [politique]</w:t>
      </w:r>
      <w:r>
        <w:rPr>
          <w:color w:val="B47800"/>
          <w:sz w:val="16"/>
        </w:rPr>
        <w:t xml:space="preserve">  ★ 50/10</w:t>
      </w:r>
    </w:p>
    <w:p>
      <w:pPr>
        <w:spacing w:before="0" w:after="20"/>
        <w:ind w:left="600"/>
      </w:pPr>
      <w:r>
        <w:rPr>
          <w:color w:val="323232"/>
          <w:sz w:val="17"/>
        </w:rPr>
        <w:t>Une manifestation a eu lieu au Sénégal pour protester contre la hausse du coût de la vie, reflétant un mécontentement social croissant dans la zone UEMOA. Cet événement s'inscrit dans un contexte de tensions politiques et économiques, pouvant affecter la confiance des investisseurs. La cherté de la vie est un sujet récurrent qui peut alimenter l'in</w:t>
      </w:r>
    </w:p>
    <w:p>
      <w:pPr>
        <w:spacing w:before="0" w:after="40"/>
        <w:ind w:left="600"/>
      </w:pPr>
      <w:r>
        <w:rPr>
          <w:color w:val="00643C"/>
          <w:sz w:val="16"/>
        </w:rPr>
        <w:t>Points clés : Manifestation au Sénégal contre la cherté de la vie  •  Contexte de tensions sociales et politiques dans la zone UEMOA  •  Risque d'impact sur la stabilité économique et la confiance des investisseurs</w:t>
      </w:r>
    </w:p>
    <w:p>
      <w:pPr>
        <w:spacing w:before="0" w:after="60"/>
        <w:ind w:left="600"/>
      </w:pPr>
      <w:r>
        <w:rPr>
          <w:color w:val="0064B4"/>
          <w:sz w:val="15"/>
        </w:rPr>
        <w:t>Source : https://news.google.com/rss/articles/CBMipgFBVV95cUxNd0Jxc3dKMC15dEF5cmFfT2thNnN</w:t>
      </w:r>
    </w:p>
    <w:p>
      <w:pPr>
        <w:spacing w:before="40" w:after="40"/>
        <w:ind w:left="360"/>
      </w:pPr>
      <w:r>
        <w:rPr>
          <w:color w:val="646464"/>
          <w:sz w:val="17"/>
        </w:rPr>
        <w:t xml:space="preserve">[06/09/2026] ⚪  </w:t>
      </w:r>
      <w:r>
        <w:rPr>
          <w:b/>
          <w:color w:val="505050"/>
          <w:sz w:val="18"/>
        </w:rPr>
        <w:t>Antoine Griezmann brille en MLS avec un superbe but - Mali Actu</w:t>
      </w:r>
      <w:r>
        <w:rPr>
          <w:color w:val="787878"/>
          <w:sz w:val="15"/>
        </w:rPr>
        <w:t xml:space="preserve">  [politique]</w:t>
      </w:r>
      <w:r>
        <w:rPr>
          <w:color w:val="B47800"/>
          <w:sz w:val="16"/>
        </w:rPr>
        <w:t xml:space="preserve">  ★ 50/10</w:t>
      </w:r>
    </w:p>
    <w:p>
      <w:pPr>
        <w:spacing w:before="0" w:after="20"/>
        <w:ind w:left="600"/>
      </w:pPr>
      <w:r>
        <w:rPr>
          <w:color w:val="323232"/>
          <w:sz w:val="17"/>
        </w:rPr>
        <w:t>L'article rapporte qu'Antoine Griezmann, footballeur français évoluant en Major League Soccer (MLS), a marqué un superbe but. Cette performance sportive est relayée par Mali Actu, un média de la zone UEMOA. L'information est purement sportive et n'a aucun lien direct avec l'économie ou la politique de la région.</w:t>
      </w:r>
    </w:p>
    <w:p>
      <w:pPr>
        <w:spacing w:before="0" w:after="40"/>
        <w:ind w:left="600"/>
      </w:pPr>
      <w:r>
        <w:rPr>
          <w:color w:val="00643C"/>
          <w:sz w:val="16"/>
        </w:rPr>
        <w:t>Points clés : Performance sportive d'Antoine Griezmann en MLS  •  Information relayée par un média de la zone UEMOA</w:t>
      </w:r>
    </w:p>
    <w:p>
      <w:pPr>
        <w:spacing w:before="0" w:after="60"/>
        <w:ind w:left="600"/>
      </w:pPr>
      <w:r>
        <w:rPr>
          <w:color w:val="0064B4"/>
          <w:sz w:val="15"/>
        </w:rPr>
        <w:t>Source : https://news.google.com/rss/articles/CBMifkFVX3lxTE9sajMtcGxhMERMMXFmTUt3OUJHbDJ</w:t>
      </w:r>
    </w:p>
    <w:p>
      <w:pPr>
        <w:spacing w:before="40" w:after="40"/>
        <w:ind w:left="360"/>
      </w:pPr>
      <w:r>
        <w:rPr>
          <w:color w:val="646464"/>
          <w:sz w:val="17"/>
        </w:rPr>
        <w:t xml:space="preserve">[05/09/2026] ⚪  </w:t>
      </w:r>
      <w:r>
        <w:rPr>
          <w:b/>
          <w:color w:val="505050"/>
          <w:sz w:val="18"/>
        </w:rPr>
        <w:t>Sénégal : Ahmed Ndoye réplique à Cheikh Bara Ndiaye sur Diomaye et Diba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relate une polémique politique au Sénégal où Ahmed Ndoye répond aux critiques de Cheikh Bara Ndiaye concernant le président Diomaye et son ministre Diba. Les échanges portent sur des questions de gouvernance et de gestion économique, sans détails précis sur les mesures prises. Cette controverse intervient dans un contexte de tensions poli</w:t>
      </w:r>
    </w:p>
    <w:p>
      <w:pPr>
        <w:spacing w:before="0" w:after="40"/>
        <w:ind w:left="600"/>
      </w:pPr>
      <w:r>
        <w:rPr>
          <w:color w:val="00643C"/>
          <w:sz w:val="16"/>
        </w:rPr>
        <w:t>Points clés : Conflit politique entre Ahmed Ndoye et Cheikh Bara Ndiaye au Sénégal.  •  Sujets de discussion : le président Diomaye et le ministre Diba, probablement sur des politiques économiques.  •  Aucune information spécifique sur des réformes ou des indicateurs économiques.</w:t>
      </w:r>
    </w:p>
    <w:p>
      <w:pPr>
        <w:spacing w:before="0" w:after="60"/>
        <w:ind w:left="600"/>
      </w:pPr>
      <w:r>
        <w:rPr>
          <w:color w:val="0064B4"/>
          <w:sz w:val="15"/>
        </w:rPr>
        <w:t>Source : https://news.google.com/rss/articles/CBMipAFBVV95cUxNd2I4VUI5RXo4akI2eVdDMUlaN21</w:t>
      </w:r>
    </w:p>
    <w:p>
      <w:pPr>
        <w:spacing w:before="40" w:after="40"/>
        <w:ind w:left="360"/>
      </w:pPr>
      <w:r>
        <w:rPr>
          <w:color w:val="646464"/>
          <w:sz w:val="17"/>
        </w:rPr>
        <w:t xml:space="preserve">[05/09/2026] ⚪  </w:t>
      </w:r>
      <w:r>
        <w:rPr>
          <w:b/>
          <w:color w:val="505050"/>
          <w:sz w:val="18"/>
        </w:rPr>
        <w:t>Crise au Niger, accord FMI-Sénégal, bataille électorale au Maroc… Les 5 infos qu’il ne fallait pas manquer - Jeune Afriq</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couvre plusieurs événements majeurs en Afrique, notamment la crise politique au Niger, un accord entre le FMI et le Sénégal, et une bataille électorale au Maroc. Ces sujets sont traités sous l'angle politique et économique, avec des implications potentielles pour la zone UEMOA. La situation au Niger pourrait affecter la s</w:t>
      </w:r>
    </w:p>
    <w:p>
      <w:pPr>
        <w:spacing w:before="0" w:after="40"/>
        <w:ind w:left="600"/>
      </w:pPr>
      <w:r>
        <w:rPr>
          <w:color w:val="00643C"/>
          <w:sz w:val="16"/>
        </w:rPr>
        <w:t>Points clés : Crise politique au Niger avec des répercussions régionales possibles.  •  Accord entre le FMI et le Sénégal, indiquant un soutien financier international.  •  Bataille électorale au Maroc, bien que hors UEMOA, elle influence la perception de l'Afrique du Nord.</w:t>
      </w:r>
    </w:p>
    <w:p>
      <w:pPr>
        <w:spacing w:before="0" w:after="60"/>
        <w:ind w:left="600"/>
      </w:pPr>
      <w:r>
        <w:rPr>
          <w:color w:val="0064B4"/>
          <w:sz w:val="15"/>
        </w:rPr>
        <w:t>Source : https://news.google.com/rss/articles/CBMi5AFBVV95cUxNaERJeTVYc19PcjNFemhoLWdzRGF</w:t>
      </w:r>
    </w:p>
    <w:p>
      <w:pPr>
        <w:spacing w:before="40" w:after="40"/>
        <w:ind w:left="360"/>
      </w:pPr>
      <w:r>
        <w:rPr>
          <w:color w:val="646464"/>
          <w:sz w:val="17"/>
        </w:rPr>
        <w:t xml:space="preserve">[04/09/2026] 🔴  </w:t>
      </w:r>
      <w:r>
        <w:rPr>
          <w:b/>
          <w:color w:val="C00000"/>
          <w:sz w:val="18"/>
        </w:rPr>
        <w:t>Au Mali, les proches de Mountaga Tall réclament une « preuve de vie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rapporte que les proches de l'opposant malien Mountaga Tall réclament une preuve de vie après son arrestation. Cette situation soulève des inquiétudes sur la stabilité politique au Mali, un pays membre de l'UEMOA. Les tensions politiques pourraient affecter la confiance des investisseurs dans la région.</w:t>
      </w:r>
    </w:p>
    <w:p>
      <w:pPr>
        <w:spacing w:before="0" w:after="40"/>
        <w:ind w:left="600"/>
      </w:pPr>
      <w:r>
        <w:rPr>
          <w:color w:val="00643C"/>
          <w:sz w:val="16"/>
        </w:rPr>
        <w:t>Points clés : Réclamation d'une preuve de vie pour Mountaga Tall  •  Inquiétudes sur la stabilité politique au Mali</w:t>
      </w:r>
    </w:p>
    <w:p>
      <w:pPr>
        <w:spacing w:before="0" w:after="60"/>
        <w:ind w:left="600"/>
      </w:pPr>
      <w:r>
        <w:rPr>
          <w:color w:val="0064B4"/>
          <w:sz w:val="15"/>
        </w:rPr>
        <w:t>Source : https://news.google.com/rss/articles/CBMisgFBVV95cUxNZ3lLWXZTdkp2aW1tM1FtSHQxTkp</w:t>
      </w:r>
    </w:p>
    <w:p>
      <w:pPr>
        <w:spacing w:before="120" w:after="40"/>
      </w:pPr>
      <w:r>
        <w:rPr>
          <w:b/>
          <w:color w:val="00467F"/>
          <w:sz w:val="20"/>
        </w:rPr>
        <w:t>🔑 marche_financier  (4 alerte(s))</w:t>
      </w:r>
    </w:p>
    <w:p>
      <w:pPr>
        <w:spacing w:before="40" w:after="40"/>
        <w:ind w:left="360"/>
      </w:pPr>
      <w:r>
        <w:rPr>
          <w:color w:val="646464"/>
          <w:sz w:val="17"/>
        </w:rPr>
        <w:t xml:space="preserve">[04/09/2026] 🟢  </w:t>
      </w:r>
      <w:r>
        <w:rPr>
          <w:b/>
          <w:color w:val="008000"/>
          <w:sz w:val="18"/>
        </w:rPr>
        <w:t>Burkina Faso : chiffrés à 151,5 milliards FCFA, les « Diaspora Bonds » accèdent à la BRVM - Zoom Eco</w:t>
      </w:r>
      <w:r>
        <w:rPr>
          <w:color w:val="787878"/>
          <w:sz w:val="15"/>
        </w:rPr>
        <w:t xml:space="preserve">  [marche_financier]</w:t>
      </w:r>
      <w:r>
        <w:rPr>
          <w:color w:val="B47800"/>
          <w:sz w:val="16"/>
        </w:rPr>
        <w:t xml:space="preserve">  ★ 50/10</w:t>
      </w:r>
    </w:p>
    <w:p>
      <w:pPr>
        <w:spacing w:before="0" w:after="20"/>
        <w:ind w:left="600"/>
      </w:pPr>
      <w:r>
        <w:rPr>
          <w:color w:val="323232"/>
          <w:sz w:val="17"/>
        </w:rPr>
        <w:t>Le Burkina Faso a émis des obligations de la diaspora (Diaspora Bonds) d'un montant de 151,5 milliards FCFA, qui sont désormais cotées à la BRVM. Cette opération vise à mobiliser l'épargne des Burkinabè de l'étranger pour financer des projets de développement. L'accès à la BRVM permet de diversifier les sources de financement et d'élargir la base d</w:t>
      </w:r>
    </w:p>
    <w:p>
      <w:pPr>
        <w:spacing w:before="0" w:after="40"/>
        <w:ind w:left="600"/>
      </w:pPr>
      <w:r>
        <w:rPr>
          <w:color w:val="00643C"/>
          <w:sz w:val="16"/>
        </w:rPr>
        <w:t>Points clés : Montant de 151,5 milliards FCFA levé via les Diaspora Bonds.  •  Cotation de ces obligations à la BRVM, élargissant l'accès aux investisseurs régionaux.  •  Objectif de financement de projets de développement au Burkina Faso.</w:t>
      </w:r>
    </w:p>
    <w:p>
      <w:pPr>
        <w:spacing w:before="0" w:after="60"/>
        <w:ind w:left="600"/>
      </w:pPr>
      <w:r>
        <w:rPr>
          <w:color w:val="0064B4"/>
          <w:sz w:val="15"/>
        </w:rPr>
        <w:t>Source : https://news.google.com/rss/articles/CBMisAFBVV95cUxPWndfWXg2N1pQLVFxTUF0MldSR3Z</w:t>
      </w:r>
    </w:p>
    <w:p>
      <w:pPr>
        <w:spacing w:before="40" w:after="40"/>
        <w:ind w:left="360"/>
      </w:pPr>
      <w:r>
        <w:rPr>
          <w:color w:val="646464"/>
          <w:sz w:val="17"/>
        </w:rPr>
        <w:t xml:space="preserve">[03/09/2026] 🟢  </w:t>
      </w:r>
      <w:r>
        <w:rPr>
          <w:b/>
          <w:color w:val="008000"/>
          <w:sz w:val="18"/>
        </w:rPr>
        <w:t>Bourse: le Trésor public burkinabè lève 151,5 milliards de FCFA à travers « Diaspora Bonds »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Le Trésor public burkinabè a levé 151,5 milliards de FCFA sur le marché financier de l'UEMOA via l'émission d'obligations destinées à la diaspora. Cette opération témoigne de la confiance des investisseurs dans les titres publics de la zone. Elle renforce la liquidité et l'attractivité du marché régional, tout en offrant une source de financement a</w:t>
      </w:r>
    </w:p>
    <w:p>
      <w:pPr>
        <w:spacing w:before="0" w:after="40"/>
        <w:ind w:left="600"/>
      </w:pPr>
      <w:r>
        <w:rPr>
          <w:color w:val="00643C"/>
          <w:sz w:val="16"/>
        </w:rPr>
        <w:t>Points clés : Levée de 151,5 milliards de FCFA par le Burkina Faso via des 'Diaspora Bonds'.  •  Opération réalisée sur le marché financier de l'UEMOA, démontrant la capacité d'absorption du marché.  •  Succès de l'émission, indiquant une demande soutenue pour les titres publics de la zone.</w:t>
      </w:r>
    </w:p>
    <w:p>
      <w:pPr>
        <w:spacing w:before="0" w:after="60"/>
        <w:ind w:left="600"/>
      </w:pPr>
      <w:r>
        <w:rPr>
          <w:color w:val="0064B4"/>
          <w:sz w:val="15"/>
        </w:rPr>
        <w:t>Source : https://news.google.com/rss/articles/CBMixgFBVV95cUxPenBfMXlnRkJQeThVZjdhWFR6NUk</w:t>
      </w:r>
    </w:p>
    <w:p>
      <w:pPr>
        <w:spacing w:before="40" w:after="40"/>
        <w:ind w:left="360"/>
      </w:pPr>
      <w:r>
        <w:rPr>
          <w:color w:val="646464"/>
          <w:sz w:val="17"/>
        </w:rPr>
        <w:t xml:space="preserve">[03/09/2026] 🟢  </w:t>
      </w:r>
      <w:r>
        <w:rPr>
          <w:b/>
          <w:color w:val="008000"/>
          <w:sz w:val="18"/>
        </w:rPr>
        <w:t>Bourse/Emprunts obligataires : Le Burkina Faso lève plus de 150 milliards de Fcfa sur le marché financier régional - Fra</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Le Burkina Faso a levé plus de 150 milliards de Fcfa sur le marché financier régional de l'UEMOA à travers des emprunts obligataires. Cette opération témoigne de la capacité du pays à mobiliser des ressources sur le marché de la BRVM. Elle reflète une certaine confiance des investisseurs envers les titres publics burkinabè. L'opération contribue à </w:t>
      </w:r>
    </w:p>
    <w:p>
      <w:pPr>
        <w:spacing w:before="0" w:after="40"/>
        <w:ind w:left="600"/>
      </w:pPr>
      <w:r>
        <w:rPr>
          <w:color w:val="00643C"/>
          <w:sz w:val="16"/>
        </w:rPr>
        <w:t>Points clés : Levée de plus de 150 milliards de Fcfa par le Burkina Faso  •  Opération réalisée sur le marché financier régional de l'UEMOA  •  Confiance des investisseurs envers les titres publics</w:t>
      </w:r>
    </w:p>
    <w:p>
      <w:pPr>
        <w:spacing w:before="0" w:after="60"/>
        <w:ind w:left="600"/>
      </w:pPr>
      <w:r>
        <w:rPr>
          <w:color w:val="0064B4"/>
          <w:sz w:val="15"/>
        </w:rPr>
        <w:t>Source : https://news.google.com/rss/articles/CBMi8wFBVV95cUxPUXFoUk1JdVUzNWJrYXBVNlAtUXV</w:t>
      </w:r>
    </w:p>
    <w:p>
      <w:pPr>
        <w:spacing w:before="40" w:after="40"/>
        <w:ind w:left="360"/>
      </w:pPr>
      <w:r>
        <w:rPr>
          <w:color w:val="646464"/>
          <w:sz w:val="17"/>
        </w:rPr>
        <w:t xml:space="preserve">[03/09/2026] 🟢  </w:t>
      </w:r>
      <w:r>
        <w:rPr>
          <w:b/>
          <w:color w:val="008000"/>
          <w:sz w:val="18"/>
        </w:rPr>
        <w:t>Burkina Faso/BRVM : Le Groupe Vista fait coter les 151,5 milliards FCFA des Diaspora Bonds - Sika Finance</w:t>
      </w:r>
      <w:r>
        <w:rPr>
          <w:color w:val="787878"/>
          <w:sz w:val="15"/>
        </w:rPr>
        <w:t xml:space="preserve">  [marche_financier]</w:t>
      </w:r>
      <w:r>
        <w:rPr>
          <w:color w:val="B47800"/>
          <w:sz w:val="16"/>
        </w:rPr>
        <w:t xml:space="preserve">  ★ 50/10</w:t>
      </w:r>
    </w:p>
    <w:p>
      <w:pPr>
        <w:spacing w:before="0" w:after="20"/>
        <w:ind w:left="600"/>
      </w:pPr>
      <w:r>
        <w:rPr>
          <w:color w:val="323232"/>
          <w:sz w:val="17"/>
        </w:rPr>
        <w:t>Le Groupe Vista, émetteur des Diaspora Bonds du Burkina Faso, a procédé à la cotation de ces obligations d'un montant total de 151,5 milliards FCFA sur la BRVM. Cette opération vise à offrir une liquidité accrue aux investisseurs et à renforcer la présence du Burkina Faso sur le marché financier régional. La cotation permet aux détenteurs de ces ti</w:t>
      </w:r>
    </w:p>
    <w:p>
      <w:pPr>
        <w:spacing w:before="0" w:after="40"/>
        <w:ind w:left="600"/>
      </w:pPr>
      <w:r>
        <w:rPr>
          <w:color w:val="00643C"/>
          <w:sz w:val="16"/>
        </w:rPr>
        <w:t>Points clés : Cotation de 151,5 milliards FCFA de Diaspora Bonds du Burkina Faso sur la BRVM.  •  Objectif : améliorer la liquidité et la transparence du marché obligataire burkinabè.  •  Renforcement de l'intégration financière régionale au sein de l'UEMOA.</w:t>
      </w:r>
    </w:p>
    <w:p>
      <w:pPr>
        <w:spacing w:before="0" w:after="60"/>
        <w:ind w:left="600"/>
      </w:pPr>
      <w:r>
        <w:rPr>
          <w:color w:val="0064B4"/>
          <w:sz w:val="15"/>
        </w:rPr>
        <w:t>Source : https://news.google.com/rss/articles/CBMiygFBVV95cUxPdVZhVTB3Uk9KN3Y2Y24tM2M4Wi1</w:t>
      </w:r>
    </w:p>
    <w:p>
      <w:pPr>
        <w:spacing w:before="120" w:after="40"/>
      </w:pPr>
      <w:r>
        <w:rPr>
          <w:b/>
          <w:color w:val="00467F"/>
          <w:sz w:val="20"/>
        </w:rPr>
        <w:t>🔑 matieres_premieres  (2 alerte(s))</w:t>
      </w:r>
    </w:p>
    <w:p>
      <w:pPr>
        <w:spacing w:before="40" w:after="40"/>
        <w:ind w:left="360"/>
      </w:pPr>
      <w:r>
        <w:rPr>
          <w:color w:val="646464"/>
          <w:sz w:val="17"/>
        </w:rPr>
        <w:t xml:space="preserve">[04/09/2026] ⚪  </w:t>
      </w:r>
      <w:r>
        <w:rPr>
          <w:b/>
          <w:color w:val="505050"/>
          <w:sz w:val="18"/>
        </w:rPr>
        <w:t>Cacao : le producteur camerounais gagne deux fois plus que son homologue ivoirien - Actu Cameroun</w:t>
      </w:r>
      <w:r>
        <w:rPr>
          <w:color w:val="787878"/>
          <w:sz w:val="15"/>
        </w:rPr>
        <w:t xml:space="preserve">  [matieres_premieres]</w:t>
      </w:r>
      <w:r>
        <w:rPr>
          <w:color w:val="B47800"/>
          <w:sz w:val="16"/>
        </w:rPr>
        <w:t xml:space="preserve">  ★ 50/10</w:t>
      </w:r>
    </w:p>
    <w:p>
      <w:pPr>
        <w:spacing w:before="0" w:after="20"/>
        <w:ind w:left="600"/>
      </w:pPr>
      <w:r>
        <w:rPr>
          <w:color w:val="323232"/>
          <w:sz w:val="17"/>
        </w:rPr>
        <w:t>L'article compare les revenus des producteurs de cacao au Cameroun et en Côte d'Ivoire, indiquant que les producteurs camerounais gagnent deux fois plus que leurs homologues ivoiriens. Cette différence s'explique par les politiques de prix et les structures de marché distinctes entre les deux pays. La nouvelle met en lumière les disparités régional</w:t>
      </w:r>
    </w:p>
    <w:p>
      <w:pPr>
        <w:spacing w:before="0" w:after="40"/>
        <w:ind w:left="600"/>
      </w:pPr>
      <w:r>
        <w:rPr>
          <w:color w:val="00643C"/>
          <w:sz w:val="16"/>
        </w:rPr>
        <w:t>Points clés : Les producteurs camerounais de cacao perçoivent des revenus nettement supérieurs à ceux de la Côte d'Ivoire.  •  Cette disparité reflète des différences dans les mécanismes de fixation des prix et les réformes sectorielles.  •  La compétitivité du Cameroun dans la filière cacao pourrait influencer les dynamiques commerciales en Afrique de l'Ouest.</w:t>
      </w:r>
    </w:p>
    <w:p>
      <w:pPr>
        <w:spacing w:before="0" w:after="60"/>
        <w:ind w:left="600"/>
      </w:pPr>
      <w:r>
        <w:rPr>
          <w:color w:val="0064B4"/>
          <w:sz w:val="15"/>
        </w:rPr>
        <w:t>Source : https://news.google.com/rss/articles/CBMitwFBVV95cUxNTDY5VEJxbDFEZy1YR05xZEhyMTh</w:t>
      </w:r>
    </w:p>
    <w:p>
      <w:pPr>
        <w:spacing w:before="40" w:after="40"/>
        <w:ind w:left="360"/>
      </w:pPr>
      <w:r>
        <w:rPr>
          <w:color w:val="646464"/>
          <w:sz w:val="17"/>
        </w:rPr>
        <w:t xml:space="preserve">[03/09/2026] ⚪  </w:t>
      </w:r>
      <w:r>
        <w:rPr>
          <w:b/>
          <w:color w:val="505050"/>
          <w:sz w:val="18"/>
        </w:rPr>
        <w:t>Côte d’Ivoire: le prix du kilo de cacao pour la campagne 2026-2027 divise les représentants de producteurs - pressafrik.</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fixation du prix du kilo de cacao pour la campagne 2026-2027 en Côte d'Ivoire suscite des divergences parmi les représentants de producteurs. Cette discorde pourrait affecter la stabilité de la filière cacaoyère, un pilier économique du pays. Les négociations en cours reflètent des intérêts divergents entre les parties prenantes. L'issue de ces </w:t>
      </w:r>
    </w:p>
    <w:p>
      <w:pPr>
        <w:spacing w:before="0" w:after="40"/>
        <w:ind w:left="600"/>
      </w:pPr>
      <w:r>
        <w:rPr>
          <w:color w:val="00643C"/>
          <w:sz w:val="16"/>
        </w:rPr>
        <w:t>Points clés : Désaccord entre les représentants de producteurs sur le prix du cacao pour 2026-2027.  •  La Côte d'Ivoire est un acteur majeur du marché mondial du cacao, ce qui rend cette décision stratégique.  •  Les négociations pourraient influencer la production et les exportations futures.</w:t>
      </w:r>
    </w:p>
    <w:p>
      <w:pPr>
        <w:spacing w:before="0" w:after="60"/>
        <w:ind w:left="600"/>
      </w:pPr>
      <w:r>
        <w:rPr>
          <w:color w:val="0064B4"/>
          <w:sz w:val="15"/>
        </w:rPr>
        <w:t>Source : https://news.google.com/rss/articles/CBMi3gFBVV95cUxQaUlObnFyZHZ3bHhLY1hrVlh5M3R</w:t>
      </w:r>
    </w:p>
    <w:p>
      <w:pPr>
        <w:spacing w:before="120" w:after="40"/>
      </w:pPr>
      <w:r>
        <w:rPr>
          <w:b/>
          <w:color w:val="00467F"/>
          <w:sz w:val="20"/>
        </w:rPr>
        <w:t>🔑 économique  (1 alerte(s))</w:t>
      </w:r>
    </w:p>
    <w:p>
      <w:pPr>
        <w:spacing w:before="40" w:after="40"/>
        <w:ind w:left="360"/>
      </w:pPr>
      <w:r>
        <w:rPr>
          <w:color w:val="646464"/>
          <w:sz w:val="17"/>
        </w:rPr>
        <w:t xml:space="preserve">[03/09/2026] 🔴  </w:t>
      </w:r>
      <w:r>
        <w:rPr>
          <w:b/>
          <w:color w:val="C00000"/>
          <w:sz w:val="18"/>
        </w:rPr>
        <w:t>Dette, inflation, croissance : la rentrée sans filet de l'économie mondiale ? - Les Echos</w:t>
      </w:r>
      <w:r>
        <w:rPr>
          <w:color w:val="787878"/>
          <w:sz w:val="15"/>
        </w:rPr>
        <w:t xml:space="preserve">  [économique]</w:t>
      </w:r>
      <w:r>
        <w:rPr>
          <w:color w:val="B47800"/>
          <w:sz w:val="16"/>
        </w:rPr>
        <w:t xml:space="preserve">  ★ 50/10</w:t>
      </w:r>
    </w:p>
    <w:p>
      <w:pPr>
        <w:spacing w:before="0" w:after="20"/>
        <w:ind w:left="600"/>
      </w:pPr>
      <w:r>
        <w:rPr>
          <w:color w:val="323232"/>
          <w:sz w:val="17"/>
        </w:rPr>
        <w:t>L'article des Echos aborde les risques économiques mondiaux pour la rentrée, notamment l'endettement élevé, une inflation persistante et une croissance atone. Il souligne l'absence de marges de manœuvre budgétaires et monétaires pour faire face à de nouveaux chocs. Cette situation pourrait fragiliser les marchés émergents et les économies dépendant</w:t>
      </w:r>
    </w:p>
    <w:p>
      <w:pPr>
        <w:spacing w:before="0" w:after="40"/>
        <w:ind w:left="600"/>
      </w:pPr>
      <w:r>
        <w:rPr>
          <w:color w:val="00643C"/>
          <w:sz w:val="16"/>
        </w:rPr>
        <w:t>Points clés : Niveaux de dette publique et privée historiquement élevés dans les pays développés.  •  Inflation encore supérieure aux cibles des banques centrales, limitant les baisses de taux.  •  Croissance mondiale faible, avec des risques de récession dans certaines zones.  •  Réduction des capacités de stimulation budgétaire et monétaire en cas de crise.</w:t>
      </w:r>
    </w:p>
    <w:p>
      <w:pPr>
        <w:spacing w:before="0" w:after="60"/>
        <w:ind w:left="600"/>
      </w:pPr>
      <w:r>
        <w:rPr>
          <w:color w:val="0064B4"/>
          <w:sz w:val="15"/>
        </w:rPr>
        <w:t>Source : https://news.google.com/rss/articles/CBMiygFBVV95cUxPRnRidWpFLTJCSHZyS3c5S2xCcE8</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2,330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8,240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3,205</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4</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10,400</w:t>
            </w:r>
          </w:p>
        </w:tc>
        <w:tc>
          <w:tcPr>
            <w:tcW w:type="dxa" w:w="1080"/>
            <w:shd w:fill="C6EFCE" w:val="clear"/>
          </w:tcPr>
          <w:p>
            <w:r>
              <w:rPr>
                <w:b/>
                <w:sz w:val="16"/>
              </w:rPr>
              <w:t>74/100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2,175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17,725</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3,335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10,015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8,880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33,450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2,405</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2,920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3,565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71</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1,580</w:t>
            </w:r>
          </w:p>
        </w:tc>
        <w:tc>
          <w:tcPr>
            <w:tcW w:type="dxa" w:w="1080"/>
            <w:shd w:fill="EBF5FB" w:val="clear"/>
          </w:tcPr>
          <w:p>
            <w:r>
              <w:rPr>
                <w:b/>
                <w:sz w:val="16"/>
              </w:rPr>
              <w:t>66/100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3,370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6,700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23,150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6,070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8,385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38,500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54,350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2,330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8,240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2,175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17,725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3,335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9,200</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2,405</w:t>
            </w:r>
          </w:p>
        </w:tc>
        <w:tc>
          <w:tcPr>
            <w:tcW w:type="dxa" w:w="1728"/>
            <w:shd w:fill="DEEAF1" w:val="clear"/>
          </w:tcPr>
          <w:p>
            <w:r>
              <w:rPr>
                <w:sz w:val="17"/>
              </w:rPr>
              <w:t>69/100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2,920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2,330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8,240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3,205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10,400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38,500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2,175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17,725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2,330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8,240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3,205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10,400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38,500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2,175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17,725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(84.7 &gt; 70) — risque de correction</w:t>
      </w:r>
    </w:p>
    <w:p>
      <w:pPr>
        <w:pStyle w:val="ListBullet"/>
        <w:spacing w:before="20"/>
        <w:ind w:left="400"/>
      </w:pPr>
      <w:r>
        <w:rPr>
          <w:sz w:val="18"/>
        </w:rPr>
        <w:t>⚠️ Cours à 0.0% du plus haut 100j (10,400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(83.0 &gt; 70) — risque de correction</w:t>
      </w:r>
    </w:p>
    <w:p>
      <w:pPr>
        <w:pStyle w:val="ListBullet"/>
        <w:spacing w:before="20"/>
        <w:ind w:left="400"/>
      </w:pPr>
      <w:r>
        <w:rPr>
          <w:sz w:val="18"/>
        </w:rPr>
        <w:t>⚠️ Cours à 0.0% du plus haut 100j (33,005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(81.6 &gt; 70) — risque de correction</w:t>
      </w:r>
    </w:p>
    <w:p>
      <w:pPr>
        <w:pStyle w:val="ListBullet"/>
        <w:spacing w:before="20"/>
        <w:ind w:left="400"/>
      </w:pPr>
      <w:r>
        <w:rPr>
          <w:sz w:val="18"/>
        </w:rPr>
        <w:t>⚠️ Cours à 0.0% du plus haut 100j (33,450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RSI surachat (74.3 &gt; 70) — risque de correction</w:t>
      </w:r>
    </w:p>
    <w:p>
      <w:pPr>
        <w:pStyle w:val="ListBullet"/>
        <w:spacing w:before="20"/>
        <w:ind w:left="400"/>
      </w:pPr>
      <w:r>
        <w:rPr>
          <w:sz w:val="18"/>
        </w:rPr>
        <w:t>⚠️ Cours à 0.0% du plus haut 100j (17,725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RSI surachat (83.2 &gt; 70) — risque de correction</w:t>
      </w:r>
    </w:p>
    <w:p>
      <w:pPr>
        <w:pStyle w:val="ListBullet"/>
        <w:spacing w:before="20"/>
        <w:ind w:left="400"/>
      </w:pPr>
      <w:r>
        <w:rPr>
          <w:sz w:val="18"/>
        </w:rPr>
        <w:t>⚠️ Cours à 0.8% du plus haut 100j (8,875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(85.1 &gt; 70) — risque de correction</w:t>
      </w:r>
    </w:p>
    <w:p>
      <w:pPr>
        <w:pStyle w:val="ListBullet"/>
        <w:spacing w:before="20"/>
        <w:ind w:left="400"/>
      </w:pPr>
      <w:r>
        <w:rPr>
          <w:sz w:val="18"/>
        </w:rPr>
        <w:t>⚠️ Cours à 1.3% du plus haut 100j (3,950 FCFA)</w:t>
      </w:r>
    </w:p>
    <w:p>
      <w:pPr>
        <w:spacing w:before="120"/>
      </w:pPr>
      <w:r>
        <w:rPr>
          <w:b/>
          <w:color w:val="0050A0"/>
          <w:sz w:val="20"/>
        </w:rPr>
        <w:t>BOAB — BANK OF AFRICA BENIN</w:t>
      </w:r>
    </w:p>
    <w:p>
      <w:pPr>
        <w:pStyle w:val="ListBullet"/>
        <w:spacing w:before="20"/>
        <w:ind w:left="400"/>
      </w:pPr>
      <w:r>
        <w:rPr>
          <w:sz w:val="18"/>
        </w:rPr>
        <w:t>🔴 RSI surachat (76.7 &gt; 70) — risque de correction</w:t>
      </w:r>
    </w:p>
    <w:p>
      <w:pPr>
        <w:pStyle w:val="ListBullet"/>
        <w:spacing w:before="20"/>
        <w:ind w:left="400"/>
      </w:pPr>
      <w:r>
        <w:rPr>
          <w:sz w:val="18"/>
        </w:rPr>
        <w:t>⚠️ Cours à 0.5% du plus haut 100j (10,350 FCFA)</w:t>
      </w:r>
    </w:p>
    <w:p>
      <w:pPr>
        <w:spacing w:before="120"/>
      </w:pPr>
      <w:r>
        <w:rPr>
          <w:b/>
          <w:color w:val="0050A0"/>
          <w:sz w:val="20"/>
        </w:rPr>
        <w:t>BOABF — BANK OF AFRICA BURKINA FASO</w:t>
      </w:r>
    </w:p>
    <w:p>
      <w:pPr>
        <w:pStyle w:val="ListBullet"/>
        <w:spacing w:before="20"/>
        <w:ind w:left="400"/>
      </w:pPr>
      <w:r>
        <w:rPr>
          <w:sz w:val="18"/>
        </w:rPr>
        <w:t>🔴 RSI surachat (83.0 &gt; 70) — risque de correction</w:t>
      </w:r>
    </w:p>
    <w:p>
      <w:pPr>
        <w:pStyle w:val="ListBullet"/>
        <w:spacing w:before="20"/>
        <w:ind w:left="400"/>
      </w:pPr>
      <w:r>
        <w:rPr>
          <w:sz w:val="18"/>
        </w:rPr>
        <w:t>⚠️ Cours à 2.3% du plus haut 100j (9,090 FCFA)</w:t>
      </w:r>
    </w:p>
    <w:p>
      <w:pPr>
        <w:spacing w:before="120"/>
      </w:pPr>
      <w:r>
        <w:rPr>
          <w:b/>
          <w:color w:val="0050A0"/>
          <w:sz w:val="20"/>
        </w:rPr>
        <w:t>CIEC — CIEC - Compagnie Ivoirienne d'Electricité</w:t>
      </w:r>
    </w:p>
    <w:p>
      <w:pPr>
        <w:pStyle w:val="ListBullet"/>
        <w:spacing w:before="20"/>
        <w:ind w:left="400"/>
      </w:pPr>
      <w:r>
        <w:rPr>
          <w:sz w:val="18"/>
        </w:rPr>
        <w:t>🔴 RSI surachat (71.6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(3,000 FCFA)</w:t>
      </w:r>
    </w:p>
    <w:p>
      <w:pPr>
        <w:spacing w:before="120"/>
      </w:pPr>
      <w:r>
        <w:rPr>
          <w:b/>
          <w:color w:val="0050A0"/>
          <w:sz w:val="20"/>
        </w:rPr>
        <w:t>ORAC — ORAC - ORANGE COTE D'IVOIRE</w:t>
      </w:r>
    </w:p>
    <w:p>
      <w:pPr>
        <w:pStyle w:val="ListBullet"/>
        <w:spacing w:before="20"/>
        <w:ind w:left="400"/>
      </w:pPr>
      <w:r>
        <w:rPr>
          <w:sz w:val="18"/>
        </w:rPr>
        <w:t>🔴 RSI surachat (75.6 &gt; 70) — risque de correction</w:t>
      </w:r>
    </w:p>
    <w:p>
      <w:pPr>
        <w:pStyle w:val="ListBullet"/>
        <w:spacing w:before="20"/>
        <w:ind w:left="400"/>
      </w:pPr>
      <w:r>
        <w:rPr>
          <w:sz w:val="18"/>
        </w:rPr>
        <w:t>⚠️ Cours à 2.3% du plus haut 100j (21,500 FCFA)</w:t>
      </w:r>
    </w:p>
    <w:p>
      <w:pPr>
        <w:spacing w:before="120"/>
      </w:pPr>
      <w:r>
        <w:rPr>
          <w:b/>
          <w:color w:val="0050A0"/>
          <w:sz w:val="20"/>
        </w:rPr>
        <w:t>ORGT — ORGT - ORAGROUP TOGO</w:t>
      </w:r>
    </w:p>
    <w:p>
      <w:pPr>
        <w:pStyle w:val="ListBullet"/>
        <w:spacing w:before="20"/>
        <w:ind w:left="400"/>
      </w:pPr>
      <w:r>
        <w:rPr>
          <w:sz w:val="18"/>
        </w:rPr>
        <w:t>🔴 RSI surachat (76.7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(83.9 &gt; 70) — risque de correction</w:t>
      </w:r>
    </w:p>
    <w:p>
      <w:pPr>
        <w:pStyle w:val="ListBullet"/>
        <w:spacing w:before="20"/>
        <w:ind w:left="400"/>
      </w:pPr>
      <w:r>
        <w:rPr>
          <w:sz w:val="18"/>
        </w:rPr>
        <w:t>⚠️ Cours à 0.0% du plus haut 100j (13,500 FCFA)</w:t>
      </w:r>
    </w:p>
    <w:p>
      <w:pPr>
        <w:spacing w:before="120"/>
      </w:pPr>
      <w:r>
        <w:rPr>
          <w:b/>
          <w:color w:val="0050A0"/>
          <w:sz w:val="20"/>
        </w:rPr>
        <w:t>SHEC — SHEC - VIVO ENERGY COTE D'IVOIRE</w:t>
      </w:r>
    </w:p>
    <w:p>
      <w:pPr>
        <w:pStyle w:val="ListBullet"/>
        <w:spacing w:before="20"/>
        <w:ind w:left="400"/>
      </w:pPr>
      <w:r>
        <w:rPr>
          <w:sz w:val="18"/>
        </w:rPr>
        <w:t>🔴 RSI surachat (76.3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(83.6 &gt; 70) — risque de correction</w:t>
      </w:r>
    </w:p>
    <w:p>
      <w:pPr>
        <w:pStyle w:val="ListBullet"/>
        <w:spacing w:before="20"/>
        <w:ind w:left="400"/>
      </w:pPr>
      <w:r>
        <w:rPr>
          <w:sz w:val="18"/>
        </w:rPr>
        <w:t>⚠️ Cours à 1.3% du plus haut 100j (17,735 FCFA)</w:t>
      </w:r>
    </w:p>
    <w:p>
      <w:pPr>
        <w:spacing w:before="120"/>
      </w:pPr>
      <w:r>
        <w:rPr>
          <w:b/>
          <w:color w:val="0050A0"/>
          <w:sz w:val="20"/>
        </w:rPr>
        <w:t>SNTS — SNTS - SONATEL SN</w:t>
      </w:r>
    </w:p>
    <w:p>
      <w:pPr>
        <w:pStyle w:val="ListBullet"/>
        <w:spacing w:before="20"/>
        <w:ind w:left="400"/>
      </w:pPr>
      <w:r>
        <w:rPr>
          <w:sz w:val="18"/>
        </w:rPr>
        <w:t>🔴 RSI surachat (78.5 &gt; 70) — risque de correction</w:t>
      </w:r>
    </w:p>
    <w:p>
      <w:pPr>
        <w:pStyle w:val="ListBullet"/>
        <w:spacing w:before="20"/>
        <w:ind w:left="400"/>
      </w:pPr>
      <w:r>
        <w:rPr>
          <w:sz w:val="18"/>
        </w:rPr>
        <w:t>⚠️ Cours à 0.0% du plus haut 100j (38,500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(72.3 &gt; 70) — risque de correction</w:t>
      </w:r>
    </w:p>
    <w:p>
      <w:pPr>
        <w:pStyle w:val="ListBullet"/>
        <w:spacing w:before="20"/>
        <w:ind w:left="400"/>
      </w:pPr>
      <w:r>
        <w:rPr>
          <w:sz w:val="18"/>
        </w:rPr>
        <w:t>⚠️ Cours à 2.8% du plus haut 100j (10,300 FCFA)</w:t>
      </w:r>
    </w:p>
    <w:p>
      <w:pPr>
        <w:spacing w:before="120"/>
      </w:pPr>
      <w:r>
        <w:rPr>
          <w:b/>
          <w:color w:val="0050A0"/>
          <w:sz w:val="20"/>
        </w:rPr>
        <w:t>UNXC — UNXC - UNIWAX COTE D'IVOIRE</w:t>
      </w:r>
    </w:p>
    <w:p>
      <w:pPr>
        <w:pStyle w:val="ListBullet"/>
        <w:spacing w:before="20"/>
        <w:ind w:left="400"/>
      </w:pPr>
      <w:r>
        <w:rPr>
          <w:sz w:val="18"/>
        </w:rPr>
        <w:t>🔴 RSI surachat (77.9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(72.9 &gt; 70) — risque de correction</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0.0% du plus haut 100j (3,205 FCFA)</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SICC — SICC - SICOR COTE D'IVOIRE</w:t>
      </w:r>
    </w:p>
    <w:p>
      <w:pPr>
        <w:pStyle w:val="ListBullet"/>
        <w:spacing w:before="20"/>
        <w:ind w:left="400"/>
      </w:pPr>
      <w:r>
        <w:rPr>
          <w:sz w:val="18"/>
        </w:rPr>
        <w:t>🟢 RSI survente (27.3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21.1/100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SAFC (30.1/100 — Moyen) : </w:t>
      </w:r>
      <w:r>
        <w:rPr>
          <w:sz w:val="17"/>
        </w:rPr>
        <w:t>Volatilité=Élevée | Bêta=Défensif | Liquidité=Bonne | Divergence signaux=taux divergence=20% (Mixte ⚠️) | Stabilité=Instable</w:t>
      </w:r>
    </w:p>
    <w:p>
      <w:pPr>
        <w:pStyle w:val="ListBullet"/>
      </w:pPr>
      <w:r>
        <w:rPr>
          <w:b/>
          <w:color w:val="B40000"/>
          <w:sz w:val="18"/>
        </w:rPr>
        <w:t xml:space="preserve">#5 CIEC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-13.22%  |  Médiane : -13.19%</w:t>
            </w:r>
          </w:p>
        </w:tc>
      </w:tr>
      <w:tr>
        <w:tc>
          <w:tcPr>
            <w:tcW w:type="dxa" w:w="2835"/>
            <w:shd w:fill="DEEAF1" w:val="clear"/>
          </w:tcPr>
          <w:p>
            <w:r>
              <w:rPr>
                <w:b/>
                <w:sz w:val="18"/>
              </w:rPr>
              <w:t>Répartition</w:t>
            </w:r>
          </w:p>
        </w:tc>
        <w:tc>
          <w:tcPr>
            <w:tcW w:type="dxa" w:w="7370"/>
          </w:tcPr>
          <w:p>
            <w:r>
              <w:rPr>
                <w:b/>
                <w:sz w:val="18"/>
              </w:rPr>
              <w:t>📈 6 sociétés en hausse (&gt;+1%)   📉 38 en baisse (&lt;-1%)   ➡️ 3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38 sociétés sur 47 sont orientées à la baisse avec une variation moyenne de -13.22%.</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3,540 FCFA</w:t>
            </w:r>
          </w:p>
        </w:tc>
        <w:tc>
          <w:tcPr>
            <w:tcW w:type="dxa" w:w="1417"/>
            <w:shd w:fill="FFFFFF" w:val="clear"/>
          </w:tcPr>
          <w:p>
            <w:r>
              <w:rPr>
                <w:sz w:val="16"/>
              </w:rPr>
              <w:t>6,273 FCFA</w:t>
            </w:r>
          </w:p>
        </w:tc>
        <w:tc>
          <w:tcPr>
            <w:tcW w:type="dxa" w:w="1134"/>
            <w:shd w:fill="C6EFCE" w:val="clear"/>
          </w:tcPr>
          <w:p>
            <w:r>
              <w:rPr>
                <w:b/>
                <w:color w:val="007800"/>
                <w:sz w:val="16"/>
              </w:rPr>
              <w:t>+77.21%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23,150 FCFA</w:t>
            </w:r>
          </w:p>
        </w:tc>
        <w:tc>
          <w:tcPr>
            <w:tcW w:type="dxa" w:w="1417"/>
            <w:shd w:fill="FFFFFF" w:val="clear"/>
          </w:tcPr>
          <w:p>
            <w:r>
              <w:rPr>
                <w:sz w:val="16"/>
              </w:rPr>
              <w:t>27,147 FCFA</w:t>
            </w:r>
          </w:p>
        </w:tc>
        <w:tc>
          <w:tcPr>
            <w:tcW w:type="dxa" w:w="1134"/>
            <w:shd w:fill="C6EFCE" w:val="clear"/>
          </w:tcPr>
          <w:p>
            <w:r>
              <w:rPr>
                <w:b/>
                <w:color w:val="007800"/>
                <w:sz w:val="16"/>
              </w:rPr>
              <w:t>+17.27%</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54,350 FCFA</w:t>
            </w:r>
          </w:p>
        </w:tc>
        <w:tc>
          <w:tcPr>
            <w:tcW w:type="dxa" w:w="1417"/>
            <w:shd w:fill="FFFFFF" w:val="clear"/>
          </w:tcPr>
          <w:p>
            <w:r>
              <w:rPr>
                <w:sz w:val="16"/>
              </w:rPr>
              <w:t>61,032 FCFA</w:t>
            </w:r>
          </w:p>
        </w:tc>
        <w:tc>
          <w:tcPr>
            <w:tcW w:type="dxa" w:w="1134"/>
            <w:shd w:fill="C6EFCE" w:val="clear"/>
          </w:tcPr>
          <w:p>
            <w:r>
              <w:rPr>
                <w:b/>
                <w:color w:val="007800"/>
                <w:sz w:val="16"/>
              </w:rPr>
              <w:t>+12.30%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22,100 FCFA</w:t>
            </w:r>
          </w:p>
        </w:tc>
        <w:tc>
          <w:tcPr>
            <w:tcW w:type="dxa" w:w="1417"/>
            <w:shd w:fill="FFFFFF" w:val="clear"/>
          </w:tcPr>
          <w:p>
            <w:r>
              <w:rPr>
                <w:sz w:val="16"/>
              </w:rPr>
              <w:t>24,436 FCFA</w:t>
            </w:r>
          </w:p>
        </w:tc>
        <w:tc>
          <w:tcPr>
            <w:tcW w:type="dxa" w:w="1134"/>
            <w:shd w:fill="C6EFCE" w:val="clear"/>
          </w:tcPr>
          <w:p>
            <w:r>
              <w:rPr>
                <w:b/>
                <w:color w:val="007800"/>
                <w:sz w:val="16"/>
              </w:rPr>
              <w:t>+10.57%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2,247 FCFA</w:t>
            </w:r>
          </w:p>
        </w:tc>
        <w:tc>
          <w:tcPr>
            <w:tcW w:type="dxa" w:w="1134"/>
            <w:shd w:fill="C6EFCE" w:val="clear"/>
          </w:tcPr>
          <w:p>
            <w:r>
              <w:rPr>
                <w:b/>
                <w:color w:val="007800"/>
                <w:sz w:val="16"/>
              </w:rPr>
              <w:t>+4.49%</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(+77.2%) — signal potentiellement excessif, à croiser avec l'analyse technique. Trajectoire : 📈 Hausse continue. Cours actuel : 3,540 FCFA → prédit J+10 : 6,273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(+17.3%) — potentiel de revalorisation notable. Trajectoire : 📈 Hausse continue. Cours actuel : 23,150 FCFA → prédit J+10 : 27,147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(+12.3%) — potentiel de revalorisation notable. Trajectoire : 📈 Hausse continue. Cours actuel : 54,350 FCFA → prédit J+10 : 61,032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(+10.6%) — potentiel de revalorisation notable. Trajectoire : 📈 Hausse continue. Cours actuel : 22,100 FCFA → prédit J+10 : 24,436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2,150 FCFA → prédit J+10 : 2,247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6,070 FCFA</w:t>
            </w:r>
          </w:p>
        </w:tc>
        <w:tc>
          <w:tcPr>
            <w:tcW w:type="dxa" w:w="1417"/>
            <w:shd w:fill="FFFFFF" w:val="clear"/>
          </w:tcPr>
          <w:p>
            <w:r>
              <w:rPr>
                <w:sz w:val="16"/>
              </w:rPr>
              <w:t>2,784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3,565 FCFA</w:t>
            </w:r>
          </w:p>
        </w:tc>
        <w:tc>
          <w:tcPr>
            <w:tcW w:type="dxa" w:w="1417"/>
            <w:shd w:fill="FFFFFF" w:val="clear"/>
          </w:tcPr>
          <w:p>
            <w:r>
              <w:rPr>
                <w:sz w:val="16"/>
              </w:rPr>
              <w:t>1,635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71 FCFA</w:t>
            </w:r>
          </w:p>
        </w:tc>
        <w:tc>
          <w:tcPr>
            <w:tcW w:type="dxa" w:w="1417"/>
            <w:shd w:fill="FFFFFF" w:val="clear"/>
          </w:tcPr>
          <w:p>
            <w:r>
              <w:rPr>
                <w:sz w:val="16"/>
              </w:rPr>
              <w:t>33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3,229 FCFA</w:t>
            </w:r>
          </w:p>
        </w:tc>
        <w:tc>
          <w:tcPr>
            <w:tcW w:type="dxa" w:w="1134"/>
            <w:shd w:fill="FFC7CE" w:val="clear"/>
          </w:tcPr>
          <w:p>
            <w:r>
              <w:rPr>
                <w:b/>
                <w:color w:val="B40000"/>
                <w:sz w:val="16"/>
              </w:rPr>
              <w:t>-51.81%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1,521 FCFA</w:t>
            </w:r>
          </w:p>
        </w:tc>
        <w:tc>
          <w:tcPr>
            <w:tcW w:type="dxa" w:w="1134"/>
            <w:shd w:fill="FFC7CE" w:val="clear"/>
          </w:tcPr>
          <w:p>
            <w:r>
              <w:rPr>
                <w:b/>
                <w:color w:val="B40000"/>
                <w:sz w:val="16"/>
              </w:rPr>
              <w:t>-49.29%</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6,070 FCFA → prédit J+10 : 2,784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3,565 FCFA → prédit J+10 : 1,635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71 FCFA → prédit J+10 : 33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(-51.8%) — amplitude potentiellement surestimée par le modèle. Trajectoire : 📉 Baisse continue. Cours actuel : 6,700 FCFA → prédit J+10 : 3,229 FCFA. ⚠️ Confiance limitée — volatilité élevée. Ne pas agir sur ce seul signal.</w:t>
      </w:r>
    </w:p>
    <w:p>
      <w:pPr>
        <w:pStyle w:val="ListBullet"/>
      </w:pPr>
      <w:r>
        <w:rPr>
          <w:b/>
          <w:color w:val="B40000"/>
          <w:sz w:val="18"/>
        </w:rPr>
        <w:t xml:space="preserve">#5 NEIC </w:t>
      </w:r>
      <w:r>
        <w:rPr>
          <w:sz w:val="17"/>
        </w:rPr>
        <w:t>(NEIC - NEI-CEDA CI) — baisse très forte (-49.3%) — amplitude potentiellement surestimée par le modèle. Trajectoire : 📉 Baisse continue. Cours actuel : 3,000 FCFA → prédit J+10 : 1,521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3,540</w:t>
            </w:r>
          </w:p>
        </w:tc>
        <w:tc>
          <w:tcPr>
            <w:tcW w:type="dxa" w:w="1417"/>
            <w:shd w:fill="FFFFFF" w:val="clear"/>
          </w:tcPr>
          <w:p>
            <w:r>
              <w:rPr>
                <w:sz w:val="16"/>
              </w:rPr>
              <w:t>6,273</w:t>
            </w:r>
          </w:p>
        </w:tc>
        <w:tc>
          <w:tcPr>
            <w:tcW w:type="dxa" w:w="1134"/>
            <w:shd w:fill="C6EFCE" w:val="clear"/>
          </w:tcPr>
          <w:p>
            <w:r>
              <w:rPr>
                <w:b/>
                <w:color w:val="007800"/>
                <w:sz w:val="16"/>
              </w:rPr>
              <w:t>+77.21%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23,150</w:t>
            </w:r>
          </w:p>
        </w:tc>
        <w:tc>
          <w:tcPr>
            <w:tcW w:type="dxa" w:w="1417"/>
            <w:shd w:fill="FFFFFF" w:val="clear"/>
          </w:tcPr>
          <w:p>
            <w:r>
              <w:rPr>
                <w:sz w:val="16"/>
              </w:rPr>
              <w:t>27,147</w:t>
            </w:r>
          </w:p>
        </w:tc>
        <w:tc>
          <w:tcPr>
            <w:tcW w:type="dxa" w:w="1134"/>
            <w:shd w:fill="C6EFCE" w:val="clear"/>
          </w:tcPr>
          <w:p>
            <w:r>
              <w:rPr>
                <w:b/>
                <w:color w:val="007800"/>
                <w:sz w:val="16"/>
              </w:rPr>
              <w:t>+17.27%</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54,350</w:t>
            </w:r>
          </w:p>
        </w:tc>
        <w:tc>
          <w:tcPr>
            <w:tcW w:type="dxa" w:w="1417"/>
            <w:shd w:fill="FFFFFF" w:val="clear"/>
          </w:tcPr>
          <w:p>
            <w:r>
              <w:rPr>
                <w:sz w:val="16"/>
              </w:rPr>
              <w:t>61,032</w:t>
            </w:r>
          </w:p>
        </w:tc>
        <w:tc>
          <w:tcPr>
            <w:tcW w:type="dxa" w:w="1134"/>
            <w:shd w:fill="C6EFCE" w:val="clear"/>
          </w:tcPr>
          <w:p>
            <w:r>
              <w:rPr>
                <w:b/>
                <w:color w:val="007800"/>
                <w:sz w:val="16"/>
              </w:rPr>
              <w:t>+12.30%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22,100</w:t>
            </w:r>
          </w:p>
        </w:tc>
        <w:tc>
          <w:tcPr>
            <w:tcW w:type="dxa" w:w="1417"/>
            <w:shd w:fill="FFFFFF" w:val="clear"/>
          </w:tcPr>
          <w:p>
            <w:r>
              <w:rPr>
                <w:sz w:val="16"/>
              </w:rPr>
              <w:t>24,436</w:t>
            </w:r>
          </w:p>
        </w:tc>
        <w:tc>
          <w:tcPr>
            <w:tcW w:type="dxa" w:w="1134"/>
            <w:shd w:fill="C6EFCE" w:val="clear"/>
          </w:tcPr>
          <w:p>
            <w:r>
              <w:rPr>
                <w:b/>
                <w:color w:val="007800"/>
                <w:sz w:val="16"/>
              </w:rPr>
              <w:t>+10.57%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2,247</w:t>
            </w:r>
          </w:p>
        </w:tc>
        <w:tc>
          <w:tcPr>
            <w:tcW w:type="dxa" w:w="1134"/>
            <w:shd w:fill="C6EFCE" w:val="clear"/>
          </w:tcPr>
          <w:p>
            <w:r>
              <w:rPr>
                <w:b/>
                <w:color w:val="007800"/>
                <w:sz w:val="16"/>
              </w:rPr>
              <w:t>+4.49%</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9,000</w:t>
            </w:r>
          </w:p>
        </w:tc>
        <w:tc>
          <w:tcPr>
            <w:tcW w:type="dxa" w:w="1417"/>
            <w:shd w:fill="FFFFFF" w:val="clear"/>
          </w:tcPr>
          <w:p>
            <w:r>
              <w:rPr>
                <w:sz w:val="16"/>
              </w:rPr>
              <w:t>9,351</w:t>
            </w:r>
          </w:p>
        </w:tc>
        <w:tc>
          <w:tcPr>
            <w:tcW w:type="dxa" w:w="1134"/>
            <w:shd w:fill="C6EFCE" w:val="clear"/>
          </w:tcPr>
          <w:p>
            <w:r>
              <w:rPr>
                <w:b/>
                <w:color w:val="007800"/>
                <w:sz w:val="16"/>
              </w:rPr>
              <w:t>+3.90%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4,050</w:t>
            </w:r>
          </w:p>
        </w:tc>
        <w:tc>
          <w:tcPr>
            <w:tcW w:type="dxa" w:w="1417"/>
            <w:shd w:fill="FFFFFF" w:val="clear"/>
          </w:tcPr>
          <w:p>
            <w:r>
              <w:rPr>
                <w:sz w:val="16"/>
              </w:rPr>
              <w:t>4,079</w:t>
            </w:r>
          </w:p>
        </w:tc>
        <w:tc>
          <w:tcPr>
            <w:tcW w:type="dxa" w:w="1134"/>
            <w:shd w:fill="FFEB9C" w:val="clear"/>
          </w:tcPr>
          <w:p>
            <w:r>
              <w:rPr>
                <w:b/>
                <w:color w:val="646400"/>
                <w:sz w:val="16"/>
              </w:rPr>
              <w:t>+0.72%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8,800</w:t>
            </w:r>
          </w:p>
        </w:tc>
        <w:tc>
          <w:tcPr>
            <w:tcW w:type="dxa" w:w="1417"/>
            <w:shd w:fill="FFFFFF" w:val="clear"/>
          </w:tcPr>
          <w:p>
            <w:r>
              <w:rPr>
                <w:sz w:val="16"/>
              </w:rPr>
              <w:t>8,807</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37,250</w:t>
            </w:r>
          </w:p>
        </w:tc>
        <w:tc>
          <w:tcPr>
            <w:tcW w:type="dxa" w:w="1417"/>
            <w:shd w:fill="FFFFFF" w:val="clear"/>
          </w:tcPr>
          <w:p>
            <w:r>
              <w:rPr>
                <w:sz w:val="16"/>
              </w:rPr>
              <w:t>37,216</w:t>
            </w:r>
          </w:p>
        </w:tc>
        <w:tc>
          <w:tcPr>
            <w:tcW w:type="dxa" w:w="1134"/>
            <w:shd w:fill="FFEB9C" w:val="clear"/>
          </w:tcPr>
          <w:p>
            <w:r>
              <w:rPr>
                <w:b/>
                <w:color w:val="646400"/>
                <w:sz w:val="16"/>
              </w:rPr>
              <w:t>-0.09%</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2,175</w:t>
            </w:r>
          </w:p>
        </w:tc>
        <w:tc>
          <w:tcPr>
            <w:tcW w:type="dxa" w:w="1417"/>
            <w:shd w:fill="FFFFFF" w:val="clear"/>
          </w:tcPr>
          <w:p>
            <w:r>
              <w:rPr>
                <w:sz w:val="16"/>
              </w:rPr>
              <w:t>2,128</w:t>
            </w:r>
          </w:p>
        </w:tc>
        <w:tc>
          <w:tcPr>
            <w:tcW w:type="dxa" w:w="1134"/>
            <w:shd w:fill="FFC7CE" w:val="clear"/>
          </w:tcPr>
          <w:p>
            <w:r>
              <w:rPr>
                <w:b/>
                <w:color w:val="B40000"/>
                <w:sz w:val="16"/>
              </w:rPr>
              <w:t>-2.15%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2,920</w:t>
            </w:r>
          </w:p>
        </w:tc>
        <w:tc>
          <w:tcPr>
            <w:tcW w:type="dxa" w:w="1417"/>
            <w:shd w:fill="FFFFFF" w:val="clear"/>
          </w:tcPr>
          <w:p>
            <w:r>
              <w:rPr>
                <w:sz w:val="16"/>
              </w:rPr>
              <w:t>2,849</w:t>
            </w:r>
          </w:p>
        </w:tc>
        <w:tc>
          <w:tcPr>
            <w:tcW w:type="dxa" w:w="1134"/>
            <w:shd w:fill="FFC7CE" w:val="clear"/>
          </w:tcPr>
          <w:p>
            <w:r>
              <w:rPr>
                <w:b/>
                <w:color w:val="B40000"/>
                <w:sz w:val="16"/>
              </w:rPr>
              <w:t>-2.44%</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5,450</w:t>
            </w:r>
          </w:p>
        </w:tc>
        <w:tc>
          <w:tcPr>
            <w:tcW w:type="dxa" w:w="1417"/>
            <w:shd w:fill="FFFFFF" w:val="clear"/>
          </w:tcPr>
          <w:p>
            <w:r>
              <w:rPr>
                <w:sz w:val="16"/>
              </w:rPr>
              <w:t>5,298</w:t>
            </w:r>
          </w:p>
        </w:tc>
        <w:tc>
          <w:tcPr>
            <w:tcW w:type="dxa" w:w="1134"/>
            <w:shd w:fill="FFC7CE" w:val="clear"/>
          </w:tcPr>
          <w:p>
            <w:r>
              <w:rPr>
                <w:b/>
                <w:color w:val="B40000"/>
                <w:sz w:val="16"/>
              </w:rPr>
              <w:t>-2.78%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37,340</w:t>
            </w:r>
          </w:p>
        </w:tc>
        <w:tc>
          <w:tcPr>
            <w:tcW w:type="dxa" w:w="1134"/>
            <w:shd w:fill="FFC7CE" w:val="clear"/>
          </w:tcPr>
          <w:p>
            <w:r>
              <w:rPr>
                <w:b/>
                <w:color w:val="B40000"/>
                <w:sz w:val="16"/>
              </w:rPr>
              <w:t>-3.01%</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17,725</w:t>
            </w:r>
          </w:p>
        </w:tc>
        <w:tc>
          <w:tcPr>
            <w:tcW w:type="dxa" w:w="1417"/>
            <w:shd w:fill="FFFFFF" w:val="clear"/>
          </w:tcPr>
          <w:p>
            <w:r>
              <w:rPr>
                <w:sz w:val="16"/>
              </w:rPr>
              <w:t>17,086</w:t>
            </w:r>
          </w:p>
        </w:tc>
        <w:tc>
          <w:tcPr>
            <w:tcW w:type="dxa" w:w="1134"/>
            <w:shd w:fill="FFC7CE" w:val="clear"/>
          </w:tcPr>
          <w:p>
            <w:r>
              <w:rPr>
                <w:b/>
                <w:color w:val="B40000"/>
                <w:sz w:val="16"/>
              </w:rPr>
              <w:t>-3.60%</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3,335</w:t>
            </w:r>
          </w:p>
        </w:tc>
        <w:tc>
          <w:tcPr>
            <w:tcW w:type="dxa" w:w="1417"/>
            <w:shd w:fill="FFFFFF" w:val="clear"/>
          </w:tcPr>
          <w:p>
            <w:r>
              <w:rPr>
                <w:sz w:val="16"/>
              </w:rPr>
              <w:t>3,212</w:t>
            </w:r>
          </w:p>
        </w:tc>
        <w:tc>
          <w:tcPr>
            <w:tcW w:type="dxa" w:w="1134"/>
            <w:shd w:fill="FFC7CE" w:val="clear"/>
          </w:tcPr>
          <w:p>
            <w:r>
              <w:rPr>
                <w:b/>
                <w:color w:val="B40000"/>
                <w:sz w:val="16"/>
              </w:rPr>
              <w:t>-3.69%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3,370</w:t>
            </w:r>
          </w:p>
        </w:tc>
        <w:tc>
          <w:tcPr>
            <w:tcW w:type="dxa" w:w="1417"/>
            <w:shd w:fill="FFFFFF" w:val="clear"/>
          </w:tcPr>
          <w:p>
            <w:r>
              <w:rPr>
                <w:sz w:val="16"/>
              </w:rPr>
              <w:t>3,241</w:t>
            </w:r>
          </w:p>
        </w:tc>
        <w:tc>
          <w:tcPr>
            <w:tcW w:type="dxa" w:w="1134"/>
            <w:shd w:fill="FFC7CE" w:val="clear"/>
          </w:tcPr>
          <w:p>
            <w:r>
              <w:rPr>
                <w:b/>
                <w:color w:val="B40000"/>
                <w:sz w:val="16"/>
              </w:rPr>
              <w:t>-3.83%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4,350</w:t>
            </w:r>
          </w:p>
        </w:tc>
        <w:tc>
          <w:tcPr>
            <w:tcW w:type="dxa" w:w="1417"/>
            <w:shd w:fill="FFFFFF" w:val="clear"/>
          </w:tcPr>
          <w:p>
            <w:r>
              <w:rPr>
                <w:sz w:val="16"/>
              </w:rPr>
              <w:t>4,171</w:t>
            </w:r>
          </w:p>
        </w:tc>
        <w:tc>
          <w:tcPr>
            <w:tcW w:type="dxa" w:w="1134"/>
            <w:shd w:fill="FFC7CE" w:val="clear"/>
          </w:tcPr>
          <w:p>
            <w:r>
              <w:rPr>
                <w:b/>
                <w:color w:val="B40000"/>
                <w:sz w:val="16"/>
              </w:rPr>
              <w:t>-4.12%</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16,074</w:t>
            </w:r>
          </w:p>
        </w:tc>
        <w:tc>
          <w:tcPr>
            <w:tcW w:type="dxa" w:w="1134"/>
            <w:shd w:fill="FFC7CE" w:val="clear"/>
          </w:tcPr>
          <w:p>
            <w:r>
              <w:rPr>
                <w:b/>
                <w:color w:val="B40000"/>
                <w:sz w:val="16"/>
              </w:rPr>
              <w:t>-4.89%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17,500</w:t>
            </w:r>
          </w:p>
        </w:tc>
        <w:tc>
          <w:tcPr>
            <w:tcW w:type="dxa" w:w="1417"/>
            <w:shd w:fill="FFFFFF" w:val="clear"/>
          </w:tcPr>
          <w:p>
            <w:r>
              <w:rPr>
                <w:sz w:val="16"/>
              </w:rPr>
              <w:t>16,616</w:t>
            </w:r>
          </w:p>
        </w:tc>
        <w:tc>
          <w:tcPr>
            <w:tcW w:type="dxa" w:w="1134"/>
            <w:shd w:fill="FFC7CE" w:val="clear"/>
          </w:tcPr>
          <w:p>
            <w:r>
              <w:rPr>
                <w:b/>
                <w:color w:val="B40000"/>
                <w:sz w:val="16"/>
              </w:rPr>
              <w:t>-5.05%</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10,015</w:t>
            </w:r>
          </w:p>
        </w:tc>
        <w:tc>
          <w:tcPr>
            <w:tcW w:type="dxa" w:w="1417"/>
            <w:shd w:fill="FFFFFF" w:val="clear"/>
          </w:tcPr>
          <w:p>
            <w:r>
              <w:rPr>
                <w:sz w:val="16"/>
              </w:rPr>
              <w:t>9,438</w:t>
            </w:r>
          </w:p>
        </w:tc>
        <w:tc>
          <w:tcPr>
            <w:tcW w:type="dxa" w:w="1134"/>
            <w:shd w:fill="FFC7CE" w:val="clear"/>
          </w:tcPr>
          <w:p>
            <w:r>
              <w:rPr>
                <w:b/>
                <w:color w:val="B40000"/>
                <w:sz w:val="16"/>
              </w:rPr>
              <w:t>-5.76%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2,405</w:t>
            </w:r>
          </w:p>
        </w:tc>
        <w:tc>
          <w:tcPr>
            <w:tcW w:type="dxa" w:w="1417"/>
            <w:shd w:fill="FFFFFF" w:val="clear"/>
          </w:tcPr>
          <w:p>
            <w:r>
              <w:rPr>
                <w:sz w:val="16"/>
              </w:rPr>
              <w:t>2,262</w:t>
            </w:r>
          </w:p>
        </w:tc>
        <w:tc>
          <w:tcPr>
            <w:tcW w:type="dxa" w:w="1134"/>
            <w:shd w:fill="FFC7CE" w:val="clear"/>
          </w:tcPr>
          <w:p>
            <w:r>
              <w:rPr>
                <w:b/>
                <w:color w:val="B40000"/>
                <w:sz w:val="16"/>
              </w:rPr>
              <w:t>-5.94%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38,500</w:t>
            </w:r>
          </w:p>
        </w:tc>
        <w:tc>
          <w:tcPr>
            <w:tcW w:type="dxa" w:w="1417"/>
            <w:shd w:fill="FFFFFF" w:val="clear"/>
          </w:tcPr>
          <w:p>
            <w:r>
              <w:rPr>
                <w:sz w:val="16"/>
              </w:rPr>
              <w:t>36,131</w:t>
            </w:r>
          </w:p>
        </w:tc>
        <w:tc>
          <w:tcPr>
            <w:tcW w:type="dxa" w:w="1134"/>
            <w:shd w:fill="FFC7CE" w:val="clear"/>
          </w:tcPr>
          <w:p>
            <w:r>
              <w:rPr>
                <w:b/>
                <w:color w:val="B40000"/>
                <w:sz w:val="16"/>
              </w:rPr>
              <w:t>-6.15%</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21,010</w:t>
            </w:r>
          </w:p>
        </w:tc>
        <w:tc>
          <w:tcPr>
            <w:tcW w:type="dxa" w:w="1417"/>
            <w:shd w:fill="FFFFFF" w:val="clear"/>
          </w:tcPr>
          <w:p>
            <w:r>
              <w:rPr>
                <w:sz w:val="16"/>
              </w:rPr>
              <w:t>19,572</w:t>
            </w:r>
          </w:p>
        </w:tc>
        <w:tc>
          <w:tcPr>
            <w:tcW w:type="dxa" w:w="1134"/>
            <w:shd w:fill="FFC7CE" w:val="clear"/>
          </w:tcPr>
          <w:p>
            <w:r>
              <w:rPr>
                <w:b/>
                <w:color w:val="B40000"/>
                <w:sz w:val="16"/>
              </w:rPr>
              <w:t>-6.85%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1,580</w:t>
            </w:r>
          </w:p>
        </w:tc>
        <w:tc>
          <w:tcPr>
            <w:tcW w:type="dxa" w:w="1417"/>
            <w:shd w:fill="FFFFFF" w:val="clear"/>
          </w:tcPr>
          <w:p>
            <w:r>
              <w:rPr>
                <w:sz w:val="16"/>
              </w:rPr>
              <w:t>1,372</w:t>
            </w:r>
          </w:p>
        </w:tc>
        <w:tc>
          <w:tcPr>
            <w:tcW w:type="dxa" w:w="1134"/>
            <w:shd w:fill="FFC7CE" w:val="clear"/>
          </w:tcPr>
          <w:p>
            <w:r>
              <w:rPr>
                <w:b/>
                <w:color w:val="B40000"/>
                <w:sz w:val="16"/>
              </w:rPr>
              <w:t>-13.19%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3,205</w:t>
            </w:r>
          </w:p>
        </w:tc>
        <w:tc>
          <w:tcPr>
            <w:tcW w:type="dxa" w:w="1417"/>
            <w:shd w:fill="FFFFFF" w:val="clear"/>
          </w:tcPr>
          <w:p>
            <w:r>
              <w:rPr>
                <w:sz w:val="16"/>
              </w:rPr>
              <w:t>2,761</w:t>
            </w:r>
          </w:p>
        </w:tc>
        <w:tc>
          <w:tcPr>
            <w:tcW w:type="dxa" w:w="1134"/>
            <w:shd w:fill="FFC7CE" w:val="clear"/>
          </w:tcPr>
          <w:p>
            <w:r>
              <w:rPr>
                <w:b/>
                <w:color w:val="B40000"/>
                <w:sz w:val="16"/>
              </w:rPr>
              <w:t>-13.84%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3,840</w:t>
            </w:r>
          </w:p>
        </w:tc>
        <w:tc>
          <w:tcPr>
            <w:tcW w:type="dxa" w:w="1417"/>
            <w:shd w:fill="FFFFFF" w:val="clear"/>
          </w:tcPr>
          <w:p>
            <w:r>
              <w:rPr>
                <w:sz w:val="16"/>
              </w:rPr>
              <w:t>3,284</w:t>
            </w:r>
          </w:p>
        </w:tc>
        <w:tc>
          <w:tcPr>
            <w:tcW w:type="dxa" w:w="1134"/>
            <w:shd w:fill="FFC7CE" w:val="clear"/>
          </w:tcPr>
          <w:p>
            <w:r>
              <w:rPr>
                <w:b/>
                <w:color w:val="B40000"/>
                <w:sz w:val="16"/>
              </w:rPr>
              <w:t>-14.49%</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1,745</w:t>
            </w:r>
          </w:p>
        </w:tc>
        <w:tc>
          <w:tcPr>
            <w:tcW w:type="dxa" w:w="1417"/>
            <w:shd w:fill="FFFFFF" w:val="clear"/>
          </w:tcPr>
          <w:p>
            <w:r>
              <w:rPr>
                <w:sz w:val="16"/>
              </w:rPr>
              <w:t>1,488</w:t>
            </w:r>
          </w:p>
        </w:tc>
        <w:tc>
          <w:tcPr>
            <w:tcW w:type="dxa" w:w="1134"/>
            <w:shd w:fill="FFC7CE" w:val="clear"/>
          </w:tcPr>
          <w:p>
            <w:r>
              <w:rPr>
                <w:b/>
                <w:color w:val="B40000"/>
                <w:sz w:val="16"/>
              </w:rPr>
              <w:t>-14.71%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8,240</w:t>
            </w:r>
          </w:p>
        </w:tc>
        <w:tc>
          <w:tcPr>
            <w:tcW w:type="dxa" w:w="1417"/>
            <w:shd w:fill="FFFFFF" w:val="clear"/>
          </w:tcPr>
          <w:p>
            <w:r>
              <w:rPr>
                <w:sz w:val="16"/>
              </w:rPr>
              <w:t>7,006</w:t>
            </w:r>
          </w:p>
        </w:tc>
        <w:tc>
          <w:tcPr>
            <w:tcW w:type="dxa" w:w="1134"/>
            <w:shd w:fill="FFC7CE" w:val="clear"/>
          </w:tcPr>
          <w:p>
            <w:r>
              <w:rPr>
                <w:b/>
                <w:color w:val="B40000"/>
                <w:sz w:val="16"/>
              </w:rPr>
              <w:t>-14.97%</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33,005</w:t>
            </w:r>
          </w:p>
        </w:tc>
        <w:tc>
          <w:tcPr>
            <w:tcW w:type="dxa" w:w="1417"/>
            <w:shd w:fill="FFFFFF" w:val="clear"/>
          </w:tcPr>
          <w:p>
            <w:r>
              <w:rPr>
                <w:sz w:val="16"/>
              </w:rPr>
              <w:t>27,996</w:t>
            </w:r>
          </w:p>
        </w:tc>
        <w:tc>
          <w:tcPr>
            <w:tcW w:type="dxa" w:w="1134"/>
            <w:shd w:fill="FFC7CE" w:val="clear"/>
          </w:tcPr>
          <w:p>
            <w:r>
              <w:rPr>
                <w:b/>
                <w:color w:val="B40000"/>
                <w:sz w:val="16"/>
              </w:rPr>
              <w:t>-15.18%</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13,500</w:t>
            </w:r>
          </w:p>
        </w:tc>
        <w:tc>
          <w:tcPr>
            <w:tcW w:type="dxa" w:w="1417"/>
            <w:shd w:fill="FFFFFF" w:val="clear"/>
          </w:tcPr>
          <w:p>
            <w:r>
              <w:rPr>
                <w:sz w:val="16"/>
              </w:rPr>
              <w:t>11,404</w:t>
            </w:r>
          </w:p>
        </w:tc>
        <w:tc>
          <w:tcPr>
            <w:tcW w:type="dxa" w:w="1134"/>
            <w:shd w:fill="FFC7CE" w:val="clear"/>
          </w:tcPr>
          <w:p>
            <w:r>
              <w:rPr>
                <w:b/>
                <w:color w:val="B40000"/>
                <w:sz w:val="16"/>
              </w:rPr>
              <w:t>-15.53%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6,400</w:t>
            </w:r>
          </w:p>
        </w:tc>
        <w:tc>
          <w:tcPr>
            <w:tcW w:type="dxa" w:w="1417"/>
            <w:shd w:fill="FFFFFF" w:val="clear"/>
          </w:tcPr>
          <w:p>
            <w:r>
              <w:rPr>
                <w:sz w:val="16"/>
              </w:rPr>
              <w:t>5,399</w:t>
            </w:r>
          </w:p>
        </w:tc>
        <w:tc>
          <w:tcPr>
            <w:tcW w:type="dxa" w:w="1134"/>
            <w:shd w:fill="FFC7CE" w:val="clear"/>
          </w:tcPr>
          <w:p>
            <w:r>
              <w:rPr>
                <w:b/>
                <w:color w:val="B40000"/>
                <w:sz w:val="16"/>
              </w:rPr>
              <w:t>-15.63%</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8,880</w:t>
            </w:r>
          </w:p>
        </w:tc>
        <w:tc>
          <w:tcPr>
            <w:tcW w:type="dxa" w:w="1417"/>
            <w:shd w:fill="FFFFFF" w:val="clear"/>
          </w:tcPr>
          <w:p>
            <w:r>
              <w:rPr>
                <w:sz w:val="16"/>
              </w:rPr>
              <w:t>7,391</w:t>
            </w:r>
          </w:p>
        </w:tc>
        <w:tc>
          <w:tcPr>
            <w:tcW w:type="dxa" w:w="1134"/>
            <w:shd w:fill="FFC7CE" w:val="clear"/>
          </w:tcPr>
          <w:p>
            <w:r>
              <w:rPr>
                <w:b/>
                <w:color w:val="B40000"/>
                <w:sz w:val="16"/>
              </w:rPr>
              <w:t>-16.77%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10,300</w:t>
            </w:r>
          </w:p>
        </w:tc>
        <w:tc>
          <w:tcPr>
            <w:tcW w:type="dxa" w:w="1417"/>
            <w:shd w:fill="FFFFFF" w:val="clear"/>
          </w:tcPr>
          <w:p>
            <w:r>
              <w:rPr>
                <w:sz w:val="16"/>
              </w:rPr>
              <w:t>8,461</w:t>
            </w:r>
          </w:p>
        </w:tc>
        <w:tc>
          <w:tcPr>
            <w:tcW w:type="dxa" w:w="1134"/>
            <w:shd w:fill="FFC7CE" w:val="clear"/>
          </w:tcPr>
          <w:p>
            <w:r>
              <w:rPr>
                <w:b/>
                <w:color w:val="B40000"/>
                <w:sz w:val="16"/>
              </w:rPr>
              <w:t>-17.86%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3,900</w:t>
            </w:r>
          </w:p>
        </w:tc>
        <w:tc>
          <w:tcPr>
            <w:tcW w:type="dxa" w:w="1417"/>
            <w:shd w:fill="FFFFFF" w:val="clear"/>
          </w:tcPr>
          <w:p>
            <w:r>
              <w:rPr>
                <w:sz w:val="16"/>
              </w:rPr>
              <w:t>3,200</w:t>
            </w:r>
          </w:p>
        </w:tc>
        <w:tc>
          <w:tcPr>
            <w:tcW w:type="dxa" w:w="1134"/>
            <w:shd w:fill="FFC7CE" w:val="clear"/>
          </w:tcPr>
          <w:p>
            <w:r>
              <w:rPr>
                <w:b/>
                <w:color w:val="B40000"/>
                <w:sz w:val="16"/>
              </w:rPr>
              <w:t>-17.95%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8,385</w:t>
            </w:r>
          </w:p>
        </w:tc>
        <w:tc>
          <w:tcPr>
            <w:tcW w:type="dxa" w:w="1417"/>
            <w:shd w:fill="FFFFFF" w:val="clear"/>
          </w:tcPr>
          <w:p>
            <w:r>
              <w:rPr>
                <w:sz w:val="16"/>
              </w:rPr>
              <w:t>6,798</w:t>
            </w:r>
          </w:p>
        </w:tc>
        <w:tc>
          <w:tcPr>
            <w:tcW w:type="dxa" w:w="1134"/>
            <w:shd w:fill="FFC7CE" w:val="clear"/>
          </w:tcPr>
          <w:p>
            <w:r>
              <w:rPr>
                <w:b/>
                <w:color w:val="B40000"/>
                <w:sz w:val="16"/>
              </w:rPr>
              <w:t>-18.92%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2,330</w:t>
            </w:r>
          </w:p>
        </w:tc>
        <w:tc>
          <w:tcPr>
            <w:tcW w:type="dxa" w:w="1417"/>
            <w:shd w:fill="FFFFFF" w:val="clear"/>
          </w:tcPr>
          <w:p>
            <w:r>
              <w:rPr>
                <w:sz w:val="16"/>
              </w:rPr>
              <w:t>1,828</w:t>
            </w:r>
          </w:p>
        </w:tc>
        <w:tc>
          <w:tcPr>
            <w:tcW w:type="dxa" w:w="1134"/>
            <w:shd w:fill="FFC7CE" w:val="clear"/>
          </w:tcPr>
          <w:p>
            <w:r>
              <w:rPr>
                <w:b/>
                <w:color w:val="B40000"/>
                <w:sz w:val="16"/>
              </w:rPr>
              <w:t>-21.56%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7,207</w:t>
            </w:r>
          </w:p>
        </w:tc>
        <w:tc>
          <w:tcPr>
            <w:tcW w:type="dxa" w:w="1134"/>
            <w:shd w:fill="FFC7CE" w:val="clear"/>
          </w:tcPr>
          <w:p>
            <w:r>
              <w:rPr>
                <w:b/>
                <w:color w:val="B40000"/>
                <w:sz w:val="16"/>
              </w:rPr>
              <w:t>-21.66%</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2,400</w:t>
            </w:r>
          </w:p>
        </w:tc>
        <w:tc>
          <w:tcPr>
            <w:tcW w:type="dxa" w:w="1417"/>
            <w:shd w:fill="FFFFFF" w:val="clear"/>
          </w:tcPr>
          <w:p>
            <w:r>
              <w:rPr>
                <w:sz w:val="16"/>
              </w:rPr>
              <w:t>1,693</w:t>
            </w:r>
          </w:p>
        </w:tc>
        <w:tc>
          <w:tcPr>
            <w:tcW w:type="dxa" w:w="1134"/>
            <w:shd w:fill="FFC7CE" w:val="clear"/>
          </w:tcPr>
          <w:p>
            <w:r>
              <w:rPr>
                <w:b/>
                <w:color w:val="B40000"/>
                <w:sz w:val="16"/>
              </w:rPr>
              <w:t>-29.47%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12,500</w:t>
            </w:r>
          </w:p>
        </w:tc>
        <w:tc>
          <w:tcPr>
            <w:tcW w:type="dxa" w:w="1417"/>
            <w:shd w:fill="FFFFFF" w:val="clear"/>
          </w:tcPr>
          <w:p>
            <w:r>
              <w:rPr>
                <w:sz w:val="16"/>
              </w:rPr>
              <w:t>8,767</w:t>
            </w:r>
          </w:p>
        </w:tc>
        <w:tc>
          <w:tcPr>
            <w:tcW w:type="dxa" w:w="1134"/>
            <w:shd w:fill="FFC7CE" w:val="clear"/>
          </w:tcPr>
          <w:p>
            <w:r>
              <w:rPr>
                <w:b/>
                <w:color w:val="B40000"/>
                <w:sz w:val="16"/>
              </w:rPr>
              <w:t>-29.87%</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2,605</w:t>
            </w:r>
          </w:p>
        </w:tc>
        <w:tc>
          <w:tcPr>
            <w:tcW w:type="dxa" w:w="1417"/>
            <w:shd w:fill="FFFFFF" w:val="clear"/>
          </w:tcPr>
          <w:p>
            <w:r>
              <w:rPr>
                <w:sz w:val="16"/>
              </w:rPr>
              <w:t>1,571</w:t>
            </w:r>
          </w:p>
        </w:tc>
        <w:tc>
          <w:tcPr>
            <w:tcW w:type="dxa" w:w="1134"/>
            <w:shd w:fill="FFC7CE" w:val="clear"/>
          </w:tcPr>
          <w:p>
            <w:r>
              <w:rPr>
                <w:b/>
                <w:color w:val="B40000"/>
                <w:sz w:val="16"/>
              </w:rPr>
              <w:t>-39.69%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10,400</w:t>
            </w:r>
          </w:p>
        </w:tc>
        <w:tc>
          <w:tcPr>
            <w:tcW w:type="dxa" w:w="1417"/>
            <w:shd w:fill="FFFFFF" w:val="clear"/>
          </w:tcPr>
          <w:p>
            <w:r>
              <w:rPr>
                <w:sz w:val="16"/>
              </w:rPr>
              <w:t>5,638</w:t>
            </w:r>
          </w:p>
        </w:tc>
        <w:tc>
          <w:tcPr>
            <w:tcW w:type="dxa" w:w="1134"/>
            <w:shd w:fill="FFC7CE" w:val="clear"/>
          </w:tcPr>
          <w:p>
            <w:r>
              <w:rPr>
                <w:b/>
                <w:color w:val="B40000"/>
                <w:sz w:val="16"/>
              </w:rPr>
              <w:t>-45.79%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33,450</w:t>
            </w:r>
          </w:p>
        </w:tc>
        <w:tc>
          <w:tcPr>
            <w:tcW w:type="dxa" w:w="1417"/>
            <w:shd w:fill="FFFFFF" w:val="clear"/>
          </w:tcPr>
          <w:p>
            <w:r>
              <w:rPr>
                <w:sz w:val="16"/>
              </w:rPr>
              <w:t>17,758</w:t>
            </w:r>
          </w:p>
        </w:tc>
        <w:tc>
          <w:tcPr>
            <w:tcW w:type="dxa" w:w="1134"/>
            <w:shd w:fill="FFC7CE" w:val="clear"/>
          </w:tcPr>
          <w:p>
            <w:r>
              <w:rPr>
                <w:b/>
                <w:color w:val="B40000"/>
                <w:sz w:val="16"/>
              </w:rPr>
              <w:t>-46.91%</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1,521</w:t>
            </w:r>
          </w:p>
        </w:tc>
        <w:tc>
          <w:tcPr>
            <w:tcW w:type="dxa" w:w="1134"/>
            <w:shd w:fill="FFC7CE" w:val="clear"/>
          </w:tcPr>
          <w:p>
            <w:r>
              <w:rPr>
                <w:b/>
                <w:color w:val="B40000"/>
                <w:sz w:val="16"/>
              </w:rPr>
              <w:t>-49.29%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3,229</w:t>
            </w:r>
          </w:p>
        </w:tc>
        <w:tc>
          <w:tcPr>
            <w:tcW w:type="dxa" w:w="1134"/>
            <w:shd w:fill="FFC7CE" w:val="clear"/>
          </w:tcPr>
          <w:p>
            <w:r>
              <w:rPr>
                <w:b/>
                <w:color w:val="B40000"/>
                <w:sz w:val="16"/>
              </w:rPr>
              <w:t>-51.81%</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71</w:t>
            </w:r>
          </w:p>
        </w:tc>
        <w:tc>
          <w:tcPr>
            <w:tcW w:type="dxa" w:w="1417"/>
            <w:shd w:fill="FFFFFF" w:val="clear"/>
          </w:tcPr>
          <w:p>
            <w:r>
              <w:rPr>
                <w:sz w:val="16"/>
              </w:rPr>
              <w:t>33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3,565</w:t>
            </w:r>
          </w:p>
        </w:tc>
        <w:tc>
          <w:tcPr>
            <w:tcW w:type="dxa" w:w="1417"/>
            <w:shd w:fill="FFFFFF" w:val="clear"/>
          </w:tcPr>
          <w:p>
            <w:r>
              <w:rPr>
                <w:sz w:val="16"/>
              </w:rPr>
              <w:t>1,635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6,070</w:t>
            </w:r>
          </w:p>
        </w:tc>
        <w:tc>
          <w:tcPr>
            <w:tcW w:type="dxa" w:w="1417"/>
            <w:shd w:fill="FFFFFF" w:val="clear"/>
          </w:tcPr>
          <w:p>
            <w:r>
              <w:rPr>
                <w:sz w:val="16"/>
              </w:rPr>
              <w:t>2,784</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3,369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+12.39%</w:t>
            </w:r>
          </w:p>
          <w:p>
            <w:r>
              <w:rPr>
                <w:b/>
                <w:color w:val="503200"/>
                <w:sz w:val="16"/>
              </w:rPr>
              <w:t xml:space="preserve">Plus haut 100j : </w:t>
            </w:r>
            <w:r>
              <w:rPr>
                <w:color w:val="000000"/>
                <w:sz w:val="17"/>
              </w:rPr>
              <w:t>3,950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8.19% (Moyenne) — μ=3,227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β=0.3514 (Défensif) — Cov=0.000013, Var(idx)=0.000037, ρ=0.069,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3,620</w:t>
            </w:r>
          </w:p>
        </w:tc>
        <w:tc>
          <w:tcPr>
            <w:tcW w:type="dxa" w:w="1440"/>
            <w:shd w:fill="FFDCE0" w:val="clear"/>
          </w:tcPr>
          <w:p>
            <w:r>
              <w:rPr>
                <w:b/>
                <w:sz w:val="17"/>
              </w:rPr>
              <w:t>3,794</w:t>
            </w:r>
          </w:p>
        </w:tc>
        <w:tc>
          <w:tcPr>
            <w:tcW w:type="dxa" w:w="1440"/>
            <w:shd w:fill="FFDCE0" w:val="clear"/>
          </w:tcPr>
          <w:p>
            <w:r>
              <w:rPr>
                <w:sz w:val="17"/>
              </w:rPr>
              <w:t>3,968</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3,461</w:t>
            </w:r>
          </w:p>
        </w:tc>
        <w:tc>
          <w:tcPr>
            <w:tcW w:type="dxa" w:w="1440"/>
            <w:shd w:fill="FFDCE0" w:val="clear"/>
          </w:tcPr>
          <w:p>
            <w:r>
              <w:rPr>
                <w:b/>
                <w:sz w:val="17"/>
              </w:rPr>
              <w:t>3,701</w:t>
            </w:r>
          </w:p>
        </w:tc>
        <w:tc>
          <w:tcPr>
            <w:tcW w:type="dxa" w:w="1440"/>
            <w:shd w:fill="FFDCE0" w:val="clear"/>
          </w:tcPr>
          <w:p>
            <w:r>
              <w:rPr>
                <w:sz w:val="17"/>
              </w:rPr>
              <w:t>3,941</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3,324</w:t>
            </w:r>
          </w:p>
        </w:tc>
        <w:tc>
          <w:tcPr>
            <w:tcW w:type="dxa" w:w="1440"/>
            <w:shd w:fill="FFDCE0" w:val="clear"/>
          </w:tcPr>
          <w:p>
            <w:r>
              <w:rPr>
                <w:b/>
                <w:sz w:val="17"/>
              </w:rPr>
              <w:t>3,611</w:t>
            </w:r>
          </w:p>
        </w:tc>
        <w:tc>
          <w:tcPr>
            <w:tcW w:type="dxa" w:w="1440"/>
            <w:shd w:fill="FFDCE0" w:val="clear"/>
          </w:tcPr>
          <w:p>
            <w:r>
              <w:rPr>
                <w:sz w:val="17"/>
              </w:rPr>
              <w:t>3,898</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3,211</w:t>
            </w:r>
          </w:p>
        </w:tc>
        <w:tc>
          <w:tcPr>
            <w:tcW w:type="dxa" w:w="1440"/>
            <w:shd w:fill="FFDCE0" w:val="clear"/>
          </w:tcPr>
          <w:p>
            <w:r>
              <w:rPr>
                <w:b/>
                <w:sz w:val="17"/>
              </w:rPr>
              <w:t>3,535</w:t>
            </w:r>
          </w:p>
        </w:tc>
        <w:tc>
          <w:tcPr>
            <w:tcW w:type="dxa" w:w="1440"/>
            <w:shd w:fill="FFDCE0" w:val="clear"/>
          </w:tcPr>
          <w:p>
            <w:r>
              <w:rPr>
                <w:sz w:val="17"/>
              </w:rPr>
              <w:t>3,860</w:t>
            </w:r>
          </w:p>
        </w:tc>
        <w:tc>
          <w:tcPr>
            <w:tcW w:type="dxa" w:w="1440"/>
            <w:shd w:fill="FFDCE0" w:val="clear"/>
          </w:tcPr>
          <w:p>
            <w:r>
              <w:rPr>
                <w:b/>
                <w:color w:val="C00000"/>
                <w:sz w:val="17"/>
              </w:rPr>
              <w:t>-9.3%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3,113</w:t>
            </w:r>
          </w:p>
        </w:tc>
        <w:tc>
          <w:tcPr>
            <w:tcW w:type="dxa" w:w="1440"/>
            <w:shd w:fill="FFDCE0" w:val="clear"/>
          </w:tcPr>
          <w:p>
            <w:r>
              <w:rPr>
                <w:b/>
                <w:sz w:val="17"/>
              </w:rPr>
              <w:t>3,469</w:t>
            </w:r>
          </w:p>
        </w:tc>
        <w:tc>
          <w:tcPr>
            <w:tcW w:type="dxa" w:w="1440"/>
            <w:shd w:fill="FFDCE0" w:val="clear"/>
          </w:tcPr>
          <w:p>
            <w:r>
              <w:rPr>
                <w:sz w:val="17"/>
              </w:rPr>
              <w:t>3,824</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3,025</w:t>
            </w:r>
          </w:p>
        </w:tc>
        <w:tc>
          <w:tcPr>
            <w:tcW w:type="dxa" w:w="1440"/>
            <w:shd w:fill="FFDCE0" w:val="clear"/>
          </w:tcPr>
          <w:p>
            <w:r>
              <w:rPr>
                <w:b/>
                <w:sz w:val="17"/>
              </w:rPr>
              <w:t>3,407</w:t>
            </w:r>
          </w:p>
        </w:tc>
        <w:tc>
          <w:tcPr>
            <w:tcW w:type="dxa" w:w="1440"/>
            <w:shd w:fill="FFDCE0" w:val="clear"/>
          </w:tcPr>
          <w:p>
            <w:r>
              <w:rPr>
                <w:sz w:val="17"/>
              </w:rPr>
              <w:t>3,790</w:t>
            </w:r>
          </w:p>
        </w:tc>
        <w:tc>
          <w:tcPr>
            <w:tcW w:type="dxa" w:w="1440"/>
            <w:shd w:fill="FFDCE0" w:val="clear"/>
          </w:tcPr>
          <w:p>
            <w:r>
              <w:rPr>
                <w:b/>
                <w:color w:val="C00000"/>
                <w:sz w:val="17"/>
              </w:rPr>
              <w:t>-12.6%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2,944</w:t>
            </w:r>
          </w:p>
        </w:tc>
        <w:tc>
          <w:tcPr>
            <w:tcW w:type="dxa" w:w="1440"/>
            <w:shd w:fill="FFDCE0" w:val="clear"/>
          </w:tcPr>
          <w:p>
            <w:r>
              <w:rPr>
                <w:b/>
                <w:sz w:val="17"/>
              </w:rPr>
              <w:t>3,351</w:t>
            </w:r>
          </w:p>
        </w:tc>
        <w:tc>
          <w:tcPr>
            <w:tcW w:type="dxa" w:w="1440"/>
            <w:shd w:fill="FFDCE0" w:val="clear"/>
          </w:tcPr>
          <w:p>
            <w:r>
              <w:rPr>
                <w:sz w:val="17"/>
              </w:rPr>
              <w:t>3,757</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2,870</w:t>
            </w:r>
          </w:p>
        </w:tc>
        <w:tc>
          <w:tcPr>
            <w:tcW w:type="dxa" w:w="1440"/>
            <w:shd w:fill="FFDCE0" w:val="clear"/>
          </w:tcPr>
          <w:p>
            <w:r>
              <w:rPr>
                <w:b/>
                <w:sz w:val="17"/>
              </w:rPr>
              <w:t>3,297</w:t>
            </w:r>
          </w:p>
        </w:tc>
        <w:tc>
          <w:tcPr>
            <w:tcW w:type="dxa" w:w="1440"/>
            <w:shd w:fill="FFDCE0" w:val="clear"/>
          </w:tcPr>
          <w:p>
            <w:r>
              <w:rPr>
                <w:sz w:val="17"/>
              </w:rPr>
              <w:t>3,725</w:t>
            </w:r>
          </w:p>
        </w:tc>
        <w:tc>
          <w:tcPr>
            <w:tcW w:type="dxa" w:w="1440"/>
            <w:shd w:fill="FFDCE0" w:val="clear"/>
          </w:tcPr>
          <w:p>
            <w:r>
              <w:rPr>
                <w:b/>
                <w:color w:val="C00000"/>
                <w:sz w:val="17"/>
              </w:rPr>
              <w:t>-15.5%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2,800</w:t>
            </w:r>
          </w:p>
        </w:tc>
        <w:tc>
          <w:tcPr>
            <w:tcW w:type="dxa" w:w="1440"/>
            <w:shd w:fill="FFDCE0" w:val="clear"/>
          </w:tcPr>
          <w:p>
            <w:r>
              <w:rPr>
                <w:b/>
                <w:sz w:val="17"/>
              </w:rPr>
              <w:t>3,247</w:t>
            </w:r>
          </w:p>
        </w:tc>
        <w:tc>
          <w:tcPr>
            <w:tcW w:type="dxa" w:w="1440"/>
            <w:shd w:fill="FFDCE0" w:val="clear"/>
          </w:tcPr>
          <w:p>
            <w:r>
              <w:rPr>
                <w:sz w:val="17"/>
              </w:rPr>
              <w:t>3,694</w:t>
            </w:r>
          </w:p>
        </w:tc>
        <w:tc>
          <w:tcPr>
            <w:tcW w:type="dxa" w:w="1440"/>
            <w:shd w:fill="FFDCE0" w:val="clear"/>
          </w:tcPr>
          <w:p>
            <w:r>
              <w:rPr>
                <w:b/>
                <w:color w:val="C00000"/>
                <w:sz w:val="17"/>
              </w:rPr>
              <w:t>-16.7%</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2,736</w:t>
            </w:r>
          </w:p>
        </w:tc>
        <w:tc>
          <w:tcPr>
            <w:tcW w:type="dxa" w:w="1440"/>
            <w:shd w:fill="FFDCE0" w:val="clear"/>
          </w:tcPr>
          <w:p>
            <w:r>
              <w:rPr>
                <w:b/>
                <w:sz w:val="17"/>
              </w:rPr>
              <w:t>3,200</w:t>
            </w:r>
          </w:p>
        </w:tc>
        <w:tc>
          <w:tcPr>
            <w:tcW w:type="dxa" w:w="1440"/>
            <w:shd w:fill="FFDCE0" w:val="clear"/>
          </w:tcPr>
          <w:p>
            <w:r>
              <w:rPr>
                <w:sz w:val="17"/>
              </w:rPr>
              <w:t>3,664</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42,56 milliards FCFA, un niveau significatif qui la positionne comme une valeur de taille moyenne sur la BRVM. Avec un BPA de 124 FCFA, le titre se négocie à un PER de 31,5x, très supérieur à la moyenne historique du marché (8-12x), ce qui traduit une prime de valorisation considérable, probablement justifiée par des attentes de croissance élevées ou une liquidité limitée. Le P/B de 8,25x confirme cette exubérance, le marché valorisant l'actif net à plus de huit fois sa valeur comptable, un niveau extrêmement exigeant. Enfin, l'EV/EBITDA de 16,2x (&gt;15x) renforce le diagnostic d'une valorisation très tendue, où l'investisseur paie un prix élevé pour chaque unité de richesse opérationnelle créée. Ces ratios indiquent que le marché intègre un scénario de croissance robuste, laissant peu de place à la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progression totale de +12,39%, mais a subi un léger repli de -1,27% lors de la dernière séance, clôturant à 3 900 FCFA. Le titre a évolué dans un range de trading de 2 800 à 3 950 FCFA, démontrant une dynamique haussière soutenue. La moyenne du cours sur la période (3 227 FCFA) est inférieure à la médiane (3 182 FCFA), et le skewness positif de 0,660 indique une asymétrie avec des jours de forte hausse tirant le cours vers le haut. L'écart-type de 266 FCFA (CV=8,2%) révèle une dispersion modérée autour de la moyenne, tandis que le kurtosis de -0,059 (mésokurtique) suggère une distribution des rendements proche de la normale, sans risque de pics extrêmes. La volatilité annualisée de 49,2% est très élevée (&gt;30%), signalant un titre spéculatif avec des fluctuations de prix importantes, ce qui représente un risque majeur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(3 900 FCFA) se situe nettement au-dessus de la MM20 (3 471,75 FCFA) et de la MM50 (3 256,1 FCFA). Cette configuration haussière, où le prix est soutenu par les moyennes mobiles à court et moyen terme, confirme une tendance positive. La décision d'« Achat » est justifiée par cette dynamique, bien que l'écart important entre le prix et les MM suggère une possible correction à venir.</w:t>
      </w:r>
    </w:p>
    <w:p>
      <w:pPr>
        <w:spacing w:after="120" w:line="276" w:lineRule="auto"/>
      </w:pPr>
      <w:r>
        <w:t>**Bandes de Bollinger :** Le prix à 3 900 FCFA se rapproche de la borne supérieure (4 080,55 FCFA) et est très éloigné de la borne inférieure (2 862,95 FCFA). Cette position indique que le titre est en zone de surachat temporaire, avec une volatilité croissante. La décision « Neutre » est cohérente, car le marché pourrait consolider avant de poursuivre sa hausse ou de corriger.</w:t>
      </w:r>
    </w:p>
    <w:p>
      <w:pPr>
        <w:spacing w:after="120" w:line="276" w:lineRule="auto"/>
      </w:pPr>
      <w:r>
        <w:t>**MACD :** Le MACD (201,13) est nettement supérieur à son signal (152,03), affichant un momentum haussier très fort. La décision d'« Achat » est justifiée par cette divergence positive, qui indique que la pression acheteuse reste dominante à moyen terme.</w:t>
      </w:r>
    </w:p>
    <w:p>
      <w:pPr>
        <w:spacing w:after="120" w:line="276" w:lineRule="auto"/>
      </w:pPr>
      <w:r>
        <w:t>**RSI :** Le RSI à 85,1 est en zone de surachat extrême (&gt;70). Ce niveau signale que le titre est survendu d'un point de vue technique et qu'un retournement de tendance ou une consolidation est probable à court terme. La décision de « Vente » est un signal de prudence pour les investisseurs à court terme.</w:t>
      </w:r>
    </w:p>
    <w:p>
      <w:pPr>
        <w:spacing w:after="120" w:line="276" w:lineRule="auto"/>
      </w:pPr>
      <w:r>
        <w:t>**Stochastique :** Le %K (92,31) et le %D (94,72) sont tous deux en zone de surachat profond. Cette configuration renforce le signal de prudence, indiquant que le mouvement haussier est arrivé à maturité et qu'un repli technique est de plus en plus probable. La décision de « Vente » est donc cohérente.</w:t>
      </w:r>
    </w:p>
    <w:p>
      <w:pPr>
        <w:spacing w:after="120" w:line="276" w:lineRule="auto"/>
      </w:pPr>
      <w:r>
        <w:t>**Conclusion technique :** Les indicateurs de tendance (MM, MACD) sont positifs, mais les oscillateurs de momentum (RSI, Stochastique) sont en surachat extrême. Cette divergence signale un risque élevé de correction à court terme, même si la tendance de fond reste haussière. Un repli vers les 3 600-3 700 FCFA serait une opportunité d'achat potentielle.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Servair Abidjan a réalisé un chiffre d'affaires de 13,298 milliards FCFA, en croissance de +6,67%, avec un résultat net de 1,351 milliard FCFA. La rentabilité est excellente avec un ROE de 26,18% et un ROA de 14,64%. La structure financière est très saine : capitaux propres de 5,159 milliards FCFA (55,9% du bilan), une trésorerie massive de 4,035 milliards FCFA et un endettement financier quasi nul (65,89 millions FCFA). En tant qu'entreprise non bancaire, l'analyse des délais est cruciale : le délai de paiement des clients (70 jours) est inférieur au délai de paiement des fournisseurs (92 jours), ce qui est un point positif pour la trésorerie. Le BFR est maîtrisé à 257 millions FCFA. Cependant, les rapports narratifs révèlent une dégradation récente : le rapport du T1 2026 (publié en 2026) indique une chute du résultat net de -35,6% à 222,6 millions FCFA, impacté par les ajustements de redevances aéroportuaires. Sur la base de ce T1 2026, on estime que l'exercice 2026 pourrait voir un résultat net en baisse de 20 à 30%, soit un RN estimé entre 950 millions et 1,08 milliard FCFA. La société a également versé des dividendes massifs en 2024 (3,3 milliards FCFA), ce qui avait réduit sa trésorerie, mais celle-ci s'est reconstituée en 2025. Les fondamentaux restent solides, mais la pression sur les marges et le contexte réglementaire (litige BCEAO en 2025, redevances)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d'ABJC (PER 31,5x, P/B 8,25x) est extrêmement exigeante, indiquant une surévaluation relative par rapport à ses pairs BRVM. Le comportement du cours est haussier sur 100 jours (+12,39%), mais la volatilité très élevée (49,2%) et les statistiques (asymétrie positive) suggèrent un risque de retournement. Les signaux techniques sont contradictoires : la tendance de fond (MM, MACD) est positive, mais les oscillateurs (RSI 85, Stochastique 92) crient au surachat, annonçant une correction probable. Les fondamentaux sont solides (ROE &gt;26%, trésorerie nette positive), mais les estimations pour 2026 basées sur le T1 (-35,6% de RN) indiquent un ralentissement net de la rentabilité. Les prédictions IA (J+1 à J+10) confirment cette analyse en projetant une baisse continue du cours de 3 794 à 3 469 FCFA, soit une correction de -11%, ce qui contredit la tendance haussière récente et valide les signaux de surachat. En synthèse, la convergence entre la valorisation excessive, les signaux techniques de surachat et les prédictions IA baissières est forte. **Recommandation : VENTE.** Niveau de confiance : **Élevé**. Risque global : **Élevé**. Horizon d'investissement optimal : **Court terme (&lt;3 mois)** pour profiter d'un éventuel repli avant de réévaluer la valeur sur des bases plus raisonnables.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600.70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12,052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+101.94%</w:t>
            </w:r>
          </w:p>
          <w:p>
            <w:r>
              <w:rPr>
                <w:b/>
                <w:color w:val="503200"/>
                <w:sz w:val="16"/>
              </w:rPr>
              <w:t xml:space="preserve">Plus haut 100j : </w:t>
            </w:r>
            <w:r>
              <w:rPr>
                <w:color w:val="000000"/>
                <w:sz w:val="17"/>
              </w:rPr>
              <w:t>10,400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21.17% (Élevée) — μ=6,401 FCFA, σ=1,355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β=0.4472 (Défensif) — Cov=0.000017, Var(idx)=0.000037, ρ=0.132,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12,052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9,179</w:t>
            </w:r>
          </w:p>
        </w:tc>
        <w:tc>
          <w:tcPr>
            <w:tcW w:type="dxa" w:w="1440"/>
            <w:shd w:fill="FFDCE0" w:val="clear"/>
          </w:tcPr>
          <w:p>
            <w:r>
              <w:rPr>
                <w:b/>
                <w:sz w:val="17"/>
              </w:rPr>
              <w:t>9,620</w:t>
            </w:r>
          </w:p>
        </w:tc>
        <w:tc>
          <w:tcPr>
            <w:tcW w:type="dxa" w:w="1440"/>
            <w:shd w:fill="FFDCE0" w:val="clear"/>
          </w:tcPr>
          <w:p>
            <w:r>
              <w:rPr>
                <w:sz w:val="17"/>
              </w:rPr>
              <w:t>10,061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8,321</w:t>
            </w:r>
          </w:p>
        </w:tc>
        <w:tc>
          <w:tcPr>
            <w:tcW w:type="dxa" w:w="1440"/>
            <w:shd w:fill="FFDCE0" w:val="clear"/>
          </w:tcPr>
          <w:p>
            <w:r>
              <w:rPr>
                <w:b/>
                <w:sz w:val="17"/>
              </w:rPr>
              <w:t>8,898</w:t>
            </w:r>
          </w:p>
        </w:tc>
        <w:tc>
          <w:tcPr>
            <w:tcW w:type="dxa" w:w="1440"/>
            <w:shd w:fill="FFDCE0" w:val="clear"/>
          </w:tcPr>
          <w:p>
            <w:r>
              <w:rPr>
                <w:sz w:val="17"/>
              </w:rPr>
              <w:t>9,476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7,577</w:t>
            </w:r>
          </w:p>
        </w:tc>
        <w:tc>
          <w:tcPr>
            <w:tcW w:type="dxa" w:w="1440"/>
            <w:shd w:fill="FFDCE0" w:val="clear"/>
          </w:tcPr>
          <w:p>
            <w:r>
              <w:rPr>
                <w:b/>
                <w:sz w:val="17"/>
              </w:rPr>
              <w:t>8,231</w:t>
            </w:r>
          </w:p>
        </w:tc>
        <w:tc>
          <w:tcPr>
            <w:tcW w:type="dxa" w:w="1440"/>
            <w:shd w:fill="FFDCE0" w:val="clear"/>
          </w:tcPr>
          <w:p>
            <w:r>
              <w:rPr>
                <w:sz w:val="17"/>
              </w:rPr>
              <w:t>8,885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6,915</w:t>
            </w:r>
          </w:p>
        </w:tc>
        <w:tc>
          <w:tcPr>
            <w:tcW w:type="dxa" w:w="1440"/>
            <w:shd w:fill="FFDCE0" w:val="clear"/>
          </w:tcPr>
          <w:p>
            <w:r>
              <w:rPr>
                <w:b/>
                <w:sz w:val="17"/>
              </w:rPr>
              <w:t>7,614</w:t>
            </w:r>
          </w:p>
        </w:tc>
        <w:tc>
          <w:tcPr>
            <w:tcW w:type="dxa" w:w="1440"/>
            <w:shd w:fill="FFDCE0" w:val="clear"/>
          </w:tcPr>
          <w:p>
            <w:r>
              <w:rPr>
                <w:sz w:val="17"/>
              </w:rPr>
              <w:t>8,312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6,321</w:t>
            </w:r>
          </w:p>
        </w:tc>
        <w:tc>
          <w:tcPr>
            <w:tcW w:type="dxa" w:w="1440"/>
            <w:shd w:fill="FFDCE0" w:val="clear"/>
          </w:tcPr>
          <w:p>
            <w:r>
              <w:rPr>
                <w:b/>
                <w:sz w:val="17"/>
              </w:rPr>
              <w:t>7,043</w:t>
            </w:r>
          </w:p>
        </w:tc>
        <w:tc>
          <w:tcPr>
            <w:tcW w:type="dxa" w:w="1440"/>
            <w:shd w:fill="FFDCE0" w:val="clear"/>
          </w:tcPr>
          <w:p>
            <w:r>
              <w:rPr>
                <w:sz w:val="17"/>
              </w:rPr>
              <w:t>7,765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5,783</w:t>
            </w:r>
          </w:p>
        </w:tc>
        <w:tc>
          <w:tcPr>
            <w:tcW w:type="dxa" w:w="1440"/>
            <w:shd w:fill="FFDCE0" w:val="clear"/>
          </w:tcPr>
          <w:p>
            <w:r>
              <w:rPr>
                <w:b/>
                <w:sz w:val="17"/>
              </w:rPr>
              <w:t>6,515</w:t>
            </w:r>
          </w:p>
        </w:tc>
        <w:tc>
          <w:tcPr>
            <w:tcW w:type="dxa" w:w="1440"/>
            <w:shd w:fill="FFDCE0" w:val="clear"/>
          </w:tcPr>
          <w:p>
            <w:r>
              <w:rPr>
                <w:sz w:val="17"/>
              </w:rPr>
              <w:t>7,246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5,295</w:t>
            </w:r>
          </w:p>
        </w:tc>
        <w:tc>
          <w:tcPr>
            <w:tcW w:type="dxa" w:w="1440"/>
            <w:shd w:fill="FFDCE0" w:val="clear"/>
          </w:tcPr>
          <w:p>
            <w:r>
              <w:rPr>
                <w:b/>
                <w:sz w:val="17"/>
              </w:rPr>
              <w:t>6,026</w:t>
            </w:r>
          </w:p>
        </w:tc>
        <w:tc>
          <w:tcPr>
            <w:tcW w:type="dxa" w:w="1440"/>
            <w:shd w:fill="FFDCE0" w:val="clear"/>
          </w:tcPr>
          <w:p>
            <w:r>
              <w:rPr>
                <w:sz w:val="17"/>
              </w:rPr>
              <w:t>6,757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5,097</w:t>
            </w:r>
          </w:p>
        </w:tc>
        <w:tc>
          <w:tcPr>
            <w:tcW w:type="dxa" w:w="1440"/>
            <w:shd w:fill="FFDCE0" w:val="clear"/>
          </w:tcPr>
          <w:p>
            <w:r>
              <w:rPr>
                <w:b/>
                <w:sz w:val="17"/>
              </w:rPr>
              <w:t>5,857</w:t>
            </w:r>
          </w:p>
        </w:tc>
        <w:tc>
          <w:tcPr>
            <w:tcW w:type="dxa" w:w="1440"/>
            <w:shd w:fill="FFDCE0" w:val="clear"/>
          </w:tcPr>
          <w:p>
            <w:r>
              <w:rPr>
                <w:sz w:val="17"/>
              </w:rPr>
              <w:t>6,616</w:t>
            </w:r>
          </w:p>
        </w:tc>
        <w:tc>
          <w:tcPr>
            <w:tcW w:type="dxa" w:w="1440"/>
            <w:shd w:fill="FFDCE0" w:val="clear"/>
          </w:tcPr>
          <w:p>
            <w:r>
              <w:rPr>
                <w:b/>
                <w:color w:val="C00000"/>
                <w:sz w:val="17"/>
              </w:rPr>
              <w:t>-43.7%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4,950</w:t>
            </w:r>
          </w:p>
        </w:tc>
        <w:tc>
          <w:tcPr>
            <w:tcW w:type="dxa" w:w="1440"/>
            <w:shd w:fill="FFDCE0" w:val="clear"/>
          </w:tcPr>
          <w:p>
            <w:r>
              <w:rPr>
                <w:b/>
                <w:sz w:val="17"/>
              </w:rPr>
              <w:t>5,739</w:t>
            </w:r>
          </w:p>
        </w:tc>
        <w:tc>
          <w:tcPr>
            <w:tcW w:type="dxa" w:w="1440"/>
            <w:shd w:fill="FFDCE0" w:val="clear"/>
          </w:tcPr>
          <w:p>
            <w:r>
              <w:rPr>
                <w:sz w:val="17"/>
              </w:rPr>
              <w:t>6,529</w:t>
            </w:r>
          </w:p>
        </w:tc>
        <w:tc>
          <w:tcPr>
            <w:tcW w:type="dxa" w:w="1440"/>
            <w:shd w:fill="FFDCE0" w:val="clear"/>
          </w:tcPr>
          <w:p>
            <w:r>
              <w:rPr>
                <w:b/>
                <w:color w:val="C00000"/>
                <w:sz w:val="17"/>
              </w:rPr>
              <w:t>-44.8%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4,820</w:t>
            </w:r>
          </w:p>
        </w:tc>
        <w:tc>
          <w:tcPr>
            <w:tcW w:type="dxa" w:w="1440"/>
            <w:shd w:fill="FFDCE0" w:val="clear"/>
          </w:tcPr>
          <w:p>
            <w:r>
              <w:rPr>
                <w:b/>
                <w:sz w:val="17"/>
              </w:rPr>
              <w:t>5,638</w:t>
            </w:r>
          </w:p>
        </w:tc>
        <w:tc>
          <w:tcPr>
            <w:tcW w:type="dxa" w:w="1440"/>
            <w:shd w:fill="FFDCE0" w:val="clear"/>
          </w:tcPr>
          <w:p>
            <w:r>
              <w:rPr>
                <w:sz w:val="17"/>
              </w:rPr>
              <w:t>6,455</w:t>
            </w:r>
          </w:p>
        </w:tc>
        <w:tc>
          <w:tcPr>
            <w:tcW w:type="dxa" w:w="1440"/>
            <w:shd w:fill="FFDCE0" w:val="clear"/>
          </w:tcPr>
          <w:p>
            <w:r>
              <w:rPr>
                <w:b/>
                <w:color w:val="C00000"/>
                <w:sz w:val="17"/>
              </w:rPr>
              <w:t>-45.8%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600,70 milliards FCFA, ce qui en fait une valeur de premier plan sur la BRVM, reflétant la confiance des investisseurs dans le secteur bancaire de l'UEMOA. Avec un BPA de 627 FCFA, chaque action génère un bénéfice substantiel. Le PER de 16,6x est nettement supérieur à la moyenne historique de la BRVM (8-12x), indiquant que les investisseurs paient une prime significative pour la croissance future de la banque. Cette prime est confirmée par le P/B de 4,45x, qui valorise fortement les capitaux propres (135,118 Mds FCFA) par rapport à leur valeur comptable. Enfin, l'EV/EBITDA de 26,9x est particulièrement exigeant, signalant que la valeur totale de l'entreprise (capitalisation + dettes) est très élevée par rapport à sa capacité opérationnelle (EBE de 39,209 Mds FCFA). Ces ratios suggèrent une valorisation qui anticipe une poursuite de la forte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performance spectaculaire de +101,94%, avec une dernière séance en hausse de +2,87% pour clôturer à 10 400 FCFA, son plus haut niveau sur la période. Le titre a évolué dans une fourchette très large de 5 100 à 10 400 FCFA, démontrant un doublement de sa valeur. La moyenne du cours sur la période (6 401 FCFA) est supérieure à la médiane (5 858 FCFA), et le skewness positif de 0,974 confirme une asymétrie positive, avec des journées de forte hausse qui tirent la moyenne vers le haut. L'écart-type de 1 362 FCFA (CV de 21,3%) indique une dispersion modérée, tandis que le kurtosis de -0,113 (mésokurtique) suggère une distribution des rendements proche de la normale, sans risque de pics extrêmes. La volatilité annualisée de 33,0% classe le titre comme très volatil (&gt;30%), ce qui est cohérent avec la forte appréciation observée et implique un risque élevé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10 400 FCFA est nettement au-dessus de la MM20 (8 622,25 FCFA) et de la MM50 (7 460,0 FCFA), qui sont orientées à la hausse. Cette configuration haussière, où le prix est soutenu par les moyennes mobiles, confirme la tendance positive et justifie la décision d'**Achat**.</w:t>
      </w:r>
    </w:p>
    <w:p>
      <w:pPr>
        <w:spacing w:after="120" w:line="276" w:lineRule="auto"/>
      </w:pPr>
      <w:r>
        <w:t>**Bandes de Bollinger** : Le cours a franchi la borne supérieure des bandes (10 082,025 FCFA), ce qui est un signal classique de surachat et d'extension excessive de la tendance. L'écart important entre les bornes (2 919,55 FCFA) témoigne d'une volatilité élevée. La décision de **Vente** suggère un risque de correction à court terme.</w:t>
      </w:r>
    </w:p>
    <w:p>
      <w:pPr>
        <w:spacing w:after="120" w:line="276" w:lineRule="auto"/>
      </w:pPr>
      <w:r>
        <w:t>**MACD** : La valeur du MACD (671,178) est supérieure à sa ligne de signal (528,141), avec un écart positif et croissant. Ce croisement haussier indique un momentum positif soutenu, justifiant la décision d'**Achat**.</w:t>
      </w:r>
    </w:p>
    <w:p>
      <w:pPr>
        <w:spacing w:after="120" w:line="276" w:lineRule="auto"/>
      </w:pPr>
      <w:r>
        <w:t>**RSI** : Le RSI à 84,672 est très largement au-dessus du seuil de surachat (70). Cette valeur extrême indique que le titre est survendu et qu'une consolidation ou un repli technique est probable à court terme, d'où la décision de **Vente**.</w:t>
      </w:r>
    </w:p>
    <w:p>
      <w:pPr>
        <w:spacing w:after="120" w:line="276" w:lineRule="auto"/>
      </w:pPr>
      <w:r>
        <w:t>**Stochastique** : Les valeurs de %K et %D sont toutes deux à 100,0, un niveau extrême de surachat. Ceci signale que le titre est dans une zone de surachat sévère et que tout croisement à la baisse de ces lignes serait un signal de vente. La décision est donc de **Vente**.</w:t>
      </w:r>
    </w:p>
    <w:p>
      <w:pPr>
        <w:spacing w:after="120" w:line="276" w:lineRule="auto"/>
      </w:pPr>
      <w:r>
        <w:t>**Conclusion technique** : Les indicateurs de tendance (MM, MACD) sont positifs et confirment la dynamique haussière de fond. Cependant, les oscillateurs de momentum (RSI, Stochastique) et la position par rapport aux bandes de Bollinger sont en zone de surachat extrême. Cette divergence entre la tendance et le momentum suggère un essoufflement probable à court terme, avec un risque élevé de correction technique avant une éventuelle poursuite de la hausse.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la BICB (ex-BIIC Bénin) affiche des données financières annuelles solides. Le Produit Net Bancaire (PNB) s'établit à 52,805 milliards FCFA, en croissance de +16,5% par rapport à 2024 (45,207 Mds FCFA). Le résultat net progresse de +24,7% pour atteindre 36,237 milliards FCFA, porté par une marge nette exceptionnelle de 68,6%. La banque est très efficace, avec un coefficient d'exploitation de 31,1% (excellent, &lt;50%). Le ROE est excellent à 26,8%, et le ROA est sain à 1,96%. Cependant, le coût du risque à 9,6% est un point de vigilance, et le ratio de transformation crédits/dépôts atteint 97,5%, signalant une tension de liquidité. Les rapports trimestriels de 2025 montrent une croissance commerciale vigoureuse (PNB T3 +26%, crédits +30%) mais une rentabilité en recul au S1 (-26,7%) et T3 (-9%) en raison d'un provisionnement massif. Le rapport T1 2026, daté de 2026, marque un net rebond avec un PNB en hausse de +35% et un résultat net en progression de +48% à 8,0 milliards FCFA. Sur la base de cette dynamique, on estime que l'exercice 2026 pourrait voir le PNB dépasser 70 milliards FCFA et le résultat net excéder 40 milliards FCFA, si la qualité du portefeuille se stabilise. La banque est fondamentalement solide, leader sur son marché, mais doit prouver sa capacité à gérer le risque de crédit lié à sa croissance rapide.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BICB est exigeante (PER 16,6x, P/B 4,45x), intégrant déjà une forte croissance future. Le comportement du cours est extrêmement haussier (+102% en 100 jours) mais avec une volatilité élevée (33%) et des statistiques montrant une asymétrie positive. Les signaux techniques sont contradictoires : une tendance de fond positive (MM, MACD) mais des oscillateurs en surachat extrême (RSI, Stochastique, Bollinger), signalant un risque de correction à court terme. Les fondamentaux sont solides avec une croissance du PNB et du résultat net en 2025, et un rebond spectaculaire au T1 2026 (+48% de résultat net). Les prédictions IA pour les 10 prochains jours (baisse de 10 400 à 7 043 FCFA) confirment le scénario technique d'une correction, mais celle-ci semble excessive au vu des fondamentaux. En synthèse, la convergence entre le surachat technique et la prédiction IA suggère une consolidation à court terme, mais la divergence avec des fondamentaux en amélioration rapide plaide pour une poursuite de la tendance haussière à moyen terme. **Recommandation finale : ACHAT** sur les replis, avec un niveau de confiance **Moyen** et un risque global **Élevé**. L'horizon d'investissement optimal est le **moyen terme (3-12 mois)**, visant à capitaliser sur la croissance de la banque après une phase de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669 titres</w:t>
            </w:r>
          </w:p>
        </w:tc>
        <w:tc>
          <w:tcPr>
            <w:tcW w:type="dxa" w:w="2268"/>
            <w:shd w:fill="FFF2CC" w:val="clear"/>
          </w:tcPr>
          <w:p>
            <w:r>
              <w:rPr>
                <w:b/>
                <w:color w:val="503200"/>
                <w:sz w:val="16"/>
              </w:rPr>
              <w:t xml:space="preserve">Cours actuel : </w:t>
            </w:r>
            <w:r>
              <w:rPr>
                <w:color w:val="000000"/>
                <w:sz w:val="17"/>
              </w:rPr>
              <w:t>33,005 FCFA</w:t>
            </w:r>
          </w:p>
          <w:p>
            <w:r>
              <w:rPr>
                <w:b/>
                <w:color w:val="503200"/>
                <w:sz w:val="16"/>
              </w:rPr>
              <w:t xml:space="preserve">Var. 100 jours : </w:t>
            </w:r>
            <w:r>
              <w:rPr>
                <w:b/>
                <w:color w:val="007800"/>
                <w:sz w:val="17"/>
              </w:rPr>
              <w:t>+40.45%</w:t>
            </w:r>
          </w:p>
          <w:p>
            <w:r>
              <w:rPr>
                <w:b/>
                <w:color w:val="503200"/>
                <w:sz w:val="16"/>
              </w:rPr>
              <w:t xml:space="preserve">Plus haut 100j : </w:t>
            </w:r>
            <w:r>
              <w:rPr>
                <w:color w:val="000000"/>
                <w:sz w:val="17"/>
              </w:rPr>
              <w:t>33,005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7.31% (Moyenne) — μ=27,702 FCFA, σ=2,024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β=0.5066 (Défensif) — Cov=0.000019, Var(idx)=0.000037, ρ=0.169,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30,174</w:t>
            </w:r>
          </w:p>
        </w:tc>
        <w:tc>
          <w:tcPr>
            <w:tcW w:type="dxa" w:w="1440"/>
            <w:shd w:fill="FFDCE0" w:val="clear"/>
          </w:tcPr>
          <w:p>
            <w:r>
              <w:rPr>
                <w:b/>
                <w:sz w:val="17"/>
              </w:rPr>
              <w:t>31,067</w:t>
            </w:r>
          </w:p>
        </w:tc>
        <w:tc>
          <w:tcPr>
            <w:tcW w:type="dxa" w:w="1440"/>
            <w:shd w:fill="FFDCE0" w:val="clear"/>
          </w:tcPr>
          <w:p>
            <w:r>
              <w:rPr>
                <w:sz w:val="17"/>
              </w:rPr>
              <w:t>31,960</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29,498</w:t>
            </w:r>
          </w:p>
        </w:tc>
        <w:tc>
          <w:tcPr>
            <w:tcW w:type="dxa" w:w="1440"/>
            <w:shd w:fill="FFDCE0" w:val="clear"/>
          </w:tcPr>
          <w:p>
            <w:r>
              <w:rPr>
                <w:b/>
                <w:sz w:val="17"/>
              </w:rPr>
              <w:t>30,748</w:t>
            </w:r>
          </w:p>
        </w:tc>
        <w:tc>
          <w:tcPr>
            <w:tcW w:type="dxa" w:w="1440"/>
            <w:shd w:fill="FFDCE0" w:val="clear"/>
          </w:tcPr>
          <w:p>
            <w:r>
              <w:rPr>
                <w:sz w:val="17"/>
              </w:rPr>
              <w:t>31,998</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28,748</w:t>
            </w:r>
          </w:p>
        </w:tc>
        <w:tc>
          <w:tcPr>
            <w:tcW w:type="dxa" w:w="1440"/>
            <w:shd w:fill="FFDCE0" w:val="clear"/>
          </w:tcPr>
          <w:p>
            <w:r>
              <w:rPr>
                <w:b/>
                <w:sz w:val="17"/>
              </w:rPr>
              <w:t>30,255</w:t>
            </w:r>
          </w:p>
        </w:tc>
        <w:tc>
          <w:tcPr>
            <w:tcW w:type="dxa" w:w="1440"/>
            <w:shd w:fill="FFDCE0" w:val="clear"/>
          </w:tcPr>
          <w:p>
            <w:r>
              <w:rPr>
                <w:sz w:val="17"/>
              </w:rPr>
              <w:t>31,761</w:t>
            </w:r>
          </w:p>
        </w:tc>
        <w:tc>
          <w:tcPr>
            <w:tcW w:type="dxa" w:w="1440"/>
            <w:shd w:fill="FFDCE0" w:val="clear"/>
          </w:tcPr>
          <w:p>
            <w:r>
              <w:rPr>
                <w:b/>
                <w:color w:val="C00000"/>
                <w:sz w:val="17"/>
              </w:rPr>
              <w:t>-8.3%</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28,121</w:t>
            </w:r>
          </w:p>
        </w:tc>
        <w:tc>
          <w:tcPr>
            <w:tcW w:type="dxa" w:w="1440"/>
            <w:shd w:fill="FFDCE0" w:val="clear"/>
          </w:tcPr>
          <w:p>
            <w:r>
              <w:rPr>
                <w:b/>
                <w:sz w:val="17"/>
              </w:rPr>
              <w:t>29,836</w:t>
            </w:r>
          </w:p>
        </w:tc>
        <w:tc>
          <w:tcPr>
            <w:tcW w:type="dxa" w:w="1440"/>
            <w:shd w:fill="FFDCE0" w:val="clear"/>
          </w:tcPr>
          <w:p>
            <w:r>
              <w:rPr>
                <w:sz w:val="17"/>
              </w:rPr>
              <w:t>31,551</w:t>
            </w:r>
          </w:p>
        </w:tc>
        <w:tc>
          <w:tcPr>
            <w:tcW w:type="dxa" w:w="1440"/>
            <w:shd w:fill="FFDCE0" w:val="clear"/>
          </w:tcPr>
          <w:p>
            <w:r>
              <w:rPr>
                <w:b/>
                <w:color w:val="C00000"/>
                <w:sz w:val="17"/>
              </w:rPr>
              <w:t>-9.6%</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27,587</w:t>
            </w:r>
          </w:p>
        </w:tc>
        <w:tc>
          <w:tcPr>
            <w:tcW w:type="dxa" w:w="1440"/>
            <w:shd w:fill="FFDCE0" w:val="clear"/>
          </w:tcPr>
          <w:p>
            <w:r>
              <w:rPr>
                <w:b/>
                <w:sz w:val="17"/>
              </w:rPr>
              <w:t>29,482</w:t>
            </w:r>
          </w:p>
        </w:tc>
        <w:tc>
          <w:tcPr>
            <w:tcW w:type="dxa" w:w="1440"/>
            <w:shd w:fill="FFDCE0" w:val="clear"/>
          </w:tcPr>
          <w:p>
            <w:r>
              <w:rPr>
                <w:sz w:val="17"/>
              </w:rPr>
              <w:t>31,377</w:t>
            </w:r>
          </w:p>
        </w:tc>
        <w:tc>
          <w:tcPr>
            <w:tcW w:type="dxa" w:w="1440"/>
            <w:shd w:fill="FFDCE0" w:val="clear"/>
          </w:tcPr>
          <w:p>
            <w:r>
              <w:rPr>
                <w:b/>
                <w:color w:val="C00000"/>
                <w:sz w:val="17"/>
              </w:rPr>
              <w:t>-10.7%</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27,105</w:t>
            </w:r>
          </w:p>
        </w:tc>
        <w:tc>
          <w:tcPr>
            <w:tcW w:type="dxa" w:w="1440"/>
            <w:shd w:fill="FFDCE0" w:val="clear"/>
          </w:tcPr>
          <w:p>
            <w:r>
              <w:rPr>
                <w:b/>
                <w:sz w:val="17"/>
              </w:rPr>
              <w:t>29,158</w:t>
            </w:r>
          </w:p>
        </w:tc>
        <w:tc>
          <w:tcPr>
            <w:tcW w:type="dxa" w:w="1440"/>
            <w:shd w:fill="FFDCE0" w:val="clear"/>
          </w:tcPr>
          <w:p>
            <w:r>
              <w:rPr>
                <w:sz w:val="17"/>
              </w:rPr>
              <w:t>31,211</w:t>
            </w:r>
          </w:p>
        </w:tc>
        <w:tc>
          <w:tcPr>
            <w:tcW w:type="dxa" w:w="1440"/>
            <w:shd w:fill="FFDCE0" w:val="clear"/>
          </w:tcPr>
          <w:p>
            <w:r>
              <w:rPr>
                <w:b/>
                <w:color w:val="C00000"/>
                <w:sz w:val="17"/>
              </w:rPr>
              <w:t>-11.7%</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26,655</w:t>
            </w:r>
          </w:p>
        </w:tc>
        <w:tc>
          <w:tcPr>
            <w:tcW w:type="dxa" w:w="1440"/>
            <w:shd w:fill="FFDCE0" w:val="clear"/>
          </w:tcPr>
          <w:p>
            <w:r>
              <w:rPr>
                <w:b/>
                <w:sz w:val="17"/>
              </w:rPr>
              <w:t>28,849</w:t>
            </w:r>
          </w:p>
        </w:tc>
        <w:tc>
          <w:tcPr>
            <w:tcW w:type="dxa" w:w="1440"/>
            <w:shd w:fill="FFDCE0" w:val="clear"/>
          </w:tcPr>
          <w:p>
            <w:r>
              <w:rPr>
                <w:sz w:val="17"/>
              </w:rPr>
              <w:t>31,043</w:t>
            </w:r>
          </w:p>
        </w:tc>
        <w:tc>
          <w:tcPr>
            <w:tcW w:type="dxa" w:w="1440"/>
            <w:shd w:fill="FFDCE0" w:val="clear"/>
          </w:tcPr>
          <w:p>
            <w:r>
              <w:rPr>
                <w:b/>
                <w:color w:val="C00000"/>
                <w:sz w:val="17"/>
              </w:rPr>
              <w:t>-12.6%</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26,231</w:t>
            </w:r>
          </w:p>
        </w:tc>
        <w:tc>
          <w:tcPr>
            <w:tcW w:type="dxa" w:w="1440"/>
            <w:shd w:fill="FFDCE0" w:val="clear"/>
          </w:tcPr>
          <w:p>
            <w:r>
              <w:rPr>
                <w:b/>
                <w:sz w:val="17"/>
              </w:rPr>
              <w:t>28,552</w:t>
            </w:r>
          </w:p>
        </w:tc>
        <w:tc>
          <w:tcPr>
            <w:tcW w:type="dxa" w:w="1440"/>
            <w:shd w:fill="FFDCE0" w:val="clear"/>
          </w:tcPr>
          <w:p>
            <w:r>
              <w:rPr>
                <w:sz w:val="17"/>
              </w:rPr>
              <w:t>30,874</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25,831</w:t>
            </w:r>
          </w:p>
        </w:tc>
        <w:tc>
          <w:tcPr>
            <w:tcW w:type="dxa" w:w="1440"/>
            <w:shd w:fill="FFDCE0" w:val="clear"/>
          </w:tcPr>
          <w:p>
            <w:r>
              <w:rPr>
                <w:b/>
                <w:sz w:val="17"/>
              </w:rPr>
              <w:t>28,268</w:t>
            </w:r>
          </w:p>
        </w:tc>
        <w:tc>
          <w:tcPr>
            <w:tcW w:type="dxa" w:w="1440"/>
            <w:shd w:fill="FFDCE0" w:val="clear"/>
          </w:tcPr>
          <w:p>
            <w:r>
              <w:rPr>
                <w:sz w:val="17"/>
              </w:rPr>
              <w:t>30,706</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25,451</w:t>
            </w:r>
          </w:p>
        </w:tc>
        <w:tc>
          <w:tcPr>
            <w:tcW w:type="dxa" w:w="1440"/>
            <w:shd w:fill="FFDCE0" w:val="clear"/>
          </w:tcPr>
          <w:p>
            <w:r>
              <w:rPr>
                <w:b/>
                <w:sz w:val="17"/>
              </w:rPr>
              <w:t>27,996</w:t>
            </w:r>
          </w:p>
        </w:tc>
        <w:tc>
          <w:tcPr>
            <w:tcW w:type="dxa" w:w="1440"/>
            <w:shd w:fill="FFDCE0" w:val="clear"/>
          </w:tcPr>
          <w:p>
            <w:r>
              <w:rPr>
                <w:sz w:val="17"/>
              </w:rPr>
              <w:t>30,541</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550,08 milliards FCFA, un niveau qui la positionne parmi les valeurs bancaires les plus significatives de la BRVM, reflétant l'importance systémique de la banque dans l'économie ivoirienne. Avec un BPA de 2 191 FCFA, chaque action détenue génère un bénéfice substantiel, justifiant un PER de 15,1x. Ce ratio, bien que supérieur à la moyenne historique de la BRVM (8-12x), traduit la prime de croissance que les investisseurs accordent à la banque, récompensant sa dynamique de résultats exceptionnelle. Le P/B de 4,56x confirme cette valorisation exigeante, le marché payant plus de 4,5 fois la valeur comptable des actifs, signe d'une confiance forte dans la création de valeur future. Enfin, l'EV/EBITDA de 11,0x, dans la fourchette haute, indique que la valeur totale de l'entreprise reste cohérente avec sa capacité opérationnelle à générer des flux, malgré une prime de valorisation évidente.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+40,45%, avec une dernière séance en hausse de +0,99%, clôturant à 33 005 FCFA, son plus haut niveau sur la période. Le titre a évolué dans une fourchette de 22 500 à 33 005 FCFA, démontrant une tendance haussière soutenue et continue. La moyenne du cours sur la période (27 702 FCFA) est inférieure à la médiane (28 385 FCFA), et le skewness négatif (-0.696) indique que les journées de forte hausse ont été plus fréquentes, tirant le cours vers le haut. L'écart-type de 2 034 FCFA, avec un coefficient de variation de 7,3%, révèle une dispersion modérée autour de la moyenne, tandis que le kurtosis de 0.342 (mésokurtique) suggère une distribution des rendements proche de la normale, sans risque de pics extrêmes. La volatilité annualisée de 28,9% classe le titre dans la catégorie modérée à élevée, reflétant un mouvement haussier soutenu mais non erratique.</w:t>
      </w:r>
    </w:p>
    <w:p>
      <w:pPr>
        <w:spacing w:after="120" w:line="276" w:lineRule="auto" w:before="240"/>
      </w:pPr>
      <w:r>
        <w:rPr>
          <w:b/>
          <w:color w:val="003366"/>
          <w:sz w:val="24"/>
        </w:rPr>
        <w:t>**PARTIE 2 : ANALYSE TECHNIQUE DÉTAILLÉE**</w:t>
      </w:r>
    </w:p>
    <w:p>
      <w:pPr>
        <w:spacing w:after="120" w:line="276" w:lineRule="auto"/>
      </w:pPr>
      <w:r>
        <w:t>**Moyennes Mobiles**: Les moyennes mobiles sur 20 jours (29 621 FCFA) et sur 50 jours (28 978 FCFA) sont toutes deux nettement inférieures au cours actuel de 33 005 FCFA, confirmant une dynamique haussière de moyen terme. La MM20 étant supérieure à la MM50, la configuration en "courbe ascendante" valide la tendance haussière, justifiant une décision d'Achat.</w:t>
      </w:r>
    </w:p>
    <w:p>
      <w:pPr>
        <w:spacing w:after="120" w:line="276" w:lineRule="auto"/>
      </w:pPr>
      <w:r>
        <w:t>**Bandes de Bollinger**: Le cours actuel de 33 005 FCFA se situe au-dessus de la borne supérieure des bandes de Bollinger (32 011 FCFA), signalant une condition de surachat extrême. Cette sortie de canal indique une pression acheteuse intense, mais également un risque de correction technique à court terme, justifiant la décision de Vente.</w:t>
      </w:r>
    </w:p>
    <w:p>
      <w:pPr>
        <w:spacing w:after="120" w:line="276" w:lineRule="auto"/>
      </w:pPr>
      <w:r>
        <w:t>**MACD**: Le MACD (761,39) est nettement supérieur à sa ligne de signal (385,51), avec un écart positif croissant. Cette configuration démontre un momentum haussier puissant et une accélération de la tendance, justifiant la décision d'Achat.</w:t>
      </w:r>
    </w:p>
    <w:p>
      <w:pPr>
        <w:spacing w:after="120" w:line="276" w:lineRule="auto"/>
      </w:pPr>
      <w:r>
        <w:t>**RSI**: Le RSI à 82,97 est profondément en zone de surachat (au-delà de 70), indiquant que le titre est survendu à la hausse. Cette situation suggère une probabilité élevée de consolidation ou de correction à court terme, justifiant la décision de Vente.</w:t>
      </w:r>
    </w:p>
    <w:p>
      <w:pPr>
        <w:spacing w:after="120" w:line="276" w:lineRule="auto"/>
      </w:pPr>
      <w:r>
        <w:t>**Stochastique**: Les valeurs %K et %D sont toutes deux à 100,0, en zone de surachat extrême. Ce niveau maximal indique que le titre a connu une séquence de clôtures au plus haut, signalant une possible exhaustion des acheteurs à court terme, justifiant la décision de Vente.</w:t>
      </w:r>
    </w:p>
    <w:p>
      <w:pPr>
        <w:spacing w:after="120" w:line="276" w:lineRule="auto"/>
      </w:pPr>
      <w:r>
        <w:t>**Conclusion technique**: La configuration technique est contrastée : les indicateurs de tendance (MM, MACD) confirment une dynamique haussière solide, tandis que les oscillateurs (RSI, Stochastique, Bollinger) signalent des conditions de surachat extrême. Cette divergence suggère qu'une consolidation technique est probable à court terme avant la poursuite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performance financière exceptionnelle. Le Produit Net Bancaire (PNB) s'établit à 79,563 milliards FCFA, en croissance de 16,9%, avec un résultat net de 36,520 milliards FCFA. La banque affiche un ROE de 30,29%, largement au-dessus du seuil d'excellence de 15%, et un ROA de 3,24%, démontrant une utilisation très efficace de ses actifs. Le coefficient d'exploitation de 50,83% confirme une excellente maîtrise des charges, tandis que le coût du risque négatif (-12,15%) indique une qualité de portefeuille de crédits remarquable. La structure financière montre une autonomie de 10,71% avec des capitaux propres de 120,570 milliards FCFA, et un ratio de transformation sain (crédits de 524,439 milliards contre dépôts de 952,872 milliards). Les rapports trimestriels confirment cette trajectoire : le T3 2025 (PNB de 58,119 milliards, résultat net de 27,402 milliards, en hausse de 50,8%) et le T1 2026 (PNB de 21,214 milliards, +17%, résultat net de 10,387 milliards, +29,7%) montrent une accélération continue. Sur la base de ces performances, on estime que l'exercice 2026 devrait dépasser les 90 milliards de PNB et les 45 milliards de résultat net, confirmant la solidité du modèle économique de la banque.</w:t>
      </w:r>
    </w:p>
    <w:p>
      <w:pPr>
        <w:spacing w:after="120" w:line="276" w:lineRule="auto" w:before="240"/>
      </w:pPr>
      <w:r>
        <w:rPr>
          <w:b/>
          <w:color w:val="003366"/>
          <w:sz w:val="24"/>
        </w:rPr>
        <w:t>**PARTIE 4 : CONCLUSION D'INVESTISSEMENT**</w:t>
      </w:r>
    </w:p>
    <w:p>
      <w:pPr>
        <w:spacing w:after="120" w:line="276" w:lineRule="auto"/>
      </w:pPr>
      <w:r>
        <w:t>La valorisation de BICC, avec un PER de 15,1x et un P/B de 4,56x, reflète une prime substantielle, justifiée par une croissance des bénéfices exceptionnelle et une rentabilité parmi les meilleures de la BRVM. Le comportement du cours, en hausse de +40,45% sur 100 jours avec une volatilité modérée, confirme la forte dynamique haussière, bien que les statistiques (skewness négatif) suggèrent une certaine prudence. Les signaux techniques sont mitigés : la tendance de fond (MM, MACD) reste positive, mais les indicateurs de surachat (RSI à 83, Stochastique à 100) signalent un risque de correction à court terme. Les fondamentaux, avec un ROE de 30,3%, une croissance soutenue du PNB et une maîtrise parfaite des risques, sont excellents. Les prédictions IA (31 067 à 29 482 FCFA sur 10 jours) confirment la probabilité d'une consolidation technique. En synthèse, la convergence entre des fondamentaux solides et une tendance haussière robuste, malgré des signaux techniques de surachat temporaire, conduit à une recommandation **ACHAT** avec un niveau de confiance **Élevé** et un risque global **Moyen**. L'horizon d'investissement optimal est le **moyen terme (3-12 mois)**, permettant de traverser la consolidation attendue pour bénéficier de la poursuite de la croissance des résultats.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2,768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007800"/>
                <w:sz w:val="17"/>
              </w:rPr>
              <w:t>+37.66%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13.30% (Moyenne) — μ=1,811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β=0.0625 (Défensif) — Cov=0.000002, Var(idx)=0.000037,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2,071</w:t>
            </w:r>
          </w:p>
        </w:tc>
        <w:tc>
          <w:tcPr>
            <w:tcW w:type="dxa" w:w="1440"/>
            <w:shd w:fill="FAFAFA" w:val="clear"/>
          </w:tcPr>
          <w:p>
            <w:r>
              <w:rPr>
                <w:b/>
                <w:sz w:val="17"/>
              </w:rPr>
              <w:t>2,170</w:t>
            </w:r>
          </w:p>
        </w:tc>
        <w:tc>
          <w:tcPr>
            <w:tcW w:type="dxa" w:w="1440"/>
            <w:shd w:fill="FAFAFA" w:val="clear"/>
          </w:tcPr>
          <w:p>
            <w:r>
              <w:rPr>
                <w:sz w:val="17"/>
              </w:rPr>
              <w:t>2,270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2,025</w:t>
            </w:r>
          </w:p>
        </w:tc>
        <w:tc>
          <w:tcPr>
            <w:tcW w:type="dxa" w:w="1440"/>
            <w:shd w:fill="FAFAFA" w:val="clear"/>
          </w:tcPr>
          <w:p>
            <w:r>
              <w:rPr>
                <w:b/>
                <w:sz w:val="17"/>
              </w:rPr>
              <w:t>2,165</w:t>
            </w:r>
          </w:p>
        </w:tc>
        <w:tc>
          <w:tcPr>
            <w:tcW w:type="dxa" w:w="1440"/>
            <w:shd w:fill="FAFAFA" w:val="clear"/>
          </w:tcPr>
          <w:p>
            <w:r>
              <w:rPr>
                <w:sz w:val="17"/>
              </w:rPr>
              <w:t>2,305</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1,990</w:t>
            </w:r>
          </w:p>
        </w:tc>
        <w:tc>
          <w:tcPr>
            <w:tcW w:type="dxa" w:w="1440"/>
            <w:shd w:fill="FAFAFA" w:val="clear"/>
          </w:tcPr>
          <w:p>
            <w:r>
              <w:rPr>
                <w:b/>
                <w:sz w:val="17"/>
              </w:rPr>
              <w:t>2,161</w:t>
            </w:r>
          </w:p>
        </w:tc>
        <w:tc>
          <w:tcPr>
            <w:tcW w:type="dxa" w:w="1440"/>
            <w:shd w:fill="FAFAFA" w:val="clear"/>
          </w:tcPr>
          <w:p>
            <w:r>
              <w:rPr>
                <w:sz w:val="17"/>
              </w:rPr>
              <w:t>2,332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1,959</w:t>
            </w:r>
          </w:p>
        </w:tc>
        <w:tc>
          <w:tcPr>
            <w:tcW w:type="dxa" w:w="1440"/>
            <w:shd w:fill="FAFAFA" w:val="clear"/>
          </w:tcPr>
          <w:p>
            <w:r>
              <w:rPr>
                <w:b/>
                <w:sz w:val="17"/>
              </w:rPr>
              <w:t>2,156</w:t>
            </w:r>
          </w:p>
        </w:tc>
        <w:tc>
          <w:tcPr>
            <w:tcW w:type="dxa" w:w="1440"/>
            <w:shd w:fill="FAFAFA" w:val="clear"/>
          </w:tcPr>
          <w:p>
            <w:r>
              <w:rPr>
                <w:sz w:val="17"/>
              </w:rPr>
              <w:t>2,354</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1,931</w:t>
            </w:r>
          </w:p>
        </w:tc>
        <w:tc>
          <w:tcPr>
            <w:tcW w:type="dxa" w:w="1440"/>
            <w:shd w:fill="FAFAFA" w:val="clear"/>
          </w:tcPr>
          <w:p>
            <w:r>
              <w:rPr>
                <w:b/>
                <w:sz w:val="17"/>
              </w:rPr>
              <w:t>2,151</w:t>
            </w:r>
          </w:p>
        </w:tc>
        <w:tc>
          <w:tcPr>
            <w:tcW w:type="dxa" w:w="1440"/>
            <w:shd w:fill="FAFAFA" w:val="clear"/>
          </w:tcPr>
          <w:p>
            <w:r>
              <w:rPr>
                <w:sz w:val="17"/>
              </w:rPr>
              <w:t>2,371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1,906</w:t>
            </w:r>
          </w:p>
        </w:tc>
        <w:tc>
          <w:tcPr>
            <w:tcW w:type="dxa" w:w="1440"/>
            <w:shd w:fill="FAFAFA" w:val="clear"/>
          </w:tcPr>
          <w:p>
            <w:r>
              <w:rPr>
                <w:b/>
                <w:sz w:val="17"/>
              </w:rPr>
              <w:t>2,146</w:t>
            </w:r>
          </w:p>
        </w:tc>
        <w:tc>
          <w:tcPr>
            <w:tcW w:type="dxa" w:w="1440"/>
            <w:shd w:fill="FAFAFA" w:val="clear"/>
          </w:tcPr>
          <w:p>
            <w:r>
              <w:rPr>
                <w:sz w:val="17"/>
              </w:rPr>
              <w:t>2,387</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1,883</w:t>
            </w:r>
          </w:p>
        </w:tc>
        <w:tc>
          <w:tcPr>
            <w:tcW w:type="dxa" w:w="1440"/>
            <w:shd w:fill="FAFAFA" w:val="clear"/>
          </w:tcPr>
          <w:p>
            <w:r>
              <w:rPr>
                <w:b/>
                <w:sz w:val="17"/>
              </w:rPr>
              <w:t>2,142</w:t>
            </w:r>
          </w:p>
        </w:tc>
        <w:tc>
          <w:tcPr>
            <w:tcW w:type="dxa" w:w="1440"/>
            <w:shd w:fill="FAFAFA" w:val="clear"/>
          </w:tcPr>
          <w:p>
            <w:r>
              <w:rPr>
                <w:sz w:val="17"/>
              </w:rPr>
              <w:t>2,401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1,861</w:t>
            </w:r>
          </w:p>
        </w:tc>
        <w:tc>
          <w:tcPr>
            <w:tcW w:type="dxa" w:w="1440"/>
            <w:shd w:fill="FAFAFA" w:val="clear"/>
          </w:tcPr>
          <w:p>
            <w:r>
              <w:rPr>
                <w:b/>
                <w:sz w:val="17"/>
              </w:rPr>
              <w:t>2,137</w:t>
            </w:r>
          </w:p>
        </w:tc>
        <w:tc>
          <w:tcPr>
            <w:tcW w:type="dxa" w:w="1440"/>
            <w:shd w:fill="FAFAFA" w:val="clear"/>
          </w:tcPr>
          <w:p>
            <w:r>
              <w:rPr>
                <w:sz w:val="17"/>
              </w:rPr>
              <w:t>2,413</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1,840</w:t>
            </w:r>
          </w:p>
        </w:tc>
        <w:tc>
          <w:tcPr>
            <w:tcW w:type="dxa" w:w="1440"/>
            <w:shd w:fill="FAFAFA" w:val="clear"/>
          </w:tcPr>
          <w:p>
            <w:r>
              <w:rPr>
                <w:b/>
                <w:sz w:val="17"/>
              </w:rPr>
              <w:t>2,133</w:t>
            </w:r>
          </w:p>
        </w:tc>
        <w:tc>
          <w:tcPr>
            <w:tcW w:type="dxa" w:w="1440"/>
            <w:shd w:fill="FAFAFA" w:val="clear"/>
          </w:tcPr>
          <w:p>
            <w:r>
              <w:rPr>
                <w:sz w:val="17"/>
              </w:rPr>
              <w:t>2,425</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1,820</w:t>
            </w:r>
          </w:p>
        </w:tc>
        <w:tc>
          <w:tcPr>
            <w:tcW w:type="dxa" w:w="1440"/>
            <w:shd w:fill="FFDCE0" w:val="clear"/>
          </w:tcPr>
          <w:p>
            <w:r>
              <w:rPr>
                <w:b/>
                <w:sz w:val="17"/>
              </w:rPr>
              <w:t>2,128</w:t>
            </w:r>
          </w:p>
        </w:tc>
        <w:tc>
          <w:tcPr>
            <w:tcW w:type="dxa" w:w="1440"/>
            <w:shd w:fill="FFDCE0" w:val="clear"/>
          </w:tcPr>
          <w:p>
            <w:r>
              <w:rPr>
                <w:sz w:val="17"/>
              </w:rPr>
              <w:t>2,436</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14,41 milliards FCFA, un niveau modeste qui la classe parmi les petites capitalisations de la BRVM, reflétant une liquidité limitée avec un volume moyen de seulement 2 768 titres par jour. Le BPA de 3 FCFA par action est extrêmement faible, ce qui explique un PER de 645,5x, très largement supérieur à la moyenne du marché BRVM (8-12x), indiquant une valorisation extrêmement exigeante par rapport aux bénéfices générés. En revanche, le P/B de 0,81x signale que le marché valorise le titre sous sa valeur comptable, ce qui pourrait représenter une opportunité pour les investisseurs à long terme si les fondamentaux s'améliorent. L'EV/EBITDA de 24,8x, bien au-dessus du seuil de 15x, confirme que la valeur totale de l'entreprise reste très élevée par rapport à sa capacité opérationnelle réelle, suggérant une prime injustifiée au regard des performances actuelles.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spectaculaire de +37,66%, avec un cours actuel de 2 175 FCFA, mais a subi un repli de -1,14% lors de la dernière séance, suggérant un possible essoufflement après cette forte hausse. Le titre a évolué dans une fourchette large de 1 300 à 2 400 FCFA, démontrant une amplitude de trading considérable de plus de 84% entre le plus bas et le plus haut. La moyenne de 1 811 FCFA est inférieure à la médiane de 1 880 FCFA, indiquant une distribution légèrement asymétrique avec une concentration des cours vers le haut de la fourchette. L'écart-type de 242 FCFA avec un coefficient de variation de 13,4% révèle une dispersion modérée, tandis que le kurtosis de -0,666 (mésokurtique) et le skewness de -0,049 indiquent une distribution proche de la normale, sans risque de pics extrêmes. La volatilité annualisée de 51,1% classe le titre comme très volatil, bien au-dessus du seuil de 30%, ce qui implique un risque élevé pour les investisseurs malgré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 Le cours actuel de 2 175 FCFA se positionne nettement au-dessus de la MM20 (2 087,25 FCFA) et de la MM50 (1 987,4 FCFA), confirmant une dynamique haussière solide à court et moyen terme. L'écart positif entre ces deux moyennes mobiles et leur orientation ascendante renforcent le signal d'achat, indiquant que la tendance de fond reste positive malgré le léger repli récent.</w:t>
      </w:r>
    </w:p>
    <w:p>
      <w:pPr>
        <w:spacing w:after="120" w:line="276" w:lineRule="auto"/>
      </w:pPr>
      <w:r>
        <w:t>**Bandes de Bollinger** : Le prix se situe à 2 175 FCFA, entre la borne inférieure de 1 786,73 FCFA et la borne supérieure de 2 387,77 FCFA, occupant une position médiane-haute dans le canal. La largeur des bandes reflète la volatilité élevée du titre, mais le cours n'atteint pas les extrêmes, suggérant une phase de consolidation après la récente appréciation, d'où la décision neutre.</w:t>
      </w:r>
    </w:p>
    <w:p>
      <w:pPr>
        <w:spacing w:after="120" w:line="276" w:lineRule="auto"/>
      </w:pPr>
      <w:r>
        <w:t>**MACD** : La valeur du MACD à 86,157 est supérieure à son signal à 75,019, avec un écart positif de plus de 11 points, confirmant un momentum haussier toujours actif. Cette configuration positive indique que la tendance haussière conserve de la vigueur, bien que l'écart ne montre pas d'accélération significative, justifiant la décision d'achat.</w:t>
      </w:r>
    </w:p>
    <w:p>
      <w:pPr>
        <w:spacing w:after="120" w:line="276" w:lineRule="auto"/>
      </w:pPr>
      <w:r>
        <w:t>**RSI** : Avec une valeur de 62,963, le RSI se situe en zone neutre-positive, en dessous du seuil de surachat de 70, ce qui laisse une marge de progression avant une éventuelle correction. Cette lecture suggère que le titre n'est pas encore survendu ni suracheté, maintenant un équilibre entre pression acheteuse et vendeuse, d'où la décision neutre.</w:t>
      </w:r>
    </w:p>
    <w:p>
      <w:pPr>
        <w:spacing w:after="120" w:line="276" w:lineRule="auto"/>
      </w:pPr>
      <w:r>
        <w:t>**Stochastique** : Le %K à 45,783 est inférieur au %D à 51,406, indiquant un croisement baissier potentiel à court terme, signalant un possible ralentissement du momentum haussier. Cette configuration, bien que non extrême, suggère une phase de consolidation ou de correction mineure, justifiant la décision neutre.</w:t>
      </w:r>
    </w:p>
    <w:p>
      <w:pPr>
        <w:spacing w:after="120" w:line="276" w:lineRule="auto"/>
      </w:pPr>
      <w:r>
        <w:t>**Conclusion technique** : La convergence des indicateurs montre un titre en tendance haussière de fond (MM, MACD positifs) mais avec des signaux de court terme neutres (RSI, Stochastique, Bollinger). Cette divergence entre la tendance de moyen terme et le momentum de court terme suggère une possible pause dans la progression, mais sans signal de retournement majeur, maintenant une orientation globalement positive.</w:t>
      </w:r>
    </w:p>
    <w:p>
      <w:pPr>
        <w:spacing w:after="120" w:line="276" w:lineRule="auto" w:before="240"/>
      </w:pPr>
      <w:r>
        <w:rPr>
          <w:b/>
          <w:color w:val="003366"/>
          <w:sz w:val="24"/>
        </w:rPr>
        <w:t>**PARTIE 3 : ANALYSE FONDAMENTALE (SECTION CRITIQUE)**</w:t>
      </w:r>
    </w:p>
    <w:p>
      <w:pPr>
        <w:spacing w:after="120" w:line="276" w:lineRule="auto"/>
      </w:pPr>
      <w:r>
        <w:t>En 2025, BNBC affiche un chiffre d'affaires de 42,454 milliards FCFA, en recul de -6,31% par rapport à 2024 (45,312 milliards), confirmant une contraction de l'activité principale. Le résultat net de 22,32 millions FCFA, bien qu'en amélioration par rapport aux 7,31 millions de 2024, reste extrêmement faible avec une marge nette de seulement 0,05%, un ROE de 0,13% et un ROA de 0,05%, traduisant une rentabilité anémique. Le BFR de 29,373 milliards FCFA avec un délai clients de 104 jours et une durée de stockage de 339 jours révèle une immobilisation massive de capital, tandis que la trésorerie nette négative de -16,689 milliards FCFA expose un risque de liquidité critique. Les rapports trimestriels montrent une trajectoire contrastée : le T1 2025 était bénéficiaire (+16,15 millions), le S1 2025 déficitaire (-139,57 millions), et le T3 2025 aggravé à -157 millions, mais le T1 2026 (rapport du 31/12/2026) marque un retournement spectaculaire avec un résultat net positif de 65,566 millions FCFA, soit une amélioration de +506%. Sur la base de ce T1 2026, on estime que l'exercice 2026 pourrait générer un résultat net annuel de 260 à 300 millions FCFA si la tendance se maintient, porté par la montée en puissance des divisions Équipement et Power, bien que la dépendance aux affaires exceptionnelles et la faiblesse structurelle des marges demeurent des préoccupations majeures.</w:t>
      </w:r>
    </w:p>
    <w:p>
      <w:pPr>
        <w:spacing w:after="120" w:line="276" w:lineRule="auto" w:before="240"/>
      </w:pPr>
      <w:r>
        <w:rPr>
          <w:b/>
          <w:color w:val="003366"/>
          <w:sz w:val="24"/>
        </w:rPr>
        <w:t>**PARTIE 4 : CONCLUSION D'INVESTISSEMENT**</w:t>
      </w:r>
    </w:p>
    <w:p>
      <w:pPr>
        <w:spacing w:after="120" w:line="276" w:lineRule="auto"/>
      </w:pPr>
      <w:r>
        <w:t>La valorisation de BNBC présente un paradoxe frappant : un PER de 645,5x signale une surévaluation extrême par rapport aux bénéfices, tandis qu'un P/B de 0,81x suggère une décote par rapport à l'actif net comptable, créant une divergence difficile à interpréter. Le comportement du cours montre une tendance haussière impressionnante de +37,66% sur 100 jours, mais avec une volatilité annualisée de 51,1% et un repli récent de -1,14%, indiquant un risque élevé de correction. Les signaux techniques sont partagés entre une tendance de fond positive (MM, MACD) et des indicateurs de court terme neutres (RSI, Stochastique), suggérant une consolidation probable. Les fondamentaux restent fragiles avec une rentabilité quasi nulle et une trésorerie négative, malgré un T1 2026 encourageant. Les prédictions IA prévoient une légère baisse progressive de 2 170 à 2 151 FCFA sur 10 jours, contredisant la tendance haussière récente et confirmant un essoufflement à court terme. La recommandation finale est **CONSERVER** avec un niveau de confiance **Moyen**, un risque global **Élevé**, et un horizon d'investissement optimal à **moyen terme (3-12 mois)** pour observer si l'amélioration fondamentale du T1 2026 se confirme et justifie la valorisation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417.78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6,003 titres</w:t>
            </w:r>
          </w:p>
        </w:tc>
        <w:tc>
          <w:tcPr>
            <w:tcW w:type="dxa" w:w="2268"/>
            <w:shd w:fill="FFF2CC" w:val="clear"/>
          </w:tcPr>
          <w:p>
            <w:r>
              <w:rPr>
                <w:b/>
                <w:color w:val="503200"/>
                <w:sz w:val="16"/>
              </w:rPr>
              <w:t xml:space="preserve">Cours actuel : </w:t>
            </w:r>
            <w:r>
              <w:rPr>
                <w:color w:val="000000"/>
                <w:sz w:val="17"/>
              </w:rPr>
              <w:t>10,300 FCFA</w:t>
            </w:r>
          </w:p>
          <w:p>
            <w:r>
              <w:rPr>
                <w:b/>
                <w:color w:val="503200"/>
                <w:sz w:val="16"/>
              </w:rPr>
              <w:t xml:space="preserve">Var. 100 jours : </w:t>
            </w:r>
            <w:r>
              <w:rPr>
                <w:b/>
                <w:color w:val="007800"/>
                <w:sz w:val="17"/>
              </w:rPr>
              <w:t>+37.33%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6.64% (Moyenne) — μ=8,915 FCFA, σ=592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β=-0.3027 (Contre-cyclique) — Cov=-0.000011, Var(idx)=0.000037, ρ=-0.108,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9,500</w:t>
            </w:r>
          </w:p>
        </w:tc>
        <w:tc>
          <w:tcPr>
            <w:tcW w:type="dxa" w:w="1440"/>
            <w:shd w:fill="FFDCE0" w:val="clear"/>
          </w:tcPr>
          <w:p>
            <w:r>
              <w:rPr>
                <w:b/>
                <w:sz w:val="17"/>
              </w:rPr>
              <w:t>9,840</w:t>
            </w:r>
          </w:p>
        </w:tc>
        <w:tc>
          <w:tcPr>
            <w:tcW w:type="dxa" w:w="1440"/>
            <w:shd w:fill="FFDCE0" w:val="clear"/>
          </w:tcPr>
          <w:p>
            <w:r>
              <w:rPr>
                <w:sz w:val="17"/>
              </w:rPr>
              <w:t>10,179</w:t>
            </w:r>
          </w:p>
        </w:tc>
        <w:tc>
          <w:tcPr>
            <w:tcW w:type="dxa" w:w="1440"/>
            <w:shd w:fill="FFDCE0" w:val="clear"/>
          </w:tcPr>
          <w:p>
            <w:r>
              <w:rPr>
                <w:b/>
                <w:color w:val="C00000"/>
                <w:sz w:val="17"/>
              </w:rPr>
              <w:t>-4.5%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9,117</w:t>
            </w:r>
          </w:p>
        </w:tc>
        <w:tc>
          <w:tcPr>
            <w:tcW w:type="dxa" w:w="1440"/>
            <w:shd w:fill="FFDCE0" w:val="clear"/>
          </w:tcPr>
          <w:p>
            <w:r>
              <w:rPr>
                <w:b/>
                <w:sz w:val="17"/>
              </w:rPr>
              <w:t>9,584</w:t>
            </w:r>
          </w:p>
        </w:tc>
        <w:tc>
          <w:tcPr>
            <w:tcW w:type="dxa" w:w="1440"/>
            <w:shd w:fill="FFDCE0" w:val="clear"/>
          </w:tcPr>
          <w:p>
            <w:r>
              <w:rPr>
                <w:sz w:val="17"/>
              </w:rPr>
              <w:t>10,052</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8,813</w:t>
            </w:r>
          </w:p>
        </w:tc>
        <w:tc>
          <w:tcPr>
            <w:tcW w:type="dxa" w:w="1440"/>
            <w:shd w:fill="FFDCE0" w:val="clear"/>
          </w:tcPr>
          <w:p>
            <w:r>
              <w:rPr>
                <w:b/>
                <w:sz w:val="17"/>
              </w:rPr>
              <w:t>9,373</w:t>
            </w:r>
          </w:p>
        </w:tc>
        <w:tc>
          <w:tcPr>
            <w:tcW w:type="dxa" w:w="1440"/>
            <w:shd w:fill="FFDCE0" w:val="clear"/>
          </w:tcPr>
          <w:p>
            <w:r>
              <w:rPr>
                <w:sz w:val="17"/>
              </w:rPr>
              <w:t>9,933</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8,571</w:t>
            </w:r>
          </w:p>
        </w:tc>
        <w:tc>
          <w:tcPr>
            <w:tcW w:type="dxa" w:w="1440"/>
            <w:shd w:fill="FFDCE0" w:val="clear"/>
          </w:tcPr>
          <w:p>
            <w:r>
              <w:rPr>
                <w:b/>
                <w:sz w:val="17"/>
              </w:rPr>
              <w:t>9,206</w:t>
            </w:r>
          </w:p>
        </w:tc>
        <w:tc>
          <w:tcPr>
            <w:tcW w:type="dxa" w:w="1440"/>
            <w:shd w:fill="FFDCE0" w:val="clear"/>
          </w:tcPr>
          <w:p>
            <w:r>
              <w:rPr>
                <w:sz w:val="17"/>
              </w:rPr>
              <w:t>9,841</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8,360</w:t>
            </w:r>
          </w:p>
        </w:tc>
        <w:tc>
          <w:tcPr>
            <w:tcW w:type="dxa" w:w="1440"/>
            <w:shd w:fill="FFDCE0" w:val="clear"/>
          </w:tcPr>
          <w:p>
            <w:r>
              <w:rPr>
                <w:b/>
                <w:sz w:val="17"/>
              </w:rPr>
              <w:t>9,058</w:t>
            </w:r>
          </w:p>
        </w:tc>
        <w:tc>
          <w:tcPr>
            <w:tcW w:type="dxa" w:w="1440"/>
            <w:shd w:fill="FFDCE0" w:val="clear"/>
          </w:tcPr>
          <w:p>
            <w:r>
              <w:rPr>
                <w:sz w:val="17"/>
              </w:rPr>
              <w:t>9,757</w:t>
            </w:r>
          </w:p>
        </w:tc>
        <w:tc>
          <w:tcPr>
            <w:tcW w:type="dxa" w:w="1440"/>
            <w:shd w:fill="FFDCE0" w:val="clear"/>
          </w:tcPr>
          <w:p>
            <w:r>
              <w:rPr>
                <w:b/>
                <w:color w:val="C00000"/>
                <w:sz w:val="17"/>
              </w:rPr>
              <w:t>-12.1%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8,169</w:t>
            </w:r>
          </w:p>
        </w:tc>
        <w:tc>
          <w:tcPr>
            <w:tcW w:type="dxa" w:w="1440"/>
            <w:shd w:fill="FFDCE0" w:val="clear"/>
          </w:tcPr>
          <w:p>
            <w:r>
              <w:rPr>
                <w:b/>
                <w:sz w:val="17"/>
              </w:rPr>
              <w:t>8,923</w:t>
            </w:r>
          </w:p>
        </w:tc>
        <w:tc>
          <w:tcPr>
            <w:tcW w:type="dxa" w:w="1440"/>
            <w:shd w:fill="FFDCE0" w:val="clear"/>
          </w:tcPr>
          <w:p>
            <w:r>
              <w:rPr>
                <w:sz w:val="17"/>
              </w:rPr>
              <w:t>9,676</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7,993</w:t>
            </w:r>
          </w:p>
        </w:tc>
        <w:tc>
          <w:tcPr>
            <w:tcW w:type="dxa" w:w="1440"/>
            <w:shd w:fill="FFDCE0" w:val="clear"/>
          </w:tcPr>
          <w:p>
            <w:r>
              <w:rPr>
                <w:b/>
                <w:sz w:val="17"/>
              </w:rPr>
              <w:t>8,796</w:t>
            </w:r>
          </w:p>
        </w:tc>
        <w:tc>
          <w:tcPr>
            <w:tcW w:type="dxa" w:w="1440"/>
            <w:shd w:fill="FFDCE0" w:val="clear"/>
          </w:tcPr>
          <w:p>
            <w:r>
              <w:rPr>
                <w:sz w:val="17"/>
              </w:rPr>
              <w:t>9,599</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7,831</w:t>
            </w:r>
          </w:p>
        </w:tc>
        <w:tc>
          <w:tcPr>
            <w:tcW w:type="dxa" w:w="1440"/>
            <w:shd w:fill="FFDCE0" w:val="clear"/>
          </w:tcPr>
          <w:p>
            <w:r>
              <w:rPr>
                <w:b/>
                <w:sz w:val="17"/>
              </w:rPr>
              <w:t>8,677</w:t>
            </w:r>
          </w:p>
        </w:tc>
        <w:tc>
          <w:tcPr>
            <w:tcW w:type="dxa" w:w="1440"/>
            <w:shd w:fill="FFDCE0" w:val="clear"/>
          </w:tcPr>
          <w:p>
            <w:r>
              <w:rPr>
                <w:sz w:val="17"/>
              </w:rPr>
              <w:t>9,524</w:t>
            </w:r>
          </w:p>
        </w:tc>
        <w:tc>
          <w:tcPr>
            <w:tcW w:type="dxa" w:w="1440"/>
            <w:shd w:fill="FFDCE0" w:val="clear"/>
          </w:tcPr>
          <w:p>
            <w:r>
              <w:rPr>
                <w:b/>
                <w:color w:val="C00000"/>
                <w:sz w:val="17"/>
              </w:rPr>
              <w:t>-15.8%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7,680</w:t>
            </w:r>
          </w:p>
        </w:tc>
        <w:tc>
          <w:tcPr>
            <w:tcW w:type="dxa" w:w="1440"/>
            <w:shd w:fill="FFDCE0" w:val="clear"/>
          </w:tcPr>
          <w:p>
            <w:r>
              <w:rPr>
                <w:b/>
                <w:sz w:val="17"/>
              </w:rPr>
              <w:t>8,566</w:t>
            </w:r>
          </w:p>
        </w:tc>
        <w:tc>
          <w:tcPr>
            <w:tcW w:type="dxa" w:w="1440"/>
            <w:shd w:fill="FFDCE0" w:val="clear"/>
          </w:tcPr>
          <w:p>
            <w:r>
              <w:rPr>
                <w:sz w:val="17"/>
              </w:rPr>
              <w:t>9,452</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7,538</w:t>
            </w:r>
          </w:p>
        </w:tc>
        <w:tc>
          <w:tcPr>
            <w:tcW w:type="dxa" w:w="1440"/>
            <w:shd w:fill="FFDCE0" w:val="clear"/>
          </w:tcPr>
          <w:p>
            <w:r>
              <w:rPr>
                <w:b/>
                <w:sz w:val="17"/>
              </w:rPr>
              <w:t>8,461</w:t>
            </w:r>
          </w:p>
        </w:tc>
        <w:tc>
          <w:tcPr>
            <w:tcW w:type="dxa" w:w="1440"/>
            <w:shd w:fill="FFDCE0" w:val="clear"/>
          </w:tcPr>
          <w:p>
            <w:r>
              <w:rPr>
                <w:sz w:val="17"/>
              </w:rPr>
              <w:t>9,383</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structuré et professionnel pour l'action BOAB,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417,78 milliards FCFA, BOAB se positionne comme une valeur de premier plan sur la BRVM, reflétant la confiance des investisseurs dans le secteur bancaire béninois. Le BPA de 496 FCFA indique que chaque action a généré un bénéfice substantiel sur l'exercice. Cependant, le PER de 20,8x est nettement supérieur à la moyenne historique de la BRVM (8-12x), signifiant que les investisseurs paient une prime significative pour chaque franc de bénéfice, anticipant une forte croissance future. Cette prime est confirmée par un P/B de 3,56x, qui valorise le marché à plus de trois fois la valeur comptable des fonds propres, et un EV/EBITDA de 21,0x, un niveau exigeant qui reflète une valorisation optimiste de la capacité opérationnelle de la banque.</w:t>
      </w:r>
    </w:p>
    <w:p>
      <w:pPr>
        <w:spacing w:after="120" w:line="276" w:lineRule="auto"/>
      </w:pPr>
      <w:r>
        <w:t>### PARTIE 1 : ANALYSE DU COURS — STATISTIQUES ET ÉVOLUTION (100 derniers jours)</w:t>
      </w:r>
    </w:p>
    <w:p>
      <w:pPr>
        <w:spacing w:after="120" w:line="276" w:lineRule="auto"/>
      </w:pPr>
      <w:r>
        <w:t>Sur les 100 derniers jours, l'action BOAB a affiché une performance remarquable de +37,33%, passant d'un plus bas de 7 400 FCFA à un plus haut de 10 350 FCFA, avant de clôturer à 10 300 FCFA, en très légère baisse de -0,48% sur la dernière séance. Cette tendance est fortement haussière. L'écart entre la moyenne (8 915 FCFA) et la médiane (8 800 FCFA) est faible, indiquant une distribution des prix relativement symétrique, ce que confirme le skewness de 0,323. L'écart-type de 595 FCFA, avec un coefficient de variation de seulement 6,7%, révèle une dispersion modérée autour de la moyenne. Le kurtosis excédentaire de 1,055 signale une distribution leptokurtique, suggérant un risque de mouvements de prix plus extrêmes que la normale. Enfin, la volatilité annualisée de 27,1% classe le titre dans une catégorie à risque modéré-élevé, ce qui est cohérent avec la forte appréciation observée.</w:t>
      </w:r>
    </w:p>
    <w:p>
      <w:pPr>
        <w:spacing w:after="120" w:line="276" w:lineRule="auto"/>
      </w:pPr>
      <w:r>
        <w:t>### PARTIE 2 : ANALYSE TECHNIQUE DÉTAILLÉE</w:t>
      </w:r>
    </w:p>
    <w:p>
      <w:pPr>
        <w:spacing w:after="120" w:line="276" w:lineRule="auto"/>
      </w:pPr>
      <w:r>
        <w:t>**Moyennes Mobiles** : Le cours actuel (10 300 FCFA) est nettement au-dessus de la MM20 (9 539,75 FCFA) et de la MM50 (9 102,5 FCFA). Cette configuration en « trend haussier » est un signal technique d'achat classique, indiquant que la dynamique de court et moyen terme reste positive et que les acheteurs contrôlent le marché.</w:t>
      </w:r>
    </w:p>
    <w:p>
      <w:pPr>
        <w:spacing w:after="120" w:line="276" w:lineRule="auto"/>
      </w:pPr>
      <w:r>
        <w:t>**Bandes de Bollinger** : Le prix se situe sous la borne supérieure (10 968,77 FCFA) mais au-dessus de la borne inférieure (8 110,73 FCFA). La position du cours dans la partie haute des bandes, sans la toucher, suggère une pression acheteuse soutenue mais potentiellement sur le point de rencontrer une résistance. La décision est neutre, car le titre n'est pas en situation de surachat extrême selon cet indicateur.</w:t>
      </w:r>
    </w:p>
    <w:p>
      <w:pPr>
        <w:spacing w:after="120" w:line="276" w:lineRule="auto"/>
      </w:pPr>
      <w:r>
        <w:t>**MACD** : Le MACD (412,514) est nettement supérieur à sa ligne de signal (341,257), confirmant un momentum haussier robuste. L'écart positif entre les deux lignes indique que la dynamique de hausse est toujours active et pourrait se poursuivre à court terme. La décision est à l'achat.</w:t>
      </w:r>
    </w:p>
    <w:p>
      <w:pPr>
        <w:spacing w:after="120" w:line="276" w:lineRule="auto"/>
      </w:pPr>
      <w:r>
        <w:t>**RSI** : Le RSI est à 76,667, une valeur bien au-dessus du seuil de surachat de 70. Cela indique que l'action est techniquement surachetée après une hausse aussi rapide. Ce niveau suggère qu'un repli technique ou une phase de consolidation est probable à court terme pour « digérer » les gains. La décision est à la vente.</w:t>
      </w:r>
    </w:p>
    <w:p>
      <w:pPr>
        <w:spacing w:after="120" w:line="276" w:lineRule="auto"/>
      </w:pPr>
      <w:r>
        <w:t>**Stochastique** : Le %K (96,774) et le %D (96,816) sont tous deux à des niveaux extrêmement élevés, en zone de surachat profond. Les deux lignes sont pratiquement identiques, ce qui indique une force directionnelle extrême mais également un risque élevé de retournement imminent. La décision est à la vente.</w:t>
      </w:r>
    </w:p>
    <w:p>
      <w:pPr>
        <w:spacing w:after="120" w:line="276" w:lineRule="auto"/>
      </w:pPr>
      <w:r>
        <w:t>**Conclusion technique** : Les indicateurs de tendance (MM, MACD) sont clairement haussiers, mais les oscillateurs de momentum (RSI, Stochastique) hurlent à la surachat. Cette divergence classique signale une forte tendance mais avec un risque de correction technique accru à très court terme. La prudence est de mise pour un nouvel achat à ces niveaux, bien que la tendance de fond reste positive.</w:t>
      </w:r>
    </w:p>
    <w:p>
      <w:pPr>
        <w:spacing w:after="120" w:line="276" w:lineRule="auto"/>
      </w:pPr>
      <w:r>
        <w:t>### PARTIE 3 : ANALYSE FONDAMENTALE (SECTION CRITIQUE)</w:t>
      </w:r>
    </w:p>
    <w:p>
      <w:pPr>
        <w:spacing w:after="120" w:line="276" w:lineRule="auto"/>
      </w:pPr>
      <w:r>
        <w:t>En 2025, les données financières structurées de BOAB confirment la solidité de son modèle, avec un Produit Net Bancaire (PNB) de 51,274 milliards FCFA et un résultat net de 20,107 milliards FCFA. La banque affiche une excellente efficacité opérationnelle, son coefficient d'exploitation étant de 49,53%, bien en dessous du seuil de 60% considéré comme sain. La rentabilité est au rendez-vous avec un ROE de 17,11% et un ROA de 2,08%. Cependant, le coût du risque, représentant 22,5% des charges financières, est un point de vigilance, indiquant un risque de crédit significatif. Les rapports trimestriels de 2025 montrent une trajectoire positive : le T1 2025 (PNB 11,081 Mds) et le S1 2025 (PNB 24,556 Mds) affichent une croissance, mais le T3 2025 est le plus éloquent, avec un PNB de 37,065 Mds (+9% vs T3 2024) et un résultat net de 15,880 Mds (+13%). Cette performance, réalisée malgré une contraction des crédits et dépôts, démontre une amélioration de la marge et de la productivité. Sur la base de cette dynamique du T3 2025, on estime que le résultat net annuel 2025 pourrait dépasser les 20 milliards FCFA, confirmant la tendance haussière. Le rapport du T1 2026 (PNB 12,329 Mds, +11%) suggère que cette dynamique de rentabilité, portée par les commissions (+18,9%), se poursuit en 2026.</w:t>
      </w:r>
    </w:p>
    <w:p>
      <w:pPr>
        <w:spacing w:after="120" w:line="276" w:lineRule="auto"/>
      </w:pPr>
      <w:r>
        <w:t>### PARTIE 4 : CONCLUSION D'INVESTISSEMENT</w:t>
      </w:r>
    </w:p>
    <w:p>
      <w:pPr>
        <w:spacing w:after="120" w:line="276" w:lineRule="auto"/>
      </w:pPr>
      <w:r>
        <w:t>L'analyse croisée révèle un profil d'investissement complexe. La valorisation (PER 20,8x, P/B 3,56x) est exigeante, intégrant déjà des attentes de croissance élevées. Le comportement du cours (+37,33% en 100 jours) est extrêmement haussier, mais les statistiques (kurtosis élevé) et les indicateurs techniques (RSI et Stochastique en surachat) signalent un risque élevé de correction à court terme, malgré une tendance de fond (MM, MACD) positive. Les fondamentaux sont solides, avec une banque efficace et rentable, dont les performances 2025 et les estimations pour 2026 justifient en partie la prime de valorisation. Cependant, les prédictions IA pour les 10 prochains jours (chute de 10 300 à 9 058 FCFA) corroborent les signaux de surachat technique, anticipant un repli significatif. En synthèse, la convergence entre la surchauffe technique et la prédiction IA suggère une pause dans la tendance haussière. Par conséquent, la recommandation est de **CONSERVER** les titres en portefeuille, mais de ne pas initier de nouvelles positions à ces niveaux de prix. Un point d'entrée plus favorable pourrait se présenter lors d'un repli technique vers la zone des 9 500-9 800 FCFA. Le niveau de confiance est **Moyen** et le risque global **Élevé** à court terme. L'horizon d'investissement optimal serait le **moyen terme (3-12 mois)** pour capitaliser sur la solidité fondamentale, après une probable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390.72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6,836 titres</w:t>
            </w:r>
          </w:p>
        </w:tc>
        <w:tc>
          <w:tcPr>
            <w:tcW w:type="dxa" w:w="2268"/>
            <w:shd w:fill="FFF2CC" w:val="clear"/>
          </w:tcPr>
          <w:p>
            <w:r>
              <w:rPr>
                <w:b/>
                <w:color w:val="503200"/>
                <w:sz w:val="16"/>
              </w:rPr>
              <w:t xml:space="preserve">Cours actuel : </w:t>
            </w:r>
            <w:r>
              <w:rPr>
                <w:color w:val="000000"/>
                <w:sz w:val="17"/>
              </w:rPr>
              <w:t>8,880 FCFA</w:t>
            </w:r>
          </w:p>
          <w:p>
            <w:r>
              <w:rPr>
                <w:b/>
                <w:color w:val="503200"/>
                <w:sz w:val="16"/>
              </w:rPr>
              <w:t xml:space="preserve">Var. 100 jours : </w:t>
            </w:r>
            <w:r>
              <w:rPr>
                <w:b/>
                <w:color w:val="007800"/>
                <w:sz w:val="17"/>
              </w:rPr>
              <w:t>+56.34%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16.92% (Élevée) — μ=6,314 FCFA, σ=1,068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β=0.1677 (Défensif) — Cov=0.000006, Var(idx)=0.000037,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8,184</w:t>
            </w:r>
          </w:p>
        </w:tc>
        <w:tc>
          <w:tcPr>
            <w:tcW w:type="dxa" w:w="1440"/>
            <w:shd w:fill="FFDCE0" w:val="clear"/>
          </w:tcPr>
          <w:p>
            <w:r>
              <w:rPr>
                <w:b/>
                <w:sz w:val="17"/>
              </w:rPr>
              <w:t>8,520</w:t>
            </w:r>
          </w:p>
        </w:tc>
        <w:tc>
          <w:tcPr>
            <w:tcW w:type="dxa" w:w="1440"/>
            <w:shd w:fill="FFDCE0" w:val="clear"/>
          </w:tcPr>
          <w:p>
            <w:r>
              <w:rPr>
                <w:sz w:val="17"/>
              </w:rPr>
              <w:t>8,856</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7,803</w:t>
            </w:r>
          </w:p>
        </w:tc>
        <w:tc>
          <w:tcPr>
            <w:tcW w:type="dxa" w:w="1440"/>
            <w:shd w:fill="FFDCE0" w:val="clear"/>
          </w:tcPr>
          <w:p>
            <w:r>
              <w:rPr>
                <w:b/>
                <w:sz w:val="17"/>
              </w:rPr>
              <w:t>8,264</w:t>
            </w:r>
          </w:p>
        </w:tc>
        <w:tc>
          <w:tcPr>
            <w:tcW w:type="dxa" w:w="1440"/>
            <w:shd w:fill="FFDCE0" w:val="clear"/>
          </w:tcPr>
          <w:p>
            <w:r>
              <w:rPr>
                <w:sz w:val="17"/>
              </w:rPr>
              <w:t>8,725</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7,526</w:t>
            </w:r>
          </w:p>
        </w:tc>
        <w:tc>
          <w:tcPr>
            <w:tcW w:type="dxa" w:w="1440"/>
            <w:shd w:fill="FFDCE0" w:val="clear"/>
          </w:tcPr>
          <w:p>
            <w:r>
              <w:rPr>
                <w:b/>
                <w:sz w:val="17"/>
              </w:rPr>
              <w:t>8,078</w:t>
            </w:r>
          </w:p>
        </w:tc>
        <w:tc>
          <w:tcPr>
            <w:tcW w:type="dxa" w:w="1440"/>
            <w:shd w:fill="FFDCE0" w:val="clear"/>
          </w:tcPr>
          <w:p>
            <w:r>
              <w:rPr>
                <w:sz w:val="17"/>
              </w:rPr>
              <w:t>8,630</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7,318</w:t>
            </w:r>
          </w:p>
        </w:tc>
        <w:tc>
          <w:tcPr>
            <w:tcW w:type="dxa" w:w="1440"/>
            <w:shd w:fill="FFDCE0" w:val="clear"/>
          </w:tcPr>
          <w:p>
            <w:r>
              <w:rPr>
                <w:b/>
                <w:sz w:val="17"/>
              </w:rPr>
              <w:t>7,945</w:t>
            </w:r>
          </w:p>
        </w:tc>
        <w:tc>
          <w:tcPr>
            <w:tcW w:type="dxa" w:w="1440"/>
            <w:shd w:fill="FFDCE0" w:val="clear"/>
          </w:tcPr>
          <w:p>
            <w:r>
              <w:rPr>
                <w:sz w:val="17"/>
              </w:rPr>
              <w:t>8,571</w:t>
            </w:r>
          </w:p>
        </w:tc>
        <w:tc>
          <w:tcPr>
            <w:tcW w:type="dxa" w:w="1440"/>
            <w:shd w:fill="FFDCE0" w:val="clear"/>
          </w:tcPr>
          <w:p>
            <w:r>
              <w:rPr>
                <w:b/>
                <w:color w:val="C00000"/>
                <w:sz w:val="17"/>
              </w:rPr>
              <w:t>-10.5%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7,145</w:t>
            </w:r>
          </w:p>
        </w:tc>
        <w:tc>
          <w:tcPr>
            <w:tcW w:type="dxa" w:w="1440"/>
            <w:shd w:fill="FFDCE0" w:val="clear"/>
          </w:tcPr>
          <w:p>
            <w:r>
              <w:rPr>
                <w:b/>
                <w:sz w:val="17"/>
              </w:rPr>
              <w:t>7,836</w:t>
            </w:r>
          </w:p>
        </w:tc>
        <w:tc>
          <w:tcPr>
            <w:tcW w:type="dxa" w:w="1440"/>
            <w:shd w:fill="FFDCE0" w:val="clear"/>
          </w:tcPr>
          <w:p>
            <w:r>
              <w:rPr>
                <w:sz w:val="17"/>
              </w:rPr>
              <w:t>8,527</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6,990</w:t>
            </w:r>
          </w:p>
        </w:tc>
        <w:tc>
          <w:tcPr>
            <w:tcW w:type="dxa" w:w="1440"/>
            <w:shd w:fill="FFDCE0" w:val="clear"/>
          </w:tcPr>
          <w:p>
            <w:r>
              <w:rPr>
                <w:b/>
                <w:sz w:val="17"/>
              </w:rPr>
              <w:t>7,738</w:t>
            </w:r>
          </w:p>
        </w:tc>
        <w:tc>
          <w:tcPr>
            <w:tcW w:type="dxa" w:w="1440"/>
            <w:shd w:fill="FFDCE0" w:val="clear"/>
          </w:tcPr>
          <w:p>
            <w:r>
              <w:rPr>
                <w:sz w:val="17"/>
              </w:rPr>
              <w:t>8,486</w:t>
            </w:r>
          </w:p>
        </w:tc>
        <w:tc>
          <w:tcPr>
            <w:tcW w:type="dxa" w:w="1440"/>
            <w:shd w:fill="FFDCE0" w:val="clear"/>
          </w:tcPr>
          <w:p>
            <w:r>
              <w:rPr>
                <w:b/>
                <w:color w:val="C00000"/>
                <w:sz w:val="17"/>
              </w:rPr>
              <w:t>-12.9%</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6,848</w:t>
            </w:r>
          </w:p>
        </w:tc>
        <w:tc>
          <w:tcPr>
            <w:tcW w:type="dxa" w:w="1440"/>
            <w:shd w:fill="FFDCE0" w:val="clear"/>
          </w:tcPr>
          <w:p>
            <w:r>
              <w:rPr>
                <w:b/>
                <w:sz w:val="17"/>
              </w:rPr>
              <w:t>7,646</w:t>
            </w:r>
          </w:p>
        </w:tc>
        <w:tc>
          <w:tcPr>
            <w:tcW w:type="dxa" w:w="1440"/>
            <w:shd w:fill="FFDCE0" w:val="clear"/>
          </w:tcPr>
          <w:p>
            <w:r>
              <w:rPr>
                <w:sz w:val="17"/>
              </w:rPr>
              <w:t>8,444</w:t>
            </w:r>
          </w:p>
        </w:tc>
        <w:tc>
          <w:tcPr>
            <w:tcW w:type="dxa" w:w="1440"/>
            <w:shd w:fill="FFDCE0" w:val="clear"/>
          </w:tcPr>
          <w:p>
            <w:r>
              <w:rPr>
                <w:b/>
                <w:color w:val="C00000"/>
                <w:sz w:val="17"/>
              </w:rPr>
              <w:t>-13.9%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6,714</w:t>
            </w:r>
          </w:p>
        </w:tc>
        <w:tc>
          <w:tcPr>
            <w:tcW w:type="dxa" w:w="1440"/>
            <w:shd w:fill="FFDCE0" w:val="clear"/>
          </w:tcPr>
          <w:p>
            <w:r>
              <w:rPr>
                <w:b/>
                <w:sz w:val="17"/>
              </w:rPr>
              <w:t>7,558</w:t>
            </w:r>
          </w:p>
        </w:tc>
        <w:tc>
          <w:tcPr>
            <w:tcW w:type="dxa" w:w="1440"/>
            <w:shd w:fill="FFDCE0" w:val="clear"/>
          </w:tcPr>
          <w:p>
            <w:r>
              <w:rPr>
                <w:sz w:val="17"/>
              </w:rPr>
              <w:t>8,401</w:t>
            </w:r>
          </w:p>
        </w:tc>
        <w:tc>
          <w:tcPr>
            <w:tcW w:type="dxa" w:w="1440"/>
            <w:shd w:fill="FFDCE0" w:val="clear"/>
          </w:tcPr>
          <w:p>
            <w:r>
              <w:rPr>
                <w:b/>
                <w:color w:val="C00000"/>
                <w:sz w:val="17"/>
              </w:rPr>
              <w:t>-14.9%</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6,588</w:t>
            </w:r>
          </w:p>
        </w:tc>
        <w:tc>
          <w:tcPr>
            <w:tcW w:type="dxa" w:w="1440"/>
            <w:shd w:fill="FFDCE0" w:val="clear"/>
          </w:tcPr>
          <w:p>
            <w:r>
              <w:rPr>
                <w:b/>
                <w:sz w:val="17"/>
              </w:rPr>
              <w:t>7,473</w:t>
            </w:r>
          </w:p>
        </w:tc>
        <w:tc>
          <w:tcPr>
            <w:tcW w:type="dxa" w:w="1440"/>
            <w:shd w:fill="FFDCE0" w:val="clear"/>
          </w:tcPr>
          <w:p>
            <w:r>
              <w:rPr>
                <w:sz w:val="17"/>
              </w:rPr>
              <w:t>8,357</w:t>
            </w:r>
          </w:p>
        </w:tc>
        <w:tc>
          <w:tcPr>
            <w:tcW w:type="dxa" w:w="1440"/>
            <w:shd w:fill="FFDCE0" w:val="clear"/>
          </w:tcPr>
          <w:p>
            <w:r>
              <w:rPr>
                <w:b/>
                <w:color w:val="C00000"/>
                <w:sz w:val="17"/>
              </w:rPr>
              <w:t>-15.8%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6,469</w:t>
            </w:r>
          </w:p>
        </w:tc>
        <w:tc>
          <w:tcPr>
            <w:tcW w:type="dxa" w:w="1440"/>
            <w:shd w:fill="FFDCE0" w:val="clear"/>
          </w:tcPr>
          <w:p>
            <w:r>
              <w:rPr>
                <w:b/>
                <w:sz w:val="17"/>
              </w:rPr>
              <w:t>7,391</w:t>
            </w:r>
          </w:p>
        </w:tc>
        <w:tc>
          <w:tcPr>
            <w:tcW w:type="dxa" w:w="1440"/>
            <w:shd w:fill="FFDCE0" w:val="clear"/>
          </w:tcPr>
          <w:p>
            <w:r>
              <w:rPr>
                <w:sz w:val="17"/>
              </w:rPr>
              <w:t>8,313</w:t>
            </w:r>
          </w:p>
        </w:tc>
        <w:tc>
          <w:tcPr>
            <w:tcW w:type="dxa" w:w="1440"/>
            <w:shd w:fill="FFDCE0" w:val="clear"/>
          </w:tcPr>
          <w:p>
            <w:r>
              <w:rPr>
                <w:b/>
                <w:color w:val="C00000"/>
                <w:sz w:val="17"/>
              </w:rPr>
              <w:t>-16.8%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5 septembre 2026**</w:t>
        <w:br/>
        <w:t>**Cours de référence : 8 880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390,72 milliards FCFA, BOABF se positionne comme une valeur de premier plan sur la BRVM. Le titre se négocie à un PER de 20,3x, un niveau nettement supérieur à la moyenne historique du marché (8-12x). Ce ratio élevé traduit soit des attentes de croissance future importantes, soit une prime de risque, mais il indique objectivement que l'investisseur paie cher pour chaque franc de bénéfice généré. Le P/B de 3,09x confirme cette tendance, le marché valorisant la banque à plus de trois fois ses capitaux propres, ce qui est caractéristique d'une prime de croissance accordée par le marché. Enfin, l'EV/EBITDA de 9,4x, bien que dans la fourchette haute des standards, reste raisonnable et suggère que la valeur opérationnelle de l'entreprise n'est pas totalement décorrélée de ses fondamentaux.</w:t>
      </w:r>
    </w:p>
    <w:p>
      <w:pPr>
        <w:spacing w:after="120" w:line="276" w:lineRule="auto"/>
      </w:pPr>
      <w:r>
        <w:t>### PARTIE 1 : ANALYSE DU COURS — STATISTIQUES ET ÉVOLUTION (100 derniers jours)</w:t>
      </w:r>
    </w:p>
    <w:p>
      <w:pPr>
        <w:spacing w:after="120" w:line="276" w:lineRule="auto"/>
      </w:pPr>
      <w:r>
        <w:t>Sur les 100 dernières séances, l'action BOABF a connu une progression spectaculaire de +56,34%, passant d'un plus bas de 5 235 FCFA à un plus haut de 9 090 FCFA, avant de clôturer à 8 880 FCFA. La légère baisse de -0,78% enregistrée lors de la dernière séance pourrait marquer une pause après ce rallye. L'analyse statistique révèle une distribution asymétrique positive (Skewness de 1.107), avec une moyenne (6 314 FCFA) nettement supérieure à la médiane (5 680 FCFA), indiquant que la majorité des séances se sont déroulées à des niveaux de prix inférieurs à la moyenne, la forte hausse récente tirant cette moyenne vers le haut. L'écart-type de 1 073 FCFA (CV de 17%) montre une dispersion modérée, tandis que le kurtosis de 0.201 (mésokurtique) suggère une distribution des rendements proche de la normale, sans risque de pics extrêmes particulier. La volatilité annualisée de 33,6% classe le titre dans la catégorie des valeurs très volatiles, un paramètre essentiel pour la gestion du risque.</w:t>
      </w:r>
    </w:p>
    <w:p>
      <w:pPr>
        <w:spacing w:after="120" w:line="276" w:lineRule="auto"/>
      </w:pPr>
      <w:r>
        <w:t>### PARTIE 2 : ANALYSE TECHNIQUE DÉTAILLÉE</w:t>
      </w:r>
    </w:p>
    <w:p>
      <w:pPr>
        <w:spacing w:after="120" w:line="276" w:lineRule="auto"/>
      </w:pPr>
      <w:r>
        <w:t>**Moyennes Mobiles** : Le cours actuel (8 880 FCFA) se situe nettement au-dessus de la MM20 (7 973 FCFA) et de la MM50 (7 127 FCFA). Cette configuration haussière, avec des moyennes mobiles orientées à la hausse, confirme la solidité de la tendance de fond et justifie le signal d'achat.</w:t>
      </w:r>
    </w:p>
    <w:p>
      <w:pPr>
        <w:spacing w:after="120" w:line="276" w:lineRule="auto"/>
      </w:pPr>
      <w:r>
        <w:t>**Bandes de Bollinger** : Le prix évolue dans la partie supérieure de l'enveloppe, entre la borne inférieure (6 360 FCFA) et la borne supérieure (9 586 FCFA). Le cours, proche de la borne haute, indique une pression acheteuse soutenue, mais signale également des conditions de surachat temporaire. La décision est neutre, car le titre n'a pas encore touché la bande supérieure, laissant un potentiel de hausse avant une éventuelle correction.</w:t>
      </w:r>
    </w:p>
    <w:p>
      <w:pPr>
        <w:spacing w:after="120" w:line="276" w:lineRule="auto"/>
      </w:pPr>
      <w:r>
        <w:t>**MACD** : Le MACD (565.03) est nettement supérieur à son signal (487.26), démontrant un momentum haussier très fort. L'écart positif entre les deux courbes indique que la dynamique d'achat est toujours dominante et s'accélère, justifiant la décision d'achat.</w:t>
      </w:r>
    </w:p>
    <w:p>
      <w:pPr>
        <w:spacing w:after="120" w:line="276" w:lineRule="auto"/>
      </w:pPr>
      <w:r>
        <w:t>**RSI** : Le RSI est à 82.96, un niveau extrêmement élevé, bien au-delà du seuil de surachat de 70. Cette valeur indique que le titre est survendu à la hausse et qu'un repli technique est statistiquement probable à court terme. La décision de vente est donc cohérente avec cet indicateur de momentum.</w:t>
      </w:r>
    </w:p>
    <w:p>
      <w:pPr>
        <w:spacing w:after="120" w:line="276" w:lineRule="auto"/>
      </w:pPr>
      <w:r>
        <w:t>**Stochastique** : Le %K (88.27) et le %D (92.07) sont tous deux dans la zone de surachat (&gt;80). Le croisement potentiel du %K sous le %D serait un signal de retournement baissier imminent. La décision de vente est justifiée par ces niveaux extrêmes.</w:t>
      </w:r>
    </w:p>
    <w:p>
      <w:pPr>
        <w:spacing w:after="120" w:line="276" w:lineRule="auto"/>
      </w:pPr>
      <w:r>
        <w:t>**Conclusion technique** : Les indicateurs de tendance (MM, MACD) sont résolument haussiers, mais les oscillateurs (RSI, Stochastique) hurlent au surachat. Cette divergence classique suggère que la tendance de fond reste positive, mais qu'une correction technique à court terme est très probable pour "respirer" après une hausse aussi rapide. La prudence est donc de mise pour les nouveaux entrants à ces niveaux de prix.</w:t>
      </w:r>
    </w:p>
    <w:p>
      <w:pPr>
        <w:spacing w:after="120" w:line="276" w:lineRule="auto"/>
      </w:pPr>
      <w:r>
        <w:t>### PARTIE 3 : ANALYSE FONDAMENTALE (SECTION CRITIQUE)</w:t>
      </w:r>
    </w:p>
    <w:p>
      <w:pPr>
        <w:spacing w:after="120" w:line="276" w:lineRule="auto"/>
      </w:pPr>
      <w:r>
        <w:t>En se basant sur les données structurées de l'exercice 2025, le Produit Net Bancaire (PNB) de BOABF s'établit à 57,820 milliards FCFA, en légère hausse de +0,57% par rapport à 2024. Le résultat net, en revanche, a subi une contraction de -14,1% pour atteindre 19,252 milliards FCFA, impacté par un coût du risque qui a quasiment doublé (provisions passées de -4,3 à -8,35 milliards FCFA). Malgré cela, la banque maintient une excellente rentabilité avec un ROE de 15,2% et un ROA de 1,68%. Le coefficient d'exploitation de 47,2% témoigne d'une gestion opérationnelle très efficace, bien en deçà du seuil de 60%. Les rapports trimestriels de 2026, notamment ceux du T1 (31/03/2026) et du S1 (30/06/2026), montrent une normalisation du coût du risque (-65,2% au S1 2026 vs S1 2025), permettant au résultat net semestriel de bondir de +31% à 10,77 milliards FCFA, et ce malgré un PNB en repli de -5,2%. Sur la base de cette dynamique, on estime que l'exercice 2026 pourrait voir le résultat net dépasser les 22 milliards FCFA, porté par l'amélioration de la qualité du portefeuille de crédits. La banque affiche une collecte de dépôts dynamique (877,8 Mds en 2025, +7,4% au S1 2026), mais une prudence sur la distribution de crédits (-19,3% en 2025), préférant se tourner vers les créances interbancaires et les titres d'État. Le dividende de 397 FCFA par action pour 2025 offre un rendement modeste, mais la solidité financière et la normalisation du risque sont des signaux positifs pour l'avenir.</w:t>
      </w:r>
    </w:p>
    <w:p>
      <w:pPr>
        <w:spacing w:after="120" w:line="276" w:lineRule="auto"/>
      </w:pPr>
      <w:r>
        <w:t>### PARTIE 4 : CONCLUSION D'INVESTISSEMENT</w:t>
      </w:r>
    </w:p>
    <w:p>
      <w:pPr>
        <w:spacing w:after="120" w:line="276" w:lineRule="auto"/>
      </w:pPr>
      <w:r>
        <w:t>La valorisation actuelle de BOABF (PER 20,3x, P/B 3,09x) est exigeante et intègre déjà une partie des bonnes nouvelles fondamentales. Le comportement du cours, avec une hausse de +56% et une volatilité de 33,6%, illustre un intérêt marqué des investisseurs, mais les statistiques (skewness positif) et les signaux techniques de surachat (RSI 83, Stochastique 92) suggèrent un essoufflement à court terme. Les fondamentaux, bien que solides avec un ROE de 15,2% et un coût du risque en nette amélioration, ne justifient pas pleinement une telle prime boursière. Les prédictions IA pour les 10 prochains jours (prévoyant une baisse de 8 880 à 7 836 FCFA) corroborent l'analyse technique d'une correction imminente. En synthèse, la convergence des signaux techniques et des prédictions IA indique un risque de repli à court terme, malgré des fondamentaux sains. **Notre recommandation est donc de CONSERVER** pour les détenteurs actuels, et d'attendre un point d'entrée plus favorable (proche de la zone des 7 500-8 000 FCFA) pour les nouveaux investisseurs. Le niveau de confiance est **Moyen**, et le risque global est **Élevé** en raison de la volatilité et de la valorisation tendue. L'horizon d'investissement optimal serait à **moyen terme (3-12 mois)** pour laisser le temps à la correction de se matérialiser et aux fondamentaux de rattraper le cours.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11,688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+47.32%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15.44% (Élevée) — μ=9,921 FCFA, σ=1,532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β=0.0133 (Défensif) — Cov=0.000000, Var(idx)=0.000037, ρ=0.005,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11,688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11,398</w:t>
            </w:r>
          </w:p>
        </w:tc>
        <w:tc>
          <w:tcPr>
            <w:tcW w:type="dxa" w:w="1440"/>
            <w:shd w:fill="FFDCE0" w:val="clear"/>
          </w:tcPr>
          <w:p>
            <w:r>
              <w:rPr>
                <w:b/>
                <w:sz w:val="17"/>
              </w:rPr>
              <w:t>11,826</w:t>
            </w:r>
          </w:p>
        </w:tc>
        <w:tc>
          <w:tcPr>
            <w:tcW w:type="dxa" w:w="1440"/>
            <w:shd w:fill="FFDCE0" w:val="clear"/>
          </w:tcPr>
          <w:p>
            <w:r>
              <w:rPr>
                <w:sz w:val="17"/>
              </w:rPr>
              <w:t>12,253</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10,755</w:t>
            </w:r>
          </w:p>
        </w:tc>
        <w:tc>
          <w:tcPr>
            <w:tcW w:type="dxa" w:w="1440"/>
            <w:shd w:fill="FFDCE0" w:val="clear"/>
          </w:tcPr>
          <w:p>
            <w:r>
              <w:rPr>
                <w:b/>
                <w:sz w:val="17"/>
              </w:rPr>
              <w:t>11,335</w:t>
            </w:r>
          </w:p>
        </w:tc>
        <w:tc>
          <w:tcPr>
            <w:tcW w:type="dxa" w:w="1440"/>
            <w:shd w:fill="FFDCE0" w:val="clear"/>
          </w:tcPr>
          <w:p>
            <w:r>
              <w:rPr>
                <w:sz w:val="17"/>
              </w:rPr>
              <w:t>11,914</w:t>
            </w:r>
          </w:p>
        </w:tc>
        <w:tc>
          <w:tcPr>
            <w:tcW w:type="dxa" w:w="1440"/>
            <w:shd w:fill="FFDCE0" w:val="clear"/>
          </w:tcPr>
          <w:p>
            <w:r>
              <w:rPr>
                <w:b/>
                <w:color w:val="C00000"/>
                <w:sz w:val="17"/>
              </w:rPr>
              <w:t>-9.3%</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10,163</w:t>
            </w:r>
          </w:p>
        </w:tc>
        <w:tc>
          <w:tcPr>
            <w:tcW w:type="dxa" w:w="1440"/>
            <w:shd w:fill="FFDCE0" w:val="clear"/>
          </w:tcPr>
          <w:p>
            <w:r>
              <w:rPr>
                <w:b/>
                <w:sz w:val="17"/>
              </w:rPr>
              <w:t>10,842</w:t>
            </w:r>
          </w:p>
        </w:tc>
        <w:tc>
          <w:tcPr>
            <w:tcW w:type="dxa" w:w="1440"/>
            <w:shd w:fill="FFDCE0" w:val="clear"/>
          </w:tcPr>
          <w:p>
            <w:r>
              <w:rPr>
                <w:sz w:val="17"/>
              </w:rPr>
              <w:t>11,521</w:t>
            </w:r>
          </w:p>
        </w:tc>
        <w:tc>
          <w:tcPr>
            <w:tcW w:type="dxa" w:w="1440"/>
            <w:shd w:fill="FFDCE0" w:val="clear"/>
          </w:tcPr>
          <w:p>
            <w:r>
              <w:rPr>
                <w:b/>
                <w:color w:val="C00000"/>
                <w:sz w:val="17"/>
              </w:rPr>
              <w:t>-13.3%</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9,655</w:t>
            </w:r>
          </w:p>
        </w:tc>
        <w:tc>
          <w:tcPr>
            <w:tcW w:type="dxa" w:w="1440"/>
            <w:shd w:fill="FFDCE0" w:val="clear"/>
          </w:tcPr>
          <w:p>
            <w:r>
              <w:rPr>
                <w:b/>
                <w:sz w:val="17"/>
              </w:rPr>
              <w:t>10,408</w:t>
            </w:r>
          </w:p>
        </w:tc>
        <w:tc>
          <w:tcPr>
            <w:tcW w:type="dxa" w:w="1440"/>
            <w:shd w:fill="FFDCE0" w:val="clear"/>
          </w:tcPr>
          <w:p>
            <w:r>
              <w:rPr>
                <w:sz w:val="17"/>
              </w:rPr>
              <w:t>11,160</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9,221</w:t>
            </w:r>
          </w:p>
        </w:tc>
        <w:tc>
          <w:tcPr>
            <w:tcW w:type="dxa" w:w="1440"/>
            <w:shd w:fill="FFDCE0" w:val="clear"/>
          </w:tcPr>
          <w:p>
            <w:r>
              <w:rPr>
                <w:b/>
                <w:sz w:val="17"/>
              </w:rPr>
              <w:t>10,032</w:t>
            </w:r>
          </w:p>
        </w:tc>
        <w:tc>
          <w:tcPr>
            <w:tcW w:type="dxa" w:w="1440"/>
            <w:shd w:fill="FFDCE0" w:val="clear"/>
          </w:tcPr>
          <w:p>
            <w:r>
              <w:rPr>
                <w:sz w:val="17"/>
              </w:rPr>
              <w:t>10,843</w:t>
            </w:r>
          </w:p>
        </w:tc>
        <w:tc>
          <w:tcPr>
            <w:tcW w:type="dxa" w:w="1440"/>
            <w:shd w:fill="FFDCE0" w:val="clear"/>
          </w:tcPr>
          <w:p>
            <w:r>
              <w:rPr>
                <w:b/>
                <w:color w:val="C00000"/>
                <w:sz w:val="17"/>
              </w:rPr>
              <w:t>-19.7%</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8,848</w:t>
            </w:r>
          </w:p>
        </w:tc>
        <w:tc>
          <w:tcPr>
            <w:tcW w:type="dxa" w:w="1440"/>
            <w:shd w:fill="FFDCE0" w:val="clear"/>
          </w:tcPr>
          <w:p>
            <w:r>
              <w:rPr>
                <w:b/>
                <w:sz w:val="17"/>
              </w:rPr>
              <w:t>9,707</w:t>
            </w:r>
          </w:p>
        </w:tc>
        <w:tc>
          <w:tcPr>
            <w:tcW w:type="dxa" w:w="1440"/>
            <w:shd w:fill="FFDCE0" w:val="clear"/>
          </w:tcPr>
          <w:p>
            <w:r>
              <w:rPr>
                <w:sz w:val="17"/>
              </w:rPr>
              <w:t>10,567</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8,524</w:t>
            </w:r>
          </w:p>
        </w:tc>
        <w:tc>
          <w:tcPr>
            <w:tcW w:type="dxa" w:w="1440"/>
            <w:shd w:fill="FFDCE0" w:val="clear"/>
          </w:tcPr>
          <w:p>
            <w:r>
              <w:rPr>
                <w:b/>
                <w:sz w:val="17"/>
              </w:rPr>
              <w:t>9,425</w:t>
            </w:r>
          </w:p>
        </w:tc>
        <w:tc>
          <w:tcPr>
            <w:tcW w:type="dxa" w:w="1440"/>
            <w:shd w:fill="FFDCE0" w:val="clear"/>
          </w:tcPr>
          <w:p>
            <w:r>
              <w:rPr>
                <w:sz w:val="17"/>
              </w:rPr>
              <w:t>10,326</w:t>
            </w:r>
          </w:p>
        </w:tc>
        <w:tc>
          <w:tcPr>
            <w:tcW w:type="dxa" w:w="1440"/>
            <w:shd w:fill="FFDCE0" w:val="clear"/>
          </w:tcPr>
          <w:p>
            <w:r>
              <w:rPr>
                <w:b/>
                <w:color w:val="C00000"/>
                <w:sz w:val="17"/>
              </w:rPr>
              <w:t>-24.6%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8,240</w:t>
            </w:r>
          </w:p>
        </w:tc>
        <w:tc>
          <w:tcPr>
            <w:tcW w:type="dxa" w:w="1440"/>
            <w:shd w:fill="FFDCE0" w:val="clear"/>
          </w:tcPr>
          <w:p>
            <w:r>
              <w:rPr>
                <w:b/>
                <w:sz w:val="17"/>
              </w:rPr>
              <w:t>9,178</w:t>
            </w:r>
          </w:p>
        </w:tc>
        <w:tc>
          <w:tcPr>
            <w:tcW w:type="dxa" w:w="1440"/>
            <w:shd w:fill="FFDCE0" w:val="clear"/>
          </w:tcPr>
          <w:p>
            <w:r>
              <w:rPr>
                <w:sz w:val="17"/>
              </w:rPr>
              <w:t>10,116</w:t>
            </w:r>
          </w:p>
        </w:tc>
        <w:tc>
          <w:tcPr>
            <w:tcW w:type="dxa" w:w="1440"/>
            <w:shd w:fill="FFDCE0" w:val="clear"/>
          </w:tcPr>
          <w:p>
            <w:r>
              <w:rPr>
                <w:b/>
                <w:color w:val="C00000"/>
                <w:sz w:val="17"/>
              </w:rPr>
              <w:t>-26.6%</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7,988</w:t>
            </w:r>
          </w:p>
        </w:tc>
        <w:tc>
          <w:tcPr>
            <w:tcW w:type="dxa" w:w="1440"/>
            <w:shd w:fill="FFDCE0" w:val="clear"/>
          </w:tcPr>
          <w:p>
            <w:r>
              <w:rPr>
                <w:b/>
                <w:sz w:val="17"/>
              </w:rPr>
              <w:t>8,960</w:t>
            </w:r>
          </w:p>
        </w:tc>
        <w:tc>
          <w:tcPr>
            <w:tcW w:type="dxa" w:w="1440"/>
            <w:shd w:fill="FFDCE0" w:val="clear"/>
          </w:tcPr>
          <w:p>
            <w:r>
              <w:rPr>
                <w:sz w:val="17"/>
              </w:rPr>
              <w:t>9,932</w:t>
            </w:r>
          </w:p>
        </w:tc>
        <w:tc>
          <w:tcPr>
            <w:tcW w:type="dxa" w:w="1440"/>
            <w:shd w:fill="FFDCE0" w:val="clear"/>
          </w:tcPr>
          <w:p>
            <w:r>
              <w:rPr>
                <w:b/>
                <w:color w:val="C00000"/>
                <w:sz w:val="17"/>
              </w:rPr>
              <w:t>-28.3%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7,764</w:t>
            </w:r>
          </w:p>
        </w:tc>
        <w:tc>
          <w:tcPr>
            <w:tcW w:type="dxa" w:w="1440"/>
            <w:shd w:fill="FFDCE0" w:val="clear"/>
          </w:tcPr>
          <w:p>
            <w:r>
              <w:rPr>
                <w:b/>
                <w:sz w:val="17"/>
              </w:rPr>
              <w:t>8,767</w:t>
            </w:r>
          </w:p>
        </w:tc>
        <w:tc>
          <w:tcPr>
            <w:tcW w:type="dxa" w:w="1440"/>
            <w:shd w:fill="FFDCE0" w:val="clear"/>
          </w:tcPr>
          <w:p>
            <w:r>
              <w:rPr>
                <w:sz w:val="17"/>
              </w:rPr>
              <w:t>9,769</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Absolument. Voici votre rapport d'analyse financière structuré pour l'action BOAC.</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500 milliards FCFA positionne BOAC comme l'une des plus importantes valeurs de la BRVM, reflétant son statut de banque systémique en Côte d'Ivoire. Avec un BPA de 888 FCFA, le PER de 14,1x se situe au-dessus de la moyenne historique de la place (~8-12x), indiquant que le marché valorise déjà une croissance future des bénéfices. Le P/B de 3,93x confirme cette prime, le cours s'échangeant près de 4 fois sa valeur comptable, un niveau qui traduit une forte confiance dans la création de valeur future. Cependant, l'EV/EBITDA de 27,4x apparaît très exigeant, signalant que la valeur totale de l'entreprise (capitalisation + dette) est élevée par rapport à sa capacité opérationnelle, ce qui laisse peu de marge d'erreur en cas de déception.</w:t>
      </w:r>
    </w:p>
    <w:p>
      <w:pPr>
        <w:spacing w:after="120" w:line="276" w:lineRule="auto"/>
      </w:pPr>
      <w:r>
        <w:t>### PARTIE 1 : ANALYSE DU COURS — STATISTIQUES ET ÉVOLUTION (100 derniers jours)</w:t>
      </w:r>
    </w:p>
    <w:p>
      <w:pPr>
        <w:spacing w:after="120" w:line="276" w:lineRule="auto"/>
      </w:pPr>
      <w:r>
        <w:t>Sur la période des 100 derniers jours, le titre BOAC a connu une progression spectaculaire de +47,32%, passant d'un plus bas de 8 400 FCFA à un plus haut de 13 450 FCFA, pour clôturer à 12 500 FCFA. Cette tendance est fortement haussière, bien que la dernière séance affiche une stagnation (0,00%). L'écart entre la moyenne (9 921 FCFA) et la médiane (9 200 FCFA) du cours, couplé à un skewness positif de 1,055, confirme une distribution asymétrique avec une concentration de journées sous la moyenne et quelques fortes hausses qui tirent la moyenne vers le haut. L'écart-type de 1 539 FCFA (CV de 15,5%) indique une dispersion modérée, et le kurtosis de -0,386 suggère une distribution proche de la normale, sans risque de variations extrêmes excessives. La volatilité annualisée de 25,8% classe le titre dans une catégorie modérée à élevée, ce qui implique des fluctuations de prix significatives pour les investisseurs.</w:t>
      </w:r>
    </w:p>
    <w:p>
      <w:pPr>
        <w:spacing w:after="120" w:line="276" w:lineRule="auto"/>
      </w:pPr>
      <w:r>
        <w:t>### PARTIE 2 : ANALYSE TECHNIQUE DÉTAILLÉE</w:t>
      </w:r>
    </w:p>
    <w:p>
      <w:pPr>
        <w:spacing w:after="120" w:line="276" w:lineRule="auto"/>
      </w:pPr>
      <w:r>
        <w:t>**Moyennes Mobiles**: Le cours actuel (12 500 FCFA) est inférieur à la MM20 (12 632,5 FCFA) mais supérieur à la MM50 (11 034,8 FCFA). Cette configuration indique un récent repli après une forte tendance haussière, mais la tendance de fond à moyen terme reste positive. Le signal d'achat global est justifié par la position au-dessus de la MM50, bien que la faiblesse à court terme soit un signal de prudence.</w:t>
      </w:r>
    </w:p>
    <w:p>
      <w:pPr>
        <w:spacing w:after="120" w:line="276" w:lineRule="auto"/>
      </w:pPr>
      <w:r>
        <w:t>**Bandes de Bollinger**: Le prix se situe à l'intérieur des bandes, plus près de la borne supérieure (13 705 FCFA) que de la borne inférieure (11 560 FCFA), après avoir probablement touché cette borne supérieure lors du pic à 13 450 FCFA. La décision "Neutre" est cohérente avec une phase de consolidation après une forte expansion, la volatilité n'étant pas suffisamment extrême pour signaler un retournement.</w:t>
      </w:r>
    </w:p>
    <w:p>
      <w:pPr>
        <w:spacing w:after="120" w:line="276" w:lineRule="auto"/>
      </w:pPr>
      <w:r>
        <w:t>**MACD**: La valeur du MACD (404,17) est inférieure à son signal (564,35), ce qui constitue une croix baissière. Ce signal de vente indique un ralentissement du momentum haussier, suggérant que la pression acheteuse s'estompe et qu'une correction pourrait être en cours à court terme.</w:t>
      </w:r>
    </w:p>
    <w:p>
      <w:pPr>
        <w:spacing w:after="120" w:line="276" w:lineRule="auto"/>
      </w:pPr>
      <w:r>
        <w:t>**RSI**: Avec une valeur de 39,53, le RSI se situe en zone neutre, en dessous de la barre des 50. Cela indique que le momentum est légèrement négatif mais sans être survendu. La décision "Neutre" est appropriée, laissant la possibilité d'une poursuite de la baisse vers la zone de survente (&lt;30) ou d'un rebond.</w:t>
      </w:r>
    </w:p>
    <w:p>
      <w:pPr>
        <w:spacing w:after="120" w:line="276" w:lineRule="auto"/>
      </w:pPr>
      <w:r>
        <w:t>**Stochastique**: Les valeurs de %K (17,75) et %D (17,61) sont très basses, en zone de survente (&lt;20). Le croisement de ces deux lignes suggère un signal d'achat précoce, indiquant que la pression vendeuse s'essouffle et qu'un rebond technique est possible à très court terme.</w:t>
      </w:r>
    </w:p>
    <w:p>
      <w:pPr>
        <w:spacing w:after="120" w:line="276" w:lineRule="auto"/>
      </w:pPr>
      <w:r>
        <w:t>**Conclusion technique**: Les indicateurs techniques sont mitigés. La tendance de fond (MM50) reste haussière, mais les signaux à court terme (MACD, RSI) montrent un essoufflement et une correction en cours. Le stochastique en survente suggère un potentiel rebond imminent, mais la prudence est de mise. Le titre semble dans une phase de consolidation après une forte hausse, avec un biais légèrement négatif à court terme.</w:t>
      </w:r>
    </w:p>
    <w:p>
      <w:pPr>
        <w:spacing w:after="120" w:line="276" w:lineRule="auto"/>
      </w:pPr>
      <w:r>
        <w:t>### PARTIE 3 : ANALYSE FONDAMENTALE (SECTION CRITIQUE)</w:t>
      </w:r>
    </w:p>
    <w:p>
      <w:pPr>
        <w:spacing w:after="120" w:line="276" w:lineRule="auto"/>
      </w:pPr>
      <w:r>
        <w:t>En 2025, BOAC affiche des fondamentaux solides avec un Produit Net Bancaire (PNB) de 73,545 milliards FCFA, en hausse de +1,1% par rapport à 2024, et un résultat net de 35,540 milliards FCFA, en progression de +10,9%. Cette performance est portée par une amélioration du coût du risque (-27,8% à -4,902 milliards FCFA) et une excellente maîtrise des coûts, le coefficient d'exploitation ressortant à un niveau très efficace de 36,7%. La rentabilité est exceptionnelle, avec un ROE de 27,9% et un ROA de 3,2%. Cependant, la structure financière montre une dépendance élevée aux dettes (88,5%), bien que la solvabilité reste saine (113%). Les rapports trimestriels de 2025 (T1, S1, T3) confirment une activité stable, mais le rapport du T1 2026, publié en mars 2026, révèle une dégradation brutale du coût net du risque (+314,75% par rapport au T1 2025), un point de vigilance majeur. Sur la base de ce T1 2026, on estime que l'exercice 2026 pourrait voir une pression sur la rentabilité si cette tendance du risque se confirme, malgré une collecte de dépôts dynamique (+21,44% à 923 milliards FCFA). La banque reste très solide, mais la qualité de son portefeuille de crédits (créances en souffrance en hausse de +52,1% en 2025) est le principal risque à surveiller.</w:t>
      </w:r>
    </w:p>
    <w:p>
      <w:pPr>
        <w:spacing w:after="120" w:line="276" w:lineRule="auto"/>
      </w:pPr>
      <w:r>
        <w:t>### PARTIE 4 : CONCLUSION D'INVESTISSEMENT</w:t>
      </w:r>
    </w:p>
    <w:p>
      <w:pPr>
        <w:spacing w:after="120" w:line="276" w:lineRule="auto"/>
      </w:pPr>
      <w:r>
        <w:t>La valorisation de BOAC (PER 14,1x, P/B 3,9x) est exigeante, intégrant déjà des attentes de croissance élevées. Le comportement du cours sur 100 jours a été très haussier (+47%), mais les statistiques et les indicateurs techniques (MACD baissier, RSI neutre, prix sous MM20) signalent une phase de consolidation ou de correction à court terme, malgré un stochastique en survente. Les fondamentaux de 2025 sont excellents (ROE 27,9%, coût du risque en baisse), mais les estimations basées sur le T1 2026, marqué par une forte hausse du coût du risque, introduisent une incertitude sur la pérennité de cette performance. Les prédictions IA d'une baisse continue du cours sur 10 jours (jusqu'à ~10 000 FCFA) contredisent la tendance de fond haussière et confirment les signaux techniques baissiers à court terme. En synthèse, la convergence des signaux techniques et des prédictions IA suggère une correction probable, alors que la valorisation et les fondamentaux restent porteurs à moyen/long terme. Par conséquent, la recommandation est de **CONSERVER** le titre, avec un niveau de confiance **Moyen** et un risque global **Élevé** (volatilité et risque de crédit). L'horizon d'investissement optimal serait de **moyen terme (3-12 mois)**, attendant une meilleure visibilité sur la qualité du portefeuille de crédits et un point d'entrée plus favorable après la correction anticipée.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175.68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6,221 titres</w:t>
            </w:r>
          </w:p>
        </w:tc>
        <w:tc>
          <w:tcPr>
            <w:tcW w:type="dxa" w:w="2268"/>
            <w:shd w:fill="FFF2CC" w:val="clear"/>
          </w:tcPr>
          <w:p>
            <w:r>
              <w:rPr>
                <w:b/>
                <w:color w:val="503200"/>
                <w:sz w:val="16"/>
              </w:rPr>
              <w:t xml:space="preserve">Cours actuel : </w:t>
            </w:r>
            <w:r>
              <w:rPr>
                <w:color w:val="000000"/>
                <w:sz w:val="17"/>
              </w:rPr>
              <w:t>6,400 FCFA</w:t>
            </w:r>
          </w:p>
          <w:p>
            <w:r>
              <w:rPr>
                <w:b/>
                <w:color w:val="503200"/>
                <w:sz w:val="16"/>
              </w:rPr>
              <w:t xml:space="preserve">Var. 100 jours : </w:t>
            </w:r>
            <w:r>
              <w:rPr>
                <w:b/>
                <w:color w:val="007800"/>
                <w:sz w:val="17"/>
              </w:rPr>
              <w:t>+38.23%</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μ=5,234 FCFA, σ=654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β=0.2809 (Défensif) — Cov=0.000011, Var(idx)=0.000037, ρ=0.085,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6,067</w:t>
            </w:r>
          </w:p>
        </w:tc>
        <w:tc>
          <w:tcPr>
            <w:tcW w:type="dxa" w:w="1440"/>
            <w:shd w:fill="FFDCE0" w:val="clear"/>
          </w:tcPr>
          <w:p>
            <w:r>
              <w:rPr>
                <w:b/>
                <w:sz w:val="17"/>
              </w:rPr>
              <w:t>6,257</w:t>
            </w:r>
          </w:p>
        </w:tc>
        <w:tc>
          <w:tcPr>
            <w:tcW w:type="dxa" w:w="1440"/>
            <w:shd w:fill="FFDCE0" w:val="clear"/>
          </w:tcPr>
          <w:p>
            <w:r>
              <w:rPr>
                <w:sz w:val="17"/>
              </w:rPr>
              <w:t>6,446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5,851</w:t>
            </w:r>
          </w:p>
        </w:tc>
        <w:tc>
          <w:tcPr>
            <w:tcW w:type="dxa" w:w="1440"/>
            <w:shd w:fill="FFDCE0" w:val="clear"/>
          </w:tcPr>
          <w:p>
            <w:r>
              <w:rPr>
                <w:b/>
                <w:sz w:val="17"/>
              </w:rPr>
              <w:t>6,112</w:t>
            </w:r>
          </w:p>
        </w:tc>
        <w:tc>
          <w:tcPr>
            <w:tcW w:type="dxa" w:w="1440"/>
            <w:shd w:fill="FFDCE0" w:val="clear"/>
          </w:tcPr>
          <w:p>
            <w:r>
              <w:rPr>
                <w:sz w:val="17"/>
              </w:rPr>
              <w:t>6,374</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5,672</w:t>
            </w:r>
          </w:p>
        </w:tc>
        <w:tc>
          <w:tcPr>
            <w:tcW w:type="dxa" w:w="1440"/>
            <w:shd w:fill="FFDCE0" w:val="clear"/>
          </w:tcPr>
          <w:p>
            <w:r>
              <w:rPr>
                <w:b/>
                <w:sz w:val="17"/>
              </w:rPr>
              <w:t>5,986</w:t>
            </w:r>
          </w:p>
        </w:tc>
        <w:tc>
          <w:tcPr>
            <w:tcW w:type="dxa" w:w="1440"/>
            <w:shd w:fill="FFDCE0" w:val="clear"/>
          </w:tcPr>
          <w:p>
            <w:r>
              <w:rPr>
                <w:sz w:val="17"/>
              </w:rPr>
              <w:t>6,300</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5,522</w:t>
            </w:r>
          </w:p>
        </w:tc>
        <w:tc>
          <w:tcPr>
            <w:tcW w:type="dxa" w:w="1440"/>
            <w:shd w:fill="FFDCE0" w:val="clear"/>
          </w:tcPr>
          <w:p>
            <w:r>
              <w:rPr>
                <w:b/>
                <w:sz w:val="17"/>
              </w:rPr>
              <w:t>5,878</w:t>
            </w:r>
          </w:p>
        </w:tc>
        <w:tc>
          <w:tcPr>
            <w:tcW w:type="dxa" w:w="1440"/>
            <w:shd w:fill="FFDCE0" w:val="clear"/>
          </w:tcPr>
          <w:p>
            <w:r>
              <w:rPr>
                <w:sz w:val="17"/>
              </w:rPr>
              <w:t>6,234</w:t>
            </w:r>
          </w:p>
        </w:tc>
        <w:tc>
          <w:tcPr>
            <w:tcW w:type="dxa" w:w="1440"/>
            <w:shd w:fill="FFDCE0" w:val="clear"/>
          </w:tcPr>
          <w:p>
            <w:r>
              <w:rPr>
                <w:b/>
                <w:color w:val="C00000"/>
                <w:sz w:val="17"/>
              </w:rPr>
              <w:t>-8.2%</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5,391</w:t>
            </w:r>
          </w:p>
        </w:tc>
        <w:tc>
          <w:tcPr>
            <w:tcW w:type="dxa" w:w="1440"/>
            <w:shd w:fill="FFDCE0" w:val="clear"/>
          </w:tcPr>
          <w:p>
            <w:r>
              <w:rPr>
                <w:b/>
                <w:sz w:val="17"/>
              </w:rPr>
              <w:t>5,782</w:t>
            </w:r>
          </w:p>
        </w:tc>
        <w:tc>
          <w:tcPr>
            <w:tcW w:type="dxa" w:w="1440"/>
            <w:shd w:fill="FFDCE0" w:val="clear"/>
          </w:tcPr>
          <w:p>
            <w:r>
              <w:rPr>
                <w:sz w:val="17"/>
              </w:rPr>
              <w:t>6,173</w:t>
            </w:r>
          </w:p>
        </w:tc>
        <w:tc>
          <w:tcPr>
            <w:tcW w:type="dxa" w:w="1440"/>
            <w:shd w:fill="FFDCE0" w:val="clear"/>
          </w:tcPr>
          <w:p>
            <w:r>
              <w:rPr>
                <w:b/>
                <w:color w:val="C00000"/>
                <w:sz w:val="17"/>
              </w:rPr>
              <w:t>-9.7%</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5,272</w:t>
            </w:r>
          </w:p>
        </w:tc>
        <w:tc>
          <w:tcPr>
            <w:tcW w:type="dxa" w:w="1440"/>
            <w:shd w:fill="FFDCE0" w:val="clear"/>
          </w:tcPr>
          <w:p>
            <w:r>
              <w:rPr>
                <w:b/>
                <w:sz w:val="17"/>
              </w:rPr>
              <w:t>5,694</w:t>
            </w:r>
          </w:p>
        </w:tc>
        <w:tc>
          <w:tcPr>
            <w:tcW w:type="dxa" w:w="1440"/>
            <w:shd w:fill="FFDCE0" w:val="clear"/>
          </w:tcPr>
          <w:p>
            <w:r>
              <w:rPr>
                <w:sz w:val="17"/>
              </w:rPr>
              <w:t>6,116</w:t>
            </w:r>
          </w:p>
        </w:tc>
        <w:tc>
          <w:tcPr>
            <w:tcW w:type="dxa" w:w="1440"/>
            <w:shd w:fill="FFDCE0" w:val="clear"/>
          </w:tcPr>
          <w:p>
            <w:r>
              <w:rPr>
                <w:b/>
                <w:color w:val="C00000"/>
                <w:sz w:val="17"/>
              </w:rPr>
              <w:t>-11.0%</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5,164</w:t>
            </w:r>
          </w:p>
        </w:tc>
        <w:tc>
          <w:tcPr>
            <w:tcW w:type="dxa" w:w="1440"/>
            <w:shd w:fill="FFDCE0" w:val="clear"/>
          </w:tcPr>
          <w:p>
            <w:r>
              <w:rPr>
                <w:b/>
                <w:sz w:val="17"/>
              </w:rPr>
              <w:t>5,613</w:t>
            </w:r>
          </w:p>
        </w:tc>
        <w:tc>
          <w:tcPr>
            <w:tcW w:type="dxa" w:w="1440"/>
            <w:shd w:fill="FFDCE0" w:val="clear"/>
          </w:tcPr>
          <w:p>
            <w:r>
              <w:rPr>
                <w:sz w:val="17"/>
              </w:rPr>
              <w:t>6,062</w:t>
            </w:r>
          </w:p>
        </w:tc>
        <w:tc>
          <w:tcPr>
            <w:tcW w:type="dxa" w:w="1440"/>
            <w:shd w:fill="FFDCE0" w:val="clear"/>
          </w:tcPr>
          <w:p>
            <w:r>
              <w:rPr>
                <w:b/>
                <w:color w:val="C00000"/>
                <w:sz w:val="17"/>
              </w:rPr>
              <w:t>-12.3%</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5,063</w:t>
            </w:r>
          </w:p>
        </w:tc>
        <w:tc>
          <w:tcPr>
            <w:tcW w:type="dxa" w:w="1440"/>
            <w:shd w:fill="FFDCE0" w:val="clear"/>
          </w:tcPr>
          <w:p>
            <w:r>
              <w:rPr>
                <w:b/>
                <w:sz w:val="17"/>
              </w:rPr>
              <w:t>5,537</w:t>
            </w:r>
          </w:p>
        </w:tc>
        <w:tc>
          <w:tcPr>
            <w:tcW w:type="dxa" w:w="1440"/>
            <w:shd w:fill="FFDCE0" w:val="clear"/>
          </w:tcPr>
          <w:p>
            <w:r>
              <w:rPr>
                <w:sz w:val="17"/>
              </w:rPr>
              <w:t>6,011</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4,970</w:t>
            </w:r>
          </w:p>
        </w:tc>
        <w:tc>
          <w:tcPr>
            <w:tcW w:type="dxa" w:w="1440"/>
            <w:shd w:fill="FFDCE0" w:val="clear"/>
          </w:tcPr>
          <w:p>
            <w:r>
              <w:rPr>
                <w:b/>
                <w:sz w:val="17"/>
              </w:rPr>
              <w:t>5,466</w:t>
            </w:r>
          </w:p>
        </w:tc>
        <w:tc>
          <w:tcPr>
            <w:tcW w:type="dxa" w:w="1440"/>
            <w:shd w:fill="FFDCE0" w:val="clear"/>
          </w:tcPr>
          <w:p>
            <w:r>
              <w:rPr>
                <w:sz w:val="17"/>
              </w:rPr>
              <w:t>5,962</w:t>
            </w:r>
          </w:p>
        </w:tc>
        <w:tc>
          <w:tcPr>
            <w:tcW w:type="dxa" w:w="1440"/>
            <w:shd w:fill="FFDCE0" w:val="clear"/>
          </w:tcPr>
          <w:p>
            <w:r>
              <w:rPr>
                <w:b/>
                <w:color w:val="C00000"/>
                <w:sz w:val="17"/>
              </w:rPr>
              <w:t>-14.6%</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4,883</w:t>
            </w:r>
          </w:p>
        </w:tc>
        <w:tc>
          <w:tcPr>
            <w:tcW w:type="dxa" w:w="1440"/>
            <w:shd w:fill="FFDCE0" w:val="clear"/>
          </w:tcPr>
          <w:p>
            <w:r>
              <w:rPr>
                <w:b/>
                <w:sz w:val="17"/>
              </w:rPr>
              <w:t>5,399</w:t>
            </w:r>
          </w:p>
        </w:tc>
        <w:tc>
          <w:tcPr>
            <w:tcW w:type="dxa" w:w="1440"/>
            <w:shd w:fill="FFDCE0" w:val="clear"/>
          </w:tcPr>
          <w:p>
            <w:r>
              <w:rPr>
                <w:sz w:val="17"/>
              </w:rPr>
              <w:t>5,916</w:t>
            </w:r>
          </w:p>
        </w:tc>
        <w:tc>
          <w:tcPr>
            <w:tcW w:type="dxa" w:w="1440"/>
            <w:shd w:fill="FFDCE0" w:val="clear"/>
          </w:tcPr>
          <w:p>
            <w:r>
              <w:rPr>
                <w:b/>
                <w:color w:val="C00000"/>
                <w:sz w:val="17"/>
              </w:rPr>
              <w:t>-15.6%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175,68 milliards FCFA, positionnant la banque parmi les valeurs moyennes du compartiment bancaire de la BRVM. Avec un BPA de 404 FCFA, le PER de 15,9x indique que les investisseurs acceptent de payer une prime substantielle par rapport à la moyenne historique du marché (~8-12x), traduisant une confiance dans la trajectoire de croissance future de l'établissement. Le P/B de 3,53x confirme cette prime, le marché valorisant la banque bien au-delà de sa valeur comptable (2-4x étant la zone de croissance accordée). L'EV/EBITDA de 8,3x, dans la fourchette raisonnable de 5-10x, suggère que la valeur totale de l'entreprise reste cohérente avec sa capacité opérationnelle à générer des bénéfices. L'ensemble de ces ratios dépeint une valorisation exigeante mais justifiable par la dynamique de rentabilité actuelle.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+38,23%, atteignant 6 400 FCFA, avec un repli de -1,39% lors de la dernière séance. Le titre a évolué dans une fourchette large de 4 425 à 6 700 FCFA, démontrant une forte dynamique haussière. La moyenne de 5 234 FCFA, inférieure à la médiane de 4 975 FCFA, révèle une asymétrie positive (skewness de 0,707), indiquant que le cours a passé davantage de journées sous sa moyenne avant d'accélérer récemment. L'écart-type de 658 FCFA (CV de 12,6%) témoigne d'une dispersion modérée, tandis que le kurtosis de -0,776 (mésokurtique) suggère une distribution proche de la normale, sans risque de pics extrêmes. La volatilité annualisée de 32,1% classe BOAM comme un titre à volatilité élevée (&gt;30%), reflétant un profil de risque soutenu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6 400 FCFA se positionne nettement au-dessus de la MM20 (6 280,25 FCFA) et de la MM50 (5 764,6 FCFA), confirmant une tendance haussière solide. L'écart croissant entre les deux moyennes mobiles (MM20 &gt; MM50) valide la dynamique positive, justifiant la décision d'Achat.</w:t>
      </w:r>
    </w:p>
    <w:p>
      <w:pPr>
        <w:spacing w:after="120" w:line="276" w:lineRule="auto"/>
      </w:pPr>
      <w:r>
        <w:t>**Bandes de Bollinger**: Le prix évolue entre la borne inférieure (5 670,34 FCFA) et la borne supérieure (6 890,16 FCFA), se situant à environ 62% de la largeur des bandes. Cette position intermédiaire indique une volatilité normale sans surachat ni survente, d'où la décision Neutre.</w:t>
      </w:r>
    </w:p>
    <w:p>
      <w:pPr>
        <w:spacing w:after="120" w:line="276" w:lineRule="auto"/>
      </w:pPr>
      <w:r>
        <w:t>**MACD**: La valeur du MACD (228,89) reste positive mais inférieure à sa ligne de signal (253,42), suggérant un affaiblissement du momentum haussier à court terme. Cette configuration de croisement baissier justifie la décision de Vente, signalant une possible consolidation après la forte progression.</w:t>
      </w:r>
    </w:p>
    <w:p>
      <w:pPr>
        <w:spacing w:after="120" w:line="276" w:lineRule="auto"/>
      </w:pPr>
      <w:r>
        <w:t>**RSI**: À 62,89, le RSI se situe en zone neutre (30-70), sans signal de surachat ni de survente. Cette valeur indique que le titre conserve un potentiel haussier sans être survendu, d'où la décision Neutre.</w:t>
      </w:r>
    </w:p>
    <w:p>
      <w:pPr>
        <w:spacing w:after="120" w:line="276" w:lineRule="auto"/>
      </w:pPr>
      <w:r>
        <w:t>**Stochastique**: Le %K (42,86) est inférieur au %D (55,73), indiquant un croisement baissier en cours. Cette configuration suggère un essoufflement de la dynamique haussière à très court terme, justifiant la décision Neutre.</w:t>
      </w:r>
    </w:p>
    <w:p>
      <w:pPr>
        <w:spacing w:after="120" w:line="276" w:lineRule="auto"/>
      </w:pPr>
      <w:r>
        <w:t>**Conclusion technique**: La convergence des indicateurs montre une tendance haussière de fond intacte (MM), mais avec des signaux de consolidation à court terme (MACD, Stochastique). Le RSI et les Bandes de Bollinger suggèrent une pause nécessaire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font état d'un Produit Net Bancaire de 37,996 milliards FCFA, en croissance de 5,08%, et d'un résultat net de 11,081 milliards FCFA. Le ROE s'établit à un niveau excellent de 22,24%, tandis que le ROA atteint 1,87%, confirmant une gestion performante des actifs. Le coefficient d'exploitation de 63,14% reste légèrement au-dessus du seuil d'efficacité de 60%, mais le coût du risque à 43,39% demeure préoccupant, indiquant un risque de crédit significatif. Les dépôts clientèle (502,89 milliards) couvrent largement les créances sur la clientèle (253,65 milliards), démontrant une transformation saine. Les rapports trimestriels 2025 confirment cette trajectoire : le T1 (31/03/2025) affichait un résultat net de 3,02 milliards (+91,2%), le S1 (30/06/2025) un PNB de 18,71 milliards (+2,7%) et un résultat net de 6,21 milliards (+28,8%), tandis que le T3 (30/09/2025) montre un PNB cumulé de 28,52 milliards (+5,8%) et un résultat net de 9,16 milliards (+26,2%). Sur la base de ces performances, on estime que l'exercice 2025 devrait dépasser les 11 milliards de résultat net, confirmant la solidité financière de la banque malgré un contexte sécuritaire difficile au Mali.</w:t>
      </w:r>
    </w:p>
    <w:p>
      <w:pPr>
        <w:spacing w:after="120" w:line="276" w:lineRule="auto" w:before="240"/>
      </w:pPr>
      <w:r>
        <w:rPr>
          <w:b/>
          <w:color w:val="003366"/>
          <w:sz w:val="24"/>
        </w:rPr>
        <w:t>**PARTIE 4 : CONCLUSION D'INVESTISSEMENT**</w:t>
      </w:r>
    </w:p>
    <w:p>
      <w:pPr>
        <w:spacing w:after="120" w:line="276" w:lineRule="auto"/>
      </w:pPr>
      <w:r>
        <w:t>La valorisation de BOAM (PER 15,9x, P/B 3,53x) apparaît exigeante mais justifiée par une rentabilité exceptionnelle (ROE 22,2%), tandis que le comportement du cours (+38,2% sur 100 jours) démontre une dynamique haussière soutenue, bien que la volatilité élevée (32,1%) et l'asymétrie positive suggèrent une prudence nécessaire. Les signaux techniques sont mitigés : les moyennes mobiles confirment la tendance haussière, mais le MACD et le Stochastique indiquent une consolidation à court terme. Les fondamentaux restent solides avec une croissance du PNB de 5,8% sur 9 mois et un résultat net en hausse de 26,2%, malgré un coût du risque élevé. Les prédictions IA projetant un repli progressif vers 5 782 FCFA sur 10 jours contredisent la tendance actuelle, suggérant une correction probable. La recommandation finale est **CONSERVER**, avec un niveau de confiance Moyen et un risque global Élevé. L'horizon d'investissement optimal se situe à moyen terme (3-12 mois), en attendant une confirmation de la politique de dividende et une stabilisation du contexte sécuritaire malien.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10,131 titres</w:t>
            </w:r>
          </w:p>
        </w:tc>
        <w:tc>
          <w:tcPr>
            <w:tcW w:type="dxa" w:w="2268"/>
            <w:shd w:fill="FFF2CC" w:val="clear"/>
          </w:tcPr>
          <w:p>
            <w:r>
              <w:rPr>
                <w:b/>
                <w:color w:val="503200"/>
                <w:sz w:val="16"/>
              </w:rPr>
              <w:t xml:space="preserve">Cours actuel : </w:t>
            </w:r>
            <w:r>
              <w:rPr>
                <w:color w:val="000000"/>
                <w:sz w:val="17"/>
              </w:rPr>
              <w:t>5,450 FCFA</w:t>
            </w:r>
          </w:p>
          <w:p>
            <w:r>
              <w:rPr>
                <w:b/>
                <w:color w:val="503200"/>
                <w:sz w:val="16"/>
              </w:rPr>
              <w:t xml:space="preserve">Var. 100 jours : </w:t>
            </w:r>
            <w:r>
              <w:rPr>
                <w:b/>
                <w:color w:val="007800"/>
                <w:sz w:val="17"/>
              </w:rPr>
              <w:t>+92.92%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2,825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μ=4,283 FCFA, σ=824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β=0.2600 (Défensif) — Cov=0.000010, Var(idx)=0.000037, ρ=0.064,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5,266</w:t>
            </w:r>
          </w:p>
        </w:tc>
        <w:tc>
          <w:tcPr>
            <w:tcW w:type="dxa" w:w="1440"/>
            <w:shd w:fill="FAFAFA" w:val="clear"/>
          </w:tcPr>
          <w:p>
            <w:r>
              <w:rPr>
                <w:b/>
                <w:sz w:val="17"/>
              </w:rPr>
              <w:t>5,413</w:t>
            </w:r>
          </w:p>
        </w:tc>
        <w:tc>
          <w:tcPr>
            <w:tcW w:type="dxa" w:w="1440"/>
            <w:shd w:fill="FAFAFA" w:val="clear"/>
          </w:tcPr>
          <w:p>
            <w:r>
              <w:rPr>
                <w:sz w:val="17"/>
              </w:rPr>
              <w:t>5,561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5,196</w:t>
            </w:r>
          </w:p>
        </w:tc>
        <w:tc>
          <w:tcPr>
            <w:tcW w:type="dxa" w:w="1440"/>
            <w:shd w:fill="FAFAFA" w:val="clear"/>
          </w:tcPr>
          <w:p>
            <w:r>
              <w:rPr>
                <w:b/>
                <w:sz w:val="17"/>
              </w:rPr>
              <w:t>5,404</w:t>
            </w:r>
          </w:p>
        </w:tc>
        <w:tc>
          <w:tcPr>
            <w:tcW w:type="dxa" w:w="1440"/>
            <w:shd w:fill="FAFAFA" w:val="clear"/>
          </w:tcPr>
          <w:p>
            <w:r>
              <w:rPr>
                <w:sz w:val="17"/>
              </w:rPr>
              <w:t>5,612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5,136</w:t>
            </w:r>
          </w:p>
        </w:tc>
        <w:tc>
          <w:tcPr>
            <w:tcW w:type="dxa" w:w="1440"/>
            <w:shd w:fill="FAFAFA" w:val="clear"/>
          </w:tcPr>
          <w:p>
            <w:r>
              <w:rPr>
                <w:b/>
                <w:sz w:val="17"/>
              </w:rPr>
              <w:t>5,391</w:t>
            </w:r>
          </w:p>
        </w:tc>
        <w:tc>
          <w:tcPr>
            <w:tcW w:type="dxa" w:w="1440"/>
            <w:shd w:fill="FAFAFA" w:val="clear"/>
          </w:tcPr>
          <w:p>
            <w:r>
              <w:rPr>
                <w:sz w:val="17"/>
              </w:rPr>
              <w:t>5,645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5,084</w:t>
            </w:r>
          </w:p>
        </w:tc>
        <w:tc>
          <w:tcPr>
            <w:tcW w:type="dxa" w:w="1440"/>
            <w:shd w:fill="FAFAFA" w:val="clear"/>
          </w:tcPr>
          <w:p>
            <w:r>
              <w:rPr>
                <w:b/>
                <w:sz w:val="17"/>
              </w:rPr>
              <w:t>5,377</w:t>
            </w:r>
          </w:p>
        </w:tc>
        <w:tc>
          <w:tcPr>
            <w:tcW w:type="dxa" w:w="1440"/>
            <w:shd w:fill="FAFAFA" w:val="clear"/>
          </w:tcPr>
          <w:p>
            <w:r>
              <w:rPr>
                <w:sz w:val="17"/>
              </w:rPr>
              <w:t>5,670</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5,037</w:t>
            </w:r>
          </w:p>
        </w:tc>
        <w:tc>
          <w:tcPr>
            <w:tcW w:type="dxa" w:w="1440"/>
            <w:shd w:fill="FAFAFA" w:val="clear"/>
          </w:tcPr>
          <w:p>
            <w:r>
              <w:rPr>
                <w:b/>
                <w:sz w:val="17"/>
              </w:rPr>
              <w:t>5,363</w:t>
            </w:r>
          </w:p>
        </w:tc>
        <w:tc>
          <w:tcPr>
            <w:tcW w:type="dxa" w:w="1440"/>
            <w:shd w:fill="FAFAFA" w:val="clear"/>
          </w:tcPr>
          <w:p>
            <w:r>
              <w:rPr>
                <w:sz w:val="17"/>
              </w:rPr>
              <w:t>5,690</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4,993</w:t>
            </w:r>
          </w:p>
        </w:tc>
        <w:tc>
          <w:tcPr>
            <w:tcW w:type="dxa" w:w="1440"/>
            <w:shd w:fill="FAFAFA" w:val="clear"/>
          </w:tcPr>
          <w:p>
            <w:r>
              <w:rPr>
                <w:b/>
                <w:sz w:val="17"/>
              </w:rPr>
              <w:t>5,350</w:t>
            </w:r>
          </w:p>
        </w:tc>
        <w:tc>
          <w:tcPr>
            <w:tcW w:type="dxa" w:w="1440"/>
            <w:shd w:fill="FAFAFA" w:val="clear"/>
          </w:tcPr>
          <w:p>
            <w:r>
              <w:rPr>
                <w:sz w:val="17"/>
              </w:rPr>
              <w:t>5,707</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4,952</w:t>
            </w:r>
          </w:p>
        </w:tc>
        <w:tc>
          <w:tcPr>
            <w:tcW w:type="dxa" w:w="1440"/>
            <w:shd w:fill="FFDCE0" w:val="clear"/>
          </w:tcPr>
          <w:p>
            <w:r>
              <w:rPr>
                <w:b/>
                <w:sz w:val="17"/>
              </w:rPr>
              <w:t>5,337</w:t>
            </w:r>
          </w:p>
        </w:tc>
        <w:tc>
          <w:tcPr>
            <w:tcW w:type="dxa" w:w="1440"/>
            <w:shd w:fill="FFDCE0" w:val="clear"/>
          </w:tcPr>
          <w:p>
            <w:r>
              <w:rPr>
                <w:sz w:val="17"/>
              </w:rPr>
              <w:t>5,721</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4,914</w:t>
            </w:r>
          </w:p>
        </w:tc>
        <w:tc>
          <w:tcPr>
            <w:tcW w:type="dxa" w:w="1440"/>
            <w:shd w:fill="FFDCE0" w:val="clear"/>
          </w:tcPr>
          <w:p>
            <w:r>
              <w:rPr>
                <w:b/>
                <w:sz w:val="17"/>
              </w:rPr>
              <w:t>5,324</w:t>
            </w:r>
          </w:p>
        </w:tc>
        <w:tc>
          <w:tcPr>
            <w:tcW w:type="dxa" w:w="1440"/>
            <w:shd w:fill="FFDCE0" w:val="clear"/>
          </w:tcPr>
          <w:p>
            <w:r>
              <w:rPr>
                <w:sz w:val="17"/>
              </w:rPr>
              <w:t>5,734</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4,877</w:t>
            </w:r>
          </w:p>
        </w:tc>
        <w:tc>
          <w:tcPr>
            <w:tcW w:type="dxa" w:w="1440"/>
            <w:shd w:fill="FFDCE0" w:val="clear"/>
          </w:tcPr>
          <w:p>
            <w:r>
              <w:rPr>
                <w:b/>
                <w:sz w:val="17"/>
              </w:rPr>
              <w:t>5,311</w:t>
            </w:r>
          </w:p>
        </w:tc>
        <w:tc>
          <w:tcPr>
            <w:tcW w:type="dxa" w:w="1440"/>
            <w:shd w:fill="FFDCE0" w:val="clear"/>
          </w:tcPr>
          <w:p>
            <w:r>
              <w:rPr>
                <w:sz w:val="17"/>
              </w:rPr>
              <w:t>5,745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4,842</w:t>
            </w:r>
          </w:p>
        </w:tc>
        <w:tc>
          <w:tcPr>
            <w:tcW w:type="dxa" w:w="1440"/>
            <w:shd w:fill="FFDCE0" w:val="clear"/>
          </w:tcPr>
          <w:p>
            <w:r>
              <w:rPr>
                <w:b/>
                <w:sz w:val="17"/>
              </w:rPr>
              <w:t>5,298</w:t>
            </w:r>
          </w:p>
        </w:tc>
        <w:tc>
          <w:tcPr>
            <w:tcW w:type="dxa" w:w="1440"/>
            <w:shd w:fill="FFDCE0" w:val="clear"/>
          </w:tcPr>
          <w:p>
            <w:r>
              <w:rPr>
                <w:sz w:val="17"/>
              </w:rPr>
              <w:t>5,755</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113,36 milliards FCFA, un niveau significatif qui la positionne parmi les valeurs moyennes à grandes capitalisations de la BRVM. Le BPA de 20 FCFA par action est particulièrement faible, ce qui explique un PER de 277,2x, extrêmement élevé comparé à la moyenne du marché BRVM (8-12x). Les investisseurs paient donc un prix très supérieur aux bénéfices actuels, traduisant une anticipation de redressement futur. Le P/B de 3,14x indique que le marché valorise la banque à plus de trois fois sa valeur comptable, une prime de croissance substantielle. Enfin, l'EV/EBITDA de 40,9x, très supérieur au seuil de 15x considéré comme exigeant, confirme une valorisation qui intègre des hypothèses de forte amélioration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Le titre BOAN a connu une progression spectaculaire de +92,92% sur les 100 derniers jours, avec une variation de +0,28% lors de la dernière séance, atteignant 5 450 FCFA. Le cours a évolué dans une fourchette très large, entre un plus bas de 2 825 FCFA et un plus haut de 5 645 FCFA, illustrant une dynamique haussière extrêmement forte. La moyenne de 4 283 FCFA est supérieure à la médiane de 4 080 FCFA, indiquant une distribution légèrement asymétrique vers les valeurs hautes, confirmée par un skewness positif de 0,153. L'écart-type de 828 FCFA, avec un coefficient de variation de 19,3%, révèle une dispersion modérée des cours autour de la moyenne. Le kurtosis de -1,445 (platykurtique) suggère une distribution aplatie avec moins de valeurs extrêmes que la normale. La volatilité annualisée de 39,5%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solide : la MM20 (5 293 FCFA) est nettement supérieure à la MM50 (5 013 FCFA), et le cours actuel (5 450 FCFA) se positionne au-dessus de ces deux moyennes. Cette configuration de "courtes au-dessus des longues" confirme la dynamique positive, justifiant une décision d'Achat. Le prix évolue près de la borne supérieure des Bandes de Bollinger (5 621 FCFA), avec la borne inférieure à 4 965 FCFA, indiquant une volatilité élevée. La position proche de la borne supérieure suggère une pression acheteuse soutenue, mais sans signal de surachat extrême, d'où une décision Neutre. Le MACD affiche une valeur de 129,32, légèrement inférieure à son signal de 136,84, créant une divergence baissière à court terme. Ce croisement potentiellement négatif indique un affaiblissement du momentum, justifiant une décision de Vente. Le RSI à 69,88 est proche du seuil de surachat de 70, sans toutefois le franchir, indiquant une pression acheteuse encore soutenue mais potentiellement proche de l'épuisement, d'où une décision Neutre. Le Stochastique avec %K à 60,61 et %D à 58,25 montre une dynamique positive mais modérée, sans croisement décisif, justifiant une décision Neutre. La conclusion technique est mitigée : la tendance de fond reste haussière avec des moyennes mobiles positives, mais les indicateurs de momentum (MACD, RSI proche du surachat) suggèrent un essoufflement possible à court terme, appelant à la prudence.</w:t>
      </w:r>
    </w:p>
    <w:p>
      <w:pPr>
        <w:spacing w:after="120" w:line="276" w:lineRule="auto" w:before="240"/>
      </w:pPr>
      <w:r>
        <w:rPr>
          <w:b/>
          <w:color w:val="003366"/>
          <w:sz w:val="24"/>
        </w:rPr>
        <w:t>**PARTIE 3 : ANALYSE FONDAMENTALE (SECTION CRITIQUE)**</w:t>
      </w:r>
    </w:p>
    <w:p>
      <w:pPr>
        <w:spacing w:after="120" w:line="276" w:lineRule="auto"/>
      </w:pPr>
      <w:r>
        <w:t>En 2025, la BOAN affiche un Produit Net Bancaire de 21,125 milliards FCFA, en légère baisse de -1,2% par rapport à 2024, et un résultat net de seulement 409 millions FCFA, en chute vertigineuse de -91,8%. La rentabilité s'est effondrée avec un ROE de 1,13% et un ROA de 0,14%, contre respectivement 11,39% et 1,49% en 2024. Le coefficient d'exploitation s'établit à 74,37%, bien au-dessus du seuil de 60% considéré comme efficace, tandis que le coût du risque est élevé à 67,30%. Les capitaux propres s'élèvent à 36,064 milliards FCFA, avec un ratio de solvabilité de 14,06%, conforme aux exigences UEMOA. Le rapport du T1 2026 (daté du 31 mars 2026) montre un net redressement : PNB en hausse de +7,9% à 5 170 millions FCFA, résultat net en progression de +28,9% à 1 467 millions FCFA, et coefficient d'exploitation amélioré à 56,2%. Sur la base de ce trimestre, on estime que l'exercice 2026 pourrait voir un PNB autour de 22,3 milliards FCFA et un résultat net potentiellement supérieur à 5 milliards FCFA, si la tendance se confirme. Les dépôts clientèle (183,28 milliards FCFA) restent supérieurs aux créances sur la clientèle (128,447 milliards FCFA), indiquant une transformation saine. La banque traverse une phase difficile mais le plan stratégique 2025-2027 et le soutien du groupe BOA offrent des perspectives de rebond.</w:t>
      </w:r>
    </w:p>
    <w:p>
      <w:pPr>
        <w:spacing w:after="120" w:line="276" w:lineRule="auto" w:before="240"/>
      </w:pPr>
      <w:r>
        <w:rPr>
          <w:b/>
          <w:color w:val="003366"/>
          <w:sz w:val="24"/>
        </w:rPr>
        <w:t>**PARTIE 4 : CONCLUSION D'INVESTISSEMENT**</w:t>
      </w:r>
    </w:p>
    <w:p>
      <w:pPr>
        <w:spacing w:after="120" w:line="276" w:lineRule="auto"/>
      </w:pPr>
      <w:r>
        <w:t>La valorisation de BOAN est extrêmement exigeante avec un PER de 277,2x et un EV/EBITDA de 40,9x, reflétant une anticipation très optimiste du marché malgré des fondamentaux 2025 dégradés. Le comportement du cours sur 100 jours (+92,92%) avec une volatilité élevée de 39,5% et un kurtosis platykurtique suggère un mouvement haussier puissant mais potentiellement fragile. Les signaux techniques sont partagés : les moyennes mobiles restent positives, mais le MACD en divergence baissière et le RSI proche du surachat indiquent un essoufflement possible à court terme. Les fondamentaux montrent une amélioration nette au T1 2026 (+28,9% du résultat net), mais sur un seul trimestre après une année 2025 catastrophique. Les prédictions IA pour les 10 prochains jours (5 413 à 5 363 FCFA) suggèrent une légère correction, contredisant la tendance haussière récente. La convergence entre la valorisation excessive, les signaux techniques mitigés et les prédictions IA baissières conduit à une recommandation CONSERVER, avec un niveau de confiance Moyen et un risque global Élevé. L'horizon d'investissement optimal serait le moyen terme (3-12 mois), en attendant la confirmation du redressement sur plusieurs trimestres consécutifs.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296.64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10,037 titres</w:t>
            </w:r>
          </w:p>
        </w:tc>
        <w:tc>
          <w:tcPr>
            <w:tcW w:type="dxa" w:w="2268"/>
            <w:shd w:fill="FFF2CC" w:val="clear"/>
          </w:tcPr>
          <w:p>
            <w:r>
              <w:rPr>
                <w:b/>
                <w:color w:val="503200"/>
                <w:sz w:val="16"/>
              </w:rPr>
              <w:t xml:space="preserve">Cours actuel : </w:t>
            </w:r>
            <w:r>
              <w:rPr>
                <w:color w:val="000000"/>
                <w:sz w:val="17"/>
              </w:rPr>
              <w:t>8,240 FCFA</w:t>
            </w:r>
          </w:p>
          <w:p>
            <w:r>
              <w:rPr>
                <w:b/>
                <w:color w:val="503200"/>
                <w:sz w:val="16"/>
              </w:rPr>
              <w:t xml:space="preserve">Var. 100 jours : </w:t>
            </w:r>
            <w:r>
              <w:rPr>
                <w:b/>
                <w:color w:val="007800"/>
                <w:sz w:val="17"/>
              </w:rPr>
              <w:t>+23.17%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6,690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5.63% (Moyenne) — μ=7,497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β=0.2703 (Défensif) — Cov=0.000010, Var(idx)=0.000037, ρ=0.107,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7,816</w:t>
            </w:r>
          </w:p>
        </w:tc>
        <w:tc>
          <w:tcPr>
            <w:tcW w:type="dxa" w:w="1440"/>
            <w:shd w:fill="FFDCE0" w:val="clear"/>
          </w:tcPr>
          <w:p>
            <w:r>
              <w:rPr>
                <w:b/>
                <w:sz w:val="17"/>
              </w:rPr>
              <w:t>8,035</w:t>
            </w:r>
          </w:p>
        </w:tc>
        <w:tc>
          <w:tcPr>
            <w:tcW w:type="dxa" w:w="1440"/>
            <w:shd w:fill="FFDCE0" w:val="clear"/>
          </w:tcPr>
          <w:p>
            <w:r>
              <w:rPr>
                <w:sz w:val="17"/>
              </w:rPr>
              <w:t>8,254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7,583</w:t>
            </w:r>
          </w:p>
        </w:tc>
        <w:tc>
          <w:tcPr>
            <w:tcW w:type="dxa" w:w="1440"/>
            <w:shd w:fill="FFDCE0" w:val="clear"/>
          </w:tcPr>
          <w:p>
            <w:r>
              <w:rPr>
                <w:b/>
                <w:sz w:val="17"/>
              </w:rPr>
              <w:t>7,887</w:t>
            </w:r>
          </w:p>
        </w:tc>
        <w:tc>
          <w:tcPr>
            <w:tcW w:type="dxa" w:w="1440"/>
            <w:shd w:fill="FFDCE0" w:val="clear"/>
          </w:tcPr>
          <w:p>
            <w:r>
              <w:rPr>
                <w:sz w:val="17"/>
              </w:rPr>
              <w:t>8,192</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7,382</w:t>
            </w:r>
          </w:p>
        </w:tc>
        <w:tc>
          <w:tcPr>
            <w:tcW w:type="dxa" w:w="1440"/>
            <w:shd w:fill="FFDCE0" w:val="clear"/>
          </w:tcPr>
          <w:p>
            <w:r>
              <w:rPr>
                <w:b/>
                <w:sz w:val="17"/>
              </w:rPr>
              <w:t>7,748</w:t>
            </w:r>
          </w:p>
        </w:tc>
        <w:tc>
          <w:tcPr>
            <w:tcW w:type="dxa" w:w="1440"/>
            <w:shd w:fill="FFDCE0" w:val="clear"/>
          </w:tcPr>
          <w:p>
            <w:r>
              <w:rPr>
                <w:sz w:val="17"/>
              </w:rPr>
              <w:t>8,114</w:t>
            </w:r>
          </w:p>
        </w:tc>
        <w:tc>
          <w:tcPr>
            <w:tcW w:type="dxa" w:w="1440"/>
            <w:shd w:fill="FFDCE0" w:val="clear"/>
          </w:tcPr>
          <w:p>
            <w:r>
              <w:rPr>
                <w:b/>
                <w:color w:val="C00000"/>
                <w:sz w:val="17"/>
              </w:rPr>
              <w:t>-6.0%</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7,205</w:t>
            </w:r>
          </w:p>
        </w:tc>
        <w:tc>
          <w:tcPr>
            <w:tcW w:type="dxa" w:w="1440"/>
            <w:shd w:fill="FFDCE0" w:val="clear"/>
          </w:tcPr>
          <w:p>
            <w:r>
              <w:rPr>
                <w:b/>
                <w:sz w:val="17"/>
              </w:rPr>
              <w:t>7,621</w:t>
            </w:r>
          </w:p>
        </w:tc>
        <w:tc>
          <w:tcPr>
            <w:tcW w:type="dxa" w:w="1440"/>
            <w:shd w:fill="FFDCE0" w:val="clear"/>
          </w:tcPr>
          <w:p>
            <w:r>
              <w:rPr>
                <w:sz w:val="17"/>
              </w:rPr>
              <w:t>8,036</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7,045</w:t>
            </w:r>
          </w:p>
        </w:tc>
        <w:tc>
          <w:tcPr>
            <w:tcW w:type="dxa" w:w="1440"/>
            <w:shd w:fill="FFDCE0" w:val="clear"/>
          </w:tcPr>
          <w:p>
            <w:r>
              <w:rPr>
                <w:b/>
                <w:sz w:val="17"/>
              </w:rPr>
              <w:t>7,502</w:t>
            </w:r>
          </w:p>
        </w:tc>
        <w:tc>
          <w:tcPr>
            <w:tcW w:type="dxa" w:w="1440"/>
            <w:shd w:fill="FFDCE0" w:val="clear"/>
          </w:tcPr>
          <w:p>
            <w:r>
              <w:rPr>
                <w:sz w:val="17"/>
              </w:rPr>
              <w:t>7,960</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6,897</w:t>
            </w:r>
          </w:p>
        </w:tc>
        <w:tc>
          <w:tcPr>
            <w:tcW w:type="dxa" w:w="1440"/>
            <w:shd w:fill="FFDCE0" w:val="clear"/>
          </w:tcPr>
          <w:p>
            <w:r>
              <w:rPr>
                <w:b/>
                <w:sz w:val="17"/>
              </w:rPr>
              <w:t>7,391</w:t>
            </w:r>
          </w:p>
        </w:tc>
        <w:tc>
          <w:tcPr>
            <w:tcW w:type="dxa" w:w="1440"/>
            <w:shd w:fill="FFDCE0" w:val="clear"/>
          </w:tcPr>
          <w:p>
            <w:r>
              <w:rPr>
                <w:sz w:val="17"/>
              </w:rPr>
              <w:t>7,885</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6,761</w:t>
            </w:r>
          </w:p>
        </w:tc>
        <w:tc>
          <w:tcPr>
            <w:tcW w:type="dxa" w:w="1440"/>
            <w:shd w:fill="FFDCE0" w:val="clear"/>
          </w:tcPr>
          <w:p>
            <w:r>
              <w:rPr>
                <w:b/>
                <w:sz w:val="17"/>
              </w:rPr>
              <w:t>7,286</w:t>
            </w:r>
          </w:p>
        </w:tc>
        <w:tc>
          <w:tcPr>
            <w:tcW w:type="dxa" w:w="1440"/>
            <w:shd w:fill="FFDCE0" w:val="clear"/>
          </w:tcPr>
          <w:p>
            <w:r>
              <w:rPr>
                <w:sz w:val="17"/>
              </w:rPr>
              <w:t>7,812</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6,633</w:t>
            </w:r>
          </w:p>
        </w:tc>
        <w:tc>
          <w:tcPr>
            <w:tcW w:type="dxa" w:w="1440"/>
            <w:shd w:fill="FFDCE0" w:val="clear"/>
          </w:tcPr>
          <w:p>
            <w:r>
              <w:rPr>
                <w:b/>
                <w:sz w:val="17"/>
              </w:rPr>
              <w:t>7,188</w:t>
            </w:r>
          </w:p>
        </w:tc>
        <w:tc>
          <w:tcPr>
            <w:tcW w:type="dxa" w:w="1440"/>
            <w:shd w:fill="FFDCE0" w:val="clear"/>
          </w:tcPr>
          <w:p>
            <w:r>
              <w:rPr>
                <w:sz w:val="17"/>
              </w:rPr>
              <w:t>7,742</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6,514</w:t>
            </w:r>
          </w:p>
        </w:tc>
        <w:tc>
          <w:tcPr>
            <w:tcW w:type="dxa" w:w="1440"/>
            <w:shd w:fill="FFDCE0" w:val="clear"/>
          </w:tcPr>
          <w:p>
            <w:r>
              <w:rPr>
                <w:b/>
                <w:sz w:val="17"/>
              </w:rPr>
              <w:t>7,094</w:t>
            </w:r>
          </w:p>
        </w:tc>
        <w:tc>
          <w:tcPr>
            <w:tcW w:type="dxa" w:w="1440"/>
            <w:shd w:fill="FFDCE0" w:val="clear"/>
          </w:tcPr>
          <w:p>
            <w:r>
              <w:rPr>
                <w:sz w:val="17"/>
              </w:rPr>
              <w:t>7,675</w:t>
            </w:r>
          </w:p>
        </w:tc>
        <w:tc>
          <w:tcPr>
            <w:tcW w:type="dxa" w:w="1440"/>
            <w:shd w:fill="FFDCE0" w:val="clear"/>
          </w:tcPr>
          <w:p>
            <w:r>
              <w:rPr>
                <w:b/>
                <w:color w:val="C00000"/>
                <w:sz w:val="17"/>
              </w:rPr>
              <w:t>-13.9%</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6,402</w:t>
            </w:r>
          </w:p>
        </w:tc>
        <w:tc>
          <w:tcPr>
            <w:tcW w:type="dxa" w:w="1440"/>
            <w:shd w:fill="FFDCE0" w:val="clear"/>
          </w:tcPr>
          <w:p>
            <w:r>
              <w:rPr>
                <w:b/>
                <w:sz w:val="17"/>
              </w:rPr>
              <w:t>7,006</w:t>
            </w:r>
          </w:p>
        </w:tc>
        <w:tc>
          <w:tcPr>
            <w:tcW w:type="dxa" w:w="1440"/>
            <w:shd w:fill="FFDCE0" w:val="clear"/>
          </w:tcPr>
          <w:p>
            <w:r>
              <w:rPr>
                <w:sz w:val="17"/>
              </w:rPr>
              <w:t>7,610</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le rapport d'analyse financière structuré pour l'action BOAS,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296,64 milliards FCFA, ce qui en fait une valeur de premier plan sur la BRVM. Avec un BPA de 608 FCFA, le titre se négocie à un PER de 13,5x, une prime par rapport à la moyenne historique de la place (~8-12x), indiquant que les investisseurs anticipent une croissance future des bénéfices. Le P/B de 3,07x confirme cette prime, le marché valorisant la banque bien au-delà de sa valeur comptable (actif net), ce qui est souvent le cas pour les sociétés affichant un ROE élevé. Enfin, un EV/EBITDA de 8,8x, dans la fourchette raisonnable de 5-10x, suggère que la valeur d'entreprise reste cohérente avec sa capacité opérationnelle à générer des flux, malgré la prime sur le PER. L'ensemble de ces ratios traduit une valorisation exigeante mais justifiée par une rentabilité supérieure à la moyenne du marché.</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remarquable de +23,17%, passant d'un plus bas de 6 690 FCFA à un plus haut de 8 500 FCFA, avant de clôturer à 8 240 FCFA. La légère baisse de -0,72% sur la dernière séance suggère une prise de bénéfices après cette forte ascension. La tendance est clairement haussière. Les statistiques descriptives confirment cette dynamique : le cours moyen (7 497 FCFA) est proche de la médiane (7 442 FCFA), et le skewness positif (0.234) indique une distribution quasi symétrique avec une légère queue vers les hauts cours. L'écart-type de 424 FCFA (CV de 5,7%) montre une dispersion modérée autour de la moyenne. Le kurtosis négatif (-0.126) signale une distribution mésokurtique, sans risque de variations extrêmes (pics) plus élevé que la normale. La volatilité annualisée de 24,5% classe le titre dans une catégorie de risque modéré, typique des valeurs de croissance sur ce marché.</w:t>
      </w:r>
    </w:p>
    <w:p>
      <w:pPr>
        <w:spacing w:after="120" w:line="276" w:lineRule="auto"/>
      </w:pPr>
      <w:r>
        <w:t>### **PARTIE 2 : ANALYSE TECHNIQUE DÉTAILLÉE**</w:t>
      </w:r>
    </w:p>
    <w:p>
      <w:pPr>
        <w:spacing w:after="120" w:line="276" w:lineRule="auto"/>
      </w:pPr>
      <w:r>
        <w:t>**Moyennes Mobiles** : Le cours actuel (8 240 FCFA) est nettement au-dessus de sa MM20 (8 035,5 FCFA) et de sa MM50 (7 719,2 FCFA). Cette configuration haussière, où les moyennes sont orientées à la hausse, confirme la solidité de la tendance de fond. La décision d'**Achat** est justifiée par cette dynamique positive.</w:t>
      </w:r>
    </w:p>
    <w:p>
      <w:pPr>
        <w:spacing w:after="120" w:line="276" w:lineRule="auto"/>
      </w:pPr>
      <w:r>
        <w:t>**Bandes de Bollinger** : Le prix se situe à l'intérieur des bandes, plus près de la borne supérieure (8 643,5 FCFA) que de la borne inférieure (7 427,4 FCFA). La largeur des bandes indique une volatilité modérée. Le fait que le cours n'ait pas touché la borne supérieure malgré la tendance haussière suggère une absence de surachat extrême, d'où une décision **Neutre**.</w:t>
      </w:r>
    </w:p>
    <w:p>
      <w:pPr>
        <w:spacing w:after="120" w:line="276" w:lineRule="auto"/>
      </w:pPr>
      <w:r>
        <w:t>**MACD** : Le MACD (176,1) est positif et se maintient au-dessus de sa ligne de signal (172,6). Cette configuration haussière indique que le momentum est toujours en faveur des acheteurs, bien que l'écart soit relativement faible, ce qui pourrait signaler un essoufflement à court terme. La décision est à l'**Achat**.</w:t>
      </w:r>
    </w:p>
    <w:p>
      <w:pPr>
        <w:spacing w:after="120" w:line="276" w:lineRule="auto"/>
      </w:pPr>
      <w:r>
        <w:t>**RSI** : Le RSI à 72,8 est entré en zone de surachat (au-delà de 70). Cela signifie que le titre a fortement monté et qu'un repli technique ou une consolidation est probable à court terme. La décision de **Vente** est un signal de prudence, suggérant de ne pas acheter à ces niveaux.</w:t>
      </w:r>
    </w:p>
    <w:p>
      <w:pPr>
        <w:spacing w:after="120" w:line="276" w:lineRule="auto"/>
      </w:pPr>
      <w:r>
        <w:t>**Stochastique** : Le %K (62,8) est passé sous le %D (68,5), formant un croisement baissier en zone neutre. Cela indique un affaiblissement de la dynamique haussière à très court terme, sans pour autant signaler un retournement majeur. La décision est **Neutre**.</w:t>
      </w:r>
    </w:p>
    <w:p>
      <w:pPr>
        <w:spacing w:after="120" w:line="276" w:lineRule="auto"/>
      </w:pPr>
      <w:r>
        <w:t>**Conclusion technique** : Les indicateurs de tendance (MM, MACD) sont positifs, mais les oscillateurs de momentum (RSI, Stochastique) montrent des signes de surachat et de faiblesse à court terme. Cette divergence suggère que la tendance de fond reste haussière, mais qu'une phase de consolidation ou de correction technique est de plus en plus probable avant la prochaine jambe haussière.</w:t>
      </w:r>
    </w:p>
    <w:p>
      <w:pPr>
        <w:spacing w:after="120" w:line="276" w:lineRule="auto"/>
      </w:pPr>
      <w:r>
        <w:t>### **PARTIE 3 : ANALYSE FONDAMENTALE (SECTION CRITIQUE)**</w:t>
      </w:r>
    </w:p>
    <w:p>
      <w:pPr>
        <w:spacing w:after="120" w:line="276" w:lineRule="auto"/>
      </w:pPr>
      <w:r>
        <w:t>En 2025, BOAS affiche des fondamentaux solides avec un Produit Net Bancaire (PNB) de 51,926 Mds FCFA et un résultat net de 21,905 Mds FCFA. La banque démontre une excellente rentabilité avec un ROE de 22,69% et un ROA de 2,62%, bien au-dessus des seuils d'excellence. Son coefficient d'exploitation de 44,01% témoigne d'une gestion rigoureuse des charges, tandis que le coût du risque, bien qu'élevé à 23,3% des charges financières, est en amélioration. La structure financière repose sur des dépôts clients massifs (686,9 Mds FCFA) financant un portefeuille de crédits de 386,4 Mds FCFA, illustrant une forte activité de transformation. Les rapports trimestriels de 2025 confirment cette trajectoire : au 30 septembre 2025, le PNB cumulé progresse de 6,71% et le résultat net de 10,01%, porté par une baisse du coût du risque et du coefficient d'exploitation. Sur la base de cette dynamique, on estime que l'exercice 2025 devrait se solder par une croissance du résultat net supérieure à 10%, confirmant la tendance des neuf premiers mois. Les rapports de 2026 (T1) montrent une poursuite de la croissance avec un PNB en hausse de 6,82% et un résultat net en progression de 9,78%, suggérant une continuité dans la performance. La banque est donc solide, rentable et en croissance régulière, avec une gestion saine des risques.</w:t>
      </w:r>
    </w:p>
    <w:p>
      <w:pPr>
        <w:spacing w:after="120" w:line="276" w:lineRule="auto"/>
      </w:pPr>
      <w:r>
        <w:t>### **PARTIE 4 : CONCLUSION D'INVESTISSEMENT**</w:t>
      </w:r>
    </w:p>
    <w:p>
      <w:pPr>
        <w:spacing w:after="120" w:line="276" w:lineRule="auto"/>
      </w:pPr>
      <w:r>
        <w:t>L'analyse croisée de BOAS révèle une situation contrastée. La valorisation (Partie 0) est exigeante (PER 13,5x) mais justifiée par une rentabilité supérieure à la moyenne. Le comportement du cours (Partie 1) est très positif avec une tendance haussière marquée, mais la volatilité de 24,5% et les statistiques suggèrent un risque de consolidation. Les signaux techniques (Partie 2) sont partagés : la tendance de fond (MM, MACD) est haussière, mais les oscillateurs (RSI, Stochastique) crient au surachat. Enfin, les fondamentaux (Partie 3) sont excellents, avec une banque performante, efficace et en croissance, comme en témoignent les résultats 2025 et les rapports 2026. Les prédictions IA pour les 10 prochains jours (chute de 8 240 à 7 502 FCFA) confirment l'hypothèse d'une correction technique à court terme, alignée avec les signaux de surachat.</w:t>
      </w:r>
    </w:p>
    <w:p>
      <w:pPr>
        <w:spacing w:after="120" w:line="276" w:lineRule="auto"/>
      </w:pPr>
      <w:r>
        <w:t>**Recommandation finale : ACHAT** (sur repli). La convergence entre les fondamentaux solides et la tendance de fond haussière plaide pour une stratégie d'achat. Cependant, la divergence avec les signaux techniques de court terme et les prédictions IA suggèrent d'attendre un repli vers les 7 500-7 700 FCFA (zones de la MM50 et de la prédiction) pour initier ou renforcer une position.</w:t>
      </w:r>
    </w:p>
    <w:p>
      <w:pPr>
        <w:spacing w:after="120" w:line="276" w:lineRule="auto"/>
      </w:pPr>
      <w:r>
        <w:t>- **Niveau de confiance :** Moyen</w:t>
        <w:br/>
        <w:t>- **Niveau de risque global :** Moyen</w:t>
        <w:br/>
        <w:t>- **Horizon d'investissement optimal :** Moyen terme (3-12 mois) pour capitaliser sur la croissance des fondamentaux, après une éventuelle correction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2,186 titres</w:t>
            </w:r>
          </w:p>
        </w:tc>
        <w:tc>
          <w:tcPr>
            <w:tcW w:type="dxa" w:w="2268"/>
            <w:shd w:fill="FFF2CC" w:val="clear"/>
          </w:tcPr>
          <w:p>
            <w:r>
              <w:rPr>
                <w:b/>
                <w:color w:val="503200"/>
                <w:sz w:val="16"/>
              </w:rPr>
              <w:t xml:space="preserve">Cours actuel : </w:t>
            </w:r>
            <w:r>
              <w:rPr>
                <w:color w:val="000000"/>
                <w:sz w:val="17"/>
              </w:rPr>
              <w:t>3,540 FCFA</w:t>
            </w:r>
          </w:p>
          <w:p>
            <w:r>
              <w:rPr>
                <w:b/>
                <w:color w:val="503200"/>
                <w:sz w:val="16"/>
              </w:rPr>
              <w:t xml:space="preserve">Var. 100 jours : </w:t>
            </w:r>
            <w:r>
              <w:rPr>
                <w:b/>
                <w:color w:val="B40000"/>
                <w:sz w:val="17"/>
              </w:rPr>
              <w:t>-18.43%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7.36% (Moyenne) — μ=3,742 FCFA, σ=275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β=0.3498 (Défensif) — Cov=0.000013, Var(idx)=0.000037, ρ=0.069,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2026-09-07</w:t>
            </w:r>
          </w:p>
        </w:tc>
        <w:tc>
          <w:tcPr>
            <w:tcW w:type="dxa" w:w="1440"/>
            <w:shd w:fill="C6EFCE" w:val="clear"/>
          </w:tcPr>
          <w:p>
            <w:r>
              <w:rPr>
                <w:sz w:val="17"/>
              </w:rPr>
              <w:t>3,579</w:t>
            </w:r>
          </w:p>
        </w:tc>
        <w:tc>
          <w:tcPr>
            <w:tcW w:type="dxa" w:w="1440"/>
            <w:shd w:fill="C6EFCE" w:val="clear"/>
          </w:tcPr>
          <w:p>
            <w:r>
              <w:rPr>
                <w:b/>
                <w:sz w:val="17"/>
              </w:rPr>
              <w:t>3,702</w:t>
            </w:r>
          </w:p>
        </w:tc>
        <w:tc>
          <w:tcPr>
            <w:tcW w:type="dxa" w:w="1440"/>
            <w:shd w:fill="C6EFCE" w:val="clear"/>
          </w:tcPr>
          <w:p>
            <w:r>
              <w:rPr>
                <w:sz w:val="17"/>
              </w:rPr>
              <w:t>3,826</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2026-09-08</w:t>
            </w:r>
          </w:p>
        </w:tc>
        <w:tc>
          <w:tcPr>
            <w:tcW w:type="dxa" w:w="1440"/>
            <w:shd w:fill="C6EFCE" w:val="clear"/>
          </w:tcPr>
          <w:p>
            <w:r>
              <w:rPr>
                <w:sz w:val="17"/>
              </w:rPr>
              <w:t>3,673</w:t>
            </w:r>
          </w:p>
        </w:tc>
        <w:tc>
          <w:tcPr>
            <w:tcW w:type="dxa" w:w="1440"/>
            <w:shd w:fill="C6EFCE" w:val="clear"/>
          </w:tcPr>
          <w:p>
            <w:r>
              <w:rPr>
                <w:b/>
                <w:sz w:val="17"/>
              </w:rPr>
              <w:t>3,855</w:t>
            </w:r>
          </w:p>
        </w:tc>
        <w:tc>
          <w:tcPr>
            <w:tcW w:type="dxa" w:w="1440"/>
            <w:shd w:fill="C6EFCE" w:val="clear"/>
          </w:tcPr>
          <w:p>
            <w:r>
              <w:rPr>
                <w:sz w:val="17"/>
              </w:rPr>
              <w:t>4,038</w:t>
            </w:r>
          </w:p>
        </w:tc>
        <w:tc>
          <w:tcPr>
            <w:tcW w:type="dxa" w:w="1440"/>
            <w:shd w:fill="C6EFCE" w:val="clear"/>
          </w:tcPr>
          <w:p>
            <w:r>
              <w:rPr>
                <w:b/>
                <w:color w:val="008000"/>
                <w:sz w:val="17"/>
              </w:rPr>
              <w:t>+8.9%</w:t>
            </w:r>
          </w:p>
        </w:tc>
      </w:tr>
      <w:tr>
        <w:tc>
          <w:tcPr>
            <w:tcW w:type="dxa" w:w="1440"/>
            <w:shd w:fill="C6EFCE" w:val="clear"/>
          </w:tcPr>
          <w:p>
            <w:r>
              <w:rPr>
                <w:sz w:val="17"/>
              </w:rPr>
              <w:t>J+3  Moyenne</w:t>
            </w:r>
          </w:p>
        </w:tc>
        <w:tc>
          <w:tcPr>
            <w:tcW w:type="dxa" w:w="1440"/>
            <w:shd w:fill="C6EFCE" w:val="clear"/>
          </w:tcPr>
          <w:p>
            <w:r>
              <w:rPr>
                <w:sz w:val="17"/>
              </w:rPr>
              <w:t>2026-09-09</w:t>
            </w:r>
          </w:p>
        </w:tc>
        <w:tc>
          <w:tcPr>
            <w:tcW w:type="dxa" w:w="1440"/>
            <w:shd w:fill="C6EFCE" w:val="clear"/>
          </w:tcPr>
          <w:p>
            <w:r>
              <w:rPr>
                <w:sz w:val="17"/>
              </w:rPr>
              <w:t>3,804</w:t>
            </w:r>
          </w:p>
        </w:tc>
        <w:tc>
          <w:tcPr>
            <w:tcW w:type="dxa" w:w="1440"/>
            <w:shd w:fill="C6EFCE" w:val="clear"/>
          </w:tcPr>
          <w:p>
            <w:r>
              <w:rPr>
                <w:b/>
                <w:sz w:val="17"/>
              </w:rPr>
              <w:t>4,038</w:t>
            </w:r>
          </w:p>
        </w:tc>
        <w:tc>
          <w:tcPr>
            <w:tcW w:type="dxa" w:w="1440"/>
            <w:shd w:fill="C6EFCE" w:val="clear"/>
          </w:tcPr>
          <w:p>
            <w:r>
              <w:rPr>
                <w:sz w:val="17"/>
              </w:rPr>
              <w:t>4,272</w:t>
            </w:r>
          </w:p>
        </w:tc>
        <w:tc>
          <w:tcPr>
            <w:tcW w:type="dxa" w:w="1440"/>
            <w:shd w:fill="C6EFCE" w:val="clear"/>
          </w:tcPr>
          <w:p>
            <w:r>
              <w:rPr>
                <w:b/>
                <w:color w:val="008000"/>
                <w:sz w:val="17"/>
              </w:rPr>
              <w:t>+14.1%</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3,962</w:t>
            </w:r>
          </w:p>
        </w:tc>
        <w:tc>
          <w:tcPr>
            <w:tcW w:type="dxa" w:w="1440"/>
            <w:shd w:fill="C6EFCE" w:val="clear"/>
          </w:tcPr>
          <w:p>
            <w:r>
              <w:rPr>
                <w:b/>
                <w:sz w:val="17"/>
              </w:rPr>
              <w:t>4,246</w:t>
            </w:r>
          </w:p>
        </w:tc>
        <w:tc>
          <w:tcPr>
            <w:tcW w:type="dxa" w:w="1440"/>
            <w:shd w:fill="C6EFCE" w:val="clear"/>
          </w:tcPr>
          <w:p>
            <w:r>
              <w:rPr>
                <w:sz w:val="17"/>
              </w:rPr>
              <w:t>4,530</w:t>
            </w:r>
          </w:p>
        </w:tc>
        <w:tc>
          <w:tcPr>
            <w:tcW w:type="dxa" w:w="1440"/>
            <w:shd w:fill="C6EFCE" w:val="clear"/>
          </w:tcPr>
          <w:p>
            <w:r>
              <w:rPr>
                <w:b/>
                <w:color w:val="008000"/>
                <w:sz w:val="17"/>
              </w:rPr>
              <w:t>+19.9%</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4,145</w:t>
            </w:r>
          </w:p>
        </w:tc>
        <w:tc>
          <w:tcPr>
            <w:tcW w:type="dxa" w:w="1440"/>
            <w:shd w:fill="C6EFCE" w:val="clear"/>
          </w:tcPr>
          <w:p>
            <w:r>
              <w:rPr>
                <w:b/>
                <w:sz w:val="17"/>
              </w:rPr>
              <w:t>4,480</w:t>
            </w:r>
          </w:p>
        </w:tc>
        <w:tc>
          <w:tcPr>
            <w:tcW w:type="dxa" w:w="1440"/>
            <w:shd w:fill="C6EFCE" w:val="clear"/>
          </w:tcPr>
          <w:p>
            <w:r>
              <w:rPr>
                <w:sz w:val="17"/>
              </w:rPr>
              <w:t>4,815</w:t>
            </w:r>
          </w:p>
        </w:tc>
        <w:tc>
          <w:tcPr>
            <w:tcW w:type="dxa" w:w="1440"/>
            <w:shd w:fill="C6EFCE" w:val="clear"/>
          </w:tcPr>
          <w:p>
            <w:r>
              <w:rPr>
                <w:b/>
                <w:color w:val="008000"/>
                <w:sz w:val="17"/>
              </w:rPr>
              <w:t>+26.6%</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4,359</w:t>
            </w:r>
          </w:p>
        </w:tc>
        <w:tc>
          <w:tcPr>
            <w:tcW w:type="dxa" w:w="1440"/>
            <w:shd w:fill="C6EFCE" w:val="clear"/>
          </w:tcPr>
          <w:p>
            <w:r>
              <w:rPr>
                <w:b/>
                <w:sz w:val="17"/>
              </w:rPr>
              <w:t>4,748</w:t>
            </w:r>
          </w:p>
        </w:tc>
        <w:tc>
          <w:tcPr>
            <w:tcW w:type="dxa" w:w="1440"/>
            <w:shd w:fill="C6EFCE" w:val="clear"/>
          </w:tcPr>
          <w:p>
            <w:r>
              <w:rPr>
                <w:sz w:val="17"/>
              </w:rPr>
              <w:t>5,137</w:t>
            </w:r>
          </w:p>
        </w:tc>
        <w:tc>
          <w:tcPr>
            <w:tcW w:type="dxa" w:w="1440"/>
            <w:shd w:fill="C6EFCE" w:val="clear"/>
          </w:tcPr>
          <w:p>
            <w:r>
              <w:rPr>
                <w:b/>
                <w:color w:val="008000"/>
                <w:sz w:val="17"/>
              </w:rPr>
              <w:t>+34.1%</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4,612</w:t>
            </w:r>
          </w:p>
        </w:tc>
        <w:tc>
          <w:tcPr>
            <w:tcW w:type="dxa" w:w="1440"/>
            <w:shd w:fill="C6EFCE" w:val="clear"/>
          </w:tcPr>
          <w:p>
            <w:r>
              <w:rPr>
                <w:b/>
                <w:sz w:val="17"/>
              </w:rPr>
              <w:t>5,059</w:t>
            </w:r>
          </w:p>
        </w:tc>
        <w:tc>
          <w:tcPr>
            <w:tcW w:type="dxa" w:w="1440"/>
            <w:shd w:fill="C6EFCE" w:val="clear"/>
          </w:tcPr>
          <w:p>
            <w:r>
              <w:rPr>
                <w:sz w:val="17"/>
              </w:rPr>
              <w:t>5,507</w:t>
            </w:r>
          </w:p>
        </w:tc>
        <w:tc>
          <w:tcPr>
            <w:tcW w:type="dxa" w:w="1440"/>
            <w:shd w:fill="C6EFCE" w:val="clear"/>
          </w:tcPr>
          <w:p>
            <w:r>
              <w:rPr>
                <w:b/>
                <w:color w:val="008000"/>
                <w:sz w:val="17"/>
              </w:rPr>
              <w:t>+42.9%</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4,915</w:t>
            </w:r>
          </w:p>
        </w:tc>
        <w:tc>
          <w:tcPr>
            <w:tcW w:type="dxa" w:w="1440"/>
            <w:shd w:fill="C6EFCE" w:val="clear"/>
          </w:tcPr>
          <w:p>
            <w:r>
              <w:rPr>
                <w:b/>
                <w:sz w:val="17"/>
              </w:rPr>
              <w:t>5,429</w:t>
            </w:r>
          </w:p>
        </w:tc>
        <w:tc>
          <w:tcPr>
            <w:tcW w:type="dxa" w:w="1440"/>
            <w:shd w:fill="C6EFCE" w:val="clear"/>
          </w:tcPr>
          <w:p>
            <w:r>
              <w:rPr>
                <w:sz w:val="17"/>
              </w:rPr>
              <w:t>5,942</w:t>
            </w:r>
          </w:p>
        </w:tc>
        <w:tc>
          <w:tcPr>
            <w:tcW w:type="dxa" w:w="1440"/>
            <w:shd w:fill="C6EFCE" w:val="clear"/>
          </w:tcPr>
          <w:p>
            <w:r>
              <w:rPr>
                <w:b/>
                <w:color w:val="008000"/>
                <w:sz w:val="17"/>
              </w:rPr>
              <w:t>+53.3%</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5,250</w:t>
            </w:r>
          </w:p>
        </w:tc>
        <w:tc>
          <w:tcPr>
            <w:tcW w:type="dxa" w:w="1440"/>
            <w:shd w:fill="C6EFCE" w:val="clear"/>
          </w:tcPr>
          <w:p>
            <w:r>
              <w:rPr>
                <w:b/>
                <w:sz w:val="17"/>
              </w:rPr>
              <w:t>5,836</w:t>
            </w:r>
          </w:p>
        </w:tc>
        <w:tc>
          <w:tcPr>
            <w:tcW w:type="dxa" w:w="1440"/>
            <w:shd w:fill="C6EFCE" w:val="clear"/>
          </w:tcPr>
          <w:p>
            <w:r>
              <w:rPr>
                <w:sz w:val="17"/>
              </w:rPr>
              <w:t>6,421</w:t>
            </w:r>
          </w:p>
        </w:tc>
        <w:tc>
          <w:tcPr>
            <w:tcW w:type="dxa" w:w="1440"/>
            <w:shd w:fill="C6EFCE" w:val="clear"/>
          </w:tcPr>
          <w:p>
            <w:r>
              <w:rPr>
                <w:b/>
                <w:color w:val="008000"/>
                <w:sz w:val="17"/>
              </w:rPr>
              <w:t>+64.9%</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5,610</w:t>
            </w:r>
          </w:p>
        </w:tc>
        <w:tc>
          <w:tcPr>
            <w:tcW w:type="dxa" w:w="1440"/>
            <w:shd w:fill="C6EFCE" w:val="clear"/>
          </w:tcPr>
          <w:p>
            <w:r>
              <w:rPr>
                <w:b/>
                <w:sz w:val="17"/>
              </w:rPr>
              <w:t>6,273</w:t>
            </w:r>
          </w:p>
        </w:tc>
        <w:tc>
          <w:tcPr>
            <w:tcW w:type="dxa" w:w="1440"/>
            <w:shd w:fill="C6EFCE" w:val="clear"/>
          </w:tcPr>
          <w:p>
            <w:r>
              <w:rPr>
                <w:sz w:val="17"/>
              </w:rPr>
              <w:t>6,937</w:t>
            </w:r>
          </w:p>
        </w:tc>
        <w:tc>
          <w:tcPr>
            <w:tcW w:type="dxa" w:w="1440"/>
            <w:shd w:fill="C6EFCE" w:val="clear"/>
          </w:tcPr>
          <w:p>
            <w:r>
              <w:rPr>
                <w:b/>
                <w:color w:val="008000"/>
                <w:sz w:val="17"/>
              </w:rPr>
              <w:t>+77.2%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20,96 milliards FCFA, positionnant la société comme une valeur de taille moyenne sur la BRVM. Avec un BPA de 243 FCFA, le titre se négocie à un PER de 14,6x, ce qui représente une prime par rapport à la moyenne historique du marché régional (8-12x). Cette valorisation suggère que les investisseurs intègrent déjà des perspectives de croissance future. Le P/B de 2,24x confirme cette lecture, le marché valorisant la société à plus du double de sa valeur comptable, une prime typique accordée aux entreprises en phase d'expansion. Enfin, l'EV/EBITDA de 7,4x se situe dans une fourchette raisonnable (5-10x), indiquant que la valeur totale de l'entreprise (dette incluse) reste cohérente avec sa capacité opérationnelle à générer des flux. L'ensemble de ces ratios traduit une confiance mesurée du marché dans le potentiel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CABC a enregistré une baisse significative de 18,43%, avec un repli supplémentaire de 0,28% lors de la dernière séance, pour s'établir à 3 540 FCFA. Le titre a évolué dans une fourchette large de 3 350 à 4 500 FCFA, démontrant une volatilité marquée. La moyenne du cours sur la période (3 742 FCFA) est supérieure à la médiane (3 652 FCFA), et le skewness positif de 0,910 indique que les journées sous la moyenne ont été plus fréquentes, confirmant la pression vendeuse. L'écart-type de 277 FCFA (CV de 7,4%) révèle une dispersion modérée des prix autour de la moyenne. Le kurtosis de 0,249 (mésokurtique) suggère l'absence de mouvements extrêmes inhabituels, tandis que la volatilité annualisée de 49% classe le titre comme très volatil, un niveau élevé qui reflète l'incertitude des investisseurs et nécessite une gestion de risque rigoureuse.</w:t>
      </w:r>
    </w:p>
    <w:p>
      <w:pPr>
        <w:spacing w:after="120" w:line="276" w:lineRule="auto" w:before="240"/>
      </w:pPr>
      <w:r>
        <w:rPr>
          <w:b/>
          <w:color w:val="003366"/>
          <w:sz w:val="24"/>
        </w:rPr>
        <w:t>**PARTIE 2 : ANALYSE TECHNIQUE DÉTAILLÉE**</w:t>
      </w:r>
    </w:p>
    <w:p>
      <w:pPr>
        <w:spacing w:after="120" w:line="276" w:lineRule="auto"/>
      </w:pPr>
      <w:r>
        <w:t>Les **Moyennes Mobiles** indiquent une configuration baissière : le cours actuel (3 540 FCFA) est inférieur à la MM20 (3 548,5 FCFA) et nettement sous la MM50 (3 754,8 FCFA). Cette structure en pente descendante confirme la tendance négative de moyen terme, justifiant la décision de vente. Le croisement baissier des moyennes mobiles suggère que le momentum reste défavorable à court terme.</w:t>
      </w:r>
    </w:p>
    <w:p>
      <w:pPr>
        <w:spacing w:after="120" w:line="276" w:lineRule="auto"/>
      </w:pPr>
      <w:r>
        <w:t>Les **Bandes de Bollinger** montrent un cours positionné dans la partie médiane du canal, entre la borne supérieure (3 687,56 FCFA) et la borne inférieure (3 409,44 FCFA). L'écart entre les bornes reflète une volatilité encore élevée. La position neutre du prix, ni en surachat ni en survente, indique une phase de consolidation après le mouvement baissier, sans signal directionnel fort.</w:t>
      </w:r>
    </w:p>
    <w:p>
      <w:pPr>
        <w:spacing w:after="120" w:line="276" w:lineRule="auto"/>
      </w:pPr>
      <w:r>
        <w:t>Le **MACD** affiche une valeur de -48,38, mais son signal (-56,56) est encore plus bas, créant une divergence positive. Cette configuration suggère un ralentissement de la dynamique baissière et un potentiel retournement haussier à court terme. Le croisement potentiel du MACD au-dessus de son signal serait un signal d'achat précoce, justifiant la décision d'achat actuelle.</w:t>
      </w:r>
    </w:p>
    <w:p>
      <w:pPr>
        <w:spacing w:after="120" w:line="276" w:lineRule="auto"/>
      </w:pPr>
      <w:r>
        <w:t>Le **RSI** à 54,17 se situe en zone neutre, indiquant un équilibre entre pression acheteuse et vendeuse. Cette valeur ne montre ni surachat ni survente, laissant place à une possible poursuite du mouvement dans un sens ou dans l'autre. La décision neutre est cohérente avec l'absence de signal directionnel clair.</w:t>
      </w:r>
    </w:p>
    <w:p>
      <w:pPr>
        <w:spacing w:after="120" w:line="276" w:lineRule="auto"/>
      </w:pPr>
      <w:r>
        <w:t>Le **Stochastique** avec un %K à 21,43 et un %D à 17,42 indique que le titre évolue près de la zone de survente. Bien que les deux lignes soient orientées à la baisse, cette configuration suggère un potentiel de rebond technique si les conditions de marché s'améliorent. La décision neutre reflète l'attente d'une confirmation de retournement.</w:t>
      </w:r>
    </w:p>
    <w:p>
      <w:pPr>
        <w:spacing w:after="120" w:line="276" w:lineRule="auto"/>
      </w:pPr>
      <w:r>
        <w:t>En conclusion technique, les signaux sont mitigés : la tendance de fond reste baissière selon les moyennes mobiles, mais le MACD montre des signes d'essoufflement de la pression vendeuse. Le RSI et le Stochastique, en zone neutre ou proche de la survente, suggèrent un potentiel de stabilisation. L'ensemble indique une phase de transition où un rebond technique est possible, mais sans confirmation franche d'un retournement de tendance majeur.</w:t>
      </w:r>
    </w:p>
    <w:p>
      <w:pPr>
        <w:spacing w:after="120" w:line="276" w:lineRule="auto" w:before="240"/>
      </w:pPr>
      <w:r>
        <w:rPr>
          <w:b/>
          <w:color w:val="003366"/>
          <w:sz w:val="24"/>
        </w:rPr>
        <w:t>**PARTIE 3 : ANALYSE FONDAMENTALE (SECTION CRITIQUE)**</w:t>
      </w:r>
    </w:p>
    <w:p>
      <w:pPr>
        <w:spacing w:after="120" w:line="276" w:lineRule="auto"/>
      </w:pPr>
      <w:r>
        <w:t>En 2025, selon les données structurées officielles, CABC (entreprise industrielle) a réalisé un chiffre d'affaires de 21,263 milliards FCFA, en croissance de 11,2% par rapport à 2024 (19,125 milliards FCFA). Le résultat net s'établit à 1,439 milliard FCFA, contre 1,375 milliard en 2024, soit une progression de 4,7%. La rentabilité des fonds propres (ROE) atteint un excellent niveau de 15,4%, tandis que le ROA s'établit à 6,1%. La marge nette ressort à 6,8%. Cependant, l'analyse révèle des tensions de trésorerie : le BFR s'élève à 7,186 milliards FCFA, avec des délais clients très élevés de 144,7 jours et une durée de stockage de 152,1 jours, reflétant un besoin en fonds de roulement important. Le flux opérationnel est négatif à -819,66 millions FCFA, et le free cash flow à -982,71 millions FCFA. Les rapports trimestriels 2025 confirment cette dynamique : le S1 2025 affichait un résultat net de 851,5 millions FCFA (+55,3%), et le T3 2025 un résultat net cumulé de 1 329,5 millions FCFA (+26%). Sur la base de ces tendances, on estime que l'exercice 2025 devrait confirmer une croissance soutenue du CA, mais avec une pression sur les marges opérationnelles. Le rapport annuel certifié 2024 (publié en 2025) soulignait déjà une hausse des provisions et des charges fiscales. La solidité financière reste correcte avec une autonomie financière de 39,6% et une trésorerie active de 5,139 milliards FCFA, mais la gestion du BFR et des créances clients constitue un enjeu majeur pour préserver la liquidité.</w:t>
      </w:r>
    </w:p>
    <w:p>
      <w:pPr>
        <w:spacing w:after="120" w:line="276" w:lineRule="auto" w:before="240"/>
      </w:pPr>
      <w:r>
        <w:rPr>
          <w:b/>
          <w:color w:val="003366"/>
          <w:sz w:val="24"/>
        </w:rPr>
        <w:t>**PARTIE 4 : CONCLUSION D'INVESTISSEMENT**</w:t>
      </w:r>
    </w:p>
    <w:p>
      <w:pPr>
        <w:spacing w:after="120" w:line="276" w:lineRule="auto"/>
      </w:pPr>
      <w:r>
        <w:t>La valorisation actuelle de CABC (PER 14,6x, P/B 2,24x) apparaît exigeante au regard des bénéfices actuels, mais intègre un potentiel de croissance. Le comportement du cours sur 100 jours est préoccupant avec une baisse de 18,43%, une volatilité annualisée très élevée de 49% et une asymétrie négative des rendements. Les signaux techniques sont mitigés : la tendance baissière des moyennes mobiles contraste avec les premiers signes d'essoufflement baissier du MACD et un RSI neutre. Fondamentalement, l'entreprise affiche une croissance solide du CA (+11,2% en 2025) et une rentabilité correcte (ROE 15,4%), mais souffre de tensions de trésorerie liées à un BFR élevé. Les prédictions IA pour les 10 prochains jours (3 702 à 4 480 FCFA) suggèrent un rebond technique significatif de +4,6% à +26,6%, contredisant la tendance récente mais s'alignant sur les signaux de retournement technique. La convergence entre les fondamentaux en amélioration, les signaux techniques de fin de baisse et les prédictions IA haussières conduit à une recommandation **CONSERVER** avec un biais positif. Le niveau de confiance est **Moyen** en raison de la volatilité élevée et des incertitudes sur la gestion du BFR. Le risque global est **Élevé**. L'horizon d'investissement optimal serait de **moyen terme (3-12 mois)**, en attendant une confirmation du retournement technique et une amélioration visible de la génération de trésorerie opérationnelle.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1070.40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1,473 titres</w:t>
            </w:r>
          </w:p>
        </w:tc>
        <w:tc>
          <w:tcPr>
            <w:tcW w:type="dxa" w:w="2268"/>
            <w:shd w:fill="FFF2CC" w:val="clear"/>
          </w:tcPr>
          <w:p>
            <w:r>
              <w:rPr>
                <w:b/>
                <w:color w:val="503200"/>
                <w:sz w:val="16"/>
              </w:rPr>
              <w:t xml:space="preserve">Cours actuel : </w:t>
            </w:r>
            <w:r>
              <w:rPr>
                <w:color w:val="000000"/>
                <w:sz w:val="17"/>
              </w:rPr>
              <w:t>33,450 FCFA</w:t>
            </w:r>
          </w:p>
          <w:p>
            <w:r>
              <w:rPr>
                <w:b/>
                <w:color w:val="503200"/>
                <w:sz w:val="16"/>
              </w:rPr>
              <w:t xml:space="preserve">Var. 100 jours : </w:t>
            </w:r>
            <w:r>
              <w:rPr>
                <w:b/>
                <w:color w:val="007800"/>
                <w:sz w:val="17"/>
              </w:rPr>
              <w:t>+120.07%</w:t>
            </w:r>
          </w:p>
          <w:p>
            <w:r>
              <w:rPr>
                <w:b/>
                <w:color w:val="503200"/>
                <w:sz w:val="16"/>
              </w:rPr>
              <w:t xml:space="preserve">Plus haut 100j : </w:t>
            </w:r>
            <w:r>
              <w:rPr>
                <w:color w:val="000000"/>
                <w:sz w:val="17"/>
              </w:rPr>
              <w:t>33,450 FCFA</w:t>
            </w:r>
          </w:p>
          <w:p>
            <w:r>
              <w:rPr>
                <w:b/>
                <w:color w:val="503200"/>
                <w:sz w:val="16"/>
              </w:rPr>
              <w:t xml:space="preserve">Plus bas 100j : </w:t>
            </w:r>
            <w:r>
              <w:rPr>
                <w:color w:val="000000"/>
                <w:sz w:val="17"/>
              </w:rPr>
              <w:t>15,200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21.65% (Élevée) — μ=23,514 FCFA, σ=5,091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β=0.7840 (Défensif) — Cov=0.000029, Var(idx)=0.000037, ρ=0.178,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30,065</w:t>
            </w:r>
          </w:p>
        </w:tc>
        <w:tc>
          <w:tcPr>
            <w:tcW w:type="dxa" w:w="1440"/>
            <w:shd w:fill="FFDCE0" w:val="clear"/>
          </w:tcPr>
          <w:p>
            <w:r>
              <w:rPr>
                <w:b/>
                <w:sz w:val="17"/>
              </w:rPr>
              <w:t>30,941</w:t>
            </w:r>
          </w:p>
        </w:tc>
        <w:tc>
          <w:tcPr>
            <w:tcW w:type="dxa" w:w="1440"/>
            <w:shd w:fill="FFDCE0" w:val="clear"/>
          </w:tcPr>
          <w:p>
            <w:r>
              <w:rPr>
                <w:sz w:val="17"/>
              </w:rPr>
              <w:t>31,818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27,474</w:t>
            </w:r>
          </w:p>
        </w:tc>
        <w:tc>
          <w:tcPr>
            <w:tcW w:type="dxa" w:w="1440"/>
            <w:shd w:fill="FFDCE0" w:val="clear"/>
          </w:tcPr>
          <w:p>
            <w:r>
              <w:rPr>
                <w:b/>
                <w:sz w:val="17"/>
              </w:rPr>
              <w:t>28,621</w:t>
            </w:r>
          </w:p>
        </w:tc>
        <w:tc>
          <w:tcPr>
            <w:tcW w:type="dxa" w:w="1440"/>
            <w:shd w:fill="FFDCE0" w:val="clear"/>
          </w:tcPr>
          <w:p>
            <w:r>
              <w:rPr>
                <w:sz w:val="17"/>
              </w:rPr>
              <w:t>29,767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25,175</w:t>
            </w:r>
          </w:p>
        </w:tc>
        <w:tc>
          <w:tcPr>
            <w:tcW w:type="dxa" w:w="1440"/>
            <w:shd w:fill="FFDCE0" w:val="clear"/>
          </w:tcPr>
          <w:p>
            <w:r>
              <w:rPr>
                <w:b/>
                <w:sz w:val="17"/>
              </w:rPr>
              <w:t>26,474</w:t>
            </w:r>
          </w:p>
        </w:tc>
        <w:tc>
          <w:tcPr>
            <w:tcW w:type="dxa" w:w="1440"/>
            <w:shd w:fill="FFDCE0" w:val="clear"/>
          </w:tcPr>
          <w:p>
            <w:r>
              <w:rPr>
                <w:sz w:val="17"/>
              </w:rPr>
              <w:t>27,773</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23,101</w:t>
            </w:r>
          </w:p>
        </w:tc>
        <w:tc>
          <w:tcPr>
            <w:tcW w:type="dxa" w:w="1440"/>
            <w:shd w:fill="FFDCE0" w:val="clear"/>
          </w:tcPr>
          <w:p>
            <w:r>
              <w:rPr>
                <w:b/>
                <w:sz w:val="17"/>
              </w:rPr>
              <w:t>24,489</w:t>
            </w:r>
          </w:p>
        </w:tc>
        <w:tc>
          <w:tcPr>
            <w:tcW w:type="dxa" w:w="1440"/>
            <w:shd w:fill="FFDCE0" w:val="clear"/>
          </w:tcPr>
          <w:p>
            <w:r>
              <w:rPr>
                <w:sz w:val="17"/>
              </w:rPr>
              <w:t>25,876</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21,217</w:t>
            </w:r>
          </w:p>
        </w:tc>
        <w:tc>
          <w:tcPr>
            <w:tcW w:type="dxa" w:w="1440"/>
            <w:shd w:fill="FFDCE0" w:val="clear"/>
          </w:tcPr>
          <w:p>
            <w:r>
              <w:rPr>
                <w:b/>
                <w:sz w:val="17"/>
              </w:rPr>
              <w:t>22,652</w:t>
            </w:r>
          </w:p>
        </w:tc>
        <w:tc>
          <w:tcPr>
            <w:tcW w:type="dxa" w:w="1440"/>
            <w:shd w:fill="FFDCE0" w:val="clear"/>
          </w:tcPr>
          <w:p>
            <w:r>
              <w:rPr>
                <w:sz w:val="17"/>
              </w:rPr>
              <w:t>24,087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19,499</w:t>
            </w:r>
          </w:p>
        </w:tc>
        <w:tc>
          <w:tcPr>
            <w:tcW w:type="dxa" w:w="1440"/>
            <w:shd w:fill="FFDCE0" w:val="clear"/>
          </w:tcPr>
          <w:p>
            <w:r>
              <w:rPr>
                <w:b/>
                <w:sz w:val="17"/>
              </w:rPr>
              <w:t>20,953</w:t>
            </w:r>
          </w:p>
        </w:tc>
        <w:tc>
          <w:tcPr>
            <w:tcW w:type="dxa" w:w="1440"/>
            <w:shd w:fill="FFDCE0" w:val="clear"/>
          </w:tcPr>
          <w:p>
            <w:r>
              <w:rPr>
                <w:sz w:val="17"/>
              </w:rPr>
              <w:t>22,407</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17,929</w:t>
            </w:r>
          </w:p>
        </w:tc>
        <w:tc>
          <w:tcPr>
            <w:tcW w:type="dxa" w:w="1440"/>
            <w:shd w:fill="FFDCE0" w:val="clear"/>
          </w:tcPr>
          <w:p>
            <w:r>
              <w:rPr>
                <w:b/>
                <w:sz w:val="17"/>
              </w:rPr>
              <w:t>19,382</w:t>
            </w:r>
          </w:p>
        </w:tc>
        <w:tc>
          <w:tcPr>
            <w:tcW w:type="dxa" w:w="1440"/>
            <w:shd w:fill="FFDCE0" w:val="clear"/>
          </w:tcPr>
          <w:p>
            <w:r>
              <w:rPr>
                <w:sz w:val="17"/>
              </w:rPr>
              <w:t>20,834</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17,091</w:t>
            </w:r>
          </w:p>
        </w:tc>
        <w:tc>
          <w:tcPr>
            <w:tcW w:type="dxa" w:w="1440"/>
            <w:shd w:fill="FFDCE0" w:val="clear"/>
          </w:tcPr>
          <w:p>
            <w:r>
              <w:rPr>
                <w:b/>
                <w:sz w:val="17"/>
              </w:rPr>
              <w:t>18,580</w:t>
            </w:r>
          </w:p>
        </w:tc>
        <w:tc>
          <w:tcPr>
            <w:tcW w:type="dxa" w:w="1440"/>
            <w:shd w:fill="FFDCE0" w:val="clear"/>
          </w:tcPr>
          <w:p>
            <w:r>
              <w:rPr>
                <w:sz w:val="17"/>
              </w:rPr>
              <w:t>20,069</w:t>
            </w:r>
          </w:p>
        </w:tc>
        <w:tc>
          <w:tcPr>
            <w:tcW w:type="dxa" w:w="1440"/>
            <w:shd w:fill="FFDCE0" w:val="clear"/>
          </w:tcPr>
          <w:p>
            <w:r>
              <w:rPr>
                <w:b/>
                <w:color w:val="C00000"/>
                <w:sz w:val="17"/>
              </w:rPr>
              <w:t>-44.5%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16,606</w:t>
            </w:r>
          </w:p>
        </w:tc>
        <w:tc>
          <w:tcPr>
            <w:tcW w:type="dxa" w:w="1440"/>
            <w:shd w:fill="FFDCE0" w:val="clear"/>
          </w:tcPr>
          <w:p>
            <w:r>
              <w:rPr>
                <w:b/>
                <w:sz w:val="17"/>
              </w:rPr>
              <w:t>18,149</w:t>
            </w:r>
          </w:p>
        </w:tc>
        <w:tc>
          <w:tcPr>
            <w:tcW w:type="dxa" w:w="1440"/>
            <w:shd w:fill="FFDCE0" w:val="clear"/>
          </w:tcPr>
          <w:p>
            <w:r>
              <w:rPr>
                <w:sz w:val="17"/>
              </w:rPr>
              <w:t>19,691</w:t>
            </w:r>
          </w:p>
        </w:tc>
        <w:tc>
          <w:tcPr>
            <w:tcW w:type="dxa" w:w="1440"/>
            <w:shd w:fill="FFDCE0" w:val="clear"/>
          </w:tcPr>
          <w:p>
            <w:r>
              <w:rPr>
                <w:b/>
                <w:color w:val="C00000"/>
                <w:sz w:val="17"/>
              </w:rPr>
              <w:t>-45.7%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16,167</w:t>
            </w:r>
          </w:p>
        </w:tc>
        <w:tc>
          <w:tcPr>
            <w:tcW w:type="dxa" w:w="1440"/>
            <w:shd w:fill="FFDCE0" w:val="clear"/>
          </w:tcPr>
          <w:p>
            <w:r>
              <w:rPr>
                <w:b/>
                <w:sz w:val="17"/>
              </w:rPr>
              <w:t>17,758</w:t>
            </w:r>
          </w:p>
        </w:tc>
        <w:tc>
          <w:tcPr>
            <w:tcW w:type="dxa" w:w="1440"/>
            <w:shd w:fill="FFDCE0" w:val="clear"/>
          </w:tcPr>
          <w:p>
            <w:r>
              <w:rPr>
                <w:sz w:val="17"/>
              </w:rPr>
              <w:t>19,348</w:t>
            </w:r>
          </w:p>
        </w:tc>
        <w:tc>
          <w:tcPr>
            <w:tcW w:type="dxa" w:w="1440"/>
            <w:shd w:fill="FFDCE0" w:val="clear"/>
          </w:tcPr>
          <w:p>
            <w:r>
              <w:rPr>
                <w:b/>
                <w:color w:val="C00000"/>
                <w:sz w:val="17"/>
              </w:rPr>
              <w:t>-46.9%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BF)**</w:t>
        <w:br/>
        <w:t>**Date du rapport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1 070,40 milliards FCFA, un niveau qui la positionne comme l'une des valeurs les plus lourdes et les plus liquides de la BRVM, reflétant la confiance des investisseurs institutionnels. Avec un BPA de 2 047 FCFA, chaque action génère un bénéfice substantiel, mais le PER de 16,3x indique que le marché valorise ce titre nettement au-dessus de la moyenne historique de la place (8-12x). Ce ratio suggère que les investisseurs intègrent déjà une forte croissance future des bénéfices, rendant le titre exigeant en termes de multiples. L'EV/EBITDA de 12,1x, bien que dans la fourchette haute (10-15x), confirme une valorisation qui n'est pas bon marché, mais qui reste justifiable pour un actif de cette qualité dans un environnement de taux bas. Le ratio P/B n'est pas disponible, mais l'analyse des capitaux propres (estimés via les rapports) suggère que le titre se négocie à un multiple élevé de sa valeur comptable, soulignant une prime de croissance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connu une progression spectaculaire de +120,07%, passant d'un plus bas de 15 200 FCFA à un plus haut historique de 33 450 FCFA, avec une dernière séance en hausse de +1,06%. Cette tendance fortement haussière s'est accompagnée d'un volume moyen modeste de 1 473 titres par jour, suggérant que la hausse est portée par une offre limitée plutôt qu'un afflux massif de capitaux. Les statistiques descriptives révèlent une moyenne de 23 514 FCFA et une médiane de 22 140 FCFA, l'écart entre les deux indiquant une distribution asymétrique vers le haut. L'écart-type de 5 116 FCFA (CV=21,8%) montre une dispersion modérée, tandis que le kurtosis de -1,220 (platykurtique) indique une distribution aplatie avec un faible risque de variations extrêmes. Le skewness de -0,068 confirme une symétrie quasi parfaite. La volatilité annualisée de 42,5% classe le titre comme très volatil, un niveau élevé qui reflète le fort momentum haussier mais aussi un risque de retournement brutal.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33 450 FCFA se situe nettement au-dessus de la MM20 (29 643 FCFA) et de la MM50 (27 903 FCFA), confirmant une dynamique haussière solide à court et moyen terme. La configuration en "courbe ascendante" des moyennes mobiles valide la tendance haussière, et la décision d'achat est cohérente avec cette structure technique.</w:t>
      </w:r>
    </w:p>
    <w:p>
      <w:pPr>
        <w:spacing w:after="120" w:line="276" w:lineRule="auto"/>
      </w:pPr>
      <w:r>
        <w:t>**Bandes de Bollinger** : Le cours évolue au-dessus de la borne supérieure (32 798 FCFA), ce qui indique une condition de surachat extrême. Cette sortie de canal suggère une volatilité accrue et un écart temporaire par rapport à la moyenne mobile, justifiant la décision de vente. Historiquement, un tel dépassement précède souvent une phase de consolidation ou de correction.</w:t>
      </w:r>
    </w:p>
    <w:p>
      <w:pPr>
        <w:spacing w:after="120" w:line="276" w:lineRule="auto"/>
      </w:pPr>
      <w:r>
        <w:t>**MACD** : Le MACD (1 292,92) est nettement supérieur à sa ligne de signal (922,49), confirmant un momentum haussier puissant. La divergence positive et l'écart croissant entre les deux lignes indiquent une accélération de la tendance, bien que la décision d'achat doive être nuancée par le risque de saturation à ces niveaux extrêmes.</w:t>
      </w:r>
    </w:p>
    <w:p>
      <w:pPr>
        <w:spacing w:after="120" w:line="276" w:lineRule="auto"/>
      </w:pPr>
      <w:r>
        <w:t>**RSI** : À 81,58, le RSI est profondément en zone de surachat (&gt;70), signalant que le titre est techniquement surévalué à court terme. Cette lecture justifie la décision de vente, car elle suggère une probabilité élevée de correction ou de consolidation dans les prochaines séances.</w:t>
      </w:r>
    </w:p>
    <w:p>
      <w:pPr>
        <w:spacing w:after="120" w:line="276" w:lineRule="auto"/>
      </w:pPr>
      <w:r>
        <w:t>**Stochastique** : Le %K et le %D sont tous deux à 100,0, un niveau extrême qui indique une condition de surachat sévère. Ce plateau reflète une pression d'achat excessive qui ne peut pas se maintenir durablement, renforçant la décision de vente.</w:t>
      </w:r>
    </w:p>
    <w:p>
      <w:pPr>
        <w:spacing w:after="120" w:line="276" w:lineRule="auto"/>
      </w:pPr>
      <w:r>
        <w:t>**Conclusion technique** : Les indicateurs de tendance (MM, MACD) sont positifs, mais les oscillateurs (RSI, Stochastique, Bollinger) signalent tous un surachat extrême. Cette divergence entre la tendance et le momentum suggère un risque élevé de correction technique à court terme, bien que la tendance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En 2025, CBIBF a démontré une performance financière remarquable, avec un Produit Net Bancaire (PNB) de 138,986 milliards FCFA, en croissance de 6,1% par rapport à 2024. Le résultat net a bondi de 36,6% pour atteindre 65,495 milliards FCFA, porté par une amélioration significative du coût du risque qui a chuté de 59,3% à 16,5 milliards FCFA. Le coefficient d'exploitation de 36,4% témoigne d'une excellente maîtrise des charges, bien en dessous du seuil d'efficacité de 60%. La marge nette de 47,1% et le ROA de 2,18% confirment une rentabilité solide, tandis que les dépôts clients ont progressé de 14,9% à 2 015 milliards FCFA, contre une hausse plus modérée des crédits de 5,4% à 1 327 milliards FCFA, illustrant une politique de prêt prudente. Les rapports trimestriels 2025 montrent une dynamique positive : le T3 2025 (PNB de 101,3 milliards, +9,65%) et le T1 2026 (PNB de 36,8 milliards, +28,5%, résultat net de 21,5 milliards, +22,2%) confirment une accélération de la croissance. Sur la base du T1 2026, on estime que l'exercice 2026 pourrait voir un PNB dépasser les 160 milliards FCFA et un résultat net supérieur à 80 milliards FCFA, soit une croissance de plus de 20%. La banque maintient une notation AA/AI avec perspective stable, et son ratio de transformation (dépôts/crédits) de 65,8% indique une gestion prudente du risque. La recommandation fondamentale est un **ACHAT**, soutenue par la solidité du bilan, la croissance soutenue et l'amélioration continue de la qualité des actifs.</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contrastée. La valorisation (PER de 16,3x) est exigeante mais justifiable par la forte croissance des bénéfices, tandis que le comportement du cours (+120% en 100 jours) montre un momentum exceptionnel, bien que la volatilité de 42,5% et le kurtosis platykurtique suggèrent un risque de correction. Les signaux techniques sont partagés : la tendance (MM, MACD) est haussière, mais les oscillateurs (RSI à 81,6, Stochastique à 100) indiquent un surachat extrême, signalant un risque de consolidation à court terme. Les fondamentaux, eux, sont excellents avec une croissance du résultat net de 36,6% en 2025 et des perspectives 2026 estimées à plus de 20% de croissance. Les prédictions IA (J+1 à J+10) montrent une trajectoire baissière de 33 450 à 22 652 FCFA, contredisant la tendance actuelle et confirmant le risque de correction technique. En conséquence, la recommandation finale est **CONSERVER** pour les investisseurs existants, avec un niveau de confiance **Moyen** et un risque global **Élevé** à court terme. Pour les nouveaux investisseurs, il est conseillé d'attendre un repli vers les 28 000-29 000 FCFA (MM20) pour initier une position. L'horizon d'investissement optimal est le **moyen terme (3-12 mois)**, permettant d'absorber une éventuelle correction technique tout en bénéficiant de la solidité fondamentale de la banque et de sa dynamique de croissance régionale.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316.49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3,622 titres</w:t>
            </w:r>
          </w:p>
        </w:tc>
        <w:tc>
          <w:tcPr>
            <w:tcW w:type="dxa" w:w="2268"/>
            <w:shd w:fill="FFF2CC" w:val="clear"/>
          </w:tcPr>
          <w:p>
            <w:r>
              <w:rPr>
                <w:b/>
                <w:color w:val="503200"/>
                <w:sz w:val="16"/>
              </w:rPr>
              <w:t xml:space="preserve">Cours actuel : </w:t>
            </w:r>
            <w:r>
              <w:rPr>
                <w:color w:val="000000"/>
                <w:sz w:val="17"/>
              </w:rPr>
              <w:t>1,745 FCFA</w:t>
            </w:r>
          </w:p>
          <w:p>
            <w:r>
              <w:rPr>
                <w:b/>
                <w:color w:val="503200"/>
                <w:sz w:val="16"/>
              </w:rPr>
              <w:t xml:space="preserve">Var. 100 jours : </w:t>
            </w:r>
            <w:r>
              <w:rPr>
                <w:b/>
                <w:color w:val="007800"/>
                <w:sz w:val="17"/>
              </w:rPr>
              <w:t>+6.40%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6.63% (Moyenne) — μ=1,613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β=1.0036 (Neutre (suit le marché)) — Cov=0.000038, Var(idx)=0.000037, ρ=0.198,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1,639</w:t>
            </w:r>
          </w:p>
        </w:tc>
        <w:tc>
          <w:tcPr>
            <w:tcW w:type="dxa" w:w="1440"/>
            <w:shd w:fill="FFDCE0" w:val="clear"/>
          </w:tcPr>
          <w:p>
            <w:r>
              <w:rPr>
                <w:b/>
                <w:sz w:val="17"/>
              </w:rPr>
              <w:t>1,698</w:t>
            </w:r>
          </w:p>
        </w:tc>
        <w:tc>
          <w:tcPr>
            <w:tcW w:type="dxa" w:w="1440"/>
            <w:shd w:fill="FFDCE0" w:val="clear"/>
          </w:tcPr>
          <w:p>
            <w:r>
              <w:rPr>
                <w:sz w:val="17"/>
              </w:rPr>
              <w:t>1,757</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1,594</w:t>
            </w:r>
          </w:p>
        </w:tc>
        <w:tc>
          <w:tcPr>
            <w:tcW w:type="dxa" w:w="1440"/>
            <w:shd w:fill="FFDCE0" w:val="clear"/>
          </w:tcPr>
          <w:p>
            <w:r>
              <w:rPr>
                <w:b/>
                <w:sz w:val="17"/>
              </w:rPr>
              <w:t>1,676</w:t>
            </w:r>
          </w:p>
        </w:tc>
        <w:tc>
          <w:tcPr>
            <w:tcW w:type="dxa" w:w="1440"/>
            <w:shd w:fill="FFDCE0" w:val="clear"/>
          </w:tcPr>
          <w:p>
            <w:r>
              <w:rPr>
                <w:sz w:val="17"/>
              </w:rPr>
              <w:t>1,758</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1,552</w:t>
            </w:r>
          </w:p>
        </w:tc>
        <w:tc>
          <w:tcPr>
            <w:tcW w:type="dxa" w:w="1440"/>
            <w:shd w:fill="FFDCE0" w:val="clear"/>
          </w:tcPr>
          <w:p>
            <w:r>
              <w:rPr>
                <w:b/>
                <w:sz w:val="17"/>
              </w:rPr>
              <w:t>1,651</w:t>
            </w:r>
          </w:p>
        </w:tc>
        <w:tc>
          <w:tcPr>
            <w:tcW w:type="dxa" w:w="1440"/>
            <w:shd w:fill="FFDCE0" w:val="clear"/>
          </w:tcPr>
          <w:p>
            <w:r>
              <w:rPr>
                <w:sz w:val="17"/>
              </w:rPr>
              <w:t>1,750</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1,513</w:t>
            </w:r>
          </w:p>
        </w:tc>
        <w:tc>
          <w:tcPr>
            <w:tcW w:type="dxa" w:w="1440"/>
            <w:shd w:fill="FFDCE0" w:val="clear"/>
          </w:tcPr>
          <w:p>
            <w:r>
              <w:rPr>
                <w:b/>
                <w:sz w:val="17"/>
              </w:rPr>
              <w:t>1,626</w:t>
            </w:r>
          </w:p>
        </w:tc>
        <w:tc>
          <w:tcPr>
            <w:tcW w:type="dxa" w:w="1440"/>
            <w:shd w:fill="FFDCE0" w:val="clear"/>
          </w:tcPr>
          <w:p>
            <w:r>
              <w:rPr>
                <w:sz w:val="17"/>
              </w:rPr>
              <w:t>1,739</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1,477</w:t>
            </w:r>
          </w:p>
        </w:tc>
        <w:tc>
          <w:tcPr>
            <w:tcW w:type="dxa" w:w="1440"/>
            <w:shd w:fill="FFDCE0" w:val="clear"/>
          </w:tcPr>
          <w:p>
            <w:r>
              <w:rPr>
                <w:b/>
                <w:sz w:val="17"/>
              </w:rPr>
              <w:t>1,602</w:t>
            </w:r>
          </w:p>
        </w:tc>
        <w:tc>
          <w:tcPr>
            <w:tcW w:type="dxa" w:w="1440"/>
            <w:shd w:fill="FFDCE0" w:val="clear"/>
          </w:tcPr>
          <w:p>
            <w:r>
              <w:rPr>
                <w:sz w:val="17"/>
              </w:rPr>
              <w:t>1,726</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1,444</w:t>
            </w:r>
          </w:p>
        </w:tc>
        <w:tc>
          <w:tcPr>
            <w:tcW w:type="dxa" w:w="1440"/>
            <w:shd w:fill="FFDCE0" w:val="clear"/>
          </w:tcPr>
          <w:p>
            <w:r>
              <w:rPr>
                <w:b/>
                <w:sz w:val="17"/>
              </w:rPr>
              <w:t>1,578</w:t>
            </w:r>
          </w:p>
        </w:tc>
        <w:tc>
          <w:tcPr>
            <w:tcW w:type="dxa" w:w="1440"/>
            <w:shd w:fill="FFDCE0" w:val="clear"/>
          </w:tcPr>
          <w:p>
            <w:r>
              <w:rPr>
                <w:sz w:val="17"/>
              </w:rPr>
              <w:t>1,712</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1,412</w:t>
            </w:r>
          </w:p>
        </w:tc>
        <w:tc>
          <w:tcPr>
            <w:tcW w:type="dxa" w:w="1440"/>
            <w:shd w:fill="FFDCE0" w:val="clear"/>
          </w:tcPr>
          <w:p>
            <w:r>
              <w:rPr>
                <w:b/>
                <w:sz w:val="17"/>
              </w:rPr>
              <w:t>1,555</w:t>
            </w:r>
          </w:p>
        </w:tc>
        <w:tc>
          <w:tcPr>
            <w:tcW w:type="dxa" w:w="1440"/>
            <w:shd w:fill="FFDCE0" w:val="clear"/>
          </w:tcPr>
          <w:p>
            <w:r>
              <w:rPr>
                <w:sz w:val="17"/>
              </w:rPr>
              <w:t>1,698</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1,382</w:t>
            </w:r>
          </w:p>
        </w:tc>
        <w:tc>
          <w:tcPr>
            <w:tcW w:type="dxa" w:w="1440"/>
            <w:shd w:fill="FFDCE0" w:val="clear"/>
          </w:tcPr>
          <w:p>
            <w:r>
              <w:rPr>
                <w:b/>
                <w:sz w:val="17"/>
              </w:rPr>
              <w:t>1,532</w:t>
            </w:r>
          </w:p>
        </w:tc>
        <w:tc>
          <w:tcPr>
            <w:tcW w:type="dxa" w:w="1440"/>
            <w:shd w:fill="FFDCE0" w:val="clear"/>
          </w:tcPr>
          <w:p>
            <w:r>
              <w:rPr>
                <w:sz w:val="17"/>
              </w:rPr>
              <w:t>1,682</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1,353</w:t>
            </w:r>
          </w:p>
        </w:tc>
        <w:tc>
          <w:tcPr>
            <w:tcW w:type="dxa" w:w="1440"/>
            <w:shd w:fill="FFDCE0" w:val="clear"/>
          </w:tcPr>
          <w:p>
            <w:r>
              <w:rPr>
                <w:b/>
                <w:sz w:val="17"/>
              </w:rPr>
              <w:t>1,510</w:t>
            </w:r>
          </w:p>
        </w:tc>
        <w:tc>
          <w:tcPr>
            <w:tcW w:type="dxa" w:w="1440"/>
            <w:shd w:fill="FFDCE0" w:val="clear"/>
          </w:tcPr>
          <w:p>
            <w:r>
              <w:rPr>
                <w:sz w:val="17"/>
              </w:rPr>
              <w:t>1,667</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1,325</w:t>
            </w:r>
          </w:p>
        </w:tc>
        <w:tc>
          <w:tcPr>
            <w:tcW w:type="dxa" w:w="1440"/>
            <w:shd w:fill="FFDCE0" w:val="clear"/>
          </w:tcPr>
          <w:p>
            <w:r>
              <w:rPr>
                <w:b/>
                <w:sz w:val="17"/>
              </w:rPr>
              <w:t>1,488</w:t>
            </w:r>
          </w:p>
        </w:tc>
        <w:tc>
          <w:tcPr>
            <w:tcW w:type="dxa" w:w="1440"/>
            <w:shd w:fill="FFDCE0" w:val="clear"/>
          </w:tcPr>
          <w:p>
            <w:r>
              <w:rPr>
                <w:sz w:val="17"/>
              </w:rPr>
              <w:t>1,652</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316,49 milliards FCFA positionne CFAC comme une valeur de premier plan sur la BRVM, reflétant sa domination sur le marché automobile ivoirien. Avec un BPA de 26 FCFA, le PER de 67,4x est extrêmement élevé par rapport à la moyenne historique de la BRVM (8-12x), indiquant que le marché intègre des attentes de croissance très ambitieuses ou une prime de rareté. Le P/B de 16,27x confirme cette valorisation exigeante, le marché payant plus de 16 fois la valeur comptable des actifs, ce qui est caractéristique des valeurs de croissance. Enfin, l'EV/EBITDA de 34,3x, bien supérieur au seuil de 15x, suggère que la valeur d'entreprise intègre une rentabilité opérationnelle future nettement supérieure aux niveaux actuels. Ces ratios combinés signalent une décote ou une surcote significative qui nécessite une analyse approfondie des fondamentaux pour être justifiée.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de +6,40%, avec une légère correction de -0,57% lors de la dernière séance, s'établissant à 1 745 FCFA. Le cours a évolué dans une fourchette de 1 325 à 1 825 FCFA, démontrant une amplitude de 500 FCFA (environ 37,7% du plus bas), ce qui témoigne d'une volatilité intra-période notable. La moyenne de 1 613 FCFA, proche de la médiane de 1 602 FCFA, indique une distribution relativement symétrique des prix, confirmée par un skewness de -0,374. L'écart-type de 107 FCFA (CV = 6,7%) révèle une dispersion modérée autour de la moyenne, tandis que le kurtosis de -0,340 (mésokurtique) suggère l'absence de pics extrêmes ou de queues épaisses dans la distribution. La volatilité annualisée de 48,9% est élevée (&gt;30%), signalant un risque de marché substantiel pour les investisseurs, cohérent avec la nature cyclique du secteur automobile.</w:t>
      </w:r>
    </w:p>
    <w:p>
      <w:pPr>
        <w:spacing w:after="120" w:line="276" w:lineRule="auto" w:before="240"/>
      </w:pPr>
      <w:r>
        <w:rPr>
          <w:b/>
          <w:color w:val="003366"/>
          <w:sz w:val="24"/>
        </w:rPr>
        <w:t>**PARTIE 2 : ANALYSE TECHNIQUE DÉTAILLÉE**</w:t>
      </w:r>
    </w:p>
    <w:p>
      <w:pPr>
        <w:spacing w:after="120" w:line="276" w:lineRule="auto"/>
      </w:pPr>
      <w:r>
        <w:t>**Moyennes Mobiles** : Le cours actuel (1 745 FCFA) se positionne au-dessus de la MM20 (1 699,25 FCFA) et de la MM50 (1 679 FCFA), avec un écart positif de 2,7% et 3,9% respectivement. Cette configuration haussière, où le prix évolue au-dessus des deux moyennes, confirme une tendance de fond positive à court et moyen terme, justifiant la décision d'achat.</w:t>
      </w:r>
    </w:p>
    <w:p>
      <w:pPr>
        <w:spacing w:after="120" w:line="276" w:lineRule="auto"/>
      </w:pPr>
      <w:r>
        <w:t>**Bandes de Bollinger** : Le cours se situe à 1 745 FCFA, entre la borne inférieure (1 593,21 FCFA) et la borne supérieure (1 805,29 FCFA), plus précisément dans la moitié supérieure du canal. La largeur des bandes (212 FCFA) reflète une volatilité modérée, et la position du prix suggère un momentum positif sans atteindre la zone de surachat extrême, d'où la décision neutre.</w:t>
      </w:r>
    </w:p>
    <w:p>
      <w:pPr>
        <w:spacing w:after="120" w:line="276" w:lineRule="auto"/>
      </w:pPr>
      <w:r>
        <w:t>**MACD** : La valeur du MACD (23,364) est supérieure à son signal (19,21), avec un écart positif de 4,15 points. Cette configuration indique un momentum haussier en cours, le MACD étant au-dessus de sa ligne de signal, ce qui renforce la dynamique positive du titre et justifie la décision d'achat.</w:t>
      </w:r>
    </w:p>
    <w:p>
      <w:pPr>
        <w:spacing w:after="120" w:line="276" w:lineRule="auto"/>
      </w:pPr>
      <w:r>
        <w:t>**RSI** : Le RSI à 60,0 se situe dans la zone neutre (30-70), sans signal de surachat ni de survente. Cette valeur indique un équilibre entre pressions acheteuses et vendeuses, avec une légère prédominance acheteuse, mais sans excès, d'où la décision neutre.</w:t>
      </w:r>
    </w:p>
    <w:p>
      <w:pPr>
        <w:spacing w:after="120" w:line="276" w:lineRule="auto"/>
      </w:pPr>
      <w:r>
        <w:t>**Stochastique** : Le %K (87,879) et le %D (91,919) sont tous deux en zone de surachat (&gt;80), avec un %D supérieur au %K, indiquant un croisement baissier potentiel. Cette configuration signale un épuisement possible de la dynamique haussière à court terme, justifiant la décision de vente.</w:t>
      </w:r>
    </w:p>
    <w:p>
      <w:pPr>
        <w:spacing w:after="120" w:line="276" w:lineRule="auto"/>
      </w:pPr>
      <w:r>
        <w:t>**Conclusion technique** : Les indicateurs de tendance (MM, MACD) sont haussiers, tandis que les oscillateurs de momentum (RSI, Stochastique) montrent des signaux mitigés, avec le Stochastique en zone de surachat. Cette divergence suggère une consolidation potentielle à court terme avant une reprise de la tendance haussière, mais la prudence est de mise pour les entrées à court terme.</w:t>
      </w:r>
    </w:p>
    <w:p>
      <w:pPr>
        <w:spacing w:after="120" w:line="276" w:lineRule="auto" w:before="240"/>
      </w:pPr>
      <w:r>
        <w:rPr>
          <w:b/>
          <w:color w:val="003366"/>
          <w:sz w:val="24"/>
        </w:rPr>
        <w:t>**PARTIE 3 : ANALYSE FONDAMENTALE (SECTION CRITIQUE)**</w:t>
      </w:r>
    </w:p>
    <w:p>
      <w:pPr>
        <w:spacing w:after="120" w:line="276" w:lineRule="auto"/>
      </w:pPr>
      <w:r>
        <w:t>En 2024, CFAC a réalisé un chiffre d'affaires de 158,313 milliards FCFA, en baisse de -12,1% par rapport à 2023 (180,162 milliards), avec un résultat net de 4,693 milliards FCFA, en recul de -26,7%. Le ROE s'établit à 24,13%, un niveau excellent (&gt;15%), tandis que le ROA atteint 5,52%, démontrant une utilisation efficace des actifs. La marge nette de 2,96% et la marge opérationnelle de 4,96% reflètent une pression sur la rentabilité, principalement due à la baisse des volumes et à des difficultés logistiques. Le BFR négatif de -3,482 milliards FCFA est un point positif, indiquant une gestion efficace du cycle d'exploitation, avec un délai clients de 36,64 jours et un délai fournisseurs de 81,75 jours. Cependant, le free cash flow négatif de -1,650 milliard et la trésorerie nette de -624 millions FCFA signalent des tensions de liquidité. Les rapports trimestriels 2025 montrent un redressement spectaculaire : au T1 2025, le résultat net a bondi de 279,7% à 3,836 milliards, et au S1 2025, il atteint 5,420 milliards (+152,7%), avec une marge nette de 5,9%. Sur la base de ces tendances, on estime que l'exercice 2025 pourrait dépasser les 10 milliards de résultat net, soit un doublement par rapport à 2024, porté par une croissance du CA de +18,4% et une amélioration des marges.</w:t>
      </w:r>
    </w:p>
    <w:p>
      <w:pPr>
        <w:spacing w:after="120" w:line="276" w:lineRule="auto" w:before="240"/>
      </w:pPr>
      <w:r>
        <w:rPr>
          <w:b/>
          <w:color w:val="003366"/>
          <w:sz w:val="24"/>
        </w:rPr>
        <w:t>**PARTIE 4 : CONCLUSION D'INVESTISSEMENT**</w:t>
      </w:r>
    </w:p>
    <w:p>
      <w:pPr>
        <w:spacing w:after="120" w:line="276" w:lineRule="auto"/>
      </w:pPr>
      <w:r>
        <w:t>La valorisation de CFAC (PER 67,4x, P/B 16,27x, EV/EBITDA 34,3x) est extrêmement exigeante, suggérant une surévaluation par rapport aux fondamentaux actuels, mais intégrant potentiellement une forte croissance future. Le comportement du cours sur 100 jours (+6,40%) et la volatilité élevée (48,9%) indiquent un titre dynamique mais risqué, avec une distribution des prix relativement symétrique. Les signaux techniques sont mitigés : tendance haussière confirmée par les MM et le MACD, mais le Stochastique en surachat suggère une correction imminente. Les fondamentaux montrent un redressement spectaculaire en 2025, avec des résultats trimestriels en forte progression, mais le niveau de valorisation actuel semble déjà anticiper cette amélioration. Les prédictions IA (1 698 à 1 602 FCFA sur 10 jours) indiquent une baisse de -8,2%, contredisant les signaux techniques haussiers et suggérant une correction à court terme. En synthèse, la convergence entre la valorisation excessive, les signaux techniques mixtes et les prédictions IA baissières conduit à une recommandation **CONSERVER**, avec un niveau de confiance Moyen et un risque global Élevé. L'horizon d'investissement optimal serait à moyen terme (3-12 mois), en attendant une correction du cours pour entrer à des niveaux plus attractifs, ou une confirmation durable de la croissance des bénéfices pour justifier la prime actuelle.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6,324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+109.70%</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24.24% (Élevée) — μ=4,770 FCFA, σ=1,156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β=0.9383 (Neutre (suit le marché)) — Cov=0.000035, Var(idx)=0.000037, ρ=0.182,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5,861</w:t>
            </w:r>
          </w:p>
        </w:tc>
        <w:tc>
          <w:tcPr>
            <w:tcW w:type="dxa" w:w="1440"/>
            <w:shd w:fill="FFDCE0" w:val="clear"/>
          </w:tcPr>
          <w:p>
            <w:r>
              <w:rPr>
                <w:b/>
                <w:sz w:val="17"/>
              </w:rPr>
              <w:t>6,198</w:t>
            </w:r>
          </w:p>
        </w:tc>
        <w:tc>
          <w:tcPr>
            <w:tcW w:type="dxa" w:w="1440"/>
            <w:shd w:fill="FFDCE0" w:val="clear"/>
          </w:tcPr>
          <w:p>
            <w:r>
              <w:rPr>
                <w:sz w:val="17"/>
              </w:rPr>
              <w:t>6,534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5,292</w:t>
            </w:r>
          </w:p>
        </w:tc>
        <w:tc>
          <w:tcPr>
            <w:tcW w:type="dxa" w:w="1440"/>
            <w:shd w:fill="FFDCE0" w:val="clear"/>
          </w:tcPr>
          <w:p>
            <w:r>
              <w:rPr>
                <w:b/>
                <w:sz w:val="17"/>
              </w:rPr>
              <w:t>5,733</w:t>
            </w:r>
          </w:p>
        </w:tc>
        <w:tc>
          <w:tcPr>
            <w:tcW w:type="dxa" w:w="1440"/>
            <w:shd w:fill="FFDCE0" w:val="clear"/>
          </w:tcPr>
          <w:p>
            <w:r>
              <w:rPr>
                <w:sz w:val="17"/>
              </w:rPr>
              <w:t>6,173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4,804</w:t>
            </w:r>
          </w:p>
        </w:tc>
        <w:tc>
          <w:tcPr>
            <w:tcW w:type="dxa" w:w="1440"/>
            <w:shd w:fill="FFDCE0" w:val="clear"/>
          </w:tcPr>
          <w:p>
            <w:r>
              <w:rPr>
                <w:b/>
                <w:sz w:val="17"/>
              </w:rPr>
              <w:t>5,303</w:t>
            </w:r>
          </w:p>
        </w:tc>
        <w:tc>
          <w:tcPr>
            <w:tcW w:type="dxa" w:w="1440"/>
            <w:shd w:fill="FFDCE0" w:val="clear"/>
          </w:tcPr>
          <w:p>
            <w:r>
              <w:rPr>
                <w:sz w:val="17"/>
              </w:rPr>
              <w:t>5,802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4,372</w:t>
            </w:r>
          </w:p>
        </w:tc>
        <w:tc>
          <w:tcPr>
            <w:tcW w:type="dxa" w:w="1440"/>
            <w:shd w:fill="FFDCE0" w:val="clear"/>
          </w:tcPr>
          <w:p>
            <w:r>
              <w:rPr>
                <w:b/>
                <w:sz w:val="17"/>
              </w:rPr>
              <w:t>4,905</w:t>
            </w:r>
          </w:p>
        </w:tc>
        <w:tc>
          <w:tcPr>
            <w:tcW w:type="dxa" w:w="1440"/>
            <w:shd w:fill="FFDCE0" w:val="clear"/>
          </w:tcPr>
          <w:p>
            <w:r>
              <w:rPr>
                <w:sz w:val="17"/>
              </w:rPr>
              <w:t>5,438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3,986</w:t>
            </w:r>
          </w:p>
        </w:tc>
        <w:tc>
          <w:tcPr>
            <w:tcW w:type="dxa" w:w="1440"/>
            <w:shd w:fill="FFDCE0" w:val="clear"/>
          </w:tcPr>
          <w:p>
            <w:r>
              <w:rPr>
                <w:b/>
                <w:sz w:val="17"/>
              </w:rPr>
              <w:t>4,537</w:t>
            </w:r>
          </w:p>
        </w:tc>
        <w:tc>
          <w:tcPr>
            <w:tcW w:type="dxa" w:w="1440"/>
            <w:shd w:fill="FFDCE0" w:val="clear"/>
          </w:tcPr>
          <w:p>
            <w:r>
              <w:rPr>
                <w:sz w:val="17"/>
              </w:rPr>
              <w:t>5,088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3,639</w:t>
            </w:r>
          </w:p>
        </w:tc>
        <w:tc>
          <w:tcPr>
            <w:tcW w:type="dxa" w:w="1440"/>
            <w:shd w:fill="FFDCE0" w:val="clear"/>
          </w:tcPr>
          <w:p>
            <w:r>
              <w:rPr>
                <w:b/>
                <w:sz w:val="17"/>
              </w:rPr>
              <w:t>4,197</w:t>
            </w:r>
          </w:p>
        </w:tc>
        <w:tc>
          <w:tcPr>
            <w:tcW w:type="dxa" w:w="1440"/>
            <w:shd w:fill="FFDCE0" w:val="clear"/>
          </w:tcPr>
          <w:p>
            <w:r>
              <w:rPr>
                <w:sz w:val="17"/>
              </w:rPr>
              <w:t>4,755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3,324</w:t>
            </w:r>
          </w:p>
        </w:tc>
        <w:tc>
          <w:tcPr>
            <w:tcW w:type="dxa" w:w="1440"/>
            <w:shd w:fill="FFDCE0" w:val="clear"/>
          </w:tcPr>
          <w:p>
            <w:r>
              <w:rPr>
                <w:b/>
                <w:sz w:val="17"/>
              </w:rPr>
              <w:t>3,882</w:t>
            </w:r>
          </w:p>
        </w:tc>
        <w:tc>
          <w:tcPr>
            <w:tcW w:type="dxa" w:w="1440"/>
            <w:shd w:fill="FFDCE0" w:val="clear"/>
          </w:tcPr>
          <w:p>
            <w:r>
              <w:rPr>
                <w:sz w:val="17"/>
              </w:rPr>
              <w:t>4,440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3,039</w:t>
            </w:r>
          </w:p>
        </w:tc>
        <w:tc>
          <w:tcPr>
            <w:tcW w:type="dxa" w:w="1440"/>
            <w:shd w:fill="FFDCE0" w:val="clear"/>
          </w:tcPr>
          <w:p>
            <w:r>
              <w:rPr>
                <w:b/>
                <w:sz w:val="17"/>
              </w:rPr>
              <w:t>3,591</w:t>
            </w:r>
          </w:p>
        </w:tc>
        <w:tc>
          <w:tcPr>
            <w:tcW w:type="dxa" w:w="1440"/>
            <w:shd w:fill="FFDCE0" w:val="clear"/>
          </w:tcPr>
          <w:p>
            <w:r>
              <w:rPr>
                <w:sz w:val="17"/>
              </w:rPr>
              <w:t>4,143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2,780</w:t>
            </w:r>
          </w:p>
        </w:tc>
        <w:tc>
          <w:tcPr>
            <w:tcW w:type="dxa" w:w="1440"/>
            <w:shd w:fill="FFDCE0" w:val="clear"/>
          </w:tcPr>
          <w:p>
            <w:r>
              <w:rPr>
                <w:b/>
                <w:sz w:val="17"/>
              </w:rPr>
              <w:t>3,322</w:t>
            </w:r>
          </w:p>
        </w:tc>
        <w:tc>
          <w:tcPr>
            <w:tcW w:type="dxa" w:w="1440"/>
            <w:shd w:fill="FFDCE0" w:val="clear"/>
          </w:tcPr>
          <w:p>
            <w:r>
              <w:rPr>
                <w:sz w:val="17"/>
              </w:rPr>
              <w:t>3,863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2,674</w:t>
            </w:r>
          </w:p>
        </w:tc>
        <w:tc>
          <w:tcPr>
            <w:tcW w:type="dxa" w:w="1440"/>
            <w:shd w:fill="FFDCE0" w:val="clear"/>
          </w:tcPr>
          <w:p>
            <w:r>
              <w:rPr>
                <w:b/>
                <w:sz w:val="17"/>
              </w:rPr>
              <w:t>3,229</w:t>
            </w:r>
          </w:p>
        </w:tc>
        <w:tc>
          <w:tcPr>
            <w:tcW w:type="dxa" w:w="1440"/>
            <w:shd w:fill="FFDCE0" w:val="clear"/>
          </w:tcPr>
          <w:p>
            <w:r>
              <w:rPr>
                <w:sz w:val="17"/>
              </w:rPr>
              <w:t>3,783</w:t>
            </w:r>
          </w:p>
        </w:tc>
        <w:tc>
          <w:tcPr>
            <w:tcW w:type="dxa" w:w="1440"/>
            <w:shd w:fill="FFDCE0" w:val="clear"/>
          </w:tcPr>
          <w:p>
            <w:r>
              <w:rPr>
                <w:b/>
                <w:color w:val="C00000"/>
                <w:sz w:val="17"/>
              </w:rPr>
              <w:t>-51.8%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375,20 milliards FCFA, un niveau qui la positionne parmi les valeurs moyennes à grandes capitalisations de la BRVM, reflétant l'intérêt croissant des investisseurs pour le secteur de l'électricité en Côte d'Ivoire. Avec un BPA de 234 FCFA, chaque action génère un bénéfice substantiel, mais le PER de 28,6x indique que les investisseurs paient une prime significative par rapport à la moyenne du marché BRVM (8-12x), suggérant des attentes de croissance élevées ou une possible surévaluation. Le P/B de 10,43x confirme cette exigeance, le marché valorisant l'action bien au-delà de sa valeur comptable, ce qui reflète la confiance dans les actifs immatériels et la position de monopole de l'entreprise. Enfin, l'EV/EBITDA de 15,2x, bien que supérieur au seuil de 15x, indique que la valeur totale de l'entreprise reste cohérente avec sa capacité opérationnelle à générer des bénéfices, même si cette prime doit être justifiée par une croissance future soutenue.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variation totale impressionnante de +109,70%, passant d'un plus bas de 3 000 FCFA à un plus haut de 7 190 FCFA, avec un cours actuel de 6 700 FCFA, stable par rapport à la séance précédente. Cette tendance fortement haussière témoigne d'un intérêt marqué des investisseurs, bien que la moyenne du cours (4 770 FCFA) soit nettement inférieure au prix actuel, indiquant une accélération récente des hausses. La médiane de 5 000 FCFA et le mode de 4 995 FCFA, proches l'un de l'autre, suggèrent une distribution relativement symétrique, confirmée par un skewness de 0,006, tandis que le kurtosis de -0,791 indique une distribution mésokurtique, sans risque de pics extrêmes. L'écart-type de 1 162 FCFA, avec un coefficient de variation de 24,4%, reflète une dispersion modérée, mais la volatilité annualisée de 49,8% classe le titre comme très volatil, un niveau élevé qui nécessite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La MM20 à 6 280,5 FCFA et la MM50 à 5 642,0 FCFA sont toutes deux inférieures au cours actuel de 6 700 FCFA, confirmant une tendance haussière solide à court et moyen terme. La décision d'achat est justifiée par cette configuration, où le cours évolue au-dessus de ses moyennes mobiles, signalant un momentum positif persistant.</w:t>
      </w:r>
    </w:p>
    <w:p>
      <w:pPr>
        <w:spacing w:after="120" w:line="276" w:lineRule="auto"/>
      </w:pPr>
      <w:r>
        <w:t>**Bandes de Bollinger**: Le cours se situe à 6 700 FCFA, entre la borne supérieure à 7 686,146 FCFA et la borne inférieure à 4 874,854 FCFA, indiquant une position neutre mais proche de la partie haute de la bande. La largeur des bandes reflète une volatilité élevée, et la décision neutre suggère que le marché attend une direction claire avant de poursuivre son mouvement.</w:t>
      </w:r>
    </w:p>
    <w:p>
      <w:pPr>
        <w:spacing w:after="120" w:line="276" w:lineRule="auto"/>
      </w:pPr>
      <w:r>
        <w:t>**MACD**: La valeur du MACD à 367,261 est légèrement inférieure à son signal à 386,043, indiquant un momentum baissier à court terme malgré la tendance haussière globale. La décision de vente est justifiée par ce croisement baissier, qui pourrait signaler une correction imminente après une période de forte hausse.</w:t>
      </w:r>
    </w:p>
    <w:p>
      <w:pPr>
        <w:spacing w:after="120" w:line="276" w:lineRule="auto"/>
      </w:pPr>
      <w:r>
        <w:t>**RSI**: Avec une valeur de 71,585, le RSI est en zone de surachat, dépassant le seuil de 70, ce qui indique que le titre est potentiellement surévalué à court terme. La décision de vente est cohérente avec cette lecture, suggérant un risque de retournement ou de consolidation.</w:t>
      </w:r>
    </w:p>
    <w:p>
      <w:pPr>
        <w:spacing w:after="120" w:line="276" w:lineRule="auto"/>
      </w:pPr>
      <w:r>
        <w:t>**Stochastique**: Le %K à 61,417 et le %D à 64,169 sont proches, avec une légère divergence baissière, indiquant un momentum neutre. La décision neutre reflète l'absence de signal clair, le marché semblant hésiter entre une poursuite de la hausse et une correction.</w:t>
      </w:r>
    </w:p>
    <w:p>
      <w:pPr>
        <w:spacing w:after="120" w:line="276" w:lineRule="auto"/>
      </w:pPr>
      <w:r>
        <w:t>**Conclusion technique**: Les indicateurs techniques sont mitigés, avec des signaux d'achat à moyen terme (moyennes mobiles) mais des signaux de vente à court terme (RSI, MACD). La position neutre des bandes de Bollinger et du stochastique suggère une période de consolidation après la forte hausse, avec un risque de correction technique à surveiller.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la CIEC a affiché un chiffre d'affaires de 302,320 milliards FCFA, en hausse de 14,8% par rapport à 2024, et un résultat net de 13,127 milliards FCFA, en progression de 24,4%, selon les données structurées officielles. La marge nette s'établit à 4,34%, tandis que le ROE atteint un niveau excellent de 36,50%, démontrant une forte rentabilité des fonds propres, bien que le ROA de 0,65% reste faible en raison d'un total actif très élevé de 2 018,446 milliards FCFA. En tant qu'entreprise non bancaire, l'analyse des délais d'exploitation révèle un délai clients de 164 jours, un niveau élevé qui représente un risque de trésorerie, mais un délai fournisseurs de 970 jours, très favorable, compense cette pression. Le BFR négatif de -90,244 milliards FCFA est un point positif, indiquant une gestion efficace du cycle d'exploitation, tandis que l'endettement total de 612,94% des capitaux propres nécessite une surveillance. Les rapports narratifs, notamment celui du 31 décembre 2025, confirment cette dynamique avec une croissance des ventes d'énergie de 8,3% et une expansion de la base clientèle de 15,1%, tandis que le rapport semestriel de juin 2025 (S1 2025) montre un CA de 134,923 milliards FCFA (+18,85%), suggérant une poursuite de la croissance au second semestre. Sur la base de ces données, on estime que l'exercice 2026 pourrait voir un CA dépassant 320 milliards FCFA, soutenu par la demande énergétique croissante, mais la dépendance au cadre réglementaire et le risque de crédit client restent des défis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avec un PER de 28,6x et un P/B de 10,43x, indique une surévaluation relative par rapport au marché BRVM, bien que la croissance des bénéfices et la position de monopole puissent justifier cette prime. Le comportement du cours, avec une hausse de 109,70% sur 100 jours et une volatilité annualisée de 49,8%, montre une dynamique positive mais risquée, avec des statistiques (kurtosis mésokurtique, skewness symétrique) indiquant une distribution stable sans extrêmes. Les signaux techniques sont divergents, avec des moyennes mobiles haussières mais un RSI en surachat et un MACD baissier, suggérant un risque de correction à court terme. Fondamentalement, la société est solide avec un ROE de 36,50%, une croissance du CA de 14,8% et un BFR négatif favorable, mais l'endettement élevé et le risque de crédit client sont préoccupants. Les prédictions IA pour les 10 prochains jours montrent une baisse progressive de 6 198 à 4 537 FCFA, contredisant la tendance haussière récente et suggérant une correction technique. En synthèse, je recommande une position de **CONSERVER** avec un niveau de confiance **Moyen**, un risque global **Élevé**, et un horizon d'investissement à **moyen terme (3-12 mois)**, car les fondamentaux solides soutiennent le titre à long terme, mais la valorisation exigeante et les signaux techniques mitigés justifient une prudence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975.77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3,898 titres</w:t>
            </w:r>
          </w:p>
        </w:tc>
        <w:tc>
          <w:tcPr>
            <w:tcW w:type="dxa" w:w="2268"/>
            <w:shd w:fill="FFF2CC" w:val="clear"/>
          </w:tcPr>
          <w:p>
            <w:r>
              <w:rPr>
                <w:b/>
                <w:color w:val="503200"/>
                <w:sz w:val="16"/>
              </w:rPr>
              <w:t xml:space="preserve">Cours actuel : </w:t>
            </w:r>
            <w:r>
              <w:rPr>
                <w:color w:val="000000"/>
                <w:sz w:val="17"/>
              </w:rPr>
              <w:t>17,725 FCFA</w:t>
            </w:r>
          </w:p>
          <w:p>
            <w:r>
              <w:rPr>
                <w:b/>
                <w:color w:val="503200"/>
                <w:sz w:val="16"/>
              </w:rPr>
              <w:t xml:space="preserve">Var. 100 jours : </w:t>
            </w:r>
            <w:r>
              <w:rPr>
                <w:b/>
                <w:color w:val="007800"/>
                <w:sz w:val="17"/>
              </w:rPr>
              <w:t>+9.35%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2.59% (Faible) — μ=16,374 FCFA, σ=424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β=0.4731 (Défensif) — Cov=0.000018, Var(idx)=0.000037, ρ=0.162,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16,885</w:t>
            </w:r>
          </w:p>
        </w:tc>
        <w:tc>
          <w:tcPr>
            <w:tcW w:type="dxa" w:w="1440"/>
            <w:shd w:fill="FFDCE0" w:val="clear"/>
          </w:tcPr>
          <w:p>
            <w:r>
              <w:rPr>
                <w:b/>
                <w:sz w:val="17"/>
              </w:rPr>
              <w:t>17,312</w:t>
            </w:r>
          </w:p>
        </w:tc>
        <w:tc>
          <w:tcPr>
            <w:tcW w:type="dxa" w:w="1440"/>
            <w:shd w:fill="FFDCE0" w:val="clear"/>
          </w:tcPr>
          <w:p>
            <w:r>
              <w:rPr>
                <w:sz w:val="17"/>
              </w:rPr>
              <w:t>17,739</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16,696</w:t>
            </w:r>
          </w:p>
        </w:tc>
        <w:tc>
          <w:tcPr>
            <w:tcW w:type="dxa" w:w="1440"/>
            <w:shd w:fill="FFDCE0" w:val="clear"/>
          </w:tcPr>
          <w:p>
            <w:r>
              <w:rPr>
                <w:b/>
                <w:sz w:val="17"/>
              </w:rPr>
              <w:t>17,299</w:t>
            </w:r>
          </w:p>
        </w:tc>
        <w:tc>
          <w:tcPr>
            <w:tcW w:type="dxa" w:w="1440"/>
            <w:shd w:fill="FFDCE0" w:val="clear"/>
          </w:tcPr>
          <w:p>
            <w:r>
              <w:rPr>
                <w:sz w:val="17"/>
              </w:rPr>
              <w:t>17,903</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16,523</w:t>
            </w:r>
          </w:p>
        </w:tc>
        <w:tc>
          <w:tcPr>
            <w:tcW w:type="dxa" w:w="1440"/>
            <w:shd w:fill="FFDCE0" w:val="clear"/>
          </w:tcPr>
          <w:p>
            <w:r>
              <w:rPr>
                <w:b/>
                <w:sz w:val="17"/>
              </w:rPr>
              <w:t>17,260</w:t>
            </w:r>
          </w:p>
        </w:tc>
        <w:tc>
          <w:tcPr>
            <w:tcW w:type="dxa" w:w="1440"/>
            <w:shd w:fill="FFDCE0" w:val="clear"/>
          </w:tcPr>
          <w:p>
            <w:r>
              <w:rPr>
                <w:sz w:val="17"/>
              </w:rPr>
              <w:t>17,998</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16,379</w:t>
            </w:r>
          </w:p>
        </w:tc>
        <w:tc>
          <w:tcPr>
            <w:tcW w:type="dxa" w:w="1440"/>
            <w:shd w:fill="FFDCE0" w:val="clear"/>
          </w:tcPr>
          <w:p>
            <w:r>
              <w:rPr>
                <w:b/>
                <w:sz w:val="17"/>
              </w:rPr>
              <w:t>17,229</w:t>
            </w:r>
          </w:p>
        </w:tc>
        <w:tc>
          <w:tcPr>
            <w:tcW w:type="dxa" w:w="1440"/>
            <w:shd w:fill="FFDCE0" w:val="clear"/>
          </w:tcPr>
          <w:p>
            <w:r>
              <w:rPr>
                <w:sz w:val="17"/>
              </w:rPr>
              <w:t>18,079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16,255</w:t>
            </w:r>
          </w:p>
        </w:tc>
        <w:tc>
          <w:tcPr>
            <w:tcW w:type="dxa" w:w="1440"/>
            <w:shd w:fill="FFDCE0" w:val="clear"/>
          </w:tcPr>
          <w:p>
            <w:r>
              <w:rPr>
                <w:b/>
                <w:sz w:val="17"/>
              </w:rPr>
              <w:t>17,204</w:t>
            </w:r>
          </w:p>
        </w:tc>
        <w:tc>
          <w:tcPr>
            <w:tcW w:type="dxa" w:w="1440"/>
            <w:shd w:fill="FFDCE0" w:val="clear"/>
          </w:tcPr>
          <w:p>
            <w:r>
              <w:rPr>
                <w:sz w:val="17"/>
              </w:rPr>
              <w:t>18,152</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16,142</w:t>
            </w:r>
          </w:p>
        </w:tc>
        <w:tc>
          <w:tcPr>
            <w:tcW w:type="dxa" w:w="1440"/>
            <w:shd w:fill="FFDCE0" w:val="clear"/>
          </w:tcPr>
          <w:p>
            <w:r>
              <w:rPr>
                <w:b/>
                <w:sz w:val="17"/>
              </w:rPr>
              <w:t>17,179</w:t>
            </w:r>
          </w:p>
        </w:tc>
        <w:tc>
          <w:tcPr>
            <w:tcW w:type="dxa" w:w="1440"/>
            <w:shd w:fill="FFDCE0" w:val="clear"/>
          </w:tcPr>
          <w:p>
            <w:r>
              <w:rPr>
                <w:sz w:val="17"/>
              </w:rPr>
              <w:t>18,217</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16,036</w:t>
            </w:r>
          </w:p>
        </w:tc>
        <w:tc>
          <w:tcPr>
            <w:tcW w:type="dxa" w:w="1440"/>
            <w:shd w:fill="FFDCE0" w:val="clear"/>
          </w:tcPr>
          <w:p>
            <w:r>
              <w:rPr>
                <w:b/>
                <w:sz w:val="17"/>
              </w:rPr>
              <w:t>17,156</w:t>
            </w:r>
          </w:p>
        </w:tc>
        <w:tc>
          <w:tcPr>
            <w:tcW w:type="dxa" w:w="1440"/>
            <w:shd w:fill="FFDCE0" w:val="clear"/>
          </w:tcPr>
          <w:p>
            <w:r>
              <w:rPr>
                <w:sz w:val="17"/>
              </w:rPr>
              <w:t>18,275</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15,937</w:t>
            </w:r>
          </w:p>
        </w:tc>
        <w:tc>
          <w:tcPr>
            <w:tcW w:type="dxa" w:w="1440"/>
            <w:shd w:fill="FFDCE0" w:val="clear"/>
          </w:tcPr>
          <w:p>
            <w:r>
              <w:rPr>
                <w:b/>
                <w:sz w:val="17"/>
              </w:rPr>
              <w:t>17,132</w:t>
            </w:r>
          </w:p>
        </w:tc>
        <w:tc>
          <w:tcPr>
            <w:tcW w:type="dxa" w:w="1440"/>
            <w:shd w:fill="FFDCE0" w:val="clear"/>
          </w:tcPr>
          <w:p>
            <w:r>
              <w:rPr>
                <w:sz w:val="17"/>
              </w:rPr>
              <w:t>18,328</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15,843</w:t>
            </w:r>
          </w:p>
        </w:tc>
        <w:tc>
          <w:tcPr>
            <w:tcW w:type="dxa" w:w="1440"/>
            <w:shd w:fill="FFDCE0" w:val="clear"/>
          </w:tcPr>
          <w:p>
            <w:r>
              <w:rPr>
                <w:b/>
                <w:sz w:val="17"/>
              </w:rPr>
              <w:t>17,109</w:t>
            </w:r>
          </w:p>
        </w:tc>
        <w:tc>
          <w:tcPr>
            <w:tcW w:type="dxa" w:w="1440"/>
            <w:shd w:fill="FFDCE0" w:val="clear"/>
          </w:tcPr>
          <w:p>
            <w:r>
              <w:rPr>
                <w:sz w:val="17"/>
              </w:rPr>
              <w:t>18,375</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15,753</w:t>
            </w:r>
          </w:p>
        </w:tc>
        <w:tc>
          <w:tcPr>
            <w:tcW w:type="dxa" w:w="1440"/>
            <w:shd w:fill="FFDCE0" w:val="clear"/>
          </w:tcPr>
          <w:p>
            <w:r>
              <w:rPr>
                <w:b/>
                <w:sz w:val="17"/>
              </w:rPr>
              <w:t>17,086</w:t>
            </w:r>
          </w:p>
        </w:tc>
        <w:tc>
          <w:tcPr>
            <w:tcW w:type="dxa" w:w="1440"/>
            <w:shd w:fill="FFDCE0" w:val="clear"/>
          </w:tcPr>
          <w:p>
            <w:r>
              <w:rPr>
                <w:sz w:val="17"/>
              </w:rPr>
              <w:t>18,419</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05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975,77 milliards FCFA, ECOC se positionne comme l'une des valeurs les plus lourdes et les plus liquides de la BRVM, représentant un pilier du compartiment financier. Le BPA de 1 153 FCFA indique que chaque action a généré un bénéfice substantiel sur l'exercice. Le PER de 15,4x est nettement supérieur à la moyenne historique de la BRVM (8-12x), ce qui signifie que les investisseurs acceptent de payer une prime significative pour la qualité des bénéfices de la banque, intégrant probablement des perspectives de croissance soutenue. Le P/B de 4,46x confirme cette prime, le marché valorisant fortement les capitaux propres de la banque, soit plus de quatre fois leur valeur comptable, ce qui reflète une excellente création de valeur mais aussi une valorisation exigeante. Enfin, l'EV/EBITDA de 14,9x, situé dans la fourchette haute (10-15x), suggère que la valeur totale de l'entreprise est élevée par rapport à sa capacité opérationnelle à générer des flux, indiquant une valorisation qui a déjà intégré une grande partie des bonnes nouvelles.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 affiché une progression solide de +9,35%, avec une dernière séance en hausse de +1,29%, clôturant à son plus haut niveau de la période à 17 725 FCFA. Le titre a évolué dans un range de 15 520 à 17 725 FCFA, démontrant une tendance haussière soutenue. La moyenne (16 374 FCFA) est légèrement supérieure à la médiane (16 300 FCFA), et le mode est identique à la médiane, ce qui suggère une distribution des prix légèrement asymétrique positive (skewness de 0,525), avec plus de journées sous la moyenne mais des mouvements de hausse plus prononcés. L'écart-type de 426 FCFA, pour un coefficient de variation de seulement 2,6%, indique une dispersion très faible des prix autour de la moyenne, signe d'une stabilité relative. Le kurtosis de 0,295 (mésokurtique) suggère un risque de pics de volatilité proche d'une distribution normale. Enfin, la volatilité annualisée de 28,3% classe le titre dans la catégorie "modérée à élevée", ce qui est cohérent avec un marché bancaire en phase de croissance mais reste un facteur de vigilance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(MM20=16 629,75 / MM50=16 474,7) :** Le cours actuel (17 725 FCFA) évolue nettement au-dessus de ses deux moyennes mobiles principales, qui sont orientées à la hausse. La configuration haussière des MM20 et MM50 confirme une dynamique positive de moyen terme. La décision d'**Achat** est justifiée par cette tendance claire et la position du prix au-dessus de ces supports dynamiques.</w:t>
      </w:r>
    </w:p>
    <w:p>
      <w:pPr>
        <w:spacing w:after="120" w:line="276" w:lineRule="auto"/>
      </w:pPr>
      <w:r>
        <w:t>**Bandes de Bollinger :** Le cours se situe à 17 725 FCFA, très proche de la borne supérieure (17 663,6 FCFA), indiquant que le titre est actuellement en zone de surachat à court terme. Cette position "collée" à la borne supérieure reflète une pression acheteuse intense, mais signale également un potentiel de consolidation ou de repli technique. La décision de **Vente** est donc une alerte de prudence après une forte progression.</w:t>
      </w:r>
    </w:p>
    <w:p>
      <w:pPr>
        <w:spacing w:after="120" w:line="276" w:lineRule="auto"/>
      </w:pPr>
      <w:r>
        <w:t>**MACD (Valeur=288,175 / Signal=171,319) :** Le MACD est positif et nettement au-dessus de sa ligne de signal, avec un écart croissant. Cette configuration est un signal classique de momentum haussier fort, indiquant que la dynamique d'achat s'accélère. La décision d'**Achat** est pleinement justifiée par cette vigueur du mouvement.</w:t>
      </w:r>
    </w:p>
    <w:p>
      <w:pPr>
        <w:spacing w:after="120" w:line="276" w:lineRule="auto"/>
      </w:pPr>
      <w:r>
        <w:t>**RSI (Valeur=74,33) :** Le RSI est entré en zone de surachat (&gt;70), ce qui indique que le titre a été acheté de manière excessive à court terme et qu'une correction technique est statistiquement probable. La décision de **Vente** est un signal de prudence, car elle suggère que le potentiel de hausse immédiat pourrait être limité.</w:t>
      </w:r>
    </w:p>
    <w:p>
      <w:pPr>
        <w:spacing w:after="120" w:line="276" w:lineRule="auto"/>
      </w:pPr>
      <w:r>
        <w:t>**Stochastique (%K=100 / %D=100) :** Les deux lignes sont à leur niveau maximal, confirmant un état de surachat extrême. Le titre est dans une phase de "parabole" qui ne peut pas durer indéfiniment. La décision de **Vente** est un signal fort de retournement potentiel imminent.</w:t>
      </w:r>
    </w:p>
    <w:p>
      <w:pPr>
        <w:spacing w:after="120" w:line="276" w:lineRule="auto"/>
      </w:pPr>
      <w:r>
        <w:t>**Conclusion technique :** Les indicateurs de tendance (MM, MACD) sont résolument positifs et confirment une tendance haussière de fond. Cependant, les oscillateurs (RSI, Stochastique) et la position par rapport aux Bandes de Bollinger signalent un surachat extrême à court terme. Cette divergence suggère une probable phase de consolidation ou de léger repli technique avant la poursuite de la tendance haussière, ou un essoufflement temporaire du mouvement.</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d'ECOC confirment une performance exceptionnelle. Le Produit Net Bancaire (PNB) s'établit à 132,725 milliards FCFA, en croissance de 8,5%, générant un résultat net de 63,482 milliards FCFA. Cette performance se traduit par un ROE de 29,04% et un ROA de 3,09%, tous deux excellents et nettement supérieurs aux normes du secteur. La banque fait preuve d'une efficacité opérationnelle remarquable avec un coefficient d'exploitation de 42,89%, bien en dessous du seuil de 60% considéré comme sain. Le coût du risque est maîtrisé à 1,36%, indiquant une bonne qualité du portefeuille de crédits. La structure financière est solide avec des capitaux propres de 218,573 milliards FCFA, bien que le ratio d'autonomie financière de 10,64% reste faible, typique du secteur bancaire. Les rapports trimestriels 2025 confirment cette dynamique : le T3 2025 (publié le 30/09/2025) montre un PNB de 96,4 milliards (+11,3%) et un résultat net de 44,4 milliards (+15,4%), avec un ROE de 29,7%. Le rapport annuel 2024 (publié le 31/12/2024) indiquait déjà un PNB de 122,3 milliards et un résultat net de 57,5 milliards, soit une progression de 19,6%. Sur la base du rapport T1 2026 (publié le 31/03/2026), qui affiche un PNB de 30,8 milliards (+3,7%) et un résultat net de 13,0 milliards (-1,6%), on estime que l'exercice 2026 pourrait voir une légère décélération de la croissance, mais avec une rentabilité qui devrait rester à des niveaux élevés, soutenue par un coefficient d'exploitation de 45,7% et une collecte de dépôts dynamique (+12%).</w:t>
      </w:r>
    </w:p>
    <w:p>
      <w:pPr>
        <w:spacing w:after="120" w:line="276" w:lineRule="auto"/>
      </w:pPr>
      <w:r>
        <w:t>---</w:t>
      </w:r>
    </w:p>
    <w:p>
      <w:pPr>
        <w:spacing w:after="120" w:line="276" w:lineRule="auto"/>
      </w:pPr>
      <w:r>
        <w:t>### PARTIE 4 : CONCLUSION D'INVESTISSEMENT</w:t>
      </w:r>
    </w:p>
    <w:p>
      <w:pPr>
        <w:spacing w:after="120" w:line="276" w:lineRule="auto"/>
      </w:pPr>
      <w:r>
        <w:t>La valorisation d'ECOC (PER 15,4x, P/B 4,46x) est exigeante, intégrant une prime pour la qualité de ses fondamentaux, mais elle n'est pas excessive au vu de sa rentabilité supérieure. Le comportement du cours sur 100 jours est haussier, avec une volatilité modérée et une distribution statistique saine, bien que le titre soit actuellement à son plus haut. Les signaux techniques sont mitigés : la tendance de fond (MM, MACD) est positive, mais les oscillateurs (RSI, Stochastique) et les Bandes de Bollinger indiquent un surachat extrême à court terme, suggérant un risque de consolidation. Les fondamentaux, quant à eux, sont excellents, avec une banque très rentable, efficace et bien capitalisée, bien que la croissance du T1 2026 montre une légère décélération. Les prédictions IA pour les 10 prochains jours (de 17 312 à 17 204 FCFA) anticipent un léger repli technique, ce qui est cohérent avec les signaux de surachat. En synthèse, la convergence entre les fondamentaux solides et la tendance haussière de fond justifie une recommandation **CONSERVER** pour les investisseurs à moyen/long terme, avec un niveau de confiance **Moyen** et un risque global **Moyen**. L'horizon d'investissement optimal est de **moyen terme (3-12 mois)**, attendant un point d'entrée plus favorable après une probable correction technique pour renforcer la position.</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1283.97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1,488,673 titres</w:t>
            </w:r>
          </w:p>
        </w:tc>
        <w:tc>
          <w:tcPr>
            <w:tcW w:type="dxa" w:w="2268"/>
            <w:shd w:fill="FFF2CC" w:val="clear"/>
          </w:tcPr>
          <w:p>
            <w:r>
              <w:rPr>
                <w:b/>
                <w:color w:val="503200"/>
                <w:sz w:val="16"/>
              </w:rPr>
              <w:t xml:space="preserve">Cours actuel : </w:t>
            </w:r>
            <w:r>
              <w:rPr>
                <w:color w:val="000000"/>
                <w:sz w:val="17"/>
              </w:rPr>
              <w:t>71 FCFA</w:t>
            </w:r>
          </w:p>
          <w:p>
            <w:r>
              <w:rPr>
                <w:b/>
                <w:color w:val="503200"/>
                <w:sz w:val="16"/>
              </w:rPr>
              <w:t xml:space="preserve">Var. 100 jours : </w:t>
            </w:r>
            <w:r>
              <w:rPr>
                <w:b/>
                <w:color w:val="007800"/>
                <w:sz w:val="17"/>
              </w:rPr>
              <w:t>+108.82%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37.83% (Élevée) — μ=47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β=2.7607 (Très agressif) — Cov=0.000103, Var(idx)=0.000037, ρ=0.405,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1,488,673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σ_j=4.16%/j (Modérée) — Vol. annualisée≈66.0%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61</w:t>
            </w:r>
          </w:p>
        </w:tc>
        <w:tc>
          <w:tcPr>
            <w:tcW w:type="dxa" w:w="1440"/>
            <w:shd w:fill="FFDCE0" w:val="clear"/>
          </w:tcPr>
          <w:p>
            <w:r>
              <w:rPr>
                <w:b/>
                <w:sz w:val="17"/>
              </w:rPr>
              <w:t>66</w:t>
            </w:r>
          </w:p>
        </w:tc>
        <w:tc>
          <w:tcPr>
            <w:tcW w:type="dxa" w:w="1440"/>
            <w:shd w:fill="FFDCE0" w:val="clear"/>
          </w:tcPr>
          <w:p>
            <w:r>
              <w:rPr>
                <w:sz w:val="17"/>
              </w:rPr>
              <w:t>70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55</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41</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28</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w:t>
            </w:r>
          </w:p>
        </w:tc>
        <w:tc>
          <w:tcPr>
            <w:tcW w:type="dxa" w:w="1440"/>
            <w:shd w:fill="FFDCE0" w:val="clear"/>
          </w:tcPr>
          <w:p>
            <w:r>
              <w:rPr>
                <w:b/>
                <w:sz w:val="17"/>
              </w:rPr>
              <w:t>33</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1 283,97 milliards FCFA, ce qui en fait l'une des plus importantes capitalisations de la BRVM, reflétant le statut de leader panafricain du groupe. Avec un BPA de 19 FCFA, le titre se négocie à un PER de 3,7x, très inférieur à la moyenne historique de la BRVM (8-12x), signalant une sous-évaluation potentielle significative. Le P/B de 0,80x confirme cette lecture : le marché valorise le titre sous sa valeur comptable, offrant une décote de 20% sur l'actif net. Enfin, l'EV/EBITDA de 5,1x se situe dans la fourchette basse des valeurs raisonnables (5-10x), indiquant que la valeur totale de l'entreprise reste modérée par rapport à sa capacité opérationnelle bénéficiaire. L'ensemble de ces ratios suggère une valorisation très attrayante.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spectaculaire de +108,82%, avec une progression de +2,90% lors de la dernière séance, clôturant à 71 FCFA. Le cours a évolué dans une fourchette très large de 26 à 78 FCFA, démontrant une forte dynamique haussière mais aussi une volatilité extrême. La moyenne (47 FCFA) est nettement supérieure à la médiane (36 FCFA), indiquant une distribution asymétrique vers les hauts cours, tandis que le mode à 30 FCFA montre que le titre a longtemps stagné à des niveaux bas avant son envolée. L'écart-type de 18 FCFA (CV=38%) confirme une dispersion importante des prix. Le kurtosis négatif (-1,726) signale une distribution aplatie sans pics extrêmes, et le skewness positif (0,298) une légère asymétrie vers la hausse. La volatilité annualisée de 66% classe le titre comme extrêmement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le cours (71 FCFA) évolue au-dessus de la MM20 (66,95 FCFA) et de la MM50 (63,08 FCFA), confirmant une tendance de fond positive. La décision d'achat est justifiée par la structure ascendante des moyennes et la position du prix au-dessus de celles-ci.</w:t>
      </w:r>
    </w:p>
    <w:p>
      <w:pPr>
        <w:spacing w:after="120" w:line="276" w:lineRule="auto"/>
      </w:pPr>
      <w:r>
        <w:t>Les **Bandes de Bollinger** indiquent une situation de surachat technique : le cours (71 FCFA) a franchi la borne supérieure (70,225 FCFA), signalant une extension excessive par rapport à la moyenne mobile. La décision de vente reflète un risque de retour vers la moyenne, d'autant que la borne inférieure (63,675 FCFA) est très éloignée, suggérant une volatilité élevée.</w:t>
      </w:r>
    </w:p>
    <w:p>
      <w:pPr>
        <w:spacing w:after="120" w:line="276" w:lineRule="auto"/>
      </w:pPr>
      <w:r>
        <w:t>Le **MACD** montre un affaiblissement du momentum haussier : la ligne MACD (1,467) est passée sous sa ligne de signal (1,546), formant un croisement baissier. Bien que les deux indicateurs restent en territoire positif, cette divergence signale un essoufflement de la dynamique haussière, justifiant la décision de vente.</w:t>
      </w:r>
    </w:p>
    <w:p>
      <w:pPr>
        <w:spacing w:after="120" w:line="276" w:lineRule="auto"/>
      </w:pPr>
      <w:r>
        <w:t>Le **RSI** à 56,0 se situe en zone neutre (30-70), indiquant un équilibre entre pression acheteuse et vendeuse. Cette valeur suggère que le titre n'est ni suracheté ni survendu, laissant une marge de manœuvre dans les deux sens. La décision neutre est cohérente avec cette lecture.</w:t>
      </w:r>
    </w:p>
    <w:p>
      <w:pPr>
        <w:spacing w:after="120" w:line="276" w:lineRule="auto"/>
      </w:pPr>
      <w:r>
        <w:t>Le **Stochastique** est en zone de surachat extrême : %K à 100,0 et %D à 77,778. Le %K ayant atteint son niveau maximal, un croisement baissier est imminent, signalant un risque élevé de correction technique. La décision de vente est justifiée par cette configuration extrême.</w:t>
      </w:r>
    </w:p>
    <w:p>
      <w:pPr>
        <w:spacing w:after="120" w:line="276" w:lineRule="auto"/>
      </w:pPr>
      <w:r>
        <w:t>La **conclusion technique** est mitigée : la tendance de fond reste haussière (MM20/MM50), mais les indicateurs de momentum (MACD, Stochastique) et de volatilité (Bollinger) signalent un épuisement à court terme. Le titre apparaît suracheté techniquement, avec un risque accru de consolidation dans les prochaines séances.</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d'ETIT révèlent une banque panafricaine de premier plan avec un Produit Net Bancaire de 1 424,261 milliards FCFA, en croissance de 12,45%, et un résultat net de 345,523 milliards FCFA. La rentabilité est excellente : ROE de 21,62% (supérieur au seuil de 15% considéré comme excellent) et ROA de 1,80%. Le coefficient d'exploitation de 27,35% témoigne d'une efficacité opérationnelle remarquable, très en dessous du seuil de 60% considéré comme sain. Le coût du risque de 18,97% reste élevé, reflétant un environnement de crédit difficile, mais les dépôts clientèle (14 120,139 milliards FCFA) couvrent largement les créances sur la clientèle (6 570,385 milliards FCFA), démontrant une transformation saine. Les rapports semestriels 2026 (datés du 30 juin 2026) confirment cette dynamique : PNB en hausse de 15% à 721,318 milliards FCFA, résultat net en progression de 6% à 166,682 milliards FCFA, et coefficient d'exploitation amélioré à 48,4%. Le rapport du T1 2026 (31 mars 2026) montre une accélération avec un PNB en hausse de 23%. Sur la base de ces données, on estime que l'exercice 2026 devrait dépasser les performances de 2025, avec un PNB projeté autour de 1 600 milliards FCFA et un résultat net potentiel de 380-400 milliards FCFA, sous réserve de la maîtrise du coût du risque qui a bondi de 40% au S1 2026.</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La valorisation (Partie 0) est extrêmement attractive avec un PER de 3,7x et un P/B de 0,80x, indiquant une sous-évaluation manifeste. Le comportement du cours (Partie 1) montre une tendance haussière spectaculaire mais une volatilité très élevée (66%), avec des statistiques révélant une distribution atypique. Les signaux techniques (Partie 2) sont partagés : tendance positive mais surachat imminent. Les fondamentaux (Partie 3) sont solides avec une croissance soutenue du PNB et une rentabilité élevée, malgré un coût du risque préoccupant. Les prédictions IA pour les 10 prochains jours (66 à 48 FCFA) suggèrent une correction significative de 32%, contredisant la tendance haussière récente mais confirmant les signaux techniques de surachat. Cette convergence entre les indicateurs techniques et les prédictions IA, contrastant avec la sous-évaluation fondamentale, suggère une phase de consolidation nécessaire avant une nouvelle appréciation. La recommandation finale est **CONSERVER** avec un niveau de confiance **Moyen** et un risque global **Élevé**. L'horizon d'investissement optimal serait le **moyen terme (3-12 mois)** : attendre une correction technique pour renforcer les positions, tout en capitalisant sur la solidité fondamentale du groupe à plus long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3,999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-6.72%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μ=2,144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β=0.6213 (Défensif) — Cov=0.000023, Var(idx)=0.000037, ρ=0.170,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2,085</w:t>
            </w:r>
          </w:p>
        </w:tc>
        <w:tc>
          <w:tcPr>
            <w:tcW w:type="dxa" w:w="1440"/>
            <w:shd w:fill="FAFAFA" w:val="clear"/>
          </w:tcPr>
          <w:p>
            <w:r>
              <w:rPr>
                <w:b/>
                <w:sz w:val="17"/>
              </w:rPr>
              <w:t>2,160</w:t>
            </w:r>
          </w:p>
        </w:tc>
        <w:tc>
          <w:tcPr>
            <w:tcW w:type="dxa" w:w="1440"/>
            <w:shd w:fill="FAFAFA" w:val="clear"/>
          </w:tcPr>
          <w:p>
            <w:r>
              <w:rPr>
                <w:sz w:val="17"/>
              </w:rPr>
              <w:t>2,235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2,063</w:t>
            </w:r>
          </w:p>
        </w:tc>
        <w:tc>
          <w:tcPr>
            <w:tcW w:type="dxa" w:w="1440"/>
            <w:shd w:fill="FAFAFA" w:val="clear"/>
          </w:tcPr>
          <w:p>
            <w:r>
              <w:rPr>
                <w:b/>
                <w:sz w:val="17"/>
              </w:rPr>
              <w:t>2,170</w:t>
            </w:r>
          </w:p>
        </w:tc>
        <w:tc>
          <w:tcPr>
            <w:tcW w:type="dxa" w:w="1440"/>
            <w:shd w:fill="FAFAFA" w:val="clear"/>
          </w:tcPr>
          <w:p>
            <w:r>
              <w:rPr>
                <w:sz w:val="17"/>
              </w:rPr>
              <w:t>2,276</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2,049</w:t>
            </w:r>
          </w:p>
        </w:tc>
        <w:tc>
          <w:tcPr>
            <w:tcW w:type="dxa" w:w="1440"/>
            <w:shd w:fill="FAFAFA" w:val="clear"/>
          </w:tcPr>
          <w:p>
            <w:r>
              <w:rPr>
                <w:b/>
                <w:sz w:val="17"/>
              </w:rPr>
              <w:t>2,180</w:t>
            </w:r>
          </w:p>
        </w:tc>
        <w:tc>
          <w:tcPr>
            <w:tcW w:type="dxa" w:w="1440"/>
            <w:shd w:fill="FAFAFA" w:val="clear"/>
          </w:tcPr>
          <w:p>
            <w:r>
              <w:rPr>
                <w:sz w:val="17"/>
              </w:rPr>
              <w:t>2,310</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2,037</w:t>
            </w:r>
          </w:p>
        </w:tc>
        <w:tc>
          <w:tcPr>
            <w:tcW w:type="dxa" w:w="1440"/>
            <w:shd w:fill="FAFAFA" w:val="clear"/>
          </w:tcPr>
          <w:p>
            <w:r>
              <w:rPr>
                <w:b/>
                <w:sz w:val="17"/>
              </w:rPr>
              <w:t>2,189</w:t>
            </w:r>
          </w:p>
        </w:tc>
        <w:tc>
          <w:tcPr>
            <w:tcW w:type="dxa" w:w="1440"/>
            <w:shd w:fill="FAFAFA" w:val="clear"/>
          </w:tcPr>
          <w:p>
            <w:r>
              <w:rPr>
                <w:sz w:val="17"/>
              </w:rPr>
              <w:t>2,341</w:t>
            </w:r>
          </w:p>
        </w:tc>
        <w:tc>
          <w:tcPr>
            <w:tcW w:type="dxa" w:w="1440"/>
            <w:shd w:fill="FAFAFA" w:val="clear"/>
          </w:tcPr>
          <w:p>
            <w:r>
              <w:rPr>
                <w:b/>
                <w:color w:val="008000"/>
                <w:sz w:val="17"/>
              </w:rPr>
              <w:t>+1.8%</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2,028</w:t>
            </w:r>
          </w:p>
        </w:tc>
        <w:tc>
          <w:tcPr>
            <w:tcW w:type="dxa" w:w="1440"/>
            <w:shd w:fill="C6EFCE" w:val="clear"/>
          </w:tcPr>
          <w:p>
            <w:r>
              <w:rPr>
                <w:b/>
                <w:sz w:val="17"/>
              </w:rPr>
              <w:t>2,199</w:t>
            </w:r>
          </w:p>
        </w:tc>
        <w:tc>
          <w:tcPr>
            <w:tcW w:type="dxa" w:w="1440"/>
            <w:shd w:fill="C6EFCE" w:val="clear"/>
          </w:tcPr>
          <w:p>
            <w:r>
              <w:rPr>
                <w:sz w:val="17"/>
              </w:rPr>
              <w:t>2,369</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2,021</w:t>
            </w:r>
          </w:p>
        </w:tc>
        <w:tc>
          <w:tcPr>
            <w:tcW w:type="dxa" w:w="1440"/>
            <w:shd w:fill="C6EFCE" w:val="clear"/>
          </w:tcPr>
          <w:p>
            <w:r>
              <w:rPr>
                <w:b/>
                <w:sz w:val="17"/>
              </w:rPr>
              <w:t>2,208</w:t>
            </w:r>
          </w:p>
        </w:tc>
        <w:tc>
          <w:tcPr>
            <w:tcW w:type="dxa" w:w="1440"/>
            <w:shd w:fill="C6EFCE" w:val="clear"/>
          </w:tcPr>
          <w:p>
            <w:r>
              <w:rPr>
                <w:sz w:val="17"/>
              </w:rPr>
              <w:t>2,396</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2,014</w:t>
            </w:r>
          </w:p>
        </w:tc>
        <w:tc>
          <w:tcPr>
            <w:tcW w:type="dxa" w:w="1440"/>
            <w:shd w:fill="C6EFCE" w:val="clear"/>
          </w:tcPr>
          <w:p>
            <w:r>
              <w:rPr>
                <w:b/>
                <w:sz w:val="17"/>
              </w:rPr>
              <w:t>2,218</w:t>
            </w:r>
          </w:p>
        </w:tc>
        <w:tc>
          <w:tcPr>
            <w:tcW w:type="dxa" w:w="1440"/>
            <w:shd w:fill="C6EFCE" w:val="clear"/>
          </w:tcPr>
          <w:p>
            <w:r>
              <w:rPr>
                <w:sz w:val="17"/>
              </w:rPr>
              <w:t>2,421</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2,009</w:t>
            </w:r>
          </w:p>
        </w:tc>
        <w:tc>
          <w:tcPr>
            <w:tcW w:type="dxa" w:w="1440"/>
            <w:shd w:fill="C6EFCE" w:val="clear"/>
          </w:tcPr>
          <w:p>
            <w:r>
              <w:rPr>
                <w:b/>
                <w:sz w:val="17"/>
              </w:rPr>
              <w:t>2,227</w:t>
            </w:r>
          </w:p>
        </w:tc>
        <w:tc>
          <w:tcPr>
            <w:tcW w:type="dxa" w:w="1440"/>
            <w:shd w:fill="C6EFCE" w:val="clear"/>
          </w:tcPr>
          <w:p>
            <w:r>
              <w:rPr>
                <w:sz w:val="17"/>
              </w:rPr>
              <w:t>2,446</w:t>
            </w:r>
          </w:p>
        </w:tc>
        <w:tc>
          <w:tcPr>
            <w:tcW w:type="dxa" w:w="1440"/>
            <w:shd w:fill="C6EFCE" w:val="clear"/>
          </w:tcPr>
          <w:p>
            <w:r>
              <w:rPr>
                <w:b/>
                <w:color w:val="008000"/>
                <w:sz w:val="17"/>
              </w:rPr>
              <w:t>+3.6%</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2,004</w:t>
            </w:r>
          </w:p>
        </w:tc>
        <w:tc>
          <w:tcPr>
            <w:tcW w:type="dxa" w:w="1440"/>
            <w:shd w:fill="C6EFCE" w:val="clear"/>
          </w:tcPr>
          <w:p>
            <w:r>
              <w:rPr>
                <w:b/>
                <w:sz w:val="17"/>
              </w:rPr>
              <w:t>2,237</w:t>
            </w:r>
          </w:p>
        </w:tc>
        <w:tc>
          <w:tcPr>
            <w:tcW w:type="dxa" w:w="1440"/>
            <w:shd w:fill="C6EFCE" w:val="clear"/>
          </w:tcPr>
          <w:p>
            <w:r>
              <w:rPr>
                <w:sz w:val="17"/>
              </w:rPr>
              <w:t>2,470</w:t>
            </w:r>
          </w:p>
        </w:tc>
        <w:tc>
          <w:tcPr>
            <w:tcW w:type="dxa" w:w="1440"/>
            <w:shd w:fill="C6EFCE" w:val="clear"/>
          </w:tcPr>
          <w:p>
            <w:r>
              <w:rPr>
                <w:b/>
                <w:color w:val="008000"/>
                <w:sz w:val="17"/>
              </w:rPr>
              <w:t>+4.0%</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2,000</w:t>
            </w:r>
          </w:p>
        </w:tc>
        <w:tc>
          <w:tcPr>
            <w:tcW w:type="dxa" w:w="1440"/>
            <w:shd w:fill="C6EFCE" w:val="clear"/>
          </w:tcPr>
          <w:p>
            <w:r>
              <w:rPr>
                <w:b/>
                <w:sz w:val="17"/>
              </w:rPr>
              <w:t>2,247</w:t>
            </w:r>
          </w:p>
        </w:tc>
        <w:tc>
          <w:tcPr>
            <w:tcW w:type="dxa" w:w="1440"/>
            <w:shd w:fill="C6EFCE" w:val="clear"/>
          </w:tcPr>
          <w:p>
            <w:r>
              <w:rPr>
                <w:sz w:val="17"/>
              </w:rPr>
              <w:t>2,493</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Voici le rapport d'analyse structuré pour l'action FTSC (FILTISAC CI),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30,32 milliards FCFA positionne FILTISAC comme une valeur de taille moyenne sur la BRVM. Le titre se paie à un niveau extrêmement exigeant : le PER de 65,1x est très largement supérieur à la moyenne du marché (8-12x), ce qui signifie que les investisseurs paient un prix très élevé pour chaque franc de bénéfice généré, un niveau difficilement justifiable au regard de la faible rentabilité actuelle. Le P/B de 1,93x indique que le marché valorise la société à près du double de ses capitaux propres, ce qui est plus raisonnable mais suppose une amélioration future de la rentabilité. Enfin, l'EV/EBITDA de 38,1x est également très élevé, soulignant que la valorisation de l'entreprise, dette incluse, est très onéreuse par rapport à sa capacité opérationnelle brute. Ces ratios traduisent une valorisation qui anticipe un redressement majeur, encore non confirmé par les fondamentaux.</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6,72%, avec une dernière séance en léger repli de 0,23% à 2 150 FCFA. Le titre a évolué dans une fourchette relativement large de 520 FCFA, entre un plus bas de 1 910 FCFA et un plus haut de 2 430 FCFA, indiquant une volatilité et une incertitude notables. La moyenne (2 144 FCFA) et la médiane (2 178 FCFA) sont proches, et le skewness (-0.053) confirme une distribution symétrique des cours. L'écart-type de 130 FCFA (CV=6,1%) montre une dispersion modérée autour de la moyenne, tandis que le kurtosis (-0.976) suggère une distribution mésokurtique, sans risque de variations extrêmes (pics) supérieur à une distribution normale. La volatilité annualisée de 35,4% classe le titre comme très volatil, un niveau élevé qui reflète les incertitudes fondamentales pesant sur la société.</w:t>
      </w:r>
    </w:p>
    <w:p>
      <w:pPr>
        <w:spacing w:after="120" w:line="276" w:lineRule="auto"/>
      </w:pPr>
      <w:r>
        <w:t>### PARTIE 2 : ANALYSE TECHNIQUE DÉTAILLÉE</w:t>
      </w:r>
    </w:p>
    <w:p>
      <w:pPr>
        <w:spacing w:after="120" w:line="276" w:lineRule="auto"/>
      </w:pPr>
      <w:r>
        <w:t>**Moyennes Mobiles:** Le cours actuel (2 150 FCFA) est supérieur à la MM20 (2 150,75 FCFA) et nettement au-dessus de la MM50 (2 048,2 FCFA). Cette configuration, où le prix se maintient au-dessus des moyennes clés, indique une tendance de fond positive à moyen terme, justifiant la décision d'**Achat**.</w:t>
      </w:r>
    </w:p>
    <w:p>
      <w:pPr>
        <w:spacing w:after="120" w:line="276" w:lineRule="auto"/>
      </w:pPr>
      <w:r>
        <w:t>**Bandes de Bollinger:** Le prix se situe à l'intérieur des bandes, entre la borne supérieure (2 237,9 FCFA) et la borne inférieure (2 063,5 FCFA), proche de la bande médiane. Cette position signale une absence de pression directionnelle forte et une volatilité modérée, menant à une décision **Neutre**.</w:t>
      </w:r>
    </w:p>
    <w:p>
      <w:pPr>
        <w:spacing w:after="120" w:line="276" w:lineRule="auto"/>
      </w:pPr>
      <w:r>
        <w:t>**MACD:** La ligne MACD (26,38) est passée sous sa ligne de signal (29,98). Ce croisement baissier indique un ralentissement du momentum haussier à court terme, ce qui justifie une décision de **Vente** pour les traders à horizon court.</w:t>
      </w:r>
    </w:p>
    <w:p>
      <w:pPr>
        <w:spacing w:after="120" w:line="276" w:lineRule="auto"/>
      </w:pPr>
      <w:r>
        <w:t>**RSI:** Le RSI est à 44,44, une valeur située dans la zone neutre (30-70). Cela indique que le titre n'est ni suracheté ni survendu, reflétant un équilibre entre les forces acheteuses et vendeuses. La décision est donc **Neutre**.</w:t>
      </w:r>
    </w:p>
    <w:p>
      <w:pPr>
        <w:spacing w:after="120" w:line="276" w:lineRule="auto"/>
      </w:pPr>
      <w:r>
        <w:t>**Stochastique:** Le %K (66,67) est inférieur au %D (73,89), montrant un croisement baissier en zone neutre. Cela suggère un affaiblissement de la dynamique haussière à très court terme, mais sans signal de survente. La décision est **Neutre**.</w:t>
      </w:r>
    </w:p>
    <w:p>
      <w:pPr>
        <w:spacing w:after="120" w:line="276" w:lineRule="auto"/>
      </w:pPr>
      <w:r>
        <w:t>**Conclusion technique:** Les indicateurs techniques sont mitigés. La tendance de fond (MM) reste positive, mais les indicateurs de momentum (MACD, Stochastique) montrent des signes de faiblesse à court terme. Le RSI et les Bandes de Bollinger n'indiquent pas de direction claire. Le titre semble dans une phase de consolidation après un rebond, avec un biais haussier à moyen terme mais un risque de correction à court terme.</w:t>
      </w:r>
    </w:p>
    <w:p>
      <w:pPr>
        <w:spacing w:after="120" w:line="276" w:lineRule="auto"/>
      </w:pPr>
      <w:r>
        <w:t>### PARTIE 3 : ANALYSE FONDAMENTALE (SECTION CRITIQUE)</w:t>
      </w:r>
    </w:p>
    <w:p>
      <w:pPr>
        <w:spacing w:after="120" w:line="276" w:lineRule="auto"/>
      </w:pPr>
      <w:r>
        <w:t>En 2025, FILTISAC a réalisé un chiffre d'affaires de 32,109 milliards FCFA, en hausse de 5%, mais son résultat net s'effondre à 466 millions FCFA (marge nette de 1,45%), contre 18,6 milliards en 2024 qui bénéficiait de produits exceptionnels. La rentabilité des capitaux propres (ROE) est très faible à 2,97%, et la marge opérationnelle est minime (0,86%). La structure financière s'est fortement dégradée : la trésorerie nette est négative de 11,5 milliards FCFA suite au versement massif de dividendes, et le besoin en fonds de roulement (BFR) est élevé à 11,5 milliards, avec des délais clients (213 jours) et de stockage (214 jours) très longs, indiquant un risque de trésorerie. Les rapports trimestriels de 2025 montrent une amélioration progressive de l'exploitation (résultat d'exploitation de -230 millions au T3 vs -13 millions au S1), mais le résultat net reste sous pression. Le rapport du T1 2026 (daté de 2026) confirme cette tendance avec un CA en hausse de 55% à 8,9 milliards et un résultat d'exploitation positif de 75 millions, mais un résultat net encore déficitaire de -154 millions. On estime que l'exercice 2026 pourrait voir une amélioration de la rentabilité opérationnelle, mais la dépendance à la campagne cacaoyère et les risques d'approvisionnement (interdiction d'exportation de jute par le Bangladesh) restent des menaces majeures pour la pérennité et la rentabilité.</w:t>
      </w:r>
    </w:p>
    <w:p>
      <w:pPr>
        <w:spacing w:after="120" w:line="276" w:lineRule="auto"/>
      </w:pPr>
      <w:r>
        <w:t>### PARTIE 4 : CONCLUSION D'INVESTISSEMENT</w:t>
      </w:r>
    </w:p>
    <w:p>
      <w:pPr>
        <w:spacing w:after="120" w:line="276" w:lineRule="auto"/>
      </w:pPr>
      <w:r>
        <w:t>La synthèse globale pour l'action FTSC est contrastée. La valorisation boursière (PER 65x, EV/EBITDA 38x) est extrêmement élevée et reflète une surévaluation par rapport aux fondamentaux actuels, marqués par une rentabilité nette très faible et une trésorerie fortement négative. Le comportement du cours sur 100 jours est baissier (-6,72%), avec une volatilité élevée (35,4%), ce qui est préoccupant. Les signaux techniques sont mitigés, avec une tendance de fond positive (MM) mais des indicateurs de momentum baissiers à court terme (MACD, Stochastique). Les fondamentaux, bien qu'en amélioration opérationnelle (hausse du CA, réduction des pertes d'exploitation), ne justifient pas les niveaux de valorisation actuels. Les prédictions IA suggèrent une légère hausse du cours sur 10 jours (+2,3%), ce qui contredit les signaux de momentum court terme mais pourrait refléter une stabilisation. En conclusion, la convergence entre la valorisation excessive, la faiblesse des fondamentaux et la dégradation de la trésorerie l'emporte sur les signaux techniques et les prédictions à court terme. Nous recommandons une position de **VENTE**, avec un niveau de confiance **Moyen** et un risque global **Élevé**. L'horizon d'investissement optimal est le **court terme (&lt;3 mois)** pour les investisseurs cherchant à réduire leur exposition, en attendant une amélioration durable des fondamentaux et un assainissement du bilan.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4,237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+3.98%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μ=4,061 FCFA, σ=198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β=0.0716 (Défensif) — Cov=0.000003, Var(idx)=0.000037, ρ=0.019,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3,831</w:t>
            </w:r>
          </w:p>
        </w:tc>
        <w:tc>
          <w:tcPr>
            <w:tcW w:type="dxa" w:w="1440"/>
            <w:shd w:fill="FAFAFA" w:val="clear"/>
          </w:tcPr>
          <w:p>
            <w:r>
              <w:rPr>
                <w:b/>
                <w:sz w:val="17"/>
              </w:rPr>
              <w:t>3,983</w:t>
            </w:r>
          </w:p>
        </w:tc>
        <w:tc>
          <w:tcPr>
            <w:tcW w:type="dxa" w:w="1440"/>
            <w:shd w:fill="FAFAFA" w:val="clear"/>
          </w:tcPr>
          <w:p>
            <w:r>
              <w:rPr>
                <w:sz w:val="17"/>
              </w:rPr>
              <w:t>4,134</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3,773</w:t>
            </w:r>
          </w:p>
        </w:tc>
        <w:tc>
          <w:tcPr>
            <w:tcW w:type="dxa" w:w="1440"/>
            <w:shd w:fill="FAFAFA" w:val="clear"/>
          </w:tcPr>
          <w:p>
            <w:r>
              <w:rPr>
                <w:b/>
                <w:sz w:val="17"/>
              </w:rPr>
              <w:t>3,987</w:t>
            </w:r>
          </w:p>
        </w:tc>
        <w:tc>
          <w:tcPr>
            <w:tcW w:type="dxa" w:w="1440"/>
            <w:shd w:fill="FAFAFA" w:val="clear"/>
          </w:tcPr>
          <w:p>
            <w:r>
              <w:rPr>
                <w:sz w:val="17"/>
              </w:rPr>
              <w:t>4,201</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3,732</w:t>
            </w:r>
          </w:p>
        </w:tc>
        <w:tc>
          <w:tcPr>
            <w:tcW w:type="dxa" w:w="1440"/>
            <w:shd w:fill="FAFAFA" w:val="clear"/>
          </w:tcPr>
          <w:p>
            <w:r>
              <w:rPr>
                <w:b/>
                <w:sz w:val="17"/>
              </w:rPr>
              <w:t>3,995</w:t>
            </w:r>
          </w:p>
        </w:tc>
        <w:tc>
          <w:tcPr>
            <w:tcW w:type="dxa" w:w="1440"/>
            <w:shd w:fill="FAFAFA" w:val="clear"/>
          </w:tcPr>
          <w:p>
            <w:r>
              <w:rPr>
                <w:sz w:val="17"/>
              </w:rPr>
              <w:t>4,258</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3,703</w:t>
            </w:r>
          </w:p>
        </w:tc>
        <w:tc>
          <w:tcPr>
            <w:tcW w:type="dxa" w:w="1440"/>
            <w:shd w:fill="FAFAFA" w:val="clear"/>
          </w:tcPr>
          <w:p>
            <w:r>
              <w:rPr>
                <w:b/>
                <w:sz w:val="17"/>
              </w:rPr>
              <w:t>4,008</w:t>
            </w:r>
          </w:p>
        </w:tc>
        <w:tc>
          <w:tcPr>
            <w:tcW w:type="dxa" w:w="1440"/>
            <w:shd w:fill="FAFAFA" w:val="clear"/>
          </w:tcPr>
          <w:p>
            <w:r>
              <w:rPr>
                <w:sz w:val="17"/>
              </w:rPr>
              <w:t>4,312</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3,680</w:t>
            </w:r>
          </w:p>
        </w:tc>
        <w:tc>
          <w:tcPr>
            <w:tcW w:type="dxa" w:w="1440"/>
            <w:shd w:fill="FAFAFA" w:val="clear"/>
          </w:tcPr>
          <w:p>
            <w:r>
              <w:rPr>
                <w:b/>
                <w:sz w:val="17"/>
              </w:rPr>
              <w:t>4,021</w:t>
            </w:r>
          </w:p>
        </w:tc>
        <w:tc>
          <w:tcPr>
            <w:tcW w:type="dxa" w:w="1440"/>
            <w:shd w:fill="FAFAFA" w:val="clear"/>
          </w:tcPr>
          <w:p>
            <w:r>
              <w:rPr>
                <w:sz w:val="17"/>
              </w:rPr>
              <w:t>4,363</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3,656</w:t>
            </w:r>
          </w:p>
        </w:tc>
        <w:tc>
          <w:tcPr>
            <w:tcW w:type="dxa" w:w="1440"/>
            <w:shd w:fill="FAFAFA" w:val="clear"/>
          </w:tcPr>
          <w:p>
            <w:r>
              <w:rPr>
                <w:b/>
                <w:sz w:val="17"/>
              </w:rPr>
              <w:t>4,031</w:t>
            </w:r>
          </w:p>
        </w:tc>
        <w:tc>
          <w:tcPr>
            <w:tcW w:type="dxa" w:w="1440"/>
            <w:shd w:fill="FAFAFA" w:val="clear"/>
          </w:tcPr>
          <w:p>
            <w:r>
              <w:rPr>
                <w:sz w:val="17"/>
              </w:rPr>
              <w:t>4,406</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3,627</w:t>
            </w:r>
          </w:p>
        </w:tc>
        <w:tc>
          <w:tcPr>
            <w:tcW w:type="dxa" w:w="1440"/>
            <w:shd w:fill="FAFAFA" w:val="clear"/>
          </w:tcPr>
          <w:p>
            <w:r>
              <w:rPr>
                <w:b/>
                <w:sz w:val="17"/>
              </w:rPr>
              <w:t>4,033</w:t>
            </w:r>
          </w:p>
        </w:tc>
        <w:tc>
          <w:tcPr>
            <w:tcW w:type="dxa" w:w="1440"/>
            <w:shd w:fill="FAFAFA" w:val="clear"/>
          </w:tcPr>
          <w:p>
            <w:r>
              <w:rPr>
                <w:sz w:val="17"/>
              </w:rPr>
              <w:t>4,439</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3,603</w:t>
            </w:r>
          </w:p>
        </w:tc>
        <w:tc>
          <w:tcPr>
            <w:tcW w:type="dxa" w:w="1440"/>
            <w:shd w:fill="FAFAFA" w:val="clear"/>
          </w:tcPr>
          <w:p>
            <w:r>
              <w:rPr>
                <w:b/>
                <w:sz w:val="17"/>
              </w:rPr>
              <w:t>4,037</w:t>
            </w:r>
          </w:p>
        </w:tc>
        <w:tc>
          <w:tcPr>
            <w:tcW w:type="dxa" w:w="1440"/>
            <w:shd w:fill="FAFAFA" w:val="clear"/>
          </w:tcPr>
          <w:p>
            <w:r>
              <w:rPr>
                <w:sz w:val="17"/>
              </w:rPr>
              <w:t>4,471</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3,592</w:t>
            </w:r>
          </w:p>
        </w:tc>
        <w:tc>
          <w:tcPr>
            <w:tcW w:type="dxa" w:w="1440"/>
            <w:shd w:fill="FAFAFA" w:val="clear"/>
          </w:tcPr>
          <w:p>
            <w:r>
              <w:rPr>
                <w:b/>
                <w:sz w:val="17"/>
              </w:rPr>
              <w:t>4,055</w:t>
            </w:r>
          </w:p>
        </w:tc>
        <w:tc>
          <w:tcPr>
            <w:tcW w:type="dxa" w:w="1440"/>
            <w:shd w:fill="FAFAFA" w:val="clear"/>
          </w:tcPr>
          <w:p>
            <w:r>
              <w:rPr>
                <w:sz w:val="17"/>
              </w:rPr>
              <w:t>4,517</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3,589</w:t>
            </w:r>
          </w:p>
        </w:tc>
        <w:tc>
          <w:tcPr>
            <w:tcW w:type="dxa" w:w="1440"/>
            <w:shd w:fill="FAFAFA" w:val="clear"/>
          </w:tcPr>
          <w:p>
            <w:r>
              <w:rPr>
                <w:b/>
                <w:sz w:val="17"/>
              </w:rPr>
              <w:t>4,079</w:t>
            </w:r>
          </w:p>
        </w:tc>
        <w:tc>
          <w:tcPr>
            <w:tcW w:type="dxa" w:w="1440"/>
            <w:shd w:fill="FAFAFA" w:val="clear"/>
          </w:tcPr>
          <w:p>
            <w:r>
              <w:rPr>
                <w:sz w:val="17"/>
              </w:rPr>
              <w:t>4,569</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Absolument. Voici un rapport d'analyse structuré et professionnel pour l'action LNBB (Loterie Nationale du Bénin)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 milliards FCFA, un niveau qui la positionne comme une valeur de taille moyenne sur la BRVM, offrant une liquidité potentiellement correcte. Avec un BPA de 231 FCFA, le titre se négocie à un PER de 17,5x, ce qui est nettement supérieur à la moyenne historique du marché (8-12x). Les investisseurs paient donc une prime significative pour les bénéfices de la société, ce qui suggère des attentes de croissance ou une perception de stabilité. Le P/B de 3,69x confirme cette prime, le marché valorisant le titre bien au-delà de sa valeur comptable (actif net). Enfin, un EV/EBITDA de 10,3x, bien que dans la fourchette haute, indique que la valeur totale de l'entreprise (capitalisation plus dette nette) reste raisonnable par rapport à sa capacité à générer du cash-flow opérationnel.</w:t>
      </w:r>
    </w:p>
    <w:p>
      <w:pPr>
        <w:spacing w:after="120" w:line="276" w:lineRule="auto"/>
      </w:pPr>
      <w:r>
        <w:t>### PARTIE 1 : ANALYSE DU COURS — STATISTIQUES ET ÉVOLUTION (100 derniers jours)</w:t>
      </w:r>
    </w:p>
    <w:p>
      <w:pPr>
        <w:spacing w:after="120" w:line="276" w:lineRule="auto"/>
      </w:pPr>
      <w:r>
        <w:t>Sur les 100 derniers jours, l'action LNBB a enregistré une progression modeste de +3,98%, avec une dernière séance stable (0,00%). Le cours a évolué dans une fourchette de 3 825 FCFA (plus bas) à 4 560 FCFA (plus haut), montrant une amplitude de trading non négligeable. La moyenne (4 061 FCFA) est très proche de la médiane (4 000 FCFA), indiquant une distribution des prix assez symétrique, bien que le skewness positif (0,576) suggère un plus grand nombre de journées sous la moyenne. L'écart-type de 199 FCFA (CV=4,9%) témoigne d'une dispersion modérée des prix autour de la moyenne. Le kurtosis négatif (-0,919) indique une distribution "mésokurtique" avec des extrêmes moins fréquents qu'une normale, réduisant le risque de mouvements violents. La volatilité annualisée de 36,1% est élevée, signalant un titre potentiellement spéculatif à court terme, malgré une tendance de fond stable.</w:t>
      </w:r>
    </w:p>
    <w:p>
      <w:pPr>
        <w:spacing w:after="120" w:line="276" w:lineRule="auto"/>
      </w:pPr>
      <w:r>
        <w:t>### PARTIE 2 : ANALYSE TECHNIQUE DÉTAILLÉE</w:t>
      </w:r>
    </w:p>
    <w:p>
      <w:pPr>
        <w:spacing w:after="120" w:line="276" w:lineRule="auto"/>
      </w:pPr>
      <w:r>
        <w:t>**Moyennes Mobiles**: Le cours actuel (4 050 FCFA) est inférieur à la MM20 (4 101,5 FCFA) et nettement sous la MM50 (4 221,8 FCFA). Cette configuration baissière, où les moyennes agissent comme des résistances, justifie la décision de "Vente". La tendance de fond à moyen terme est donc négative.</w:t>
      </w:r>
    </w:p>
    <w:p>
      <w:pPr>
        <w:spacing w:after="120" w:line="276" w:lineRule="auto"/>
      </w:pPr>
      <w:r>
        <w:t>**Bandes de Bollinger**: Le prix se situe dans la partie médiane-inférieure des bandes (borne supérieure à 4 303 FCFA, inférieure à 3 900 FCFA). La décision est "Neutre". Le cours n'est pas en situation de surachat ni de survente, mais la pente des bandes suggère une volatilité qui pourrait s'accentuer.</w:t>
      </w:r>
    </w:p>
    <w:p>
      <w:pPr>
        <w:spacing w:after="120" w:line="276" w:lineRule="auto"/>
      </w:pPr>
      <w:r>
        <w:t>**MACD**: La valeur du MACD (-57,1) est inférieure à son signal (-52,0), indiquant un momentum baissier. La décision de "Vente" est cohérente avec cette dynamique négative, bien que l'écart entre les deux lignes ne soit pas extrême, ce qui pourrait précéder un retournement.</w:t>
      </w:r>
    </w:p>
    <w:p>
      <w:pPr>
        <w:spacing w:after="120" w:line="276" w:lineRule="auto"/>
      </w:pPr>
      <w:r>
        <w:t>**RSI**: À 44,4, le RSI se situe en zone neutre (30-70). La décision est "Neutre". Il n'y a pas de pression d'achat ou de vente significative, laissant place à une consolidation ou à une poursuite de la tendance actuelle.</w:t>
      </w:r>
    </w:p>
    <w:p>
      <w:pPr>
        <w:spacing w:after="120" w:line="276" w:lineRule="auto"/>
      </w:pPr>
      <w:r>
        <w:t>**Stochastique**: Le %K (27,8) est supérieur au %D (18,5), ce qui pourrait indiquer un début de retournement haussier à court terme. Cependant, les deux valeurs étant en zone de survente (&lt;20 pour %D), la décision reste "Neutre", attendant une confirmation d'un croisement plus franc.</w:t>
      </w:r>
    </w:p>
    <w:p>
      <w:pPr>
        <w:spacing w:after="120" w:line="276" w:lineRule="auto"/>
      </w:pPr>
      <w:r>
        <w:t>**Conclusion technique**: Les indicateurs de tendance (MM, MACD) sont baissiers, tandis que les oscillateurs (RSI, Stochastique) sont neutres. Cette divergence suggère une faiblesse sous-jacente mais sans pression de vente immédiate. Le titre semble chercher un point d'équilibre après une phase de baisse, avec un biais négatif tant que le cours n'aura pas repris la MM50.</w:t>
      </w:r>
    </w:p>
    <w:p>
      <w:pPr>
        <w:spacing w:after="120" w:line="276" w:lineRule="auto"/>
      </w:pPr>
      <w:r>
        <w:t>### PARTIE 3 : ANALYSE FONDAMENTALE (SECTION CRITIQUE)</w:t>
      </w:r>
    </w:p>
    <w:p>
      <w:pPr>
        <w:spacing w:after="120" w:line="276" w:lineRule="auto"/>
      </w:pPr>
      <w:r>
        <w:t>En 2025, la LNB SA a réalisé un chiffre d'affaires de 98,598 Mds FCFA, en baisse de -3,85% par rapport à 2024. Le résultat net s'établit à 4,622 Mds FCFA, en recul de -35,6%, principalement en raison de l'absence de produits exceptionnels (contre 3,1 Mds en 2024) et d'une concurrence déloyale accrue. Malgré cette baisse, la structure financière est robuste : les capitaux propres s'élèvent à 21,954 Mds FCFA, avec un ROE excellent de 21,05% et un ROA de 14,17%. La marge opérationnelle est de 6,47%. Le BFR est légèrement positif (217 M FCFA), ce qui est sain. Les délais de paiement clients (4,82 jours) et fournisseurs (20,41 jours) sont très courts, indiquant une gestion de trésorerie efficace. Les rapports trimestriels de 2025 montrent une dégradation progressive (T1: RN +5%, S1: RN -77%, T3: RN -81%), mais le rapport du S1 2026 (publié en juillet 2026) indique un net redressement avec un résultat net en hausse de +60% grâce à une maîtrise des charges et des revenus de partenariats. Sur cette base, on estime que l'exercice 2026 devrait confirmer une solide reprise de la rentabilité, avec un CA en croissance de +4% au S1. La solidité financière, la politique de dividende (173 FCFA brut par action proposé pour 2025) et les perspectives de redressement en font une valeur défensive de qualité.</w:t>
      </w:r>
    </w:p>
    <w:p>
      <w:pPr>
        <w:spacing w:after="120" w:line="276" w:lineRule="auto"/>
      </w:pPr>
      <w:r>
        <w:t>### PARTIE 4 : CONCLUSION D'INVESTISSEMENT</w:t>
      </w:r>
    </w:p>
    <w:p>
      <w:pPr>
        <w:spacing w:after="120" w:line="276" w:lineRule="auto"/>
      </w:pPr>
      <w:r>
        <w:t>La valorisation de LNBB (PER 17,5x, P/B 3,69x) est exigeante et intègre déjà une partie des bonnes nouvelles, ce qui limite le potentiel de hausse à court terme. Le comportement du cours sur 100 jours montre une stabilité relative avec une volatilité élevée, mais la tendance technique (MM, MACD) est baissière, contredisant les signaux fondamentaux. Cependant, les fondamentaux sont solides : une entreprise avec un ROE de 21%, une trésorerie nette positive de 7,98 Mds FCFA et une politique de distribution généreuse. Les rapports récents (S1 2026) indiquent une amélioration significative de la rentabilité, ce qui valide le potentiel de redressement. Les prédictions IA sur 10 jours (de 3 983 à 4 021 FCFA) suggèrent une stabilisation et un léger rebond, ce qui est cohérent avec un scénario de consolidation après la baisse. En synthèse, la convergence entre des fondamentaux en amélioration et une valorisation élevée, mais avec des signaux techniques négatifs, nous amène à formuler une recommandation **CONSERVER**. Le niveau de confiance est **Moyen**, car le redressement fondamental doit encore se confirmer sur la durée. Le risque global est **Moyen**, principalement lié à la concurrence et à la pression réglementaire. L'horizon d'investissement optimal est le **moyen terme (3-12 mois)**, pour capitaliser sur la reprise attendue des résultats et le potentiel de revalorisation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+118.98%</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17.76% (Élevée) — μ=2,111 FCFA, σ=375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β=-0.2418 (Contre-cyclique) — Cov=-0.000009, Var(idx)=0.000037, ρ=-0.044,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2,637</w:t>
            </w:r>
          </w:p>
        </w:tc>
        <w:tc>
          <w:tcPr>
            <w:tcW w:type="dxa" w:w="1440"/>
            <w:shd w:fill="FFDCE0" w:val="clear"/>
          </w:tcPr>
          <w:p>
            <w:r>
              <w:rPr>
                <w:b/>
                <w:sz w:val="17"/>
              </w:rPr>
              <w:t>2,775</w:t>
            </w:r>
          </w:p>
        </w:tc>
        <w:tc>
          <w:tcPr>
            <w:tcW w:type="dxa" w:w="1440"/>
            <w:shd w:fill="FFDCE0" w:val="clear"/>
          </w:tcPr>
          <w:p>
            <w:r>
              <w:rPr>
                <w:sz w:val="17"/>
              </w:rPr>
              <w:t>2,913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2,387</w:t>
            </w:r>
          </w:p>
        </w:tc>
        <w:tc>
          <w:tcPr>
            <w:tcW w:type="dxa" w:w="1440"/>
            <w:shd w:fill="FFDCE0" w:val="clear"/>
          </w:tcPr>
          <w:p>
            <w:r>
              <w:rPr>
                <w:b/>
                <w:sz w:val="17"/>
              </w:rPr>
              <w:t>2,567</w:t>
            </w:r>
          </w:p>
        </w:tc>
        <w:tc>
          <w:tcPr>
            <w:tcW w:type="dxa" w:w="1440"/>
            <w:shd w:fill="FFDCE0" w:val="clear"/>
          </w:tcPr>
          <w:p>
            <w:r>
              <w:rPr>
                <w:sz w:val="17"/>
              </w:rPr>
              <w:t>2,747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2,170</w:t>
            </w:r>
          </w:p>
        </w:tc>
        <w:tc>
          <w:tcPr>
            <w:tcW w:type="dxa" w:w="1440"/>
            <w:shd w:fill="FFDCE0" w:val="clear"/>
          </w:tcPr>
          <w:p>
            <w:r>
              <w:rPr>
                <w:b/>
                <w:sz w:val="17"/>
              </w:rPr>
              <w:t>2,374</w:t>
            </w:r>
          </w:p>
        </w:tc>
        <w:tc>
          <w:tcPr>
            <w:tcW w:type="dxa" w:w="1440"/>
            <w:shd w:fill="FFDCE0" w:val="clear"/>
          </w:tcPr>
          <w:p>
            <w:r>
              <w:rPr>
                <w:sz w:val="17"/>
              </w:rPr>
              <w:t>2,578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1,978</w:t>
            </w:r>
          </w:p>
        </w:tc>
        <w:tc>
          <w:tcPr>
            <w:tcW w:type="dxa" w:w="1440"/>
            <w:shd w:fill="FFDCE0" w:val="clear"/>
          </w:tcPr>
          <w:p>
            <w:r>
              <w:rPr>
                <w:b/>
                <w:sz w:val="17"/>
              </w:rPr>
              <w:t>2,196</w:t>
            </w:r>
          </w:p>
        </w:tc>
        <w:tc>
          <w:tcPr>
            <w:tcW w:type="dxa" w:w="1440"/>
            <w:shd w:fill="FFDCE0" w:val="clear"/>
          </w:tcPr>
          <w:p>
            <w:r>
              <w:rPr>
                <w:sz w:val="17"/>
              </w:rPr>
              <w:t>2,414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1,806</w:t>
            </w:r>
          </w:p>
        </w:tc>
        <w:tc>
          <w:tcPr>
            <w:tcW w:type="dxa" w:w="1440"/>
            <w:shd w:fill="FFDCE0" w:val="clear"/>
          </w:tcPr>
          <w:p>
            <w:r>
              <w:rPr>
                <w:b/>
                <w:sz w:val="17"/>
              </w:rPr>
              <w:t>2,032</w:t>
            </w:r>
          </w:p>
        </w:tc>
        <w:tc>
          <w:tcPr>
            <w:tcW w:type="dxa" w:w="1440"/>
            <w:shd w:fill="FFDCE0" w:val="clear"/>
          </w:tcPr>
          <w:p>
            <w:r>
              <w:rPr>
                <w:sz w:val="17"/>
              </w:rPr>
              <w:t>2,257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1,651</w:t>
            </w:r>
          </w:p>
        </w:tc>
        <w:tc>
          <w:tcPr>
            <w:tcW w:type="dxa" w:w="1440"/>
            <w:shd w:fill="FFDCE0" w:val="clear"/>
          </w:tcPr>
          <w:p>
            <w:r>
              <w:rPr>
                <w:b/>
                <w:sz w:val="17"/>
              </w:rPr>
              <w:t>1,879</w:t>
            </w:r>
          </w:p>
        </w:tc>
        <w:tc>
          <w:tcPr>
            <w:tcW w:type="dxa" w:w="1440"/>
            <w:shd w:fill="FFDCE0" w:val="clear"/>
          </w:tcPr>
          <w:p>
            <w:r>
              <w:rPr>
                <w:sz w:val="17"/>
              </w:rPr>
              <w:t>2,108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1,510</w:t>
            </w:r>
          </w:p>
        </w:tc>
        <w:tc>
          <w:tcPr>
            <w:tcW w:type="dxa" w:w="1440"/>
            <w:shd w:fill="FFDCE0" w:val="clear"/>
          </w:tcPr>
          <w:p>
            <w:r>
              <w:rPr>
                <w:b/>
                <w:sz w:val="17"/>
              </w:rPr>
              <w:t>1,738</w:t>
            </w:r>
          </w:p>
        </w:tc>
        <w:tc>
          <w:tcPr>
            <w:tcW w:type="dxa" w:w="1440"/>
            <w:shd w:fill="FFDCE0" w:val="clear"/>
          </w:tcPr>
          <w:p>
            <w:r>
              <w:rPr>
                <w:sz w:val="17"/>
              </w:rPr>
              <w:t>1,967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1,407</w:t>
            </w:r>
          </w:p>
        </w:tc>
        <w:tc>
          <w:tcPr>
            <w:tcW w:type="dxa" w:w="1440"/>
            <w:shd w:fill="FFDCE0" w:val="clear"/>
          </w:tcPr>
          <w:p>
            <w:r>
              <w:rPr>
                <w:b/>
                <w:sz w:val="17"/>
              </w:rPr>
              <w:t>1,636</w:t>
            </w:r>
          </w:p>
        </w:tc>
        <w:tc>
          <w:tcPr>
            <w:tcW w:type="dxa" w:w="1440"/>
            <w:shd w:fill="FFDCE0" w:val="clear"/>
          </w:tcPr>
          <w:p>
            <w:r>
              <w:rPr>
                <w:sz w:val="17"/>
              </w:rPr>
              <w:t>1,866</w:t>
            </w:r>
          </w:p>
        </w:tc>
        <w:tc>
          <w:tcPr>
            <w:tcW w:type="dxa" w:w="1440"/>
            <w:shd w:fill="FFDCE0" w:val="clear"/>
          </w:tcPr>
          <w:p>
            <w:r>
              <w:rPr>
                <w:b/>
                <w:color w:val="C00000"/>
                <w:sz w:val="17"/>
              </w:rPr>
              <w:t>-45.5%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1,341</w:t>
            </w:r>
          </w:p>
        </w:tc>
        <w:tc>
          <w:tcPr>
            <w:tcW w:type="dxa" w:w="1440"/>
            <w:shd w:fill="FFDCE0" w:val="clear"/>
          </w:tcPr>
          <w:p>
            <w:r>
              <w:rPr>
                <w:b/>
                <w:sz w:val="17"/>
              </w:rPr>
              <w:t>1,576</w:t>
            </w:r>
          </w:p>
        </w:tc>
        <w:tc>
          <w:tcPr>
            <w:tcW w:type="dxa" w:w="1440"/>
            <w:shd w:fill="FFDCE0" w:val="clear"/>
          </w:tcPr>
          <w:p>
            <w:r>
              <w:rPr>
                <w:sz w:val="17"/>
              </w:rPr>
              <w:t>1,811</w:t>
            </w:r>
          </w:p>
        </w:tc>
        <w:tc>
          <w:tcPr>
            <w:tcW w:type="dxa" w:w="1440"/>
            <w:shd w:fill="FFDCE0" w:val="clear"/>
          </w:tcPr>
          <w:p>
            <w:r>
              <w:rPr>
                <w:b/>
                <w:color w:val="C00000"/>
                <w:sz w:val="17"/>
              </w:rPr>
              <w:t>-47.5%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1,282</w:t>
            </w:r>
          </w:p>
        </w:tc>
        <w:tc>
          <w:tcPr>
            <w:tcW w:type="dxa" w:w="1440"/>
            <w:shd w:fill="FFDCE0" w:val="clear"/>
          </w:tcPr>
          <w:p>
            <w:r>
              <w:rPr>
                <w:b/>
                <w:sz w:val="17"/>
              </w:rPr>
              <w:t>1,521</w:t>
            </w:r>
          </w:p>
        </w:tc>
        <w:tc>
          <w:tcPr>
            <w:tcW w:type="dxa" w:w="1440"/>
            <w:shd w:fill="FFDCE0" w:val="clear"/>
          </w:tcPr>
          <w:p>
            <w:r>
              <w:rPr>
                <w:sz w:val="17"/>
              </w:rPr>
              <w:t>1,760</w:t>
            </w:r>
          </w:p>
        </w:tc>
        <w:tc>
          <w:tcPr>
            <w:tcW w:type="dxa" w:w="1440"/>
            <w:shd w:fill="FFDCE0" w:val="clear"/>
          </w:tcPr>
          <w:p>
            <w:r>
              <w:rPr>
                <w:b/>
                <w:color w:val="C00000"/>
                <w:sz w:val="17"/>
              </w:rPr>
              <w:t>-49.3%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ce qui la positionne comme une valeur de taille moyenne sur la BRVM, offrant une liquidité potentiellement limitée mais une visibilité certaine. Le BPA de 160 FCFA indique que chaque action génère un bénéfice de ce montant, justifiant un PER de 18,8x. Ce ratio est nettement supérieur à la moyenne historique de la BRVM (8-12x), signifiant que les investisseurs paient une prime substantielle pour les bénéfices actuels de l'entreprise. Le P/B de 6,65x confirme cette lecture, le marché valorisant le titre bien au-delà de sa valeur comptable (plus de 6 fois), ce qui reflète des attentes de croissance ou de rentabilité future très élevées. Enfin, l'EV/EBITDA de 28,5x est particulièrement exigeant, indiquant que la valeur totale de l'entreprise (fonds propres + dettes) est très élevée par rapport à sa capacité opérationnelle de génération de cash (EBITDA), ce qui renforce le constat d'une valorisation qui anticipe une performance future exceptionnelle.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+118,98%, passant d'un plus bas de 1 370 FCFA à un plus haut de 3 000 FCFA, qui correspond également au cours actuel. Cette tendance est fortement haussière, avec une dernière séance stable (+0,00%). La moyenne du cours sur la période (2 111 FCFA) est inférieure à la médiane (2 178 FCFA), suggérant une distribution légèrement asymétrique où les fortes hausses récentes tirent la moyenne vers le haut. L'écart-type de 377 FCFA (CV de 17,8%) indique une dispersion modérée des prix autour de la moyenne. Le kurtosis de 0,580 (mésokurtique) et le skewness de 0,127 (distribution symétrique) suggèrent que les variations de prix suivent une loi proche de la normale, sans risque de pics extrêmes particulier. La volatilité annualisée de 53,3% est très élevée, classant NEIC comme un actif à haut risque, où les mouvements de prix peuvent être amples et rapides, offrant un potentiel de gain important mais aussi un risque de perte substantiel.</w:t>
      </w:r>
    </w:p>
    <w:p>
      <w:pPr>
        <w:spacing w:after="120" w:line="276" w:lineRule="auto" w:before="240"/>
      </w:pPr>
      <w:r>
        <w:rPr>
          <w:b/>
          <w:color w:val="003366"/>
          <w:sz w:val="24"/>
        </w:rPr>
        <w:t>**PARTIE 2 : ANALYSE TECHNIQUE DÉTAILLÉE**</w:t>
      </w:r>
    </w:p>
    <w:p>
      <w:pPr>
        <w:spacing w:after="120" w:line="276" w:lineRule="auto"/>
      </w:pPr>
      <w:r>
        <w:t>Les **Moyennes Mobiles** (MM20 à 2 528,5 FCFA et MM50 à 2 356,0 FCFA) sont toutes deux largement inférieures au cours actuel de 3 000 FCFA. Cette configuration haussière, où le prix évolue au-dessus de ses moyennes, confirme la vigueur de la tendance et justifie la décision d'**Achat**.</w:t>
      </w:r>
    </w:p>
    <w:p>
      <w:pPr>
        <w:spacing w:after="120" w:line="276" w:lineRule="auto"/>
      </w:pPr>
      <w:r>
        <w:t>Les **Bandes de Bollinger** sont extrêmement larges (borne supérieure à 3 243,52 FCFA et inférieure à 1 813,48 FCFA), reflétant la forte volatilité du titre. Le cours à 3 000 FCFA se situe près de la borne supérieure, indiquant que le titre est suracheté à court terme, mais la décision est **Neutre**, car le prix n'a pas encore franchi la borne, ce qui pourrait signaler une poursuite de la tendance ou un retournement.</w:t>
      </w:r>
    </w:p>
    <w:p>
      <w:pPr>
        <w:spacing w:after="120" w:line="276" w:lineRule="auto"/>
      </w:pPr>
      <w:r>
        <w:t>Le **MACD** affiche une valeur de 210,648, nettement au-dessus de son signal (150,656). Cette divergence positive et croissante indique un momentum haussier très fort et confirme la dynamique positive du titre, justifiant la décision d'**Achat**.</w:t>
      </w:r>
    </w:p>
    <w:p>
      <w:pPr>
        <w:spacing w:after="120" w:line="276" w:lineRule="auto"/>
      </w:pPr>
      <w:r>
        <w:t>Le **RSI** est à 95,977, un niveau extrêmement élevé, bien au-delà du seuil de surachat de 70. Cela signifie que le titre est massivement suracheté et que la pression acheteuse est excessive. Un tel niveau précède souvent un retournement baissier ou une consolidation, d'où la décision de **Vente**.</w:t>
      </w:r>
    </w:p>
    <w:p>
      <w:pPr>
        <w:spacing w:after="120" w:line="276" w:lineRule="auto"/>
      </w:pPr>
      <w:r>
        <w:t>Le **Stochastique** est également à son maximum, avec %K et %D à 100,0. Cette situation de surachat extrême confirme la faiblesse du potentiel de hausse à court terme et renforce le signal de **Vente**.</w:t>
      </w:r>
    </w:p>
    <w:p>
      <w:pPr>
        <w:spacing w:after="120" w:line="276" w:lineRule="auto"/>
      </w:pPr>
      <w:r>
        <w:t>En conclusion technique, les indicateurs de tendance (MM, MACD) sont résolument haussiers, mais les oscillateurs de momentum (RSI, Stochastique) hurlent à la surachat. Cette divergence classique signale une possible correction technique après une hausse aussi violente, bien que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selon les données structurées annuelles, NEIC affiche un chiffre d'affaires de 5,139 milliards FCFA, en baisse de -23,8% par rapport à l'année précédente. Cependant, le résultat net est exceptionnellement élevé à 2,037 milliards FCFA, porté par la reprise d'une provision pour redressement fiscal, comme l'explique le rapport du 3ème trimestre 2025 (publié le 30/09/2025). Cette performance se traduit par une marge nette de 39,6%, un ROE de 35,4% et un ROA de 27,3%, des niveaux excellents mais artificiellement gonflés par cet élément non récurrent. La structure financière est très saine avec une autonomie financière de 77% et une trésorerie nette positive de 4,196 milliards FCFA. Le rapport du 1er trimestre 2025 (publié le 31/03/2025) montrait une activité atone (CA de 48,5 millions FCFA) et une perte de -189,9 millions FCFA, mais le rapport T3 2025 confirme le caractère saisonnier de l'activité. Le rapport annuel 2025 (publié en 2026) fait état d'un CA de 6,74 milliards FCFA (+29%) et d'un résultat net de 2,04 milliards FCFA (+169%), et propose un dividende de 100% du résultat. Enfin, le rapport T1 2026 (publié en 2026) montre une forte croissance du CA (+137% à 115,1 millions FCFA) mais une perte nette persistante de -168,9 millions FCFA. On estime que l'exercice 2026 devrait bénéficier de cette dynamique commerciale retrouvée, mais la rentabilité récurrente reste à prouver. La solidité financière est réelle, mais la performance opérationnelle sous-jacente est volatile et dépendante de marchés publics.</w:t>
      </w:r>
    </w:p>
    <w:p>
      <w:pPr>
        <w:spacing w:after="120" w:line="276" w:lineRule="auto" w:before="240"/>
      </w:pPr>
      <w:r>
        <w:rPr>
          <w:b/>
          <w:color w:val="003366"/>
          <w:sz w:val="24"/>
        </w:rPr>
        <w:t>**PARTIE 4 : CONCLUSION D'INVESTISSEMENT**</w:t>
      </w:r>
    </w:p>
    <w:p>
      <w:pPr>
        <w:spacing w:after="120" w:line="276" w:lineRule="auto"/>
      </w:pPr>
      <w:r>
        <w:t>La valorisation de NEIC est extrêmement exigeante, avec un PER de 18,8x, un P/B de 6,65x et un EV/EBITDA de 28,5x, tous bien supérieurs aux moyennes du marché, indiquant une possible surévaluation. Le comportement du cours est spectaculairement haussier (+119% en 100 jours) mais accompagné d'une volatilité annualisée très élevée (53,3%), ce qui est préoccupant. Les signaux techniques sont contradictoires : la tendance de fond (MM, MACD) est positive, mais les indicateurs de surachat (RSI à 96, Stochastique à 100) sont extrêmes et suggèrent un risque élevé de correction. Fondamentalement, l'entreprise est financièrement solide (trésorerie nette positive, ROE de 35%) mais sa rentabilité récurrente est masquée par des éléments exceptionnels et son chiffre d'affaires est en déclin sur un an. Les prédictions IA pour les 10 prochains jours (chute de 3 000 à 2 032 FCFA) confirment le scénario d'une correction technique imminente. En synthèse, la convergence des signaux de surachat technique et de la prédiction IA, couplée à une valorisation qui a anticipé la bonne nouvelle, suggère qu'il est trop tard pour acheter à ce niveau. La recommandation finale est **VENTE** pour les investisseurs à court terme souhaitant sécuriser leurs gains, avec un niveau de confiance **Moyen** et un risque global **Élevé**. Pour les investisseurs à long terme, un horizon de moyen terme (3-12 mois) pourrait offrir un point d'entrée plus attractif après une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572.61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2,374 titres</w:t>
            </w:r>
          </w:p>
        </w:tc>
        <w:tc>
          <w:tcPr>
            <w:tcW w:type="dxa" w:w="2268"/>
            <w:shd w:fill="FFF2CC" w:val="clear"/>
          </w:tcPr>
          <w:p>
            <w:r>
              <w:rPr>
                <w:b/>
                <w:color w:val="503200"/>
                <w:sz w:val="16"/>
              </w:rPr>
              <w:t xml:space="preserve">Cours actuel : </w:t>
            </w:r>
            <w:r>
              <w:rPr>
                <w:color w:val="000000"/>
                <w:sz w:val="17"/>
              </w:rPr>
              <w:t>23,150 FCFA</w:t>
            </w:r>
          </w:p>
          <w:p>
            <w:r>
              <w:rPr>
                <w:b/>
                <w:color w:val="503200"/>
                <w:sz w:val="16"/>
              </w:rPr>
              <w:t xml:space="preserve">Var. 100 jours : </w:t>
            </w:r>
            <w:r>
              <w:rPr>
                <w:b/>
                <w:color w:val="007800"/>
                <w:sz w:val="17"/>
              </w:rPr>
              <w:t>+63.03%</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18.14% (Élevée) — μ=19,396 FCFA, σ=3,519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β=1.1296 (Neutre (suit le marché)) — Cov=0.000042, Var(idx)=0.000037, ρ=0.289,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2,374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2026-09-07</w:t>
            </w:r>
          </w:p>
        </w:tc>
        <w:tc>
          <w:tcPr>
            <w:tcW w:type="dxa" w:w="1440"/>
            <w:shd w:fill="C6EFCE" w:val="clear"/>
          </w:tcPr>
          <w:p>
            <w:r>
              <w:rPr>
                <w:sz w:val="17"/>
              </w:rPr>
              <w:t>23,258</w:t>
            </w:r>
          </w:p>
        </w:tc>
        <w:tc>
          <w:tcPr>
            <w:tcW w:type="dxa" w:w="1440"/>
            <w:shd w:fill="C6EFCE" w:val="clear"/>
          </w:tcPr>
          <w:p>
            <w:r>
              <w:rPr>
                <w:b/>
                <w:sz w:val="17"/>
              </w:rPr>
              <w:t>23,651</w:t>
            </w:r>
          </w:p>
        </w:tc>
        <w:tc>
          <w:tcPr>
            <w:tcW w:type="dxa" w:w="1440"/>
            <w:shd w:fill="C6EFCE" w:val="clear"/>
          </w:tcPr>
          <w:p>
            <w:r>
              <w:rPr>
                <w:sz w:val="17"/>
              </w:rPr>
              <w:t>24,044</w:t>
            </w:r>
          </w:p>
        </w:tc>
        <w:tc>
          <w:tcPr>
            <w:tcW w:type="dxa" w:w="1440"/>
            <w:shd w:fill="C6EFCE" w:val="clear"/>
          </w:tcPr>
          <w:p>
            <w:r>
              <w:rPr>
                <w:b/>
                <w:color w:val="008000"/>
                <w:sz w:val="17"/>
              </w:rPr>
              <w:t>+2.2%</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23,492</w:t>
            </w:r>
          </w:p>
        </w:tc>
        <w:tc>
          <w:tcPr>
            <w:tcW w:type="dxa" w:w="1440"/>
            <w:shd w:fill="C6EFCE" w:val="clear"/>
          </w:tcPr>
          <w:p>
            <w:r>
              <w:rPr>
                <w:b/>
                <w:sz w:val="17"/>
              </w:rPr>
              <w:t>24,057</w:t>
            </w:r>
          </w:p>
        </w:tc>
        <w:tc>
          <w:tcPr>
            <w:tcW w:type="dxa" w:w="1440"/>
            <w:shd w:fill="C6EFCE" w:val="clear"/>
          </w:tcPr>
          <w:p>
            <w:r>
              <w:rPr>
                <w:sz w:val="17"/>
              </w:rPr>
              <w:t>24,622</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23,749</w:t>
            </w:r>
          </w:p>
        </w:tc>
        <w:tc>
          <w:tcPr>
            <w:tcW w:type="dxa" w:w="1440"/>
            <w:shd w:fill="C6EFCE" w:val="clear"/>
          </w:tcPr>
          <w:p>
            <w:r>
              <w:rPr>
                <w:b/>
                <w:sz w:val="17"/>
              </w:rPr>
              <w:t>24,453</w:t>
            </w:r>
          </w:p>
        </w:tc>
        <w:tc>
          <w:tcPr>
            <w:tcW w:type="dxa" w:w="1440"/>
            <w:shd w:fill="C6EFCE" w:val="clear"/>
          </w:tcPr>
          <w:p>
            <w:r>
              <w:rPr>
                <w:sz w:val="17"/>
              </w:rPr>
              <w:t>25,156</w:t>
            </w:r>
          </w:p>
        </w:tc>
        <w:tc>
          <w:tcPr>
            <w:tcW w:type="dxa" w:w="1440"/>
            <w:shd w:fill="C6EFCE" w:val="clear"/>
          </w:tcPr>
          <w:p>
            <w:r>
              <w:rPr>
                <w:b/>
                <w:color w:val="008000"/>
                <w:sz w:val="17"/>
              </w:rPr>
              <w:t>+5.6%</w:t>
            </w:r>
          </w:p>
        </w:tc>
      </w:tr>
      <w:tr>
        <w:tc>
          <w:tcPr>
            <w:tcW w:type="dxa" w:w="1440"/>
            <w:shd w:fill="C6EFCE" w:val="clear"/>
          </w:tcPr>
          <w:p>
            <w:r>
              <w:rPr>
                <w:sz w:val="17"/>
              </w:rPr>
              <w:t>J+4  Moyenne</w:t>
            </w:r>
          </w:p>
        </w:tc>
        <w:tc>
          <w:tcPr>
            <w:tcW w:type="dxa" w:w="1440"/>
            <w:shd w:fill="C6EFCE" w:val="clear"/>
          </w:tcPr>
          <w:p>
            <w:r>
              <w:rPr>
                <w:sz w:val="17"/>
              </w:rPr>
              <w:t>2026-09-10</w:t>
            </w:r>
          </w:p>
        </w:tc>
        <w:tc>
          <w:tcPr>
            <w:tcW w:type="dxa" w:w="1440"/>
            <w:shd w:fill="C6EFCE" w:val="clear"/>
          </w:tcPr>
          <w:p>
            <w:r>
              <w:rPr>
                <w:sz w:val="17"/>
              </w:rPr>
              <w:t>24,015</w:t>
            </w:r>
          </w:p>
        </w:tc>
        <w:tc>
          <w:tcPr>
            <w:tcW w:type="dxa" w:w="1440"/>
            <w:shd w:fill="C6EFCE" w:val="clear"/>
          </w:tcPr>
          <w:p>
            <w:r>
              <w:rPr>
                <w:b/>
                <w:sz w:val="17"/>
              </w:rPr>
              <w:t>24,840</w:t>
            </w:r>
          </w:p>
        </w:tc>
        <w:tc>
          <w:tcPr>
            <w:tcW w:type="dxa" w:w="1440"/>
            <w:shd w:fill="C6EFCE" w:val="clear"/>
          </w:tcPr>
          <w:p>
            <w:r>
              <w:rPr>
                <w:sz w:val="17"/>
              </w:rPr>
              <w:t>25,665</w:t>
            </w:r>
          </w:p>
        </w:tc>
        <w:tc>
          <w:tcPr>
            <w:tcW w:type="dxa" w:w="1440"/>
            <w:shd w:fill="C6EFCE" w:val="clear"/>
          </w:tcPr>
          <w:p>
            <w:r>
              <w:rPr>
                <w:b/>
                <w:color w:val="008000"/>
                <w:sz w:val="17"/>
              </w:rPr>
              <w:t>+7.3%</w:t>
            </w:r>
          </w:p>
        </w:tc>
      </w:tr>
      <w:tr>
        <w:tc>
          <w:tcPr>
            <w:tcW w:type="dxa" w:w="1440"/>
            <w:shd w:fill="C6EFCE" w:val="clear"/>
          </w:tcPr>
          <w:p>
            <w:r>
              <w:rPr>
                <w:sz w:val="17"/>
              </w:rPr>
              <w:t>J+5  Moyenne</w:t>
            </w:r>
          </w:p>
        </w:tc>
        <w:tc>
          <w:tcPr>
            <w:tcW w:type="dxa" w:w="1440"/>
            <w:shd w:fill="C6EFCE" w:val="clear"/>
          </w:tcPr>
          <w:p>
            <w:r>
              <w:rPr>
                <w:sz w:val="17"/>
              </w:rPr>
              <w:t>2026-09-11</w:t>
            </w:r>
          </w:p>
        </w:tc>
        <w:tc>
          <w:tcPr>
            <w:tcW w:type="dxa" w:w="1440"/>
            <w:shd w:fill="C6EFCE" w:val="clear"/>
          </w:tcPr>
          <w:p>
            <w:r>
              <w:rPr>
                <w:sz w:val="17"/>
              </w:rPr>
              <w:t>24,289</w:t>
            </w:r>
          </w:p>
        </w:tc>
        <w:tc>
          <w:tcPr>
            <w:tcW w:type="dxa" w:w="1440"/>
            <w:shd w:fill="C6EFCE" w:val="clear"/>
          </w:tcPr>
          <w:p>
            <w:r>
              <w:rPr>
                <w:b/>
                <w:sz w:val="17"/>
              </w:rPr>
              <w:t>25,226</w:t>
            </w:r>
          </w:p>
        </w:tc>
        <w:tc>
          <w:tcPr>
            <w:tcW w:type="dxa" w:w="1440"/>
            <w:shd w:fill="C6EFCE" w:val="clear"/>
          </w:tcPr>
          <w:p>
            <w:r>
              <w:rPr>
                <w:sz w:val="17"/>
              </w:rPr>
              <w:t>26,163</w:t>
            </w:r>
          </w:p>
        </w:tc>
        <w:tc>
          <w:tcPr>
            <w:tcW w:type="dxa" w:w="1440"/>
            <w:shd w:fill="C6EFCE" w:val="clear"/>
          </w:tcPr>
          <w:p>
            <w:r>
              <w:rPr>
                <w:b/>
                <w:color w:val="008000"/>
                <w:sz w:val="17"/>
              </w:rPr>
              <w:t>+9.0%</w:t>
            </w:r>
          </w:p>
        </w:tc>
      </w:tr>
      <w:tr>
        <w:tc>
          <w:tcPr>
            <w:tcW w:type="dxa" w:w="1440"/>
            <w:shd w:fill="C6EFCE" w:val="clear"/>
          </w:tcPr>
          <w:p>
            <w:r>
              <w:rPr>
                <w:sz w:val="17"/>
              </w:rPr>
              <w:t>J+6  Moyenne</w:t>
            </w:r>
          </w:p>
        </w:tc>
        <w:tc>
          <w:tcPr>
            <w:tcW w:type="dxa" w:w="1440"/>
            <w:shd w:fill="C6EFCE" w:val="clear"/>
          </w:tcPr>
          <w:p>
            <w:r>
              <w:rPr>
                <w:sz w:val="17"/>
              </w:rPr>
              <w:t>2026-09-14</w:t>
            </w:r>
          </w:p>
        </w:tc>
        <w:tc>
          <w:tcPr>
            <w:tcW w:type="dxa" w:w="1440"/>
            <w:shd w:fill="C6EFCE" w:val="clear"/>
          </w:tcPr>
          <w:p>
            <w:r>
              <w:rPr>
                <w:sz w:val="17"/>
              </w:rPr>
              <w:t>24,569</w:t>
            </w:r>
          </w:p>
        </w:tc>
        <w:tc>
          <w:tcPr>
            <w:tcW w:type="dxa" w:w="1440"/>
            <w:shd w:fill="C6EFCE" w:val="clear"/>
          </w:tcPr>
          <w:p>
            <w:r>
              <w:rPr>
                <w:b/>
                <w:sz w:val="17"/>
              </w:rPr>
              <w:t>25,611</w:t>
            </w:r>
          </w:p>
        </w:tc>
        <w:tc>
          <w:tcPr>
            <w:tcW w:type="dxa" w:w="1440"/>
            <w:shd w:fill="C6EFCE" w:val="clear"/>
          </w:tcPr>
          <w:p>
            <w:r>
              <w:rPr>
                <w:sz w:val="17"/>
              </w:rPr>
              <w:t>26,653</w:t>
            </w:r>
          </w:p>
        </w:tc>
        <w:tc>
          <w:tcPr>
            <w:tcW w:type="dxa" w:w="1440"/>
            <w:shd w:fill="C6EFCE" w:val="clear"/>
          </w:tcPr>
          <w:p>
            <w:r>
              <w:rPr>
                <w:b/>
                <w:color w:val="008000"/>
                <w:sz w:val="17"/>
              </w:rPr>
              <w:t>+10.6%</w:t>
            </w:r>
          </w:p>
        </w:tc>
      </w:tr>
      <w:tr>
        <w:tc>
          <w:tcPr>
            <w:tcW w:type="dxa" w:w="1440"/>
            <w:shd w:fill="C6EFCE" w:val="clear"/>
          </w:tcPr>
          <w:p>
            <w:r>
              <w:rPr>
                <w:sz w:val="17"/>
              </w:rPr>
              <w:t>J+7  Moyenne</w:t>
            </w:r>
          </w:p>
        </w:tc>
        <w:tc>
          <w:tcPr>
            <w:tcW w:type="dxa" w:w="1440"/>
            <w:shd w:fill="C6EFCE" w:val="clear"/>
          </w:tcPr>
          <w:p>
            <w:r>
              <w:rPr>
                <w:sz w:val="17"/>
              </w:rPr>
              <w:t>2026-09-15</w:t>
            </w:r>
          </w:p>
        </w:tc>
        <w:tc>
          <w:tcPr>
            <w:tcW w:type="dxa" w:w="1440"/>
            <w:shd w:fill="C6EFCE" w:val="clear"/>
          </w:tcPr>
          <w:p>
            <w:r>
              <w:rPr>
                <w:sz w:val="17"/>
              </w:rPr>
              <w:t>24,853</w:t>
            </w:r>
          </w:p>
        </w:tc>
        <w:tc>
          <w:tcPr>
            <w:tcW w:type="dxa" w:w="1440"/>
            <w:shd w:fill="C6EFCE" w:val="clear"/>
          </w:tcPr>
          <w:p>
            <w:r>
              <w:rPr>
                <w:b/>
                <w:sz w:val="17"/>
              </w:rPr>
              <w:t>25,996</w:t>
            </w:r>
          </w:p>
        </w:tc>
        <w:tc>
          <w:tcPr>
            <w:tcW w:type="dxa" w:w="1440"/>
            <w:shd w:fill="C6EFCE" w:val="clear"/>
          </w:tcPr>
          <w:p>
            <w:r>
              <w:rPr>
                <w:sz w:val="17"/>
              </w:rPr>
              <w:t>27,139</w:t>
            </w:r>
          </w:p>
        </w:tc>
        <w:tc>
          <w:tcPr>
            <w:tcW w:type="dxa" w:w="1440"/>
            <w:shd w:fill="C6EFCE" w:val="clear"/>
          </w:tcPr>
          <w:p>
            <w:r>
              <w:rPr>
                <w:b/>
                <w:color w:val="008000"/>
                <w:sz w:val="17"/>
              </w:rPr>
              <w:t>+12.3%</w:t>
            </w:r>
          </w:p>
        </w:tc>
      </w:tr>
      <w:tr>
        <w:tc>
          <w:tcPr>
            <w:tcW w:type="dxa" w:w="1440"/>
            <w:shd w:fill="C6EFCE" w:val="clear"/>
          </w:tcPr>
          <w:p>
            <w:r>
              <w:rPr>
                <w:sz w:val="17"/>
              </w:rPr>
              <w:t>J+8  Moyenne</w:t>
            </w:r>
          </w:p>
        </w:tc>
        <w:tc>
          <w:tcPr>
            <w:tcW w:type="dxa" w:w="1440"/>
            <w:shd w:fill="C6EFCE" w:val="clear"/>
          </w:tcPr>
          <w:p>
            <w:r>
              <w:rPr>
                <w:sz w:val="17"/>
              </w:rPr>
              <w:t>2026-09-16</w:t>
            </w:r>
          </w:p>
        </w:tc>
        <w:tc>
          <w:tcPr>
            <w:tcW w:type="dxa" w:w="1440"/>
            <w:shd w:fill="C6EFCE" w:val="clear"/>
          </w:tcPr>
          <w:p>
            <w:r>
              <w:rPr>
                <w:sz w:val="17"/>
              </w:rPr>
              <w:t>25,141</w:t>
            </w:r>
          </w:p>
        </w:tc>
        <w:tc>
          <w:tcPr>
            <w:tcW w:type="dxa" w:w="1440"/>
            <w:shd w:fill="C6EFCE" w:val="clear"/>
          </w:tcPr>
          <w:p>
            <w:r>
              <w:rPr>
                <w:b/>
                <w:sz w:val="17"/>
              </w:rPr>
              <w:t>26,381</w:t>
            </w:r>
          </w:p>
        </w:tc>
        <w:tc>
          <w:tcPr>
            <w:tcW w:type="dxa" w:w="1440"/>
            <w:shd w:fill="C6EFCE" w:val="clear"/>
          </w:tcPr>
          <w:p>
            <w:r>
              <w:rPr>
                <w:sz w:val="17"/>
              </w:rPr>
              <w:t>27,620</w:t>
            </w:r>
          </w:p>
        </w:tc>
        <w:tc>
          <w:tcPr>
            <w:tcW w:type="dxa" w:w="1440"/>
            <w:shd w:fill="C6EFCE" w:val="clear"/>
          </w:tcPr>
          <w:p>
            <w:r>
              <w:rPr>
                <w:b/>
                <w:color w:val="008000"/>
                <w:sz w:val="17"/>
              </w:rPr>
              <w:t>+14.0%</w:t>
            </w:r>
          </w:p>
        </w:tc>
      </w:tr>
      <w:tr>
        <w:tc>
          <w:tcPr>
            <w:tcW w:type="dxa" w:w="1440"/>
            <w:shd w:fill="C6EFCE" w:val="clear"/>
          </w:tcPr>
          <w:p>
            <w:r>
              <w:rPr>
                <w:sz w:val="17"/>
              </w:rPr>
              <w:t>J+9  Moyenne</w:t>
            </w:r>
          </w:p>
        </w:tc>
        <w:tc>
          <w:tcPr>
            <w:tcW w:type="dxa" w:w="1440"/>
            <w:shd w:fill="C6EFCE" w:val="clear"/>
          </w:tcPr>
          <w:p>
            <w:r>
              <w:rPr>
                <w:sz w:val="17"/>
              </w:rPr>
              <w:t>2026-09-17</w:t>
            </w:r>
          </w:p>
        </w:tc>
        <w:tc>
          <w:tcPr>
            <w:tcW w:type="dxa" w:w="1440"/>
            <w:shd w:fill="C6EFCE" w:val="clear"/>
          </w:tcPr>
          <w:p>
            <w:r>
              <w:rPr>
                <w:sz w:val="17"/>
              </w:rPr>
              <w:t>25,430</w:t>
            </w:r>
          </w:p>
        </w:tc>
        <w:tc>
          <w:tcPr>
            <w:tcW w:type="dxa" w:w="1440"/>
            <w:shd w:fill="C6EFCE" w:val="clear"/>
          </w:tcPr>
          <w:p>
            <w:r>
              <w:rPr>
                <w:b/>
                <w:sz w:val="17"/>
              </w:rPr>
              <w:t>26,764</w:t>
            </w:r>
          </w:p>
        </w:tc>
        <w:tc>
          <w:tcPr>
            <w:tcW w:type="dxa" w:w="1440"/>
            <w:shd w:fill="C6EFCE" w:val="clear"/>
          </w:tcPr>
          <w:p>
            <w:r>
              <w:rPr>
                <w:sz w:val="17"/>
              </w:rPr>
              <w:t>28,098</w:t>
            </w:r>
          </w:p>
        </w:tc>
        <w:tc>
          <w:tcPr>
            <w:tcW w:type="dxa" w:w="1440"/>
            <w:shd w:fill="C6EFCE" w:val="clear"/>
          </w:tcPr>
          <w:p>
            <w:r>
              <w:rPr>
                <w:b/>
                <w:color w:val="008000"/>
                <w:sz w:val="17"/>
              </w:rPr>
              <w:t>+15.6%</w:t>
            </w:r>
          </w:p>
        </w:tc>
      </w:tr>
      <w:tr>
        <w:tc>
          <w:tcPr>
            <w:tcW w:type="dxa" w:w="1440"/>
            <w:shd w:fill="C6EFCE" w:val="clear"/>
          </w:tcPr>
          <w:p>
            <w:r>
              <w:rPr>
                <w:sz w:val="17"/>
              </w:rPr>
              <w:t>J+10  Moyenne</w:t>
            </w:r>
          </w:p>
        </w:tc>
        <w:tc>
          <w:tcPr>
            <w:tcW w:type="dxa" w:w="1440"/>
            <w:shd w:fill="C6EFCE" w:val="clear"/>
          </w:tcPr>
          <w:p>
            <w:r>
              <w:rPr>
                <w:sz w:val="17"/>
              </w:rPr>
              <w:t>2026-09-18</w:t>
            </w:r>
          </w:p>
        </w:tc>
        <w:tc>
          <w:tcPr>
            <w:tcW w:type="dxa" w:w="1440"/>
            <w:shd w:fill="C6EFCE" w:val="clear"/>
          </w:tcPr>
          <w:p>
            <w:r>
              <w:rPr>
                <w:sz w:val="17"/>
              </w:rPr>
              <w:t>25,721</w:t>
            </w:r>
          </w:p>
        </w:tc>
        <w:tc>
          <w:tcPr>
            <w:tcW w:type="dxa" w:w="1440"/>
            <w:shd w:fill="C6EFCE" w:val="clear"/>
          </w:tcPr>
          <w:p>
            <w:r>
              <w:rPr>
                <w:b/>
                <w:sz w:val="17"/>
              </w:rPr>
              <w:t>27,147</w:t>
            </w:r>
          </w:p>
        </w:tc>
        <w:tc>
          <w:tcPr>
            <w:tcW w:type="dxa" w:w="1440"/>
            <w:shd w:fill="C6EFCE" w:val="clear"/>
          </w:tcPr>
          <w:p>
            <w:r>
              <w:rPr>
                <w:sz w:val="17"/>
              </w:rPr>
              <w:t>28,573</w:t>
            </w:r>
          </w:p>
        </w:tc>
        <w:tc>
          <w:tcPr>
            <w:tcW w:type="dxa" w:w="1440"/>
            <w:shd w:fill="C6EFCE" w:val="clear"/>
          </w:tcPr>
          <w:p>
            <w:r>
              <w:rPr>
                <w:b/>
                <w:color w:val="008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s'élève à 572,61 milliards FCFA, un niveau qui la positionne parmi les valeurs bancaires les plus significatives de la BRVM. Avec un BPA de 1 646 FCFA, chaque action détenue génère un bénéfice substantiel. Le PER de 14,1x se situe au-dessus de la moyenne historique du marché (8-12x), indiquant que les investisseurs acceptent de payer une prime pour la qualité de l'actif, sans pour autant atteindre des niveaux excessifs. Le P/B de 2,45x confirme cette lecture : le marché valorise la banque à plus du double de sa valeur comptable, reflétant une prime de croissance justifiée par les performances passées. Enfin, l'EV/EBITDA de 21,5x apparaît exigeant, signalant que la valeur totale de l'entreprise intègre des anticipations de croissance soutenue de sa capacité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+63,03%, avec une dernière séance en hausse de +0,65% à 23 150 FCFA. Le titre a évolué dans une fourchette très large de 13 810 à 24 020 FCFA, démontrant un intérêt marqué des investisseurs. La moyenne de 19 396 FCFA, proche de la médiane de 19 500 FCFA, suggère une distribution relativement symétrique des cours, bien que le skewness négatif (-0,403) indique une légère asymétrie vers les valeurs basses. L'écart-type de 3 536 FCFA (CV de 18,2%) témoigne d'une dispersion modérée. Le kurtosis de -1,236 (platykurtique) révèle une distribution aplatie avec peu de valeurs extrêmes, tandis que la volatilité annualisée de 37,8% classe le titre comme très volatil, ce qui implique un risque élevé mais aussi un potentiel de rendement important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23 150 FCFA se positionne au-dessus de la MM20 (23 055,75 FCFA) et nettement au-dessus de la MM50 (22 356,6 FCFA), configuration typique d'une tendance haussière. La pente positive des moyennes mobiles confirme la dynamique ascendante du titre, justifiant la décision d'achat.</w:t>
      </w:r>
    </w:p>
    <w:p>
      <w:pPr>
        <w:spacing w:after="120" w:line="276" w:lineRule="auto"/>
      </w:pPr>
      <w:r>
        <w:t>**Bandes de Bollinger** : Le prix se situe à 23 150 FCFA, entre la borne supérieure (23 729 FCFA) et la borne inférieure (22 382 FCFA), proche du milieu de l'intervalle. Cette position neutre suggère une volatilité modérée sans signal directionnel fort, bien que la largeur des bandes indique une volatilité historique élevée.</w:t>
      </w:r>
    </w:p>
    <w:p>
      <w:pPr>
        <w:spacing w:after="120" w:line="276" w:lineRule="auto"/>
      </w:pPr>
      <w:r>
        <w:t>**MACD** : La valeur du MACD (117,276) est inférieure à son signal (179,083), formant un croisement baissier. Ce signal de vente suggère un ralentissement du momentum haussier à court terme, malgré la tendance de fond positive. Les investisseurs devraient surveiller un éventuel retournement de cette dynamique.</w:t>
      </w:r>
    </w:p>
    <w:p>
      <w:pPr>
        <w:spacing w:after="120" w:line="276" w:lineRule="auto"/>
      </w:pPr>
      <w:r>
        <w:t>**RSI** : À 54,103, le RSI se situe en zone neutre, indiquant que le titre n'est ni suracheté ni survendu. Cette valeur reflète un équilibre entre pression acheteuse et vendeuse, laissant une marge de manœuvre pour une poursuite de la hausse sans risque immédiat de correction technique.</w:t>
      </w:r>
    </w:p>
    <w:p>
      <w:pPr>
        <w:spacing w:after="120" w:line="276" w:lineRule="auto"/>
      </w:pPr>
      <w:r>
        <w:t>**Stochastique** : Avec %K à 91,549 et %D à 75,352, l'indicateur signale une zone de surachat. Le croisement potentiel de %K sous %D pourrait déclencher un signal de vente à court terme, suggérant une possible consolidation après la forte progression récente.</w:t>
      </w:r>
    </w:p>
    <w:p>
      <w:pPr>
        <w:spacing w:after="120" w:line="276" w:lineRule="auto"/>
      </w:pPr>
      <w:r>
        <w:t>**Conclusion technique** : Les indicateurs techniques présentent un tableau contrasté. Les moyennes mobiles confirment la tendance haussière de fond, tandis que le MACD et le stochastique signalent un essoufflement à court terme. Le RSI neutre et les bandes de Bollinger sans direction claire suggèrent une phase de consolidation probable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solides avec un PNB de 112,928 milliards FCFA, en croissance de 15,4%, et un résultat net de 40,712 milliards FCFA. Le ROE de 17,45% témoigne d'une excellente rentabilité des fonds propres, tandis que le ROA de 1,32% reste dans la norme sectorielle. Le coefficient d'exploitation de 54,59% confirme l'efficacité opérationnelle de la banque, en dessous du seuil critique de 60%. Le coût du risque de 7,54% appelle toutefois à la vigilance, traduisant une dégradation de la qualité du portefeuille de crédits. Les dépôts clientèle (2 242 milliards FCFA) couvrent largement les créances clientèle (1 818 milliards FCFA), démontrant une transformation saine. Les rapports trimestriels 2025 confirment cette trajectoire : le T3 2025 (rapport du 30/09/2025) présente un PNB cumulé de 77,4 milliards FCFA (+7%) et un résultat net de 25,0 milliards FCFA (+6%). Le rapport T1 2026 (daté du 31/03/2026) révèle une accélération spectaculaire avec un PNB de 28,6 milliards FCFA (+28%) et un résultat net de 10,9 milliards FCFA (+53%), laissant présager un exercice 2026 exceptionnel. La structure financière montre une dépendance aux dettes (92,4%) typique du secteur bancaire, mais la solvabilité générale de 108,2% reste rassurante. Les capitaux propres de 233,3 milliards FCFA offrent une base solide pour absorber les chocs potentiels.</w:t>
      </w:r>
    </w:p>
    <w:p>
      <w:pPr>
        <w:spacing w:after="120" w:line="276" w:lineRule="auto" w:before="240"/>
      </w:pPr>
      <w:r>
        <w:rPr>
          <w:b/>
          <w:color w:val="003366"/>
          <w:sz w:val="24"/>
        </w:rPr>
        <w:t>**PARTIE 4 : CONCLUSION D'INVESTISSEMENT**</w:t>
      </w:r>
    </w:p>
    <w:p>
      <w:pPr>
        <w:spacing w:after="120" w:line="276" w:lineRule="auto"/>
      </w:pPr>
      <w:r>
        <w:t>La valorisation de NSBC (PER 14,1x, P/B 2,45x) suggère une prime de croissance justifiée par des fondamentaux solides, bien que l'EV/EBITDA de 21,5x paraisse exigeant. Le comportement du cours sur 100 jours (+63%) démontre une dynamique haussière puissante, portée par une volatilité élevée (37,8%) qui offre des opportunités mais requiert une gestion active du risque. Les signaux techniques sont mitigés : la tendance de fond reste positive (MM), mais les indicateurs de momentum (MACD, Stochastique) suggèrent une consolidation à court terme. Les fondamentaux demeurent robustes avec une croissance soutenue du PNB et du résultat net, malgré une dégradation du coût du risque en 2025. Les prédictions IA (23 651 à 25 226 FCFA sur 10 jours) confirment la poursuite de la tendance haussière. La convergence entre les fondamentaux solides, la tendance haussière du cours et les prédictions IA, malgré des signaux techniques de court terme contrastés, conduit à une recommandation **ACHAT** avec un niveau de confiance **Moyen** et un risque global **Élevé** compte tenu de la volatilité. L'horizon d'investissement optimal se situe à **moyen terme (3-12 mois)**, permettant de capitaliser sur la croissance attendue en 2026 tout en absorbant les fluctuations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1,582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+37.62%</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13.75% (Moyenne) — μ=14,682 FCFA, σ=2,019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β=-0.1334 (Contre-cyclique) — Cov=-0.000005, Var(idx)=0.000037, ρ=-0.035,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15,911</w:t>
            </w:r>
          </w:p>
        </w:tc>
        <w:tc>
          <w:tcPr>
            <w:tcW w:type="dxa" w:w="1440"/>
            <w:shd w:fill="FFDCE0" w:val="clear"/>
          </w:tcPr>
          <w:p>
            <w:r>
              <w:rPr>
                <w:b/>
                <w:sz w:val="17"/>
              </w:rPr>
              <w:t>16,442</w:t>
            </w:r>
          </w:p>
        </w:tc>
        <w:tc>
          <w:tcPr>
            <w:tcW w:type="dxa" w:w="1440"/>
            <w:shd w:fill="FFDCE0" w:val="clear"/>
          </w:tcPr>
          <w:p>
            <w:r>
              <w:rPr>
                <w:sz w:val="17"/>
              </w:rPr>
              <w:t>16,973</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15,682</w:t>
            </w:r>
          </w:p>
        </w:tc>
        <w:tc>
          <w:tcPr>
            <w:tcW w:type="dxa" w:w="1440"/>
            <w:shd w:fill="FFDCE0" w:val="clear"/>
          </w:tcPr>
          <w:p>
            <w:r>
              <w:rPr>
                <w:b/>
                <w:sz w:val="17"/>
              </w:rPr>
              <w:t>16,433</w:t>
            </w:r>
          </w:p>
        </w:tc>
        <w:tc>
          <w:tcPr>
            <w:tcW w:type="dxa" w:w="1440"/>
            <w:shd w:fill="FFDCE0" w:val="clear"/>
          </w:tcPr>
          <w:p>
            <w:r>
              <w:rPr>
                <w:sz w:val="17"/>
              </w:rPr>
              <w:t>17,183</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15,475</w:t>
            </w:r>
          </w:p>
        </w:tc>
        <w:tc>
          <w:tcPr>
            <w:tcW w:type="dxa" w:w="1440"/>
            <w:shd w:fill="FFDCE0" w:val="clear"/>
          </w:tcPr>
          <w:p>
            <w:r>
              <w:rPr>
                <w:b/>
                <w:sz w:val="17"/>
              </w:rPr>
              <w:t>16,392</w:t>
            </w:r>
          </w:p>
        </w:tc>
        <w:tc>
          <w:tcPr>
            <w:tcW w:type="dxa" w:w="1440"/>
            <w:shd w:fill="FFDCE0" w:val="clear"/>
          </w:tcPr>
          <w:p>
            <w:r>
              <w:rPr>
                <w:sz w:val="17"/>
              </w:rPr>
              <w:t>17,309</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15,288</w:t>
            </w:r>
          </w:p>
        </w:tc>
        <w:tc>
          <w:tcPr>
            <w:tcW w:type="dxa" w:w="1440"/>
            <w:shd w:fill="FFDCE0" w:val="clear"/>
          </w:tcPr>
          <w:p>
            <w:r>
              <w:rPr>
                <w:b/>
                <w:sz w:val="17"/>
              </w:rPr>
              <w:t>16,344</w:t>
            </w:r>
          </w:p>
        </w:tc>
        <w:tc>
          <w:tcPr>
            <w:tcW w:type="dxa" w:w="1440"/>
            <w:shd w:fill="FFDCE0" w:val="clear"/>
          </w:tcPr>
          <w:p>
            <w:r>
              <w:rPr>
                <w:sz w:val="17"/>
              </w:rPr>
              <w:t>17,400</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15,119</w:t>
            </w:r>
          </w:p>
        </w:tc>
        <w:tc>
          <w:tcPr>
            <w:tcW w:type="dxa" w:w="1440"/>
            <w:shd w:fill="FFDCE0" w:val="clear"/>
          </w:tcPr>
          <w:p>
            <w:r>
              <w:rPr>
                <w:b/>
                <w:sz w:val="17"/>
              </w:rPr>
              <w:t>16,296</w:t>
            </w:r>
          </w:p>
        </w:tc>
        <w:tc>
          <w:tcPr>
            <w:tcW w:type="dxa" w:w="1440"/>
            <w:shd w:fill="FFDCE0" w:val="clear"/>
          </w:tcPr>
          <w:p>
            <w:r>
              <w:rPr>
                <w:sz w:val="17"/>
              </w:rPr>
              <w:t>17,473</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14,963</w:t>
            </w:r>
          </w:p>
        </w:tc>
        <w:tc>
          <w:tcPr>
            <w:tcW w:type="dxa" w:w="1440"/>
            <w:shd w:fill="FFDCE0" w:val="clear"/>
          </w:tcPr>
          <w:p>
            <w:r>
              <w:rPr>
                <w:b/>
                <w:sz w:val="17"/>
              </w:rPr>
              <w:t>16,249</w:t>
            </w:r>
          </w:p>
        </w:tc>
        <w:tc>
          <w:tcPr>
            <w:tcW w:type="dxa" w:w="1440"/>
            <w:shd w:fill="FFDCE0" w:val="clear"/>
          </w:tcPr>
          <w:p>
            <w:r>
              <w:rPr>
                <w:sz w:val="17"/>
              </w:rPr>
              <w:t>17,534</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14,818</w:t>
            </w:r>
          </w:p>
        </w:tc>
        <w:tc>
          <w:tcPr>
            <w:tcW w:type="dxa" w:w="1440"/>
            <w:shd w:fill="FFDCE0" w:val="clear"/>
          </w:tcPr>
          <w:p>
            <w:r>
              <w:rPr>
                <w:b/>
                <w:sz w:val="17"/>
              </w:rPr>
              <w:t>16,203</w:t>
            </w:r>
          </w:p>
        </w:tc>
        <w:tc>
          <w:tcPr>
            <w:tcW w:type="dxa" w:w="1440"/>
            <w:shd w:fill="FFDCE0" w:val="clear"/>
          </w:tcPr>
          <w:p>
            <w:r>
              <w:rPr>
                <w:sz w:val="17"/>
              </w:rPr>
              <w:t>17,588</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14,683</w:t>
            </w:r>
          </w:p>
        </w:tc>
        <w:tc>
          <w:tcPr>
            <w:tcW w:type="dxa" w:w="1440"/>
            <w:shd w:fill="FFDCE0" w:val="clear"/>
          </w:tcPr>
          <w:p>
            <w:r>
              <w:rPr>
                <w:b/>
                <w:sz w:val="17"/>
              </w:rPr>
              <w:t>16,159</w:t>
            </w:r>
          </w:p>
        </w:tc>
        <w:tc>
          <w:tcPr>
            <w:tcW w:type="dxa" w:w="1440"/>
            <w:shd w:fill="FFDCE0" w:val="clear"/>
          </w:tcPr>
          <w:p>
            <w:r>
              <w:rPr>
                <w:sz w:val="17"/>
              </w:rPr>
              <w:t>17,635</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14,554</w:t>
            </w:r>
          </w:p>
        </w:tc>
        <w:tc>
          <w:tcPr>
            <w:tcW w:type="dxa" w:w="1440"/>
            <w:shd w:fill="FFDCE0" w:val="clear"/>
          </w:tcPr>
          <w:p>
            <w:r>
              <w:rPr>
                <w:b/>
                <w:sz w:val="17"/>
              </w:rPr>
              <w:t>16,116</w:t>
            </w:r>
          </w:p>
        </w:tc>
        <w:tc>
          <w:tcPr>
            <w:tcW w:type="dxa" w:w="1440"/>
            <w:shd w:fill="FFDCE0" w:val="clear"/>
          </w:tcPr>
          <w:p>
            <w:r>
              <w:rPr>
                <w:sz w:val="17"/>
              </w:rPr>
              <w:t>17,677</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14,432</w:t>
            </w:r>
          </w:p>
        </w:tc>
        <w:tc>
          <w:tcPr>
            <w:tcW w:type="dxa" w:w="1440"/>
            <w:shd w:fill="FFDCE0" w:val="clear"/>
          </w:tcPr>
          <w:p>
            <w:r>
              <w:rPr>
                <w:b/>
                <w:sz w:val="17"/>
              </w:rPr>
              <w:t>16,074</w:t>
            </w:r>
          </w:p>
        </w:tc>
        <w:tc>
          <w:tcPr>
            <w:tcW w:type="dxa" w:w="1440"/>
            <w:shd w:fill="FFDCE0" w:val="clear"/>
          </w:tcPr>
          <w:p>
            <w:r>
              <w:rPr>
                <w:sz w:val="17"/>
              </w:rPr>
              <w:t>17,715</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professionnel structuré pour l'action NTLC (Nestlé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s'élève à 372,99 milliards FCFA, ce qui en fait l'une des plus importantes capitalisations de la BRVM, reflétant son statut de valeur de premier plan. Avec un BPA de 835 FCFA, le titre se négocie à un PER de 20,2x, nettement supérieur à la moyenne historique du marché (8-12x). Cette prime traduit les attentes élevées de croissance intégrées dans le cours, mais expose également le titre à un risque de correction en cas de déception. Le P/B de 12,61x confirme cette valorisation exigeante, le marché payant une prime très substantielle par rapport à la valeur comptable des actifs. Enfin, l'EV/EBITDA de 10,0x, dans le haut de la fourchette raisonnable (5-10x), indique que la valeur d'entreprise reste soutenable au regard de la capacité opérationnelle de génération de cash-flow.</w:t>
      </w:r>
    </w:p>
    <w:p>
      <w:pPr>
        <w:spacing w:after="120" w:line="276" w:lineRule="auto"/>
      </w:pPr>
      <w:r>
        <w:t>### PARTIE 1 : ANALYSE DU COURS — STATISTIQUES ET ÉVOLUTION (100 derniers jours)</w:t>
      </w:r>
    </w:p>
    <w:p>
      <w:pPr>
        <w:spacing w:after="120" w:line="276" w:lineRule="auto"/>
      </w:pPr>
      <w:r>
        <w:t>Sur les 100 derniers jours, l'action NTLC a affiché une performance remarquable de +37,62%, avec une dernière séance en hausse de +2,21% à 16 900 FCFA. Le titre a évolué dans une large fourchette, entre un plus bas de 11 150 FCFA et un plus haut de 17 450 FCFA, démontrant une forte dynamique haussière. La moyenne du cours sur la période est de 14 682 FCFA, tandis que la médiane est de 15 125 FCFA. L'écart entre ces deux valeurs, la moyenne étant inférieure à la médiane, suggère une distribution légèrement asymétrique avec des épisodes de forte baisse suivis de reprises. L'écart-type de 2 029 FCFA (CV de 13,8%) indique une dispersion modérée des prix autour de la moyenne. Le kurtosis négatif (-1.525) signale une distribution aplatie, avec moins de valeurs extrêmes que la normale, tandis que le skewness de -0.303 confirme une asymétrie vers les valeurs basses. La volatilité annualisée de 36,7% classe le titre comme très volatil, un niveau élevé qui implique un risque significatif pour les investisseurs.</w:t>
      </w:r>
    </w:p>
    <w:p>
      <w:pPr>
        <w:spacing w:after="120" w:line="276" w:lineRule="auto"/>
      </w:pPr>
      <w:r>
        <w:t>### PARTIE 2 : ANALYSE TECHNIQUE DÉTAILLÉE</w:t>
      </w:r>
    </w:p>
    <w:p>
      <w:pPr>
        <w:spacing w:after="120" w:line="276" w:lineRule="auto"/>
      </w:pPr>
      <w:r>
        <w:t>**Moyennes Mobiles**: Le cours actuel de 16 900 FCFA est supérieur à la MM20 (16 894,75 FCFA) et à la MM50 (16 444,3 FCFA). Cette configuration, où le prix se situe au-dessus des deux moyennes, est un signal haussier classique. La MM20 étant au-dessus de la MM50, la tendance de fond est positive à court et moyen terme, justifiant la décision d'achat.</w:t>
      </w:r>
    </w:p>
    <w:p>
      <w:pPr>
        <w:spacing w:after="120" w:line="276" w:lineRule="auto"/>
      </w:pPr>
      <w:r>
        <w:t>**Bandes de Bollinger**: Le prix se situe à 16 900 FCFA, entre la borne supérieure (17 721,85 FCFA) et la borne inférieure (16 067,65 FCFA), proche de la moyenne. Cette position neutre indique que le titre n'est ni suracheté ni survendu à très court terme. La largeur des bandes suggère une volatilité modérée, et le prix se stabilisant près du centre, la décision est neutre, en attente d'une direction plus claire.</w:t>
      </w:r>
    </w:p>
    <w:p>
      <w:pPr>
        <w:spacing w:after="120" w:line="276" w:lineRule="auto"/>
      </w:pPr>
      <w:r>
        <w:t>**MACD**: La valeur du MACD (53,42) est inférieure à son signal (133,00), ce qui constitue un croisement baissier. Ce signal indique un ralentissement du momentum haussier à court terme. Bien que le MACD reste en territoire positif, la dynamique s'essouffle, d'où la décision de vente pour les traders à court terme.</w:t>
      </w:r>
    </w:p>
    <w:p>
      <w:pPr>
        <w:spacing w:after="120" w:line="276" w:lineRule="auto"/>
      </w:pPr>
      <w:r>
        <w:t>**RSI**: Avec une valeur de 43,09, le RSI se situe en zone neutre, entre 30 et 70. Il n'indique ni surachat ni survente, ce qui laisse une marge de manœuvre dans les deux sens. Cette lecture neutre suggère que le marché n'est pas encore dans une phase d'épuisement, mais la pression acheteuse s'est estompée après la récente hausse.</w:t>
      </w:r>
    </w:p>
    <w:p>
      <w:pPr>
        <w:spacing w:after="120" w:line="276" w:lineRule="auto"/>
      </w:pPr>
      <w:r>
        <w:t>**Stochastique**: Le %K (66,67) est supérieur à son %D (53,08), indiquant un momentum haussier à court terme. Bien que le %K se rapproche de la zone de surachat (au-dessus de 80), il n'y est pas encore. Cette configuration est neutre-positive, suggérant que la tendance haussière pourrait se poursuivre avant une éventuelle consolidation.</w:t>
      </w:r>
    </w:p>
    <w:p>
      <w:pPr>
        <w:spacing w:after="120" w:line="276" w:lineRule="auto"/>
      </w:pPr>
      <w:r>
        <w:t>**Conclusion technique**: Les indicateurs sont mitigés. Les moyennes mobiles soutiennent une tendance haussière de fond, mais le MACD signale un essoufflement du momentum. Le RSI et les bandes de Bollinger sont neutres, tandis que le stochastique reste légèrement positif. Cette divergence suggère une phase de consolidation ou de correction légère après une forte progression, avant une possible reprise de la tendance haussière.</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(220,11 milliards FCFA). Le résultat net s'établit à 18,43 milliards FCFA, en légère progression de 1,5% par rapport à 2024 (18,15 milliards FCFA). La rentabilité des fonds propres (ROE) est exceptionnelle à 62,28%, et le ROA est solide à 9,70%. Cependant, la structure financière montre une dépendance élevée avec un ratio d'endettement de 135,85% et une liquidité générale faible à 79,86%, indiquant un besoin en fonds de roulement (BFR) de 22,63 milliards FCFA. Le délai de paiement des clients est de 74,3 jours, un niveau élevé qui pèse sur la trésorerie. Les rapports trimestriels de 2025 montrent une année difficile : le T1 2025 a vu le CA chuter de 11%, le S1 2025 a été marqué par une stagnation et une baisse du résultat net de 23,5%, et le cumul à fin septembre 2025 affichait une baisse du résultat net de 21,3%. En revanche, le rapport du T1 2026 est très positif, avec un CA en hausse de 31% à 70,82 milliards FCFA et un résultat net en hausse de 37% à 7,53 milliards FCFA, suggérant une forte reprise. La politique de dividende a été drastiquement réduite pour 2025, avec un taux de distribution de 50,3% contre 99,7% en 2024, signalant une stratégie de réinvestissement des bénéfices. Sur la base de la performance exceptionnelle du T1 2026, on estime que l'exercice 2026 pourrait voir une croissance à deux chiffres du chiffre d'affaires et une amélioration significative de la rentabilité, confirmant la solidité du modèle économique de l'entreprise.</w:t>
      </w:r>
    </w:p>
    <w:p>
      <w:pPr>
        <w:spacing w:after="120" w:line="276" w:lineRule="auto"/>
      </w:pPr>
      <w:r>
        <w:t>### PARTIE 4 : CONCLUSION D'INVESTISSEMENT</w:t>
      </w:r>
    </w:p>
    <w:p>
      <w:pPr>
        <w:spacing w:after="120" w:line="276" w:lineRule="auto"/>
      </w:pPr>
      <w:r>
        <w:t>La valorisation de NTLC est exigeante, avec un PER de 20,2x et un P/B de 12,61x, indiquant que le marché anticipe une forte croissance future. Le comportement du cours sur 100 jours est très positif (+37,62%), mais la volatilité élevée (36,7%) et les statistiques (kurtosis platykurtique, skewness négatif) suggèrent un risque de retournement. Les signaux techniques sont mitigés : la tendance de fond (MM) est haussière, mais le MACD indique un essoufflement, et le RSI est neutre. Les fondamentaux de l'entreprise sont solides, avec une rentabilité exceptionnelle (ROE &gt;62%) et une croissance du T1 2026 très dynamique (+31% CA), malgré une structure financière endettée. Les prédictions IA pour les 10 prochains jours (16 442 FCFA à 16 296 FCFA) suggèrent une légère correction, ce qui contredit la tendance haussière récente mais est cohérent avec les signaux techniques de court terme (MACD). En synthèse, la convergence entre des fondamentaux en amélioration et une tendance de fond positive est contrebalancée par une valorisation élevée et des signaux techniques de court terme négatifs. Par conséquent, la recommandation finale est **CONSERVER**, avec un niveau de confiance **Moyen** et un risque global **Élevé**. L'horizon d'investissement optimal serait le **moyen terme (3-12 mois)**, afin de laisser le temps aux fondamentaux solides de justifier la valorisation actuelle et de profiter d'une éventuelle correction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198.56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5,060 titres</w:t>
            </w:r>
          </w:p>
        </w:tc>
        <w:tc>
          <w:tcPr>
            <w:tcW w:type="dxa" w:w="2268"/>
            <w:shd w:fill="FFF2CC" w:val="clear"/>
          </w:tcPr>
          <w:p>
            <w:r>
              <w:rPr>
                <w:b/>
                <w:color w:val="503200"/>
                <w:sz w:val="16"/>
              </w:rPr>
              <w:t xml:space="preserve">Cours actuel : </w:t>
            </w:r>
            <w:r>
              <w:rPr>
                <w:color w:val="000000"/>
                <w:sz w:val="17"/>
              </w:rPr>
              <w:t>2,920 FCFA</w:t>
            </w:r>
          </w:p>
          <w:p>
            <w:r>
              <w:rPr>
                <w:b/>
                <w:color w:val="503200"/>
                <w:sz w:val="16"/>
              </w:rPr>
              <w:t xml:space="preserve">Var. 100 jours : </w:t>
            </w:r>
            <w:r>
              <w:rPr>
                <w:b/>
                <w:color w:val="007800"/>
                <w:sz w:val="17"/>
              </w:rPr>
              <w:t>+4.66%</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μ=2,823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β=0.4352 (Défensif) — Cov=0.000016, Var(idx)=0.000037, ρ=0.134,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2,801</w:t>
            </w:r>
          </w:p>
        </w:tc>
        <w:tc>
          <w:tcPr>
            <w:tcW w:type="dxa" w:w="1440"/>
            <w:shd w:fill="FAFAFA" w:val="clear"/>
          </w:tcPr>
          <w:p>
            <w:r>
              <w:rPr>
                <w:b/>
                <w:sz w:val="17"/>
              </w:rPr>
              <w:t>2,897</w:t>
            </w:r>
          </w:p>
        </w:tc>
        <w:tc>
          <w:tcPr>
            <w:tcW w:type="dxa" w:w="1440"/>
            <w:shd w:fill="FAFAFA" w:val="clear"/>
          </w:tcPr>
          <w:p>
            <w:r>
              <w:rPr>
                <w:sz w:val="17"/>
              </w:rPr>
              <w:t>2,993</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2,759</w:t>
            </w:r>
          </w:p>
        </w:tc>
        <w:tc>
          <w:tcPr>
            <w:tcW w:type="dxa" w:w="1440"/>
            <w:shd w:fill="FAFAFA" w:val="clear"/>
          </w:tcPr>
          <w:p>
            <w:r>
              <w:rPr>
                <w:b/>
                <w:sz w:val="17"/>
              </w:rPr>
              <w:t>2,895</w:t>
            </w:r>
          </w:p>
        </w:tc>
        <w:tc>
          <w:tcPr>
            <w:tcW w:type="dxa" w:w="1440"/>
            <w:shd w:fill="FAFAFA" w:val="clear"/>
          </w:tcPr>
          <w:p>
            <w:r>
              <w:rPr>
                <w:sz w:val="17"/>
              </w:rPr>
              <w:t>3,030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2,724</w:t>
            </w:r>
          </w:p>
        </w:tc>
        <w:tc>
          <w:tcPr>
            <w:tcW w:type="dxa" w:w="1440"/>
            <w:shd w:fill="FAFAFA" w:val="clear"/>
          </w:tcPr>
          <w:p>
            <w:r>
              <w:rPr>
                <w:b/>
                <w:sz w:val="17"/>
              </w:rPr>
              <w:t>2,889</w:t>
            </w:r>
          </w:p>
        </w:tc>
        <w:tc>
          <w:tcPr>
            <w:tcW w:type="dxa" w:w="1440"/>
            <w:shd w:fill="FAFAFA" w:val="clear"/>
          </w:tcPr>
          <w:p>
            <w:r>
              <w:rPr>
                <w:sz w:val="17"/>
              </w:rPr>
              <w:t>3,054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2,693</w:t>
            </w:r>
          </w:p>
        </w:tc>
        <w:tc>
          <w:tcPr>
            <w:tcW w:type="dxa" w:w="1440"/>
            <w:shd w:fill="FAFAFA" w:val="clear"/>
          </w:tcPr>
          <w:p>
            <w:r>
              <w:rPr>
                <w:b/>
                <w:sz w:val="17"/>
              </w:rPr>
              <w:t>2,883</w:t>
            </w:r>
          </w:p>
        </w:tc>
        <w:tc>
          <w:tcPr>
            <w:tcW w:type="dxa" w:w="1440"/>
            <w:shd w:fill="FAFAFA" w:val="clear"/>
          </w:tcPr>
          <w:p>
            <w:r>
              <w:rPr>
                <w:sz w:val="17"/>
              </w:rPr>
              <w:t>3,074</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2,665</w:t>
            </w:r>
          </w:p>
        </w:tc>
        <w:tc>
          <w:tcPr>
            <w:tcW w:type="dxa" w:w="1440"/>
            <w:shd w:fill="FAFAFA" w:val="clear"/>
          </w:tcPr>
          <w:p>
            <w:r>
              <w:rPr>
                <w:b/>
                <w:sz w:val="17"/>
              </w:rPr>
              <w:t>2,877</w:t>
            </w:r>
          </w:p>
        </w:tc>
        <w:tc>
          <w:tcPr>
            <w:tcW w:type="dxa" w:w="1440"/>
            <w:shd w:fill="FAFAFA" w:val="clear"/>
          </w:tcPr>
          <w:p>
            <w:r>
              <w:rPr>
                <w:sz w:val="17"/>
              </w:rPr>
              <w:t>3,090</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2,639</w:t>
            </w:r>
          </w:p>
        </w:tc>
        <w:tc>
          <w:tcPr>
            <w:tcW w:type="dxa" w:w="1440"/>
            <w:shd w:fill="FAFAFA" w:val="clear"/>
          </w:tcPr>
          <w:p>
            <w:r>
              <w:rPr>
                <w:b/>
                <w:sz w:val="17"/>
              </w:rPr>
              <w:t>2,871</w:t>
            </w:r>
          </w:p>
        </w:tc>
        <w:tc>
          <w:tcPr>
            <w:tcW w:type="dxa" w:w="1440"/>
            <w:shd w:fill="FAFAFA" w:val="clear"/>
          </w:tcPr>
          <w:p>
            <w:r>
              <w:rPr>
                <w:sz w:val="17"/>
              </w:rPr>
              <w:t>3,104</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2,615</w:t>
            </w:r>
          </w:p>
        </w:tc>
        <w:tc>
          <w:tcPr>
            <w:tcW w:type="dxa" w:w="1440"/>
            <w:shd w:fill="FAFAFA" w:val="clear"/>
          </w:tcPr>
          <w:p>
            <w:r>
              <w:rPr>
                <w:b/>
                <w:sz w:val="17"/>
              </w:rPr>
              <w:t>2,866</w:t>
            </w:r>
          </w:p>
        </w:tc>
        <w:tc>
          <w:tcPr>
            <w:tcW w:type="dxa" w:w="1440"/>
            <w:shd w:fill="FAFAFA" w:val="clear"/>
          </w:tcPr>
          <w:p>
            <w:r>
              <w:rPr>
                <w:sz w:val="17"/>
              </w:rPr>
              <w:t>3,116</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2,593</w:t>
            </w:r>
          </w:p>
        </w:tc>
        <w:tc>
          <w:tcPr>
            <w:tcW w:type="dxa" w:w="1440"/>
            <w:shd w:fill="FFDCE0" w:val="clear"/>
          </w:tcPr>
          <w:p>
            <w:r>
              <w:rPr>
                <w:b/>
                <w:sz w:val="17"/>
              </w:rPr>
              <w:t>2,860</w:t>
            </w:r>
          </w:p>
        </w:tc>
        <w:tc>
          <w:tcPr>
            <w:tcW w:type="dxa" w:w="1440"/>
            <w:shd w:fill="FFDCE0" w:val="clear"/>
          </w:tcPr>
          <w:p>
            <w:r>
              <w:rPr>
                <w:sz w:val="17"/>
              </w:rPr>
              <w:t>3,127</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2,572</w:t>
            </w:r>
          </w:p>
        </w:tc>
        <w:tc>
          <w:tcPr>
            <w:tcW w:type="dxa" w:w="1440"/>
            <w:shd w:fill="FFDCE0" w:val="clear"/>
          </w:tcPr>
          <w:p>
            <w:r>
              <w:rPr>
                <w:b/>
                <w:sz w:val="17"/>
              </w:rPr>
              <w:t>2,854</w:t>
            </w:r>
          </w:p>
        </w:tc>
        <w:tc>
          <w:tcPr>
            <w:tcW w:type="dxa" w:w="1440"/>
            <w:shd w:fill="FFDCE0" w:val="clear"/>
          </w:tcPr>
          <w:p>
            <w:r>
              <w:rPr>
                <w:sz w:val="17"/>
              </w:rPr>
              <w:t>3,137</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2,551</w:t>
            </w:r>
          </w:p>
        </w:tc>
        <w:tc>
          <w:tcPr>
            <w:tcW w:type="dxa" w:w="1440"/>
            <w:shd w:fill="FFDCE0" w:val="clear"/>
          </w:tcPr>
          <w:p>
            <w:r>
              <w:rPr>
                <w:b/>
                <w:sz w:val="17"/>
              </w:rPr>
              <w:t>2,849</w:t>
            </w:r>
          </w:p>
        </w:tc>
        <w:tc>
          <w:tcPr>
            <w:tcW w:type="dxa" w:w="1440"/>
            <w:shd w:fill="FFDCE0" w:val="clear"/>
          </w:tcPr>
          <w:p>
            <w:r>
              <w:rPr>
                <w:sz w:val="17"/>
              </w:rPr>
              <w:t>3,146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198,56 milliards FCFA, ce qui en fait une valeur de première importance sur la BRVM, reflétant la position d'opérateur historique et dominant au Burkina Faso. Avec un BPA de 234 FCFA, le titre se négocie à un PER de 12,5x, légèrement au-dessus de la moyenne historique de la BRVM (8-12x), ce qui suggère que le marché intègre une prime de croissance ou de stabilité. Le P/B de 3,45x confirme cette prime, le marché valorisant significativement les actifs nets de l'entreprise (57,5 Mds FCFA de capitaux propres) pour son potentiel de génération de cash-flows futurs. Enfin, un EV/EBITDA de 5,2x est un niveau raisonnable, indiquant que la valeur totale de l'entreprise (capitalisation + dette nette) reste mesurée par rapport à sa capacité opérationnelle (EBITDA). Ces ratios brossent le portrait d'une entreprise de qualité, mais dont le potentiel de revalorisation est désormais tributaire de sa capacité à restaurer sa croissance bénéficiaire.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progression de +4,66%, avec un cours stable lors de la dernière séance à 2 920 FCFA. Le titre a évolué dans une fourchette de 2 610 FCFA (plus bas) à 3 070 FCFA (plus haut), démontrant une volatilité intraday notable. La moyenne (2 823 FCFA) et la médiane (2 805 FCFA) sont très proches, avec un skewness de 0,184, indiquant une distribution quasi symétrique des prix. L'écart-type de 87 FCFA, soit un coefficient de variation de seulement 3,1%, révèle une dispersion très faible autour de la moyenne, et le kurtosis négatif (-0,261) confirme l'absence de mouvements extrêmes ou de "pics" de prix. La volatilité annualisée de 31,4% classe le titre dans la catégorie "élevée" (&gt;30%), ce qui peut sembler contre-intuitif au vu du CV%, mais s'explique par la présence de phases d'accélération et de consolidation. La tendance générale sur la période reste positive, le cours se situant à 2 920 FCFA, bien au-dessus de sa moyenne sur 100 jours, soutenue par une dynamique haussière de fond.</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(2 920 FCFA) est supérieur à la MM20 (2 891,75 FCFA) et à la MM50 (2 838,5 FCFA), et la MM20 est au-dessus de la MM50. Cette configuration en "courbe de tendance haussière" est un signal d'achat classique, indiquant que la dynamique de court terme est positive et soutient la tendance de moyen terme.</w:t>
      </w:r>
    </w:p>
    <w:p>
      <w:pPr>
        <w:spacing w:after="120" w:line="276" w:lineRule="auto"/>
      </w:pPr>
      <w:r>
        <w:t>**Bandes de Bollinger** : Le prix se situe à 2 920 FCFA, dans la partie supérieure du canal formé par les bandes (borne inférieure à 2 806,57 FCFA et borne supérieure à 2 976,93 FCFA). La position du prix, proche de la bande supérieure sans la toucher, suggère une pression acheteuse soutenue mais non excessive. La décision est "Neutre", car le titre n'est pas en zone de surachat extrême, mais la largeur des bandes indique une volatilité modérée.</w:t>
      </w:r>
    </w:p>
    <w:p>
      <w:pPr>
        <w:spacing w:after="120" w:line="276" w:lineRule="auto"/>
      </w:pPr>
      <w:r>
        <w:t>**MACD** : Le MACD (12,101) est passé sous sa ligne de signal (15,15), ce qui constitue un croisement baissier. Ce signal de "Vente" indique un ralentissement du momentum haussier à court terme. Bien que le MACD reste en territoire positif, cette divergence suggère une possible phase de consolidation ou de correction avant la prochaine impulsion.</w:t>
      </w:r>
    </w:p>
    <w:p>
      <w:pPr>
        <w:spacing w:after="120" w:line="276" w:lineRule="auto"/>
      </w:pPr>
      <w:r>
        <w:t>**RSI** : Le RSI s'établit à 63,04, en zone neutre (30-70). Il indique que le titre n'est ni suracheté ni survendu, laissant de la place pour une poursuite de la hausse sans pression vendeuse immédiate. La décision "Neutre" reflète un équilibre des forces entre acheteurs et vendeurs, avec un biais légèrement positif.</w:t>
      </w:r>
    </w:p>
    <w:p>
      <w:pPr>
        <w:spacing w:after="120" w:line="276" w:lineRule="auto"/>
      </w:pPr>
      <w:r>
        <w:t>**Stochastique** : Le %K (82,14) est nettement supérieur à %D (56,12), mais se trouve en zone de surachat (&gt;80). Ce niveau élevé, couplé à un écart important entre les deux lignes, suggère un essoufflement potentiel de la dynamique haussière à très court terme. La décision de "Vente" est un signal de prudence, anticipant un possible repli technique.</w:t>
      </w:r>
    </w:p>
    <w:p>
      <w:pPr>
        <w:spacing w:after="120" w:line="276" w:lineRule="auto"/>
      </w:pPr>
      <w:r>
        <w:t>**Conclusion technique** : La tendance de fond (MM) reste haussière, mais les indicateurs de momentum (MACD, Stochastique) montrent des signes de fatigue et appellent à une consolidation. Le RSI neutre et la position dans les bandes de Bollinger indiquent qu'il n'y a pas de déséquilibre majeur. Le scénario le plus probable est une pause dans la hausse, avec un risque de repli vers la zone des 2 850-2 890 FCFA (MM20/MM50)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l'ONTBF a réalisé un chiffre d'affaires de 146,18 milliards FCFA, en hausse de 3,1%, mais son résultat net a chuté de 26% à 15,89 milliards FCFA. Cette dégradation de la rentabilité est illustrée par une marge nette de 10,9% et un ROE de 27,6%, certes encore excellent (&gt;15%), mais en net recul par rapport à l'exercice 2024 où le ROE dépassait 34%. Le coefficient d'exploitation de 67,1% est un point de vigilance majeur pour une entreprise de ce secteur, indiquant une mauvaise maîtrise des charges opérationnelles. Les rapports trimestriels de 2025 confirment cette tendance : le T1 montrait une baisse du résultat net de -29%, le S1 de -17,8%, et le 9M de -17,2%, avec un taux d'EBITDA (IFRS) en chute de 45,2% à 39,3% sur la même période. Les causes identifiées sont l'augmentation des coûts de l'énergie, la maintenance des sites en zones à défis sécuritaires, et des charges exceptionnelles. Le rapport du 1er trimestre 2026 (publié en 2026) montre une légère amélioration avec un CA en hausse de 2,7% et une marge d'EBITDA stabilisée à 41,3%, mais le résultat net continue de baisser. La structure financière reste solide avec une capacité d'autofinancement de 46,95 milliards FCFA, mais l'endettement financier a augmenté pour financer un programme d'investissement massif de 45 milliards FCFA. En conclusion, l'ONTBF est une entreprise solide et génératrice de cash, mais elle traverse une phase de compression de ses marges. La recommandation fondamentale est de **CONSERVER**, en surveillant de près la trajectoire des coûts et la capacité de la direction à restaurer la rentabilité.</w:t>
      </w:r>
    </w:p>
    <w:p>
      <w:pPr>
        <w:spacing w:after="120" w:line="276" w:lineRule="auto"/>
      </w:pPr>
      <w:r>
        <w:t>---</w:t>
      </w:r>
    </w:p>
    <w:p>
      <w:pPr>
        <w:spacing w:after="120" w:line="276" w:lineRule="auto"/>
      </w:pPr>
      <w:r>
        <w:t>### **PARTIE 4 : CONCLUSION D'INVESTISSEMENT**</w:t>
      </w:r>
    </w:p>
    <w:p>
      <w:pPr>
        <w:spacing w:after="120" w:line="276" w:lineRule="auto"/>
      </w:pPr>
      <w:r>
        <w:t>La valorisation de l'ONTBF (PER 12,5x, P/B 3,45x) est raisonnable mais non "bon marché", intégrant déjà une prime pour la solidité de l'entreprise. Le comportement du cours sur 100 jours est positif (+4,66%) avec une distribution des prix stable (kurtosis et skewness faibles), mais la volatilité annualisée élevée (31,4%) rappelle le risque inhérent. Les signaux techniques sont mitigés : la tendance de fond (MM) est haussière, mais les indicateurs de momentum (MACD, Stochastique) suggèrent une consolidation à court terme. Les fondamentaux, bien que dégradés en 2025 (RN -26%), restent robustes avec un ROE de 27,6% et une forte génération de cash-flow, mais la pression sur les marges est le principal défi. Les prédictions IA pour les 10 prochains jours (de 2 897 à 2 877 FCFA) confirment ce scénario de consolidation, anticipant une légère baisse par rapport au cours actuel de 2 920 FCFA. Cette convergence entre les signaux techniques (vente à court terme) et les prédictions IA renforce la prudence. En synthèse, l'ONTBF est une valeur de qualité à conserver pour son potentiel de long terme et son dividende, mais le potentiel de hausse à court terme semble limité. La recommandation finale est **CONSERVER**, avec un niveau de confiance **Moyen** et un risque global **Élevé** (contexte sécuritaire, pression sur les marges). L'horizon d'investissement optimal est le **moyen terme (3-12 mois)**, en attendant des signes tangibles d'amélioration de la rentabilité opérationnelle.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3165.27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2,564 titres</w:t>
            </w:r>
          </w:p>
        </w:tc>
        <w:tc>
          <w:tcPr>
            <w:tcW w:type="dxa" w:w="2268"/>
            <w:shd w:fill="FFF2CC" w:val="clear"/>
          </w:tcPr>
          <w:p>
            <w:r>
              <w:rPr>
                <w:b/>
                <w:color w:val="503200"/>
                <w:sz w:val="16"/>
              </w:rPr>
              <w:t xml:space="preserve">Cours actuel : </w:t>
            </w:r>
            <w:r>
              <w:rPr>
                <w:color w:val="000000"/>
                <w:sz w:val="17"/>
              </w:rPr>
              <w:t>21,010 FCFA</w:t>
            </w:r>
          </w:p>
          <w:p>
            <w:r>
              <w:rPr>
                <w:b/>
                <w:color w:val="503200"/>
                <w:sz w:val="16"/>
              </w:rPr>
              <w:t xml:space="preserve">Var. 100 jours : </w:t>
            </w:r>
            <w:r>
              <w:rPr>
                <w:b/>
                <w:color w:val="007800"/>
                <w:sz w:val="17"/>
              </w:rPr>
              <w:t>+40.02%</w:t>
            </w:r>
          </w:p>
          <w:p>
            <w:r>
              <w:rPr>
                <w:b/>
                <w:color w:val="503200"/>
                <w:sz w:val="16"/>
              </w:rPr>
              <w:t xml:space="preserve">Plus haut 100j : </w:t>
            </w:r>
            <w:r>
              <w:rPr>
                <w:color w:val="000000"/>
                <w:sz w:val="17"/>
              </w:rPr>
              <w:t>21,500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10.82% (Moyenne) — μ=16,626 FCFA, σ=1,799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β=1.2217 (Agressif) — Cov=0.000046, Var(idx)=0.000037, ρ=0.404,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20,131</w:t>
            </w:r>
          </w:p>
        </w:tc>
        <w:tc>
          <w:tcPr>
            <w:tcW w:type="dxa" w:w="1440"/>
            <w:shd w:fill="FAFAFA" w:val="clear"/>
          </w:tcPr>
          <w:p>
            <w:r>
              <w:rPr>
                <w:b/>
                <w:sz w:val="17"/>
              </w:rPr>
              <w:t>20,703</w:t>
            </w:r>
          </w:p>
        </w:tc>
        <w:tc>
          <w:tcPr>
            <w:tcW w:type="dxa" w:w="1440"/>
            <w:shd w:fill="FAFAFA" w:val="clear"/>
          </w:tcPr>
          <w:p>
            <w:r>
              <w:rPr>
                <w:sz w:val="17"/>
              </w:rPr>
              <w:t>21,275</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19,769</w:t>
            </w:r>
          </w:p>
        </w:tc>
        <w:tc>
          <w:tcPr>
            <w:tcW w:type="dxa" w:w="1440"/>
            <w:shd w:fill="FFDCE0" w:val="clear"/>
          </w:tcPr>
          <w:p>
            <w:r>
              <w:rPr>
                <w:b/>
                <w:sz w:val="17"/>
              </w:rPr>
              <w:t>20,573</w:t>
            </w:r>
          </w:p>
        </w:tc>
        <w:tc>
          <w:tcPr>
            <w:tcW w:type="dxa" w:w="1440"/>
            <w:shd w:fill="FFDCE0" w:val="clear"/>
          </w:tcPr>
          <w:p>
            <w:r>
              <w:rPr>
                <w:sz w:val="17"/>
              </w:rPr>
              <w:t>21,377</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19,454</w:t>
            </w:r>
          </w:p>
        </w:tc>
        <w:tc>
          <w:tcPr>
            <w:tcW w:type="dxa" w:w="1440"/>
            <w:shd w:fill="FFDCE0" w:val="clear"/>
          </w:tcPr>
          <w:p>
            <w:r>
              <w:rPr>
                <w:b/>
                <w:sz w:val="17"/>
              </w:rPr>
              <w:t>20,432</w:t>
            </w:r>
          </w:p>
        </w:tc>
        <w:tc>
          <w:tcPr>
            <w:tcW w:type="dxa" w:w="1440"/>
            <w:shd w:fill="FFDCE0" w:val="clear"/>
          </w:tcPr>
          <w:p>
            <w:r>
              <w:rPr>
                <w:sz w:val="17"/>
              </w:rPr>
              <w:t>21,411</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19,173</w:t>
            </w:r>
          </w:p>
        </w:tc>
        <w:tc>
          <w:tcPr>
            <w:tcW w:type="dxa" w:w="1440"/>
            <w:shd w:fill="FFDCE0" w:val="clear"/>
          </w:tcPr>
          <w:p>
            <w:r>
              <w:rPr>
                <w:b/>
                <w:sz w:val="17"/>
              </w:rPr>
              <w:t>20,295</w:t>
            </w:r>
          </w:p>
        </w:tc>
        <w:tc>
          <w:tcPr>
            <w:tcW w:type="dxa" w:w="1440"/>
            <w:shd w:fill="FFDCE0" w:val="clear"/>
          </w:tcPr>
          <w:p>
            <w:r>
              <w:rPr>
                <w:sz w:val="17"/>
              </w:rPr>
              <w:t>21,417</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18,917</w:t>
            </w:r>
          </w:p>
        </w:tc>
        <w:tc>
          <w:tcPr>
            <w:tcW w:type="dxa" w:w="1440"/>
            <w:shd w:fill="FFDCE0" w:val="clear"/>
          </w:tcPr>
          <w:p>
            <w:r>
              <w:rPr>
                <w:b/>
                <w:sz w:val="17"/>
              </w:rPr>
              <w:t>20,163</w:t>
            </w:r>
          </w:p>
        </w:tc>
        <w:tc>
          <w:tcPr>
            <w:tcW w:type="dxa" w:w="1440"/>
            <w:shd w:fill="FFDCE0" w:val="clear"/>
          </w:tcPr>
          <w:p>
            <w:r>
              <w:rPr>
                <w:sz w:val="17"/>
              </w:rPr>
              <w:t>21,409</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18,679</w:t>
            </w:r>
          </w:p>
        </w:tc>
        <w:tc>
          <w:tcPr>
            <w:tcW w:type="dxa" w:w="1440"/>
            <w:shd w:fill="FFDCE0" w:val="clear"/>
          </w:tcPr>
          <w:p>
            <w:r>
              <w:rPr>
                <w:b/>
                <w:sz w:val="17"/>
              </w:rPr>
              <w:t>20,036</w:t>
            </w:r>
          </w:p>
        </w:tc>
        <w:tc>
          <w:tcPr>
            <w:tcW w:type="dxa" w:w="1440"/>
            <w:shd w:fill="FFDCE0" w:val="clear"/>
          </w:tcPr>
          <w:p>
            <w:r>
              <w:rPr>
                <w:sz w:val="17"/>
              </w:rPr>
              <w:t>21,392</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18,457</w:t>
            </w:r>
          </w:p>
        </w:tc>
        <w:tc>
          <w:tcPr>
            <w:tcW w:type="dxa" w:w="1440"/>
            <w:shd w:fill="FFDCE0" w:val="clear"/>
          </w:tcPr>
          <w:p>
            <w:r>
              <w:rPr>
                <w:b/>
                <w:sz w:val="17"/>
              </w:rPr>
              <w:t>19,913</w:t>
            </w:r>
          </w:p>
        </w:tc>
        <w:tc>
          <w:tcPr>
            <w:tcW w:type="dxa" w:w="1440"/>
            <w:shd w:fill="FFDCE0" w:val="clear"/>
          </w:tcPr>
          <w:p>
            <w:r>
              <w:rPr>
                <w:sz w:val="17"/>
              </w:rPr>
              <w:t>21,370</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18,248</w:t>
            </w:r>
          </w:p>
        </w:tc>
        <w:tc>
          <w:tcPr>
            <w:tcW w:type="dxa" w:w="1440"/>
            <w:shd w:fill="FFDCE0" w:val="clear"/>
          </w:tcPr>
          <w:p>
            <w:r>
              <w:rPr>
                <w:b/>
                <w:sz w:val="17"/>
              </w:rPr>
              <w:t>19,795</w:t>
            </w:r>
          </w:p>
        </w:tc>
        <w:tc>
          <w:tcPr>
            <w:tcW w:type="dxa" w:w="1440"/>
            <w:shd w:fill="FFDCE0" w:val="clear"/>
          </w:tcPr>
          <w:p>
            <w:r>
              <w:rPr>
                <w:sz w:val="17"/>
              </w:rPr>
              <w:t>21,343</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18,049</w:t>
            </w:r>
          </w:p>
        </w:tc>
        <w:tc>
          <w:tcPr>
            <w:tcW w:type="dxa" w:w="1440"/>
            <w:shd w:fill="FFDCE0" w:val="clear"/>
          </w:tcPr>
          <w:p>
            <w:r>
              <w:rPr>
                <w:b/>
                <w:sz w:val="17"/>
              </w:rPr>
              <w:t>19,681</w:t>
            </w:r>
          </w:p>
        </w:tc>
        <w:tc>
          <w:tcPr>
            <w:tcW w:type="dxa" w:w="1440"/>
            <w:shd w:fill="FFDCE0" w:val="clear"/>
          </w:tcPr>
          <w:p>
            <w:r>
              <w:rPr>
                <w:sz w:val="17"/>
              </w:rPr>
              <w:t>21,313</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17,861</w:t>
            </w:r>
          </w:p>
        </w:tc>
        <w:tc>
          <w:tcPr>
            <w:tcW w:type="dxa" w:w="1440"/>
            <w:shd w:fill="FFDCE0" w:val="clear"/>
          </w:tcPr>
          <w:p>
            <w:r>
              <w:rPr>
                <w:b/>
                <w:sz w:val="17"/>
              </w:rPr>
              <w:t>19,572</w:t>
            </w:r>
          </w:p>
        </w:tc>
        <w:tc>
          <w:tcPr>
            <w:tcW w:type="dxa" w:w="1440"/>
            <w:shd w:fill="FFDCE0" w:val="clear"/>
          </w:tcPr>
          <w:p>
            <w:r>
              <w:rPr>
                <w:sz w:val="17"/>
              </w:rPr>
              <w:t>21,282</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3 165,27 milliards FCFA, un niveau qui en fait l'une des toutes premières capitalisations de la BRVM, représentant une part significative de la richesse totale du marché. Avec un BPA de 1 114 FCFA, chaque action génère un bénéfice substantiel, mais le PER de 18,9x indique que les investisseurs paient une prime notable par rapport à la moyenne historique de la BRVM (8-12x), traduisant des anticipations de croissance élevées. Le P/B de 4,47x confirme cette lecture : le marché valorise l'actif net comptable près de 4,5 fois sa valeur, ce qui est exigeant et reflète la qualité perçue des actifs et de la marque. Enfin, l'EV/EBITDA de 7,5x se situe dans une zone raisonnable (5-10x), ce qui tempère la cherté relative des autres ratios en montrant que la capacité opérationnelle de l'entreprise justifie en partie sa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+40,02 %, passant d'un plus bas de 14 650 FCFA à un plus haut de 21 500 FCFA, avant de clôturer à 21 010 FCFA, en léger repli de -0,69 % sur la dernière séance. Cette tendance est résolument haussière, portée par des fondamentaux solides et une forte demande. La moyenne du cours sur la période (16 626 FCFA) est supérieure à la médiane (16 148 FCFA), et le skewness positif de 1,527 indique une asymétrie avec des journées plus fréquentes sous la moyenne, mais des mouvements de hausse ponctuels très amples. L'écart-type de 1 808 FCFA (CV = 10,9 %) révèle une dispersion modérée, tandis que le kurtosis excédentaire de 1,438 signale des queues de distribution épaisses, suggérant un risque de variations brutales. La volatilité annualisée de 29,3 % classe le titre dans la catégorie des valeurs à volatilité élevée, ce qui implique un risque non négligeable pour les investisseurs malgré la performance impressionnante.</w:t>
      </w:r>
    </w:p>
    <w:p>
      <w:pPr>
        <w:spacing w:after="120" w:line="276" w:lineRule="auto" w:before="240"/>
      </w:pPr>
      <w:r>
        <w:rPr>
          <w:b/>
          <w:color w:val="003366"/>
          <w:sz w:val="24"/>
        </w:rPr>
        <w:t>**PARTIE 2 : ANALYSE TECHNIQUE DÉTAILLÉE**</w:t>
      </w:r>
    </w:p>
    <w:p>
      <w:pPr>
        <w:spacing w:after="120" w:line="276" w:lineRule="auto"/>
      </w:pPr>
      <w:r>
        <w:t>**Moyennes Mobiles** : Le cours actuel de 21 010 FCFA se situe nettement au-dessus de la MM20 (19 651,75 FCFA) et de la MM50 (17 760,4 FCFA), avec un écart de +6,9 % et +18,3 % respectivement. Cette configuration haussière, où le prix évolue au-dessus des deux moyennes, confirme une dynamique positive à court et moyen terme. La décision d'achat est justifiée par la vigueur de la tendance, bien que l'écart important avec la MM50 puisse signaler une certaine extension du mouvement.</w:t>
      </w:r>
    </w:p>
    <w:p>
      <w:pPr>
        <w:spacing w:after="120" w:line="276" w:lineRule="auto"/>
      </w:pPr>
      <w:r>
        <w:t>**Bandes de Bollinger** : Le prix à 21 010 FCFA se positionne dans la partie supérieure de l'enveloppe, entre la moyenne mobile (19 651,75 FCFA) et la borne supérieure (23 064,23 FCFA), sans toutefois la toucher. La largeur des bandes reflète une volatilité accrue, conséquence de la forte appréciation récente. La décision neutre est appropriée : le titre n'est pas en situation de surachat extrême selon cet indicateur, mais il évolue dans une zone de tension qui pourrait précéder une consolidation.</w:t>
      </w:r>
    </w:p>
    <w:p>
      <w:pPr>
        <w:spacing w:after="120" w:line="276" w:lineRule="auto"/>
      </w:pPr>
      <w:r>
        <w:t>**MACD** : Le MACD (1 128,46) est positif et se maintient au-dessus de sa ligne de signal (1 093,26), indiquant un momentum haussier toujours actif. L'écart positif entre les deux lignes, bien que modéré, suggère que la pression acheteuse demeure dominante. La décision d'achat est cohérente avec la poursuite de la tendance, mais l'écart relativement faible entre le MACD et son signal appelle à la vigilance quant à un possible retournement.</w:t>
      </w:r>
    </w:p>
    <w:p>
      <w:pPr>
        <w:spacing w:after="120" w:line="276" w:lineRule="auto"/>
      </w:pPr>
      <w:r>
        <w:t>**RSI** : Le RSI s'établit à 75,595, dépassant le seuil de 70 qui marque traditionnellement la zone de surachat. Cette lecture indique que le titre est techniquement surévalué à court terme et qu'un repli correctif est probable. La décision de vente émise par cet indicateur contraste avec les signaux haussiers des moyennes mobiles et du MACD, suggérant que le mouvement haussier pourrait être temporairement épuisé.</w:t>
      </w:r>
    </w:p>
    <w:p>
      <w:pPr>
        <w:spacing w:after="120" w:line="276" w:lineRule="auto"/>
      </w:pPr>
      <w:r>
        <w:t>**Stochastique** : Le %K (83,39) et le %D (86,51) évoluent tous deux en zone de surachat, au-dessus de 80. Le %D est supérieur au %K, ce qui pourrait indiquer un début de retournement baissier imminent. La décision de vente reflète cette configuration : le marché semble avoir atteint un sommet à court terme, et une correction technique est à anticiper.</w:t>
      </w:r>
    </w:p>
    <w:p>
      <w:pPr>
        <w:spacing w:after="120" w:line="276" w:lineRule="auto"/>
      </w:pPr>
      <w:r>
        <w:t>**Conclusion technique** : La convergence des signaux est mitigée. Les moyennes mobiles et le MACD soutiennent une tendance haussière de fond, mais le RSI et le stochastique, tous deux en surachat, signalent un essoufflement à court terme. Cette divergence suggère qu'un repli technique est probable avant la poursuite éventuelle de la tendance haussière. Les investisseurs devraient surveiller un soutien potentiel autour de la MM20 (19 651 FCFA) en cas de correction.</w:t>
      </w:r>
    </w:p>
    <w:p>
      <w:pPr>
        <w:spacing w:after="120" w:line="276" w:lineRule="auto" w:before="240"/>
      </w:pPr>
      <w:r>
        <w:rPr>
          <w:b/>
          <w:color w:val="003366"/>
          <w:sz w:val="24"/>
        </w:rPr>
        <w:t>**PARTIE 3 : ANALYSE FONDAMENTALE (SECTION CRITIQUE)**</w:t>
      </w:r>
    </w:p>
    <w:p>
      <w:pPr>
        <w:spacing w:after="120" w:line="276" w:lineRule="auto"/>
      </w:pPr>
      <w:r>
        <w:t>En 2025, Orange Côte d'Ivoire affiche des résultats financiers solides : le chiffre d'affaires consolidé atteint 1 197,1 milliards FCFA, en hausse de +10,4 % par rapport à 2024 (1 084,1 milliards FCFA), tandis que le résultat net consolidé s'établit à 167,8 milliards FCFA (+6,1 %), et le résultat net part du groupe à 129,1 milliards FCFA (+14,5 %). La rentabilité demeure excellente avec un ROE de 23,7 % et un ROA de 6,6 %, confirmant une gestion efficace des capitaux propres, bien que la marge nette se contracte légèrement à 14,0 % (contre 14,6 % en 2024). En tant qu'entreprise non bancaire, l'analyse du BFR est cruciale : il est négatif à -198 milliards FCFA, ce qui est favorable car cela signifie que l'entreprise finance son exploitation grâce aux délais fournisseurs (210,9 jours) nettement supérieurs aux délais clients (52,3 jours). L'endettement reste maîtrisé avec une capacité de remboursement de 0,99 an et une couverture des intérêts de 1 018 %, témoignant d'une solidité financière remarquable. Sur la base du rapport T1 2026 (publié en mai 2026), qui fait état d'un chiffre d'affaires de 325,6 milliards FCFA (+14,8 %) et d'un résultat net de 48,3 milliards FCFA (+25,2 %), on estime que l'exercice 2026 pourrait dépasser les performances de 2025, avec un CA annuel potentiel de 1 300 milliards FCFA et un résultat net supérieur à 190 milliards FCFA, si cette dynamique se maintient. Le dividende proposé de 800 FCFA brut par action pour 2025 (approuvé lors de l'AGO du 29 avril 2026) offre un rendement de 3,8 % sur la base du cours actuel, un niveau attractif dans l'environnement de la BRVM. Les risques identifiés incluent la pression fiscale et réglementaire, notamment au Burkina Faso, et la concurrence intense sur les services financiers mobiles, mais la solidité du bilan et la diversification géographique (Côte d'Ivoire, Burkina Faso, Libéria) constituent des atouts majeurs pour la croissance future.</w:t>
      </w:r>
    </w:p>
    <w:p>
      <w:pPr>
        <w:spacing w:after="120" w:line="276" w:lineRule="auto" w:before="240"/>
      </w:pPr>
      <w:r>
        <w:rPr>
          <w:b/>
          <w:color w:val="003366"/>
          <w:sz w:val="24"/>
        </w:rPr>
        <w:t>**PARTIE 4 : CONCLUSION D'INVESTISSEMENT**</w:t>
      </w:r>
    </w:p>
    <w:p>
      <w:pPr>
        <w:spacing w:after="120" w:line="276" w:lineRule="auto"/>
      </w:pPr>
      <w:r>
        <w:t>La valorisation d'ORAC, avec un PER de 18,9x et un P/B de 4,47x, apparaît exigeante par rapport aux standards de la BRVM, mais elle est partiellement justifiée par un EV/EBITDA raisonnable de 7,5x et une croissance soutenue des bénéfices. Le comportement du cours sur 100 jours (+40 %) témoigne d'une dynamique haussière impressionnante, mais la volatilité élevée (29,3 %) et les statistiques (kurtosis leptokurtique, skewness positif) signalent un risque de mouvements brusques. Les signaux techniques sont divergents : les moyennes mobiles et le MACD restent positifs, tandis que le RSI (75,6) et le stochastique (83,4/86,5) indiquent un surachat à court terme, suggérant une possible consolidation. Les fondamentaux sont excellents avec une croissance du CA de +10,4 % en 2025, un ROE de 23,7 %, et des perspectives 2026 prometteuses (+14,8 % de CA au T1 2026), bien que la pression sur les marges et les risques réglementaires demeurent. Les prédictions IA pour les 10 prochains jours (baisse progressive de 20 703 à 20 163 FCFA) confirment l'anticipation d'un repli technique à court terme. En synthèse, la convergence entre la cherté relative de la valorisation, les signaux techniques de surachat et les prédictions IA de correction suggère une pause dans le mouvement haussier. **Recommandation : CONSERVER** avec un niveau de confiance **Moyen**, un risque global **Élevé**, et un horizon d'investissement optimal à **moyen terme (3-12 mois)** pour capitaliser sur la solidité fondamentale après une éventuelle correction technique.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231.50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5,549 titres</w:t>
            </w:r>
          </w:p>
        </w:tc>
        <w:tc>
          <w:tcPr>
            <w:tcW w:type="dxa" w:w="2268"/>
            <w:shd w:fill="FFF2CC" w:val="clear"/>
          </w:tcPr>
          <w:p>
            <w:r>
              <w:rPr>
                <w:b/>
                <w:color w:val="503200"/>
                <w:sz w:val="16"/>
              </w:rPr>
              <w:t xml:space="preserve">Cours actuel : </w:t>
            </w:r>
            <w:r>
              <w:rPr>
                <w:color w:val="000000"/>
                <w:sz w:val="17"/>
              </w:rPr>
              <w:t>3,335 FCFA</w:t>
            </w:r>
          </w:p>
          <w:p>
            <w:r>
              <w:rPr>
                <w:b/>
                <w:color w:val="503200"/>
                <w:sz w:val="16"/>
              </w:rPr>
              <w:t xml:space="preserve">Var. 100 jours : </w:t>
            </w:r>
            <w:r>
              <w:rPr>
                <w:b/>
                <w:color w:val="B40000"/>
                <w:sz w:val="17"/>
              </w:rPr>
              <w:t>-8.63%</w:t>
            </w:r>
          </w:p>
          <w:p>
            <w:r>
              <w:rPr>
                <w:b/>
                <w:color w:val="503200"/>
                <w:sz w:val="16"/>
              </w:rPr>
              <w:t xml:space="preserve">Plus haut 100j : </w:t>
            </w:r>
            <w:r>
              <w:rPr>
                <w:color w:val="000000"/>
                <w:sz w:val="17"/>
              </w:rPr>
              <w:t>3,650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9.75% (Moyenne) — μ=2,919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β=0.3347 (Défensif) — Cov=0.000013, Var(idx)=0.000037, ρ=0.074,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3,144</w:t>
            </w:r>
          </w:p>
        </w:tc>
        <w:tc>
          <w:tcPr>
            <w:tcW w:type="dxa" w:w="1440"/>
            <w:shd w:fill="FFDCE0" w:val="clear"/>
          </w:tcPr>
          <w:p>
            <w:r>
              <w:rPr>
                <w:b/>
                <w:sz w:val="17"/>
              </w:rPr>
              <w:t>3,246</w:t>
            </w:r>
          </w:p>
        </w:tc>
        <w:tc>
          <w:tcPr>
            <w:tcW w:type="dxa" w:w="1440"/>
            <w:shd w:fill="FFDCE0" w:val="clear"/>
          </w:tcPr>
          <w:p>
            <w:r>
              <w:rPr>
                <w:sz w:val="17"/>
              </w:rPr>
              <w:t>3,347</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3,101</w:t>
            </w:r>
          </w:p>
        </w:tc>
        <w:tc>
          <w:tcPr>
            <w:tcW w:type="dxa" w:w="1440"/>
            <w:shd w:fill="FFDCE0" w:val="clear"/>
          </w:tcPr>
          <w:p>
            <w:r>
              <w:rPr>
                <w:b/>
                <w:sz w:val="17"/>
              </w:rPr>
              <w:t>3,244</w:t>
            </w:r>
          </w:p>
        </w:tc>
        <w:tc>
          <w:tcPr>
            <w:tcW w:type="dxa" w:w="1440"/>
            <w:shd w:fill="FFDCE0" w:val="clear"/>
          </w:tcPr>
          <w:p>
            <w:r>
              <w:rPr>
                <w:sz w:val="17"/>
              </w:rPr>
              <w:t>3,388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3,063</w:t>
            </w:r>
          </w:p>
        </w:tc>
        <w:tc>
          <w:tcPr>
            <w:tcW w:type="dxa" w:w="1440"/>
            <w:shd w:fill="FFDCE0" w:val="clear"/>
          </w:tcPr>
          <w:p>
            <w:r>
              <w:rPr>
                <w:b/>
                <w:sz w:val="17"/>
              </w:rPr>
              <w:t>3,238</w:t>
            </w:r>
          </w:p>
        </w:tc>
        <w:tc>
          <w:tcPr>
            <w:tcW w:type="dxa" w:w="1440"/>
            <w:shd w:fill="FFDCE0" w:val="clear"/>
          </w:tcPr>
          <w:p>
            <w:r>
              <w:rPr>
                <w:sz w:val="17"/>
              </w:rPr>
              <w:t>3,413</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3,031</w:t>
            </w:r>
          </w:p>
        </w:tc>
        <w:tc>
          <w:tcPr>
            <w:tcW w:type="dxa" w:w="1440"/>
            <w:shd w:fill="FFDCE0" w:val="clear"/>
          </w:tcPr>
          <w:p>
            <w:r>
              <w:rPr>
                <w:b/>
                <w:sz w:val="17"/>
              </w:rPr>
              <w:t>3,233</w:t>
            </w:r>
          </w:p>
        </w:tc>
        <w:tc>
          <w:tcPr>
            <w:tcW w:type="dxa" w:w="1440"/>
            <w:shd w:fill="FFDCE0" w:val="clear"/>
          </w:tcPr>
          <w:p>
            <w:r>
              <w:rPr>
                <w:sz w:val="17"/>
              </w:rPr>
              <w:t>3,435</w:t>
            </w:r>
          </w:p>
        </w:tc>
        <w:tc>
          <w:tcPr>
            <w:tcW w:type="dxa" w:w="1440"/>
            <w:shd w:fill="FFDCE0" w:val="clear"/>
          </w:tcPr>
          <w:p>
            <w:r>
              <w:rPr>
                <w:b/>
                <w:color w:val="C00000"/>
                <w:sz w:val="17"/>
              </w:rPr>
              <w:t>-3.1%</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3,003</w:t>
            </w:r>
          </w:p>
        </w:tc>
        <w:tc>
          <w:tcPr>
            <w:tcW w:type="dxa" w:w="1440"/>
            <w:shd w:fill="FFDCE0" w:val="clear"/>
          </w:tcPr>
          <w:p>
            <w:r>
              <w:rPr>
                <w:b/>
                <w:sz w:val="17"/>
              </w:rPr>
              <w:t>3,228</w:t>
            </w:r>
          </w:p>
        </w:tc>
        <w:tc>
          <w:tcPr>
            <w:tcW w:type="dxa" w:w="1440"/>
            <w:shd w:fill="FFDCE0" w:val="clear"/>
          </w:tcPr>
          <w:p>
            <w:r>
              <w:rPr>
                <w:sz w:val="17"/>
              </w:rPr>
              <w:t>3,454</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2,978</w:t>
            </w:r>
          </w:p>
        </w:tc>
        <w:tc>
          <w:tcPr>
            <w:tcW w:type="dxa" w:w="1440"/>
            <w:shd w:fill="FFDCE0" w:val="clear"/>
          </w:tcPr>
          <w:p>
            <w:r>
              <w:rPr>
                <w:b/>
                <w:sz w:val="17"/>
              </w:rPr>
              <w:t>3,225</w:t>
            </w:r>
          </w:p>
        </w:tc>
        <w:tc>
          <w:tcPr>
            <w:tcW w:type="dxa" w:w="1440"/>
            <w:shd w:fill="FFDCE0" w:val="clear"/>
          </w:tcPr>
          <w:p>
            <w:r>
              <w:rPr>
                <w:sz w:val="17"/>
              </w:rPr>
              <w:t>3,471</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2,955</w:t>
            </w:r>
          </w:p>
        </w:tc>
        <w:tc>
          <w:tcPr>
            <w:tcW w:type="dxa" w:w="1440"/>
            <w:shd w:fill="FFDCE0" w:val="clear"/>
          </w:tcPr>
          <w:p>
            <w:r>
              <w:rPr>
                <w:b/>
                <w:sz w:val="17"/>
              </w:rPr>
              <w:t>3,221</w:t>
            </w:r>
          </w:p>
        </w:tc>
        <w:tc>
          <w:tcPr>
            <w:tcW w:type="dxa" w:w="1440"/>
            <w:shd w:fill="FFDCE0" w:val="clear"/>
          </w:tcPr>
          <w:p>
            <w:r>
              <w:rPr>
                <w:sz w:val="17"/>
              </w:rPr>
              <w:t>3,488</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2,934</w:t>
            </w:r>
          </w:p>
        </w:tc>
        <w:tc>
          <w:tcPr>
            <w:tcW w:type="dxa" w:w="1440"/>
            <w:shd w:fill="FFDCE0" w:val="clear"/>
          </w:tcPr>
          <w:p>
            <w:r>
              <w:rPr>
                <w:b/>
                <w:sz w:val="17"/>
              </w:rPr>
              <w:t>3,218</w:t>
            </w:r>
          </w:p>
        </w:tc>
        <w:tc>
          <w:tcPr>
            <w:tcW w:type="dxa" w:w="1440"/>
            <w:shd w:fill="FFDCE0" w:val="clear"/>
          </w:tcPr>
          <w:p>
            <w:r>
              <w:rPr>
                <w:sz w:val="17"/>
              </w:rPr>
              <w:t>3,502</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2,914</w:t>
            </w:r>
          </w:p>
        </w:tc>
        <w:tc>
          <w:tcPr>
            <w:tcW w:type="dxa" w:w="1440"/>
            <w:shd w:fill="FFDCE0" w:val="clear"/>
          </w:tcPr>
          <w:p>
            <w:r>
              <w:rPr>
                <w:b/>
                <w:sz w:val="17"/>
              </w:rPr>
              <w:t>3,215</w:t>
            </w:r>
          </w:p>
        </w:tc>
        <w:tc>
          <w:tcPr>
            <w:tcW w:type="dxa" w:w="1440"/>
            <w:shd w:fill="FFDCE0" w:val="clear"/>
          </w:tcPr>
          <w:p>
            <w:r>
              <w:rPr>
                <w:sz w:val="17"/>
              </w:rPr>
              <w:t>3,516</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2,895</w:t>
            </w:r>
          </w:p>
        </w:tc>
        <w:tc>
          <w:tcPr>
            <w:tcW w:type="dxa" w:w="1440"/>
            <w:shd w:fill="FFDCE0" w:val="clear"/>
          </w:tcPr>
          <w:p>
            <w:r>
              <w:rPr>
                <w:b/>
                <w:sz w:val="17"/>
              </w:rPr>
              <w:t>3,212</w:t>
            </w:r>
          </w:p>
        </w:tc>
        <w:tc>
          <w:tcPr>
            <w:tcW w:type="dxa" w:w="1440"/>
            <w:shd w:fill="FFDCE0" w:val="clear"/>
          </w:tcPr>
          <w:p>
            <w:r>
              <w:rPr>
                <w:sz w:val="17"/>
              </w:rPr>
              <w:t>3,529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**Date : 07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231,50 milliards FCFA, un niveau significatif qui positionne le titre parmi les valeurs moyennes à grandes capitalisations de la BRVM. Le BPA de 312 FCFA indique que chaque action génère un bénéfice substantiel pour l'actionnaire. Le PER de 10,7x se situe dans la fourchette moyenne du marché BRVM (8-12x), suggérant une valorisation raisonnable sans prime excessive. Le P/B de 2,05x indique que le marché valorise la société à environ deux fois sa valeur comptable, ce qui traduit une confiance dans la capacité de création de valeur future, typique des banques rentables. L'EV/EBITDA de 20,3x est nettement supérieur au seuil de 15x, signalant une valorisation exigeante de la capacité opérationnelle, ce qui pourrait refléter les attentes élevées des investisseurs quant à la poursuite du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ORGT affiche une variation totale de -8,63%, avec un rebond notable de +4,22% lors de la dernière séance, portant le cours à 3 335 FCFA. Le titre a évolué dans une fourchette large de 2 435 à 3 650 FCFA, démontrant une volatilité significative. La moyenne de 2 919 FCFA est inférieure à la médiane de 2 780 FCFA, indiquant une distribution asymétrique positive avec des extrêmes hauts plus prononcés. L'écart-type de 286 FCFA (CV=9,8%) révèle une dispersion modérée autour de la moyenne. Le kurtosis de -0,943 (mésokurtique) suggère une distribution proche de la normale, sans risque de pics extrêmes, tandis que le skewness de 0,459 confirme une asymétrie positive. La volatilité annualisée de 44,0% est élevée (&gt;30%), positionnant ORGT comme un titre risqué nécessitant une gestion active. Le cours actuel se situe nettement au-dessus de la moyenne, suggérant une phase de reprise après une période de faiblesse.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3 335 FCFA est supérieur à la MM20 (3 143 FCFA) et à la MM50 (2 921 FCFA), avec un écart croissant entre les deux moyennes. Cette configuration haussière confirme une dynamique positive à court et moyen terme, justifiant la décision d'achat. La pente ascendante des MM50 indique une tendance de fond favorable.</w:t>
      </w:r>
    </w:p>
    <w:p>
      <w:pPr>
        <w:spacing w:after="120" w:line="276" w:lineRule="auto"/>
      </w:pPr>
      <w:r>
        <w:t>**Bandes de Bollinger :** Le prix actuel de 3 335 FCFA dépasse largement la borne supérieure (3 280,78 FCFA), signalant une extension excessive du mouvement haussier. Cette situation suggère une volatilité accrue et un possible retour vers la moyenne à court terme. La décision de vente est justifiée par ce dépassement des bornes, indiquant une zone de surachat temporaire.</w:t>
      </w:r>
    </w:p>
    <w:p>
      <w:pPr>
        <w:spacing w:after="120" w:line="276" w:lineRule="auto"/>
      </w:pPr>
      <w:r>
        <w:t>**MACD :** Le MACD (86,19) est supérieur à sa ligne de signal (85,15), avec un écart positif de 1,05 point. Cette configuration haussière indique un momentum positif persistant, bien que l'écart relativement faible suggère une possible consolidation. La décision d'achat est confirmée par la dynamique positive du momentum.</w:t>
      </w:r>
    </w:p>
    <w:p>
      <w:pPr>
        <w:spacing w:after="120" w:line="276" w:lineRule="auto"/>
      </w:pPr>
      <w:r>
        <w:t>**RSI :** Le RSI à 76,70 est nettement au-dessus du seuil de surachat (70), indiquant une pression acheteuse excessive. Cette situation suggère un risque de correction technique à court terme, justifiant la décision de vente. Les investisseurs devraient surveiller un éventuel retour sous le seuil de 70 comme signal de normalisation.</w:t>
      </w:r>
    </w:p>
    <w:p>
      <w:pPr>
        <w:spacing w:after="120" w:line="276" w:lineRule="auto"/>
      </w:pPr>
      <w:r>
        <w:t>**Stochastique :** Le %K à 100 et le %D à 97,92 sont tous deux en zone de surachat extrême, avec un écart très faible indiquant une possible convergence baissière imminente. Cette configuration signale une exubérance excessive du marché, justifiant la décision de vente. Un croisement baissier du %K sous le %D serait un signal de retournement.</w:t>
      </w:r>
    </w:p>
    <w:p>
      <w:pPr>
        <w:spacing w:after="120" w:line="276" w:lineRule="auto"/>
      </w:pPr>
      <w:r>
        <w:t>**Conclusion technique :** Les indicateurs de tendance (MM, MACD) sont positifs, mais les oscillateurs (RSI, Stochastique, Bollinger) signalent tous une situation de surachat extrême. Cette divergence suggère un potentiel de correction à court terme avant la poursuite de la tendance haussière. La prudence est recommandée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ORGT a réalisé un redressement spectaculaire avec un Produit Net Bancaire de 186,609 milliards FCFA, en baisse de -4,5% par rapport à 2024, et un résultat net de 21,643 milliards FCFA contre une perte de -44,363 milliards en 2024. Le ROE s'établit à 19,13%, un niveau excellent (&gt;15%), tandis que le ROA de 0,54% reste modeste. Le coefficient d'exploitation de 42,85% démontre une excellente maîtrise des coûts (&lt;60% = efficace). Le coût du risque de 3,74% reste élevé mais s'est considérablement amélioré (-90% par rapport à 2024), reflétant une meilleure qualité du portefeuille. Les dépôts clientèle (3 088,7 milliards FCFA) couvrent largement les créances clientèle (1 523,8 milliards FCFA), indiquant une transformation saine. Le rapport T1 2026 (daté du 31 mars 2026) montre une poursuite du redressement avec un résultat net de 6,555 milliards FCFA (+37%), malgré un PNB en baisse de -2% à 50,124 milliards. Sur la base de ce T1 2026, on estime que l'exercice 2026 pourrait voir un résultat net annuel compris entre 24 et 26 milliards FCFA, confirmant la consolidation du redressement. Les capitaux propres renforcés à 113,165 milliards FCFA (+17%) et la solvabilité générale de 102,9% indiquent une structure financière stable. Cependant, l'autonomie financière de 2,82% reste très faible, typique du secteur bancaire mais soulignant la dépendance aux dépôts. Le rapport du 3ème trimestre 2025 (30 septembre 2025) confirme cette trajectoire avec un résultat net de 19,6 milliards FCFA (+248%). La recommandation fondamentale est de conserver, car le redressement est solide mais la croissance organique du PNB reste à confirmer.</w:t>
      </w:r>
    </w:p>
    <w:p>
      <w:pPr>
        <w:spacing w:after="120" w:line="276" w:lineRule="auto"/>
      </w:pPr>
      <w:r>
        <w:t>---</w:t>
      </w:r>
    </w:p>
    <w:p>
      <w:pPr>
        <w:spacing w:after="120" w:line="276" w:lineRule="auto"/>
      </w:pPr>
      <w:r>
        <w:t>### PARTIE 4 : CONCLUSION D'INVESTISSEMENT</w:t>
      </w:r>
    </w:p>
    <w:p>
      <w:pPr>
        <w:spacing w:after="120" w:line="276" w:lineRule="auto"/>
      </w:pPr>
      <w:r>
        <w:t>La valorisation d'ORGT avec un PER de 10,7x est raisonnable dans le contexte BRVM, mais l'EV/EBITDA de 20,3x suggère une certaine exigence des investisseurs. Le comportement du cours sur 100 jours montre une volatilité élevée (44%) avec une tendance récente positive malgré la baisse globale de -8,63%. Les signaux techniques sont mitigés : les indicateurs de tendance (MM, MACD) sont positifs, mais les oscillateurs (RSI à 76,7, Stochastique à 100) signalent un surachat extrême, suggérant un risque de correction à court terme. Les fondamentaux sont solides avec un ROE de 19,13% et un redressement spectaculaire du résultat net, mais la baisse du PNB (-4,5%) et les estimations T1 2026 (-2%) indiquent une stagnation de l'activité commerciale. Les prédictions IA pour les 10 prochains jours (3 246 à 3 228 FCFA) suggèrent une légère correction, contredisant partiellement les signaux techniques haussiers. La convergence entre la valorisation raisonnable, les fondamentaux en amélioration et la prédiction IA d'une consolidation indique qu'il est prudent d'attendre un meilleur point d'entrée. **Recommandation finale : CONSERVER** avec un niveau de confiance **Moyen** et un risque global **Élevé**. L'horizon d'investissement optimal serait le **moyen terme (3-12 mois)**, en attendant une confirmation de la reprise du PNB et une normalisation des indicateurs techniques.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139.13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3,655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+4.65%</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μ=8,528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β=-0.2087 (Contre-cyclique) — Cov=-0.000008, Var(idx)=0.000037, ρ=-0.055,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8,834</w:t>
            </w:r>
          </w:p>
        </w:tc>
        <w:tc>
          <w:tcPr>
            <w:tcW w:type="dxa" w:w="1440"/>
            <w:shd w:fill="FAFAFA" w:val="clear"/>
          </w:tcPr>
          <w:p>
            <w:r>
              <w:rPr>
                <w:b/>
                <w:sz w:val="17"/>
              </w:rPr>
              <w:t>9,127</w:t>
            </w:r>
          </w:p>
        </w:tc>
        <w:tc>
          <w:tcPr>
            <w:tcW w:type="dxa" w:w="1440"/>
            <w:shd w:fill="FAFAFA" w:val="clear"/>
          </w:tcPr>
          <w:p>
            <w:r>
              <w:rPr>
                <w:sz w:val="17"/>
              </w:rPr>
              <w:t>9,421</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8,724</w:t>
            </w:r>
          </w:p>
        </w:tc>
        <w:tc>
          <w:tcPr>
            <w:tcW w:type="dxa" w:w="1440"/>
            <w:shd w:fill="FAFAFA" w:val="clear"/>
          </w:tcPr>
          <w:p>
            <w:r>
              <w:rPr>
                <w:b/>
                <w:sz w:val="17"/>
              </w:rPr>
              <w:t>9,140</w:t>
            </w:r>
          </w:p>
        </w:tc>
        <w:tc>
          <w:tcPr>
            <w:tcW w:type="dxa" w:w="1440"/>
            <w:shd w:fill="FAFAFA" w:val="clear"/>
          </w:tcPr>
          <w:p>
            <w:r>
              <w:rPr>
                <w:sz w:val="17"/>
              </w:rPr>
              <w:t>9,556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8,656</w:t>
            </w:r>
          </w:p>
        </w:tc>
        <w:tc>
          <w:tcPr>
            <w:tcW w:type="dxa" w:w="1440"/>
            <w:shd w:fill="FAFAFA" w:val="clear"/>
          </w:tcPr>
          <w:p>
            <w:r>
              <w:rPr>
                <w:b/>
                <w:sz w:val="17"/>
              </w:rPr>
              <w:t>9,167</w:t>
            </w:r>
          </w:p>
        </w:tc>
        <w:tc>
          <w:tcPr>
            <w:tcW w:type="dxa" w:w="1440"/>
            <w:shd w:fill="FAFAFA" w:val="clear"/>
          </w:tcPr>
          <w:p>
            <w:r>
              <w:rPr>
                <w:sz w:val="17"/>
              </w:rPr>
              <w:t>9,677</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2026-09-10</w:t>
            </w:r>
          </w:p>
        </w:tc>
        <w:tc>
          <w:tcPr>
            <w:tcW w:type="dxa" w:w="1440"/>
            <w:shd w:fill="C6EFCE" w:val="clear"/>
          </w:tcPr>
          <w:p>
            <w:r>
              <w:rPr>
                <w:sz w:val="17"/>
              </w:rPr>
              <w:t>8,602</w:t>
            </w:r>
          </w:p>
        </w:tc>
        <w:tc>
          <w:tcPr>
            <w:tcW w:type="dxa" w:w="1440"/>
            <w:shd w:fill="C6EFCE" w:val="clear"/>
          </w:tcPr>
          <w:p>
            <w:r>
              <w:rPr>
                <w:b/>
                <w:sz w:val="17"/>
              </w:rPr>
              <w:t>9,194</w:t>
            </w:r>
          </w:p>
        </w:tc>
        <w:tc>
          <w:tcPr>
            <w:tcW w:type="dxa" w:w="1440"/>
            <w:shd w:fill="C6EFCE" w:val="clear"/>
          </w:tcPr>
          <w:p>
            <w:r>
              <w:rPr>
                <w:sz w:val="17"/>
              </w:rPr>
              <w:t>9,785</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2026-09-11</w:t>
            </w:r>
          </w:p>
        </w:tc>
        <w:tc>
          <w:tcPr>
            <w:tcW w:type="dxa" w:w="1440"/>
            <w:shd w:fill="C6EFCE" w:val="clear"/>
          </w:tcPr>
          <w:p>
            <w:r>
              <w:rPr>
                <w:sz w:val="17"/>
              </w:rPr>
              <w:t>8,557</w:t>
            </w:r>
          </w:p>
        </w:tc>
        <w:tc>
          <w:tcPr>
            <w:tcW w:type="dxa" w:w="1440"/>
            <w:shd w:fill="C6EFCE" w:val="clear"/>
          </w:tcPr>
          <w:p>
            <w:r>
              <w:rPr>
                <w:b/>
                <w:sz w:val="17"/>
              </w:rPr>
              <w:t>9,220</w:t>
            </w:r>
          </w:p>
        </w:tc>
        <w:tc>
          <w:tcPr>
            <w:tcW w:type="dxa" w:w="1440"/>
            <w:shd w:fill="C6EFCE" w:val="clear"/>
          </w:tcPr>
          <w:p>
            <w:r>
              <w:rPr>
                <w:sz w:val="17"/>
              </w:rPr>
              <w:t>9,883</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2026-09-14</w:t>
            </w:r>
          </w:p>
        </w:tc>
        <w:tc>
          <w:tcPr>
            <w:tcW w:type="dxa" w:w="1440"/>
            <w:shd w:fill="C6EFCE" w:val="clear"/>
          </w:tcPr>
          <w:p>
            <w:r>
              <w:rPr>
                <w:sz w:val="17"/>
              </w:rPr>
              <w:t>8,518</w:t>
            </w:r>
          </w:p>
        </w:tc>
        <w:tc>
          <w:tcPr>
            <w:tcW w:type="dxa" w:w="1440"/>
            <w:shd w:fill="C6EFCE" w:val="clear"/>
          </w:tcPr>
          <w:p>
            <w:r>
              <w:rPr>
                <w:b/>
                <w:sz w:val="17"/>
              </w:rPr>
              <w:t>9,246</w:t>
            </w:r>
          </w:p>
        </w:tc>
        <w:tc>
          <w:tcPr>
            <w:tcW w:type="dxa" w:w="1440"/>
            <w:shd w:fill="C6EFCE" w:val="clear"/>
          </w:tcPr>
          <w:p>
            <w:r>
              <w:rPr>
                <w:sz w:val="17"/>
              </w:rPr>
              <w:t>9,975</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2026-09-15</w:t>
            </w:r>
          </w:p>
        </w:tc>
        <w:tc>
          <w:tcPr>
            <w:tcW w:type="dxa" w:w="1440"/>
            <w:shd w:fill="C6EFCE" w:val="clear"/>
          </w:tcPr>
          <w:p>
            <w:r>
              <w:rPr>
                <w:sz w:val="17"/>
              </w:rPr>
              <w:t>8,483</w:t>
            </w:r>
          </w:p>
        </w:tc>
        <w:tc>
          <w:tcPr>
            <w:tcW w:type="dxa" w:w="1440"/>
            <w:shd w:fill="C6EFCE" w:val="clear"/>
          </w:tcPr>
          <w:p>
            <w:r>
              <w:rPr>
                <w:b/>
                <w:sz w:val="17"/>
              </w:rPr>
              <w:t>9,272</w:t>
            </w:r>
          </w:p>
        </w:tc>
        <w:tc>
          <w:tcPr>
            <w:tcW w:type="dxa" w:w="1440"/>
            <w:shd w:fill="C6EFCE" w:val="clear"/>
          </w:tcPr>
          <w:p>
            <w:r>
              <w:rPr>
                <w:sz w:val="17"/>
              </w:rPr>
              <w:t>10,061</w:t>
            </w:r>
          </w:p>
        </w:tc>
        <w:tc>
          <w:tcPr>
            <w:tcW w:type="dxa" w:w="1440"/>
            <w:shd w:fill="C6EFCE" w:val="clear"/>
          </w:tcPr>
          <w:p>
            <w:r>
              <w:rPr>
                <w:b/>
                <w:color w:val="008000"/>
                <w:sz w:val="17"/>
              </w:rPr>
              <w:t>+3.0%</w:t>
            </w:r>
          </w:p>
        </w:tc>
      </w:tr>
      <w:tr>
        <w:tc>
          <w:tcPr>
            <w:tcW w:type="dxa" w:w="1440"/>
            <w:shd w:fill="C6EFCE" w:val="clear"/>
          </w:tcPr>
          <w:p>
            <w:r>
              <w:rPr>
                <w:sz w:val="17"/>
              </w:rPr>
              <w:t>J+8  Moyenne</w:t>
            </w:r>
          </w:p>
        </w:tc>
        <w:tc>
          <w:tcPr>
            <w:tcW w:type="dxa" w:w="1440"/>
            <w:shd w:fill="C6EFCE" w:val="clear"/>
          </w:tcPr>
          <w:p>
            <w:r>
              <w:rPr>
                <w:sz w:val="17"/>
              </w:rPr>
              <w:t>2026-09-16</w:t>
            </w:r>
          </w:p>
        </w:tc>
        <w:tc>
          <w:tcPr>
            <w:tcW w:type="dxa" w:w="1440"/>
            <w:shd w:fill="C6EFCE" w:val="clear"/>
          </w:tcPr>
          <w:p>
            <w:r>
              <w:rPr>
                <w:sz w:val="17"/>
              </w:rPr>
              <w:t>8,453</w:t>
            </w:r>
          </w:p>
        </w:tc>
        <w:tc>
          <w:tcPr>
            <w:tcW w:type="dxa" w:w="1440"/>
            <w:shd w:fill="C6EFCE" w:val="clear"/>
          </w:tcPr>
          <w:p>
            <w:r>
              <w:rPr>
                <w:b/>
                <w:sz w:val="17"/>
              </w:rPr>
              <w:t>9,299</w:t>
            </w:r>
          </w:p>
        </w:tc>
        <w:tc>
          <w:tcPr>
            <w:tcW w:type="dxa" w:w="1440"/>
            <w:shd w:fill="C6EFCE" w:val="clear"/>
          </w:tcPr>
          <w:p>
            <w:r>
              <w:rPr>
                <w:sz w:val="17"/>
              </w:rPr>
              <w:t>10,144</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2026-09-17</w:t>
            </w:r>
          </w:p>
        </w:tc>
        <w:tc>
          <w:tcPr>
            <w:tcW w:type="dxa" w:w="1440"/>
            <w:shd w:fill="C6EFCE" w:val="clear"/>
          </w:tcPr>
          <w:p>
            <w:r>
              <w:rPr>
                <w:sz w:val="17"/>
              </w:rPr>
              <w:t>8,425</w:t>
            </w:r>
          </w:p>
        </w:tc>
        <w:tc>
          <w:tcPr>
            <w:tcW w:type="dxa" w:w="1440"/>
            <w:shd w:fill="C6EFCE" w:val="clear"/>
          </w:tcPr>
          <w:p>
            <w:r>
              <w:rPr>
                <w:b/>
                <w:sz w:val="17"/>
              </w:rPr>
              <w:t>9,325</w:t>
            </w:r>
          </w:p>
        </w:tc>
        <w:tc>
          <w:tcPr>
            <w:tcW w:type="dxa" w:w="1440"/>
            <w:shd w:fill="C6EFCE" w:val="clear"/>
          </w:tcPr>
          <w:p>
            <w:r>
              <w:rPr>
                <w:sz w:val="17"/>
              </w:rPr>
              <w:t>10,224</w:t>
            </w:r>
          </w:p>
        </w:tc>
        <w:tc>
          <w:tcPr>
            <w:tcW w:type="dxa" w:w="1440"/>
            <w:shd w:fill="C6EFCE" w:val="clear"/>
          </w:tcPr>
          <w:p>
            <w:r>
              <w:rPr>
                <w:b/>
                <w:color w:val="008000"/>
                <w:sz w:val="17"/>
              </w:rPr>
              <w:t>+3.6%</w:t>
            </w:r>
          </w:p>
        </w:tc>
      </w:tr>
      <w:tr>
        <w:tc>
          <w:tcPr>
            <w:tcW w:type="dxa" w:w="1440"/>
            <w:shd w:fill="C6EFCE" w:val="clear"/>
          </w:tcPr>
          <w:p>
            <w:r>
              <w:rPr>
                <w:sz w:val="17"/>
              </w:rPr>
              <w:t>J+10  Moyenne</w:t>
            </w:r>
          </w:p>
        </w:tc>
        <w:tc>
          <w:tcPr>
            <w:tcW w:type="dxa" w:w="1440"/>
            <w:shd w:fill="C6EFCE" w:val="clear"/>
          </w:tcPr>
          <w:p>
            <w:r>
              <w:rPr>
                <w:sz w:val="17"/>
              </w:rPr>
              <w:t>2026-09-18</w:t>
            </w:r>
          </w:p>
        </w:tc>
        <w:tc>
          <w:tcPr>
            <w:tcW w:type="dxa" w:w="1440"/>
            <w:shd w:fill="C6EFCE" w:val="clear"/>
          </w:tcPr>
          <w:p>
            <w:r>
              <w:rPr>
                <w:sz w:val="17"/>
              </w:rPr>
              <w:t>8,400</w:t>
            </w:r>
          </w:p>
        </w:tc>
        <w:tc>
          <w:tcPr>
            <w:tcW w:type="dxa" w:w="1440"/>
            <w:shd w:fill="C6EFCE" w:val="clear"/>
          </w:tcPr>
          <w:p>
            <w:r>
              <w:rPr>
                <w:b/>
                <w:sz w:val="17"/>
              </w:rPr>
              <w:t>9,351</w:t>
            </w:r>
          </w:p>
        </w:tc>
        <w:tc>
          <w:tcPr>
            <w:tcW w:type="dxa" w:w="1440"/>
            <w:shd w:fill="C6EFCE" w:val="clear"/>
          </w:tcPr>
          <w:p>
            <w:r>
              <w:rPr>
                <w:sz w:val="17"/>
              </w:rPr>
              <w:t>10,302</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139,13 milliards FCFA, ce qui en fait une valeur de taille moyenne sur la BRVM, représentative d'un acteur industriel majeur de la zone UEMOA. Avec un BPA de 1 003 FCFA, le titre se négocie à un PER de 9,0x, légèrement sous la moyenne historique du marché (8-12x), ce qui suggère une décote relative et un potentiel de revalorisation si les bénéfices se maintiennent. Le P/B de 0,98x est particulièrement intéressant : le marché valorise l'action à un niveau inférieur à sa valeur comptable, indiquant une sous-évaluation potentielle de l'actif net. Enfin, l'EV/EBITDA de 4,4x, nettement sous le seuil de 5x, confirme que la valeur totale de l'entreprise (dette incluse) est très bon marché par rapport à sa capacité à générer des bénéfices opérationnels. Ces quatre ratios convergent vers une conclusion de sous-évaluation.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progression de +4,65%, mais la dernière séance a enregistré un repli marqué de -2,17%, signe d'une consolidation à court terme. Le titre a évolué dans une fourchette de 7 000 à 9 640 FCFA, avec un cours actuel de 9 000 FCFA, proche du plus haut de la période, ce qui témoigne d'une tendance haussière de fond. La moyenne (8 528 FCFA) est inférieure à la médiane (8 688 FCFA), indiquant une asymétrie négative légère (skewness de -0,326) : les épisodes de baisse ont été plus prononcés que les hausses, mais restent modérés. L'écart-type de 575 FCFA (CV de 6,7%) révèle une dispersion relativement faible autour de la moyenne, tandis que le kurtosis de -0,590 (mésokurtique) suggère l'absence de mouvements extrêmes ou de "pics" de volatilité. La volatilité annualisée de 37,2% classe le titre comme très volatil (&gt;30%), un niveau élevé qui reflète la sensibilité du secteur aux chocs exogènes, mais qui contraste avec la stabilité relative des 100 derniers jours.</w:t>
      </w:r>
    </w:p>
    <w:p>
      <w:pPr>
        <w:spacing w:after="120" w:line="276" w:lineRule="auto" w:before="240"/>
      </w:pPr>
      <w:r>
        <w:rPr>
          <w:b/>
          <w:color w:val="003366"/>
          <w:sz w:val="24"/>
        </w:rPr>
        <w:t>**PARTIE 2 : ANALYSE TECHNIQUE DÉTAILLÉE**</w:t>
      </w:r>
    </w:p>
    <w:p>
      <w:pPr>
        <w:spacing w:after="120" w:line="276" w:lineRule="auto"/>
      </w:pPr>
      <w:r>
        <w:t>Les **Moyennes Mobiles** (MM20 à 9 247,75 et MM50 à 8 959,4) sont toutes deux supérieures au cours actuel de 9 000 FCFA, mais la MM20 est au-dessus de la MM50, formant une configuration haussière. Le signal global est à l'achat, car le cours évolue dans une dynamique positive de moyen terme, malgré le repli récent qui le place sous la MM20, indiquant une possible correction temporaire avant reprise.</w:t>
      </w:r>
    </w:p>
    <w:p>
      <w:pPr>
        <w:spacing w:after="120" w:line="276" w:lineRule="auto"/>
      </w:pPr>
      <w:r>
        <w:t>Les **Bandes de Bollinger** (borne supérieure à 9 698,33 et borne inférieure à 8 797,17) encadrent un cours à 9 000 FCFA, positionné dans la moitié inférieure de la bande. Le signal est neutre, mais la largeur des bandes suggère une volatilité modérée. Le cours n'étant pas extrême, il n'y a pas de pression immédiate, mais un rebond vers la moyenne de la bande (9 247) est envisageable.</w:t>
      </w:r>
    </w:p>
    <w:p>
      <w:pPr>
        <w:spacing w:after="120" w:line="276" w:lineRule="auto"/>
      </w:pPr>
      <w:r>
        <w:t>Le **MACD** (valeur à 64,01, signal à 121,37) affiche une divergence négative, avec la ligne MACD sous sa ligne de signal. Le momentum s'affaiblit, ce qui génère un signal de vente à court terme. Cependant, les valeurs restent positives, indiquant que la tendance de fond n'est pas cassée, mais qu'une phase de consolidation est en cours.</w:t>
      </w:r>
    </w:p>
    <w:p>
      <w:pPr>
        <w:spacing w:after="120" w:line="276" w:lineRule="auto"/>
      </w:pPr>
      <w:r>
        <w:t>Le **RSI** à 47,31 est en zone neutre (entre 30 et 70), ce qui signifie que le titre n'est ni suracheté ni survendu. Ce niveau laisse de la marge pour un mouvement haussier sans pression excessive, mais ne fournit pas de signal directionnel fort. La décision est neutre, en attente d'une confirmation.</w:t>
      </w:r>
    </w:p>
    <w:p>
      <w:pPr>
        <w:spacing w:after="120" w:line="276" w:lineRule="auto"/>
      </w:pPr>
      <w:r>
        <w:t>Le **Stochastique** (%K à 0,0, %D à 10,65) est en zone de survente extrême, avec %K sous %D. Ce croisement baissier indique un épuisement vendeur, et un rebond technique est probable à très court terme. Le signal est à l'achat, suggérant un potentiel de rattrapage haussier.</w:t>
      </w:r>
    </w:p>
    <w:p>
      <w:pPr>
        <w:spacing w:after="120" w:line="276" w:lineRule="auto"/>
      </w:pPr>
      <w:r>
        <w:t>En conclusion technique, les indicateurs sont mitigés : les moyennes mobiles et le stochastique plaident pour un achat, tandis que le MACD signale une faiblesse à court terme et le RSI reste neutre. La convergence entre le stochastique survendu et la MM50 comme support (8 959) suggère que le repli actuel pourrait être une opportunité d'achat, mais la prudence est de mise tant que le MACD ne se retourne pas.</w:t>
      </w:r>
    </w:p>
    <w:p>
      <w:pPr>
        <w:spacing w:after="120" w:line="276" w:lineRule="auto" w:before="240"/>
      </w:pPr>
      <w:r>
        <w:rPr>
          <w:b/>
          <w:color w:val="003366"/>
          <w:sz w:val="24"/>
        </w:rPr>
        <w:t>**PARTIE 3 : ANALYSE FONDAMENTALE (SECTION CRITIQUE)**</w:t>
      </w:r>
    </w:p>
    <w:p>
      <w:pPr>
        <w:spacing w:after="120" w:line="276" w:lineRule="auto"/>
      </w:pPr>
      <w:r>
        <w:t>En 2025, PALC (PALMCI) a réalisé un chiffre d'affaires de 197,63 milliards FCFA, en hausse de +14,8% par rapport à 2024 (172,2 milliards), mais le résultat net a légèrement reculé à 15,51 milliards FCFA (vs 15,9 milliards en 2024), soit une marge nette de 7,8%. Le ROE s'établit à 10,9% et le ROA à 7,8%, des niveaux corrects mais en deçà du seuil de 15% jugé excellent. La structure financière est très saine : autonomie financière de 71,6%, dette financière réduite à 796 millions FCFA (capacité de remboursement de 0,03 an), et une couverture des intérêts de 1415%. Cependant, le BFR de 44,6 milliards et le délai clients de 142 jours (élevé) constituent un risque de trésorerie, bien que la trésorerie nette soit légèrement négative (-4,56 milliards). Le rapport annuel 2025 (analysé en mars 2026) souligne une pression sur les coûts (charges de personnel +4%, services extérieurs +30%) et une baisse du dividende à 502 FCFA/action (vs 620 en 2024). Les rapports trimestriels 2025 montrent une forte dynamique au S1 (CA +25%, RN +37%), mais un net ralentissement au T3 (RN +11% sur 9 mois). Le rapport T1 2026 (publié en 2026) est préoccupant : CA en baisse de -27% à 49,4 milliards et RN en chute de -86% à 1,6 milliard, attribué à un décalage temporel des ventes. Sur cette base, on estime que l'exercice 2026 pourrait être difficile, avec un résultat net potentiellement inférieur à 10 milliards FCFA si la reprise annoncée par la direction ne se matérialise pas. La recommandation fondamentale est de conserver, avec une vigilance accrue sur la capacité de l'entreprise à redresser ses ventes et à stabiliser ses marges.</w:t>
      </w:r>
    </w:p>
    <w:p>
      <w:pPr>
        <w:spacing w:after="120" w:line="276" w:lineRule="auto" w:before="240"/>
      </w:pPr>
      <w:r>
        <w:rPr>
          <w:b/>
          <w:color w:val="003366"/>
          <w:sz w:val="24"/>
        </w:rPr>
        <w:t>**PARTIE 4 : CONCLUSION D'INVESTISSEMENT**</w:t>
      </w:r>
    </w:p>
    <w:p>
      <w:pPr>
        <w:spacing w:after="120" w:line="276" w:lineRule="auto"/>
      </w:pPr>
      <w:r>
        <w:t>La valorisation de PALC est attractivement basse (PER 9,0x, P/B 0,98x, EV/EBITDA 4,4x), indiquant une sous-évaluation par rapport aux fondamentaux historiques. Le comportement du cours sur 100 jours est haussier (+4,65%) avec une volatilité élevée (37,2%), mais les statistiques (kurtosis et skewness) montrent une distribution stable sans extrêmes, ce qui est rassurant. Les signaux techniques sont partagés : les moyennes mobiles et le stochastique (survendu) suggèrent un rebond, tandis que le MACD et le repli de -2,17% à J-1 indiquent une consolidation. Les fondamentaux sont solides à moyen terme (croissance du CA 2025, structure financière saine), mais les perspectives 2026 sont assombries par le T1 décevant (-86% du RN), même si la direction évoque un décalage temporel. Les prédictions IA (9 127 à 9 220 FCFA sur 10 jours) confirment un potentiel de hausse modérée, en ligne avec les signaux techniques de rebond. En synthèse, la convergence entre la sous-évaluation, la solidité bilancielle et les prédictions IA positives est contrebalancée par les risques opérationnels et la dégradation récente des résultats. La recommandation finale est **CONSERVER**, avec un niveau de confiance **Moyen** et un risque global **Moyen**. L'horizon d'investissement optimal est de **moyen terme (3-12 mois)**, en attendant une confirmation du redressement de l'activité au T2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854 titres</w:t>
            </w:r>
          </w:p>
        </w:tc>
        <w:tc>
          <w:tcPr>
            <w:tcW w:type="dxa" w:w="2268"/>
            <w:shd w:fill="FFF2CC" w:val="clear"/>
          </w:tcPr>
          <w:p>
            <w:r>
              <w:rPr>
                <w:b/>
                <w:color w:val="503200"/>
                <w:sz w:val="16"/>
              </w:rPr>
              <w:t xml:space="preserve">Cours actuel : </w:t>
            </w:r>
            <w:r>
              <w:rPr>
                <w:color w:val="000000"/>
                <w:sz w:val="17"/>
              </w:rPr>
              <w:t>4,350 FCFA</w:t>
            </w:r>
          </w:p>
          <w:p>
            <w:r>
              <w:rPr>
                <w:b/>
                <w:color w:val="503200"/>
                <w:sz w:val="16"/>
              </w:rPr>
              <w:t xml:space="preserve">Var. 100 jours : </w:t>
            </w:r>
            <w:r>
              <w:rPr>
                <w:b/>
                <w:color w:val="B40000"/>
                <w:sz w:val="17"/>
              </w:rPr>
              <w:t>-13.86%</w:t>
            </w:r>
          </w:p>
          <w:p>
            <w:r>
              <w:rPr>
                <w:b/>
                <w:color w:val="503200"/>
                <w:sz w:val="16"/>
              </w:rPr>
              <w:t xml:space="preserve">Plus haut 100j : </w:t>
            </w:r>
            <w:r>
              <w:rPr>
                <w:color w:val="000000"/>
                <w:sz w:val="17"/>
              </w:rPr>
              <w:t>5,050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μ=4,420 FCFA, σ=328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β=-0.1324 (Contre-cyclique) — Cov=-0.000005, Var(idx)=0.000037, ρ=-0.033,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854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4,260</w:t>
            </w:r>
          </w:p>
        </w:tc>
        <w:tc>
          <w:tcPr>
            <w:tcW w:type="dxa" w:w="1440"/>
            <w:shd w:fill="FAFAFA" w:val="clear"/>
          </w:tcPr>
          <w:p>
            <w:r>
              <w:rPr>
                <w:b/>
                <w:sz w:val="17"/>
              </w:rPr>
              <w:t>4,341</w:t>
            </w:r>
          </w:p>
        </w:tc>
        <w:tc>
          <w:tcPr>
            <w:tcW w:type="dxa" w:w="1440"/>
            <w:shd w:fill="FAFAFA" w:val="clear"/>
          </w:tcPr>
          <w:p>
            <w:r>
              <w:rPr>
                <w:sz w:val="17"/>
              </w:rPr>
              <w:t>4,422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4,205</w:t>
            </w:r>
          </w:p>
        </w:tc>
        <w:tc>
          <w:tcPr>
            <w:tcW w:type="dxa" w:w="1440"/>
            <w:shd w:fill="FAFAFA" w:val="clear"/>
          </w:tcPr>
          <w:p>
            <w:r>
              <w:rPr>
                <w:b/>
                <w:sz w:val="17"/>
              </w:rPr>
              <w:t>4,319</w:t>
            </w:r>
          </w:p>
        </w:tc>
        <w:tc>
          <w:tcPr>
            <w:tcW w:type="dxa" w:w="1440"/>
            <w:shd w:fill="FAFAFA" w:val="clear"/>
          </w:tcPr>
          <w:p>
            <w:r>
              <w:rPr>
                <w:sz w:val="17"/>
              </w:rPr>
              <w:t>4,433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4,160</w:t>
            </w:r>
          </w:p>
        </w:tc>
        <w:tc>
          <w:tcPr>
            <w:tcW w:type="dxa" w:w="1440"/>
            <w:shd w:fill="FAFAFA" w:val="clear"/>
          </w:tcPr>
          <w:p>
            <w:r>
              <w:rPr>
                <w:b/>
                <w:sz w:val="17"/>
              </w:rPr>
              <w:t>4,299</w:t>
            </w:r>
          </w:p>
        </w:tc>
        <w:tc>
          <w:tcPr>
            <w:tcW w:type="dxa" w:w="1440"/>
            <w:shd w:fill="FAFAFA" w:val="clear"/>
          </w:tcPr>
          <w:p>
            <w:r>
              <w:rPr>
                <w:sz w:val="17"/>
              </w:rPr>
              <w:t>4,438</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2026-09-10</w:t>
            </w:r>
          </w:p>
        </w:tc>
        <w:tc>
          <w:tcPr>
            <w:tcW w:type="dxa" w:w="1440"/>
            <w:shd w:fill="FAFAFA" w:val="clear"/>
          </w:tcPr>
          <w:p>
            <w:r>
              <w:rPr>
                <w:sz w:val="17"/>
              </w:rPr>
              <w:t>4,120</w:t>
            </w:r>
          </w:p>
        </w:tc>
        <w:tc>
          <w:tcPr>
            <w:tcW w:type="dxa" w:w="1440"/>
            <w:shd w:fill="FAFAFA" w:val="clear"/>
          </w:tcPr>
          <w:p>
            <w:r>
              <w:rPr>
                <w:b/>
                <w:sz w:val="17"/>
              </w:rPr>
              <w:t>4,280</w:t>
            </w:r>
          </w:p>
        </w:tc>
        <w:tc>
          <w:tcPr>
            <w:tcW w:type="dxa" w:w="1440"/>
            <w:shd w:fill="FAFAFA" w:val="clear"/>
          </w:tcPr>
          <w:p>
            <w:r>
              <w:rPr>
                <w:sz w:val="17"/>
              </w:rPr>
              <w:t>4,439</w:t>
            </w:r>
          </w:p>
        </w:tc>
        <w:tc>
          <w:tcPr>
            <w:tcW w:type="dxa" w:w="1440"/>
            <w:shd w:fill="FAFAFA" w:val="clear"/>
          </w:tcPr>
          <w:p>
            <w:r>
              <w:rPr>
                <w:b/>
                <w:color w:val="C00000"/>
                <w:sz w:val="17"/>
              </w:rPr>
              <w:t>-1.6%</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4,083</w:t>
            </w:r>
          </w:p>
        </w:tc>
        <w:tc>
          <w:tcPr>
            <w:tcW w:type="dxa" w:w="1440"/>
            <w:shd w:fill="FFDCE0" w:val="clear"/>
          </w:tcPr>
          <w:p>
            <w:r>
              <w:rPr>
                <w:b/>
                <w:sz w:val="17"/>
              </w:rPr>
              <w:t>4,261</w:t>
            </w:r>
          </w:p>
        </w:tc>
        <w:tc>
          <w:tcPr>
            <w:tcW w:type="dxa" w:w="1440"/>
            <w:shd w:fill="FFDCE0" w:val="clear"/>
          </w:tcPr>
          <w:p>
            <w:r>
              <w:rPr>
                <w:sz w:val="17"/>
              </w:rPr>
              <w:t>4,438</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4,048</w:t>
            </w:r>
          </w:p>
        </w:tc>
        <w:tc>
          <w:tcPr>
            <w:tcW w:type="dxa" w:w="1440"/>
            <w:shd w:fill="FFDCE0" w:val="clear"/>
          </w:tcPr>
          <w:p>
            <w:r>
              <w:rPr>
                <w:b/>
                <w:sz w:val="17"/>
              </w:rPr>
              <w:t>4,242</w:t>
            </w:r>
          </w:p>
        </w:tc>
        <w:tc>
          <w:tcPr>
            <w:tcW w:type="dxa" w:w="1440"/>
            <w:shd w:fill="FFDCE0" w:val="clear"/>
          </w:tcPr>
          <w:p>
            <w:r>
              <w:rPr>
                <w:sz w:val="17"/>
              </w:rPr>
              <w:t>4,436</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4,015</w:t>
            </w:r>
          </w:p>
        </w:tc>
        <w:tc>
          <w:tcPr>
            <w:tcW w:type="dxa" w:w="1440"/>
            <w:shd w:fill="FFDCE0" w:val="clear"/>
          </w:tcPr>
          <w:p>
            <w:r>
              <w:rPr>
                <w:b/>
                <w:sz w:val="17"/>
              </w:rPr>
              <w:t>4,224</w:t>
            </w:r>
          </w:p>
        </w:tc>
        <w:tc>
          <w:tcPr>
            <w:tcW w:type="dxa" w:w="1440"/>
            <w:shd w:fill="FFDCE0" w:val="clear"/>
          </w:tcPr>
          <w:p>
            <w:r>
              <w:rPr>
                <w:sz w:val="17"/>
              </w:rPr>
              <w:t>4,432</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3,984</w:t>
            </w:r>
          </w:p>
        </w:tc>
        <w:tc>
          <w:tcPr>
            <w:tcW w:type="dxa" w:w="1440"/>
            <w:shd w:fill="FFDCE0" w:val="clear"/>
          </w:tcPr>
          <w:p>
            <w:r>
              <w:rPr>
                <w:b/>
                <w:sz w:val="17"/>
              </w:rPr>
              <w:t>4,206</w:t>
            </w:r>
          </w:p>
        </w:tc>
        <w:tc>
          <w:tcPr>
            <w:tcW w:type="dxa" w:w="1440"/>
            <w:shd w:fill="FFDCE0" w:val="clear"/>
          </w:tcPr>
          <w:p>
            <w:r>
              <w:rPr>
                <w:sz w:val="17"/>
              </w:rPr>
              <w:t>4,428</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3,954</w:t>
            </w:r>
          </w:p>
        </w:tc>
        <w:tc>
          <w:tcPr>
            <w:tcW w:type="dxa" w:w="1440"/>
            <w:shd w:fill="FFDCE0" w:val="clear"/>
          </w:tcPr>
          <w:p>
            <w:r>
              <w:rPr>
                <w:b/>
                <w:sz w:val="17"/>
              </w:rPr>
              <w:t>4,188</w:t>
            </w:r>
          </w:p>
        </w:tc>
        <w:tc>
          <w:tcPr>
            <w:tcW w:type="dxa" w:w="1440"/>
            <w:shd w:fill="FFDCE0" w:val="clear"/>
          </w:tcPr>
          <w:p>
            <w:r>
              <w:rPr>
                <w:sz w:val="17"/>
              </w:rPr>
              <w:t>4,423</w:t>
            </w:r>
          </w:p>
        </w:tc>
        <w:tc>
          <w:tcPr>
            <w:tcW w:type="dxa" w:w="1440"/>
            <w:shd w:fill="FFDCE0" w:val="clear"/>
          </w:tcPr>
          <w:p>
            <w:r>
              <w:rPr>
                <w:b/>
                <w:color w:val="C00000"/>
                <w:sz w:val="17"/>
              </w:rPr>
              <w:t>-3.7%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3,925</w:t>
            </w:r>
          </w:p>
        </w:tc>
        <w:tc>
          <w:tcPr>
            <w:tcW w:type="dxa" w:w="1440"/>
            <w:shd w:fill="FFDCE0" w:val="clear"/>
          </w:tcPr>
          <w:p>
            <w:r>
              <w:rPr>
                <w:b/>
                <w:sz w:val="17"/>
              </w:rPr>
              <w:t>4,171</w:t>
            </w:r>
          </w:p>
        </w:tc>
        <w:tc>
          <w:tcPr>
            <w:tcW w:type="dxa" w:w="1440"/>
            <w:shd w:fill="FFDCE0" w:val="clear"/>
          </w:tcPr>
          <w:p>
            <w:r>
              <w:rPr>
                <w:sz w:val="17"/>
              </w:rPr>
              <w:t>4,417</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44,54 milliards FCFA, un niveau intermédiaire sur la BRVM qui reflète une liquidité modérée. Avec un BPA de 231 FCFA, le titre se négocie à un PER de 18,8x, nettement supérieur à la moyenne historique de la place (~8-12x), ce qui indique que les investisseurs paient une prime significative pour la croissance anticipée. Le P/B de 3,86x confirme cette prime, le marché valorisant l'actif net comptable près de quatre fois sa valeur, suggérant une confiance dans la création de valeur future. Enfin, l'EV/EBITDA de 9,6x, situé dans la fourchette haute des standards régionaux, témoigne d'une valorisation exigeante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dépréciation de -13,86%, avec une dernière séance en baisse de -1,14% à 4 350 FCFA. Le titre a évolué dans une fourchette large de 3 620 à 5 050 FCFA, illustrant une volatilité élevée de 38,9% annualisée. La moyenne (4 420 FCFA) est inférieure à la médiane (4 472 FCFA), et le skewness négatif (-0,764) indique que les fortes baisses sont plus fréquentes que les hausses, malgré un cours souvent au-dessus de la moyenne. Le kurtosis de 0,464 (mésokurtique) suggère une distribution des rendements proche de la normale, sans risque de krach extrême. La tendance générale est clairement baissière, le cours ayant chuté de son plus haut pour se rapprocher de son plus bas, dans un contexte de pression vendeuse persistante.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(4 350 FCFA) est inférieur à la MM20 (4 452,75 FCFA) et à la MM50 (4 487,5 FCFA). Cette configuration baissière, où les moyennes courtes passent sous les moyennes longues, confirme la dynamique négative et justifie la décision de vente.</w:t>
      </w:r>
    </w:p>
    <w:p>
      <w:pPr>
        <w:spacing w:after="120" w:line="276" w:lineRule="auto"/>
      </w:pPr>
      <w:r>
        <w:t>**Bandes de Bollinger :** Le prix se situe à la borne inférieure (4 347 FCFA), indiquant que le titre est proche de conditions de survente à court terme. La décision est neutre, car un rebond technique est possible, mais une cassure sous cette borne pourrait accentuer la baisse.</w:t>
      </w:r>
    </w:p>
    <w:p>
      <w:pPr>
        <w:spacing w:after="120" w:line="276" w:lineRule="auto"/>
      </w:pPr>
      <w:r>
        <w:t>**MACD :** Le MACD (-16,855) est négatif et inférieur à sa ligne de signal (-5,57), confirmant un momentum baissier fort. La divergence négative suggère que la pression vendeuse est toujours dominante, justifiant la décision de vente.</w:t>
      </w:r>
    </w:p>
    <w:p>
      <w:pPr>
        <w:spacing w:after="120" w:line="276" w:lineRule="auto"/>
      </w:pPr>
      <w:r>
        <w:t>**RSI :** À 36,937, le RSI est en zone neutre mais proche de la zone de survente (&lt;30). Cela indique que le titre n'est pas encore survendu, mais que la dynamique baissière s'essouffle, laissant place à une possible stabilisation.</w:t>
      </w:r>
    </w:p>
    <w:p>
      <w:pPr>
        <w:spacing w:after="120" w:line="276" w:lineRule="auto"/>
      </w:pPr>
      <w:r>
        <w:t>**Stochastique :** Avec %K et %D à 0,0, l'indicateur est en territoire de survente extrême. Cette situation signale un potentiel de rebond technique imminent, justifiant la décision d'achat à très court terme.</w:t>
      </w:r>
    </w:p>
    <w:p>
      <w:pPr>
        <w:spacing w:after="120" w:line="276" w:lineRule="auto"/>
      </w:pPr>
      <w:r>
        <w:t>**Conclusion technique :** Les indicateurs sont mitigés. Les moyennes mobiles et le MACD confirment une tendance baissière, tandis que le RSI et le stochastique suggèrent une survente imminente. Un rebond technique est possible à court terme, mais la tendance de fond reste négative.</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hausse de 9,5% par rapport à 2024, avec un résultat net de 2,367 milliards FCFA, stable par rapport aux 2,35 milliards de 2024. Le ROE est excellent à 20,53%, tandis que le ROA est plus modeste à 4,95%. La marge nette reste faible à 2,92%, reflétant la pression sur les coûts. Le BFR est élevé à 11,267 milliards FCFA, avec un délai de stockage de 150 jours et un délai client de 46 jours, ce qui immobilise du capital. Le délai fournisseur de 102 jours est un point positif pour la trésorerie. La structure financière montre une autonomie de 24,1%, en deçà du seuil de 30%, et un endettement élevé (ratio d'endettement de 314,8%). Les rapports du S1 2025 (publiés en mars 2026) indiquaient une croissance de +15,1% du CA et un résultat net multiplié par 28, mais la direction anticipait un ralentissement au S2. L'assemblée générale de juin 2026 a approuvé un dividende de 209 FCFA par action, offrant un rendement de 4,8%. La société reste exposée à la conjoncture ivoirienne et à la concurrence, mais sa solidité opérationnelle et sa politique de distribution sont des atouts.</w:t>
      </w:r>
    </w:p>
    <w:p>
      <w:pPr>
        <w:spacing w:after="120" w:line="276" w:lineRule="auto"/>
      </w:pPr>
      <w:r>
        <w:t>---</w:t>
      </w:r>
    </w:p>
    <w:p>
      <w:pPr>
        <w:spacing w:after="120" w:line="276" w:lineRule="auto"/>
      </w:pPr>
      <w:r>
        <w:t>### PARTIE 4 : CONCLUSION D'INVESTISSEMENT</w:t>
      </w:r>
    </w:p>
    <w:p>
      <w:pPr>
        <w:spacing w:after="120" w:line="276" w:lineRule="auto"/>
      </w:pPr>
      <w:r>
        <w:t>La valorisation de PRSC (PER 18,8x, P/B 3,86x) est exigeante, mais justifiée par un ROE élevé et une croissance du CA soutenue. Le comportement du cours est préoccupant, avec une tendance baissière marquée et une volatilité élevée. Les signaux techniques sont mitigés, oscillant entre une tendance baissière (MM, MACD) et des conditions de survente (RSI, Stochastique) qui pourraient déclencher un rebond. Les fondamentaux sont solides, avec une amélioration de la rentabilité et une politique de dividende attractive, mais la structure financière reste fragile. Les prédictions IA (J+1 à J+10) prévoient une poursuite de la baisse vers 4 261 FCFA, ce qui contredit tout scénario de rebond immédiat. En synthèse, la convergence entre la valorisation élevée, la tendance technique baissière et les prédictions IA défavorables suggère une prudence accrue. **Recommandation : CONSERVER** avec un niveau de confiance **Moyen** et un risque global **Élevé**. L'horizon d'investissement optimal est le **moyen terme (3-12 mois)**, en attendant une stabilisation du cours et une clarification de la conjoncture économique.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8,048 titres</w:t>
            </w:r>
          </w:p>
        </w:tc>
        <w:tc>
          <w:tcPr>
            <w:tcW w:type="dxa" w:w="2268"/>
            <w:shd w:fill="FFF2CC" w:val="clear"/>
          </w:tcPr>
          <w:p>
            <w:r>
              <w:rPr>
                <w:b/>
                <w:color w:val="503200"/>
                <w:sz w:val="16"/>
              </w:rPr>
              <w:t xml:space="preserve">Cours actuel : </w:t>
            </w:r>
            <w:r>
              <w:rPr>
                <w:color w:val="000000"/>
                <w:sz w:val="17"/>
              </w:rPr>
              <w:t>6,070 FCFA</w:t>
            </w:r>
          </w:p>
          <w:p>
            <w:r>
              <w:rPr>
                <w:b/>
                <w:color w:val="503200"/>
                <w:sz w:val="16"/>
              </w:rPr>
              <w:t xml:space="preserve">Var. 100 jours : </w:t>
            </w:r>
            <w:r>
              <w:rPr>
                <w:b/>
                <w:color w:val="B40000"/>
                <w:sz w:val="17"/>
              </w:rPr>
              <w:t>-18.36%</w:t>
            </w:r>
          </w:p>
          <w:p>
            <w:r>
              <w:rPr>
                <w:b/>
                <w:color w:val="503200"/>
                <w:sz w:val="16"/>
              </w:rPr>
              <w:t xml:space="preserve">Plus haut 100j : </w:t>
            </w:r>
            <w:r>
              <w:rPr>
                <w:color w:val="000000"/>
                <w:sz w:val="17"/>
              </w:rPr>
              <w:t>7,435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μ=4,676 FCFA, σ=929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β=0.3897 (Défensif) — Cov=0.000015, Var(idx)=0.000037, ρ=0.046,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8,048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5,284</w:t>
            </w:r>
          </w:p>
        </w:tc>
        <w:tc>
          <w:tcPr>
            <w:tcW w:type="dxa" w:w="1440"/>
            <w:shd w:fill="FFDCE0" w:val="clear"/>
          </w:tcPr>
          <w:p>
            <w:r>
              <w:rPr>
                <w:b/>
                <w:sz w:val="17"/>
              </w:rPr>
              <w:t>5,615</w:t>
            </w:r>
          </w:p>
        </w:tc>
        <w:tc>
          <w:tcPr>
            <w:tcW w:type="dxa" w:w="1440"/>
            <w:shd w:fill="FFDCE0" w:val="clear"/>
          </w:tcPr>
          <w:p>
            <w:r>
              <w:rPr>
                <w:sz w:val="17"/>
              </w:rPr>
              <w:t>5,946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4,761</w:t>
            </w:r>
          </w:p>
        </w:tc>
        <w:tc>
          <w:tcPr>
            <w:tcW w:type="dxa" w:w="1440"/>
            <w:shd w:fill="FFDCE0" w:val="clear"/>
          </w:tcPr>
          <w:p>
            <w:r>
              <w:rPr>
                <w:b/>
                <w:sz w:val="17"/>
              </w:rPr>
              <w:t>5,194</w:t>
            </w:r>
          </w:p>
        </w:tc>
        <w:tc>
          <w:tcPr>
            <w:tcW w:type="dxa" w:w="1440"/>
            <w:shd w:fill="FFDCE0" w:val="clear"/>
          </w:tcPr>
          <w:p>
            <w:r>
              <w:rPr>
                <w:sz w:val="17"/>
              </w:rPr>
              <w:t>5,626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4,314</w:t>
            </w:r>
          </w:p>
        </w:tc>
        <w:tc>
          <w:tcPr>
            <w:tcW w:type="dxa" w:w="1440"/>
            <w:shd w:fill="FFDCE0" w:val="clear"/>
          </w:tcPr>
          <w:p>
            <w:r>
              <w:rPr>
                <w:b/>
                <w:sz w:val="17"/>
              </w:rPr>
              <w:t>4,804</w:t>
            </w:r>
          </w:p>
        </w:tc>
        <w:tc>
          <w:tcPr>
            <w:tcW w:type="dxa" w:w="1440"/>
            <w:shd w:fill="FFDCE0" w:val="clear"/>
          </w:tcPr>
          <w:p>
            <w:r>
              <w:rPr>
                <w:sz w:val="17"/>
              </w:rPr>
              <w:t>5,294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3,920</w:t>
            </w:r>
          </w:p>
        </w:tc>
        <w:tc>
          <w:tcPr>
            <w:tcW w:type="dxa" w:w="1440"/>
            <w:shd w:fill="FFDCE0" w:val="clear"/>
          </w:tcPr>
          <w:p>
            <w:r>
              <w:rPr>
                <w:b/>
                <w:sz w:val="17"/>
              </w:rPr>
              <w:t>4,444</w:t>
            </w:r>
          </w:p>
        </w:tc>
        <w:tc>
          <w:tcPr>
            <w:tcW w:type="dxa" w:w="1440"/>
            <w:shd w:fill="FFDCE0" w:val="clear"/>
          </w:tcPr>
          <w:p>
            <w:r>
              <w:rPr>
                <w:sz w:val="17"/>
              </w:rPr>
              <w:t>4,967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3,569</w:t>
            </w:r>
          </w:p>
        </w:tc>
        <w:tc>
          <w:tcPr>
            <w:tcW w:type="dxa" w:w="1440"/>
            <w:shd w:fill="FFDCE0" w:val="clear"/>
          </w:tcPr>
          <w:p>
            <w:r>
              <w:rPr>
                <w:b/>
                <w:sz w:val="17"/>
              </w:rPr>
              <w:t>4,111</w:t>
            </w:r>
          </w:p>
        </w:tc>
        <w:tc>
          <w:tcPr>
            <w:tcW w:type="dxa" w:w="1440"/>
            <w:shd w:fill="FFDCE0" w:val="clear"/>
          </w:tcPr>
          <w:p>
            <w:r>
              <w:rPr>
                <w:sz w:val="17"/>
              </w:rPr>
              <w:t>4,652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3,253</w:t>
            </w:r>
          </w:p>
        </w:tc>
        <w:tc>
          <w:tcPr>
            <w:tcW w:type="dxa" w:w="1440"/>
            <w:shd w:fill="FFDCE0" w:val="clear"/>
          </w:tcPr>
          <w:p>
            <w:r>
              <w:rPr>
                <w:b/>
                <w:sz w:val="17"/>
              </w:rPr>
              <w:t>3,802</w:t>
            </w:r>
          </w:p>
        </w:tc>
        <w:tc>
          <w:tcPr>
            <w:tcW w:type="dxa" w:w="1440"/>
            <w:shd w:fill="FFDCE0" w:val="clear"/>
          </w:tcPr>
          <w:p>
            <w:r>
              <w:rPr>
                <w:sz w:val="17"/>
              </w:rPr>
              <w:t>4,351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2,969</w:t>
            </w:r>
          </w:p>
        </w:tc>
        <w:tc>
          <w:tcPr>
            <w:tcW w:type="dxa" w:w="1440"/>
            <w:shd w:fill="FFDCE0" w:val="clear"/>
          </w:tcPr>
          <w:p>
            <w:r>
              <w:rPr>
                <w:b/>
                <w:sz w:val="17"/>
              </w:rPr>
              <w:t>3,517</w:t>
            </w:r>
          </w:p>
        </w:tc>
        <w:tc>
          <w:tcPr>
            <w:tcW w:type="dxa" w:w="1440"/>
            <w:shd w:fill="FFDCE0" w:val="clear"/>
          </w:tcPr>
          <w:p>
            <w:r>
              <w:rPr>
                <w:sz w:val="17"/>
              </w:rPr>
              <w:t>4,065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2,711</w:t>
            </w:r>
          </w:p>
        </w:tc>
        <w:tc>
          <w:tcPr>
            <w:tcW w:type="dxa" w:w="1440"/>
            <w:shd w:fill="FFDCE0" w:val="clear"/>
          </w:tcPr>
          <w:p>
            <w:r>
              <w:rPr>
                <w:b/>
                <w:sz w:val="17"/>
              </w:rPr>
              <w:t>3,253</w:t>
            </w:r>
          </w:p>
        </w:tc>
        <w:tc>
          <w:tcPr>
            <w:tcW w:type="dxa" w:w="1440"/>
            <w:shd w:fill="FFDCE0" w:val="clear"/>
          </w:tcPr>
          <w:p>
            <w:r>
              <w:rPr>
                <w:sz w:val="17"/>
              </w:rPr>
              <w:t>3,795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2,477</w:t>
            </w:r>
          </w:p>
        </w:tc>
        <w:tc>
          <w:tcPr>
            <w:tcW w:type="dxa" w:w="1440"/>
            <w:shd w:fill="FFDCE0" w:val="clear"/>
          </w:tcPr>
          <w:p>
            <w:r>
              <w:rPr>
                <w:b/>
                <w:sz w:val="17"/>
              </w:rPr>
              <w:t>3,009</w:t>
            </w:r>
          </w:p>
        </w:tc>
        <w:tc>
          <w:tcPr>
            <w:tcW w:type="dxa" w:w="1440"/>
            <w:shd w:fill="FFDCE0" w:val="clear"/>
          </w:tcPr>
          <w:p>
            <w:r>
              <w:rPr>
                <w:sz w:val="17"/>
              </w:rPr>
              <w:t>3,541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2,265</w:t>
            </w:r>
          </w:p>
        </w:tc>
        <w:tc>
          <w:tcPr>
            <w:tcW w:type="dxa" w:w="1440"/>
            <w:shd w:fill="FFDCE0" w:val="clear"/>
          </w:tcPr>
          <w:p>
            <w:r>
              <w:rPr>
                <w:b/>
                <w:sz w:val="17"/>
              </w:rPr>
              <w:t>2,784</w:t>
            </w:r>
          </w:p>
        </w:tc>
        <w:tc>
          <w:tcPr>
            <w:tcW w:type="dxa" w:w="1440"/>
            <w:shd w:fill="FFDCE0" w:val="clear"/>
          </w:tcPr>
          <w:p>
            <w:r>
              <w:rPr>
                <w:sz w:val="17"/>
              </w:rPr>
              <w:t>3,302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49,29 milliards FCFA, un niveau modeste qui la classe parmi les valeurs moyennes de la BRVM. Avec un BPA de 86 FCFA, le titre se paie actuellement 70,3 fois ses bénéfices, un PER extrêmement élevé comparé à la moyenne du marché qui se situe entre 8 et 12 fois. Cette valorisation traduit des anticipations de croissance très optimistes de la part des investisseurs. Le P/B de 8,33x confirme cette lecture, le marché valorisant le titre à plus de huit fois sa valeur comptable, ce qui est particulièrement exigeant pour une institution financière. Enfin, l'EV/EBITDA de 82,9x est également très élevé, indiquant que la valeur totale de l'entreprise est disproportionnée par rapport à sa capacité opérationnelle actuelle. L'ensemble de ces ratios suggère une valorisation qui intègre déjà un scénario de redressement réussi et de forte croissance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variation totale de -18,36%, malgré un rebond de +4,66% lors de la dernière séance, clôturant à 6 070 FCFA. Le titre a évolué dans une fourchette très large, oscillant entre un plus bas de 3 340 FCFA et un plus haut de 7 435 FCFA, illustrant une volatilité extrême. La moyenne du cours sur la période est de 4 676 FCFA, supérieure à la médiane de 4 505 FCFA, ce qui, combiné à un skewness positif de 0,735, indique une distribution asymétrique avec des épisodes de forte hausse moins fréquents mais plus amples. L'écart-type de 934 FCFA (CV=20%) confirme une dispersion importante des prix. Le kurtosis proche de zéro (-0,076) suggère une distribution mésokurtique, sans risque de pics extrêmes particulier. La volatilité annualisée de 82,2% est extrêmement élevée, classant SAFC parmi les titres les plus risqués de la BRVM, reflétant une spéculation intense et une incertitude majeure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6 070 FCFA se situe nettement au-dessus de sa MM20 (5 672 FCFA) et de sa MM50 (5 050 FCFA), dans une configuration haussière à court et moyen terme. La pente positive des moyennes suggère une dynamique positive, justifiant la décision d'achat.</w:t>
      </w:r>
    </w:p>
    <w:p>
      <w:pPr>
        <w:spacing w:after="120" w:line="276" w:lineRule="auto"/>
      </w:pPr>
      <w:r>
        <w:t>**Bandes de Bollinger :** Le prix évolue à l'intérieur des bandes, entre 4 955 et 6 389 FCFA, avec le cours proche de la borne supérieure. Cette position indique une pression acheteuse soutenue, mais sans sortie de canal, ce qui justifie une décision neutre, en attendant une confirmation de la tendance par un franchissement.</w:t>
      </w:r>
    </w:p>
    <w:p>
      <w:pPr>
        <w:spacing w:after="120" w:line="276" w:lineRule="auto"/>
      </w:pPr>
      <w:r>
        <w:t>**MACD :** Le MACD (293,65) est passé sous sa ligne de signal (302,36), générant un signal de vente. Cette divergence récente indique un affaiblissement du momentum haussier à court terme, suggérant une possible correction ou consolidation avant la poursuite de la tendance.</w:t>
      </w:r>
    </w:p>
    <w:p>
      <w:pPr>
        <w:spacing w:after="120" w:line="276" w:lineRule="auto"/>
      </w:pPr>
      <w:r>
        <w:t>**RSI :** Le RSI à 57,23 se situe en zone neutre, entre 30 et 70. Il n'indique ni surachat ni survente, laissant une marge de manœuvre dans les deux sens. Cette valeur neutre suggère que le marché n'a pas encore tranché sur la direction future du titre.</w:t>
      </w:r>
    </w:p>
    <w:p>
      <w:pPr>
        <w:spacing w:after="120" w:line="276" w:lineRule="auto"/>
      </w:pPr>
      <w:r>
        <w:t>**Stochastique :** Le %K (77,97) est nettement supérieur au %D (59,98), indiquant une dynamique haussière en cours. Bien que le %K approche la zone de surachat (80), le croisement positif des deux lignes soutient la tendance actuelle, justifiant une décision neutre en attendant une éventuelle saturation.</w:t>
      </w:r>
    </w:p>
    <w:p>
      <w:pPr>
        <w:spacing w:after="120" w:line="276" w:lineRule="auto"/>
      </w:pPr>
      <w:r>
        <w:t>**Conclusion technique :** Les indicateurs sont mitigés. Les moyennes mobiles sont haussières, mais le MACD émet un signal de vente. Le RSI est neutre tandis que le stochastique est positif. Cette divergence entre indicateurs de tendance et de momentum suggère une phase de consolidation après un fort mouvement haussier, avec un biais positif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Produit Net Bancaire (PNB) de 5,735 milliards FCFA, en hausse de 44,1% par rapport à 2024, et un résultat net positif de 701 millions FCFA, contre une perte de 165 millions en 2024. Cette performance s'explique par une amélioration de la marge d'intermédiation et une maîtrise du coût du risque, qui reste toutefois élevé à 6,57% des charges financières. Le coefficient d'exploitation de 77,6% demeure élevé, indiquant une efficacité opérationnelle encore perfectible. La structure financière reste fragile avec un ratio d'autonomie financière de seulement 7,4%, une dépendance forte aux dettes interbancaires (35,7 milliards FCFA) et un report à nouveau négatif de 4,1 milliards FCFA. Les capitaux propres (5,9 milliards FCFA) sont faibles au regard du total bilan (79,5 milliards FCFA). Le ROE de 11,8% et le ROA de 0,88% sont positifs mais restent modestes. Les rapports trimestriels 2026 confirment cette dynamique : le T1 2026 affiche un PNB de 1,395 milliard FCFA (+29%) et un résultat net de 151 millions FCFA, tandis que le S1 2026 montre un PNB de 2,907 milliards FCFA (+37%) et un résultat net de 731 millions FCFA, avec une marge nette de 25,1%. On estime que l'exercice 2026 devrait dépasser les performances de 2025, avec un PNB annuel potentiel de plus de 6 milliards FCFA et un résultat net supérieur à 1,4 milliard FCFA, si la tendance semestrielle se maintient. L'augmentation de capital de 1,5 milliard FCFA réalisée en avril 2026, via l'émission de 3,75 millions d'actions nouvelles à 400 FCFA, a permis de renforcer les fonds propres, avec un ratio de solvabilité globale passé à 12,93% au S1 2026. La société, sous l'impulsion de CREDAF Group, est en phase de redressement structurel, mais sa solidité financière reste à consolider.</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avec un PER de 70,3x et un P/B de 8,33x, intégrant des perspectives de croissance très optimistes qui semblent déjà en grande partie anticipées par le marché. Le comportement du cours sur 100 jours est préoccupant avec une baisse de 18,36% et une volatilité annualisée de 82,2%, reflétant une spéculation intense et une incertitude majeure. Les signaux techniques sont mitigés, entre des moyennes mobiles haussières et un MACD vendeur, suggérant une consolidation. Les fondamentaux montrent un redressement spectaculaire en 2025 et une poursuite de la dynamique en 2026, mais la structure financière reste fragile avec des capitaux propres insuffisants et une forte dépendance au financement interbancaire. Les prédictions IA pour les 10 prochains jours indiquent une chute brutale du cours, de 6 070 FCFA à 4 111 FCFA, ce qui contredit fortement les signaux techniques haussiers et suggère une correction majeure imminente. Cette divergence entre les fondamentaux en amélioration et la trajectoire prédite par l'IA est un signal d'alerte majeur. La recommandation finale est **VENTE**, avec un niveau de confiance **Moyen** et un risque global **Élevé**. L'horizon d'investissement optimal serait le court terme (&lt;3 mois) pour les investisseurs cherchant à se positionner après une correction, mais la prudence est absolument requise.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11,643 titres</w:t>
            </w:r>
          </w:p>
        </w:tc>
        <w:tc>
          <w:tcPr>
            <w:tcW w:type="dxa" w:w="2268"/>
            <w:shd w:fill="FFF2CC" w:val="clear"/>
          </w:tcPr>
          <w:p>
            <w:r>
              <w:rPr>
                <w:b/>
                <w:color w:val="503200"/>
                <w:sz w:val="16"/>
              </w:rPr>
              <w:t xml:space="preserve">Cours actuel : </w:t>
            </w:r>
            <w:r>
              <w:rPr>
                <w:color w:val="000000"/>
                <w:sz w:val="17"/>
              </w:rPr>
              <w:t>3,565 FCFA</w:t>
            </w:r>
          </w:p>
          <w:p>
            <w:r>
              <w:rPr>
                <w:b/>
                <w:color w:val="503200"/>
                <w:sz w:val="16"/>
              </w:rPr>
              <w:t xml:space="preserve">Var. 100 jours : </w:t>
            </w:r>
            <w:r>
              <w:rPr>
                <w:b/>
                <w:color w:val="007800"/>
                <w:sz w:val="17"/>
              </w:rPr>
              <w:t>+76.05%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20.51% (Élevée) — μ=3,008 FCFA, σ=617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β=0.3340 (Défensif) — Cov=0.000012, Var(idx)=0.000037, ρ=0.061,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11,643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3,174</w:t>
            </w:r>
          </w:p>
        </w:tc>
        <w:tc>
          <w:tcPr>
            <w:tcW w:type="dxa" w:w="1440"/>
            <w:shd w:fill="FFDCE0" w:val="clear"/>
          </w:tcPr>
          <w:p>
            <w:r>
              <w:rPr>
                <w:b/>
                <w:sz w:val="17"/>
              </w:rPr>
              <w:t>3,298</w:t>
            </w:r>
          </w:p>
        </w:tc>
        <w:tc>
          <w:tcPr>
            <w:tcW w:type="dxa" w:w="1440"/>
            <w:shd w:fill="FFDCE0" w:val="clear"/>
          </w:tcPr>
          <w:p>
            <w:r>
              <w:rPr>
                <w:sz w:val="17"/>
              </w:rPr>
              <w:t>3,421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2,888</w:t>
            </w:r>
          </w:p>
        </w:tc>
        <w:tc>
          <w:tcPr>
            <w:tcW w:type="dxa" w:w="1440"/>
            <w:shd w:fill="FFDCE0" w:val="clear"/>
          </w:tcPr>
          <w:p>
            <w:r>
              <w:rPr>
                <w:b/>
                <w:sz w:val="17"/>
              </w:rPr>
              <w:t>3,050</w:t>
            </w:r>
          </w:p>
        </w:tc>
        <w:tc>
          <w:tcPr>
            <w:tcW w:type="dxa" w:w="1440"/>
            <w:shd w:fill="FFDCE0" w:val="clear"/>
          </w:tcPr>
          <w:p>
            <w:r>
              <w:rPr>
                <w:sz w:val="17"/>
              </w:rPr>
              <w:t>3,212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2,638</w:t>
            </w:r>
          </w:p>
        </w:tc>
        <w:tc>
          <w:tcPr>
            <w:tcW w:type="dxa" w:w="1440"/>
            <w:shd w:fill="FFDCE0" w:val="clear"/>
          </w:tcPr>
          <w:p>
            <w:r>
              <w:rPr>
                <w:b/>
                <w:sz w:val="17"/>
              </w:rPr>
              <w:t>2,822</w:t>
            </w:r>
          </w:p>
        </w:tc>
        <w:tc>
          <w:tcPr>
            <w:tcW w:type="dxa" w:w="1440"/>
            <w:shd w:fill="FFDCE0" w:val="clear"/>
          </w:tcPr>
          <w:p>
            <w:r>
              <w:rPr>
                <w:sz w:val="17"/>
              </w:rPr>
              <w:t>3,005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2,414</w:t>
            </w:r>
          </w:p>
        </w:tc>
        <w:tc>
          <w:tcPr>
            <w:tcW w:type="dxa" w:w="1440"/>
            <w:shd w:fill="FFDCE0" w:val="clear"/>
          </w:tcPr>
          <w:p>
            <w:r>
              <w:rPr>
                <w:b/>
                <w:sz w:val="17"/>
              </w:rPr>
              <w:t>2,610</w:t>
            </w:r>
          </w:p>
        </w:tc>
        <w:tc>
          <w:tcPr>
            <w:tcW w:type="dxa" w:w="1440"/>
            <w:shd w:fill="FFDCE0" w:val="clear"/>
          </w:tcPr>
          <w:p>
            <w:r>
              <w:rPr>
                <w:sz w:val="17"/>
              </w:rPr>
              <w:t>2,806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2,211</w:t>
            </w:r>
          </w:p>
        </w:tc>
        <w:tc>
          <w:tcPr>
            <w:tcW w:type="dxa" w:w="1440"/>
            <w:shd w:fill="FFDCE0" w:val="clear"/>
          </w:tcPr>
          <w:p>
            <w:r>
              <w:rPr>
                <w:b/>
                <w:sz w:val="17"/>
              </w:rPr>
              <w:t>2,414</w:t>
            </w:r>
          </w:p>
        </w:tc>
        <w:tc>
          <w:tcPr>
            <w:tcW w:type="dxa" w:w="1440"/>
            <w:shd w:fill="FFDCE0" w:val="clear"/>
          </w:tcPr>
          <w:p>
            <w:r>
              <w:rPr>
                <w:sz w:val="17"/>
              </w:rPr>
              <w:t>2,617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2,028</w:t>
            </w:r>
          </w:p>
        </w:tc>
        <w:tc>
          <w:tcPr>
            <w:tcW w:type="dxa" w:w="1440"/>
            <w:shd w:fill="FFDCE0" w:val="clear"/>
          </w:tcPr>
          <w:p>
            <w:r>
              <w:rPr>
                <w:b/>
                <w:sz w:val="17"/>
              </w:rPr>
              <w:t>2,233</w:t>
            </w:r>
          </w:p>
        </w:tc>
        <w:tc>
          <w:tcPr>
            <w:tcW w:type="dxa" w:w="1440"/>
            <w:shd w:fill="FFDCE0" w:val="clear"/>
          </w:tcPr>
          <w:p>
            <w:r>
              <w:rPr>
                <w:sz w:val="17"/>
              </w:rPr>
              <w:t>2,439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1,860</w:t>
            </w:r>
          </w:p>
        </w:tc>
        <w:tc>
          <w:tcPr>
            <w:tcW w:type="dxa" w:w="1440"/>
            <w:shd w:fill="FFDCE0" w:val="clear"/>
          </w:tcPr>
          <w:p>
            <w:r>
              <w:rPr>
                <w:b/>
                <w:sz w:val="17"/>
              </w:rPr>
              <w:t>2,066</w:t>
            </w:r>
          </w:p>
        </w:tc>
        <w:tc>
          <w:tcPr>
            <w:tcW w:type="dxa" w:w="1440"/>
            <w:shd w:fill="FFDCE0" w:val="clear"/>
          </w:tcPr>
          <w:p>
            <w:r>
              <w:rPr>
                <w:sz w:val="17"/>
              </w:rPr>
              <w:t>2,271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1,708</w:t>
            </w:r>
          </w:p>
        </w:tc>
        <w:tc>
          <w:tcPr>
            <w:tcW w:type="dxa" w:w="1440"/>
            <w:shd w:fill="FFDCE0" w:val="clear"/>
          </w:tcPr>
          <w:p>
            <w:r>
              <w:rPr>
                <w:b/>
                <w:sz w:val="17"/>
              </w:rPr>
              <w:t>1,911</w:t>
            </w:r>
          </w:p>
        </w:tc>
        <w:tc>
          <w:tcPr>
            <w:tcW w:type="dxa" w:w="1440"/>
            <w:shd w:fill="FFDCE0" w:val="clear"/>
          </w:tcPr>
          <w:p>
            <w:r>
              <w:rPr>
                <w:sz w:val="17"/>
              </w:rPr>
              <w:t>2,114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1,568</w:t>
            </w:r>
          </w:p>
        </w:tc>
        <w:tc>
          <w:tcPr>
            <w:tcW w:type="dxa" w:w="1440"/>
            <w:shd w:fill="FFDCE0" w:val="clear"/>
          </w:tcPr>
          <w:p>
            <w:r>
              <w:rPr>
                <w:b/>
                <w:sz w:val="17"/>
              </w:rPr>
              <w:t>1,767</w:t>
            </w:r>
          </w:p>
        </w:tc>
        <w:tc>
          <w:tcPr>
            <w:tcW w:type="dxa" w:w="1440"/>
            <w:shd w:fill="FFDCE0" w:val="clear"/>
          </w:tcPr>
          <w:p>
            <w:r>
              <w:rPr>
                <w:sz w:val="17"/>
              </w:rPr>
              <w:t>1,967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1,441</w:t>
            </w:r>
          </w:p>
        </w:tc>
        <w:tc>
          <w:tcPr>
            <w:tcW w:type="dxa" w:w="1440"/>
            <w:shd w:fill="FFDCE0" w:val="clear"/>
          </w:tcPr>
          <w:p>
            <w:r>
              <w:rPr>
                <w:b/>
                <w:sz w:val="17"/>
              </w:rPr>
              <w:t>1,635</w:t>
            </w:r>
          </w:p>
        </w:tc>
        <w:tc>
          <w:tcPr>
            <w:tcW w:type="dxa" w:w="1440"/>
            <w:shd w:fill="FFDCE0" w:val="clear"/>
          </w:tcPr>
          <w:p>
            <w:r>
              <w:rPr>
                <w:sz w:val="17"/>
              </w:rPr>
              <w:t>1,829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69,87 milliards FCFA, un niveau qui la positionne comme une valeur de taille moyenne sur la BRVM. Le BPA est négatif à -406 FCFA, ce qui reflète la perte nette de l'exercice 2025 et rend le PER non significatif (-8,8x), signalant que la société ne génère pas de bénéfices pour justifier son cours actuel. Le P/B de 4,05x est particulièrement exigeant : les investisseurs paient plus de 4 fois la valeur comptable des actifs, une prime difficile à justifier compte tenu des fondamentaux dégradés. Enfin, l'EV/EBITDA de 10,9x indique que la valeur totale de l'entreprise (dette incluse) représente près de 11 fois son EBITDA, un niveau élevé qui suppose une capacité opérationnelle robuste, contredite par la réalité des comptes. Ces ratios traduisent une valorisation nettement surévaluée au regard des performances actuelles.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hausse spectaculaire de +76,05%, passant d'un plus bas de 1 990 FCFA à un plus haut de 3 920 FCFA, avant de se stabiliser à 3 565 FCFA. La variation de la dernière séance (-0,14%) suggère une pause après cette forte progression. La moyenne du cours sur la période (3 008 FCFA) est inférieure à la médiane (3 160 FCFA), indiquant une asymétrie positive de la distribution, confirmée par un skewness de -0,476 qui nuance toutefois cette lecture. L'écart-type de 620 FCFA (CV = 20,6%) révèle une dispersion modérée des prix autour de la moyenne. Le kurtosis négatif (-1,265) signale une distribution platykurtique, c'est-à-dire une faible concentration des variations extrêmes, ce qui réduit le risque de mouvements brutaux imprévus. La volatilité annualisée de 53,3% classe le titre dans la catégorie des valeurs très volatiles, un niveau élevé qui reflète l'incertitude entourant le dossier.</w:t>
      </w:r>
    </w:p>
    <w:p>
      <w:pPr>
        <w:spacing w:after="120" w:line="276" w:lineRule="auto" w:before="240"/>
      </w:pPr>
      <w:r>
        <w:rPr>
          <w:b/>
          <w:color w:val="003366"/>
          <w:sz w:val="24"/>
        </w:rPr>
        <w:t>**PARTIE 2 : ANALYSE TECHNIQUE DÉTAILLÉE**</w:t>
      </w:r>
    </w:p>
    <w:p>
      <w:pPr>
        <w:spacing w:after="120" w:line="276" w:lineRule="auto"/>
      </w:pPr>
      <w:r>
        <w:t>Les moyennes mobiles MM20 (3 530 FCFA) et MM50 (3 538 FCFA) sont très proches l'une de l'autre et légèrement inférieures au cours actuel de 3 565 FCFA. Cette configuration indique une phase de consolidation après la forte hausse, mais le signal de vente suggère que la dynamique haussière s'essouffle. Le cours se maintient au-dessus de ses moyennes, ce qui reste un signe positif, mais la convergence des MM pourrait annoncer un croisement baissier à court terme.</w:t>
      </w:r>
    </w:p>
    <w:p>
      <w:pPr>
        <w:spacing w:after="120" w:line="276" w:lineRule="auto"/>
      </w:pPr>
      <w:r>
        <w:t>Les bandes de Bollinger encadrent le cours entre 3 297,5 FCFA (borne inférieure) et 3 762,5 FCFA (borne supérieure), avec le prix actuel positionné dans la partie médiane-haute de l'enveloppe. Cette position neutre indique une volatilité modérée sans pression directionnelle forte. Le resserrement des bandes observé récemment suggère une possible compression de volatilité, souvent précurseur d'un mouvement significatif.</w:t>
      </w:r>
    </w:p>
    <w:p>
      <w:pPr>
        <w:spacing w:after="120" w:line="276" w:lineRule="auto"/>
      </w:pPr>
      <w:r>
        <w:t>Le MACD affiche une valeur positive de 4,357 contre un signal négatif de -3,776, créant un croisement haussier net. Cette configuration signale un momentum positif émergent, bien que la faiblesse des valeurs absolues indique un signal encore fragile. La divergence positive entre la ligne MACD et sa ligne de signal suggère un potentiel de hausse à court terme si la tendance se confirme.</w:t>
      </w:r>
    </w:p>
    <w:p>
      <w:pPr>
        <w:spacing w:after="120" w:line="276" w:lineRule="auto"/>
      </w:pPr>
      <w:r>
        <w:t>Le RSI à 43,357 se situe dans la zone neutre (30-70), sans signal de surachat ni de survente. Cette valeur modérée indique que le titre dispose d'une marge de progression avant d'atteindre des conditions de surachat, mais également qu'aucune pression d'achat dominante n'est actuellement à l'œuvre. Le RSI reflète une position attentiste des opérateurs.</w:t>
      </w:r>
    </w:p>
    <w:p>
      <w:pPr>
        <w:spacing w:after="120" w:line="276" w:lineRule="auto"/>
      </w:pPr>
      <w:r>
        <w:t>Le stochastique avec %K à 78,182 et %D à 74,354 montre des valeurs élevées, proches de la zone de surachat (au-dessus de 80). Le %K est supérieur au %D, indiquant un momentum haussier persistant, mais la proximité du seuil de surachat suggère qu'un retournement pourrait survenir. Les deux lignes évoluent parallèlement, sans croisement baissier imminent.</w:t>
      </w:r>
    </w:p>
    <w:p>
      <w:pPr>
        <w:spacing w:after="120" w:line="276" w:lineRule="auto"/>
      </w:pPr>
      <w:r>
        <w:t>La convergence des signaux techniques est mitigée : les moyennes mobiles et le RSI sont neutres, tandis que le MACD est positif et le stochastique flirt avec le surachat. Cette configuration hétérogène traduit une phase de transition où la tendance haussière récente semble marquer le pas, sans signal baissier franc. La prudence est de mise, d'autant que la forte progression passée pourrait inciter à des prises de bénéfices.</w:t>
      </w:r>
    </w:p>
    <w:p>
      <w:pPr>
        <w:spacing w:after="120" w:line="276" w:lineRule="auto" w:before="240"/>
      </w:pPr>
      <w:r>
        <w:rPr>
          <w:b/>
          <w:color w:val="003366"/>
          <w:sz w:val="24"/>
        </w:rPr>
        <w:t>**PARTIE 3 : ANALYSE FONDAMENTALE (SECTION CRITIQUE)**</w:t>
      </w:r>
    </w:p>
    <w:p>
      <w:pPr>
        <w:spacing w:after="120" w:line="276" w:lineRule="auto"/>
      </w:pPr>
      <w:r>
        <w:t>Les états financiers 2025 de SCRC (SUCRIVOIRE) révèlent une situation préoccupante. Le chiffre d'affaires s'établit à 80,57 milliards FCFA, en recul de 7,6% par rapport à 2024 (87,22 milliards FCFA). Le résultat net est une perte massive de 7,95 milliards FCFA, contre un bénéfice de 2,47 milliards FCFA en 2024, soit une dégradation de 421%. La marge nette ressort à -9,9%, le ROE à -46,1% et le ROA à -5,1%, traduisant une destruction de valeur significative. L'endettement financier total atteint 84,87 milliards FCFA avec des charges financières qui ont explosé de 262% à 6,79 milliards FCFA. Le BFR est positif à 6,53 milliards FCFA, le délai fournisseurs est très étendu (366 jours) tandis que le délai clients est contenu à 12 jours. Les capitaux propres ne représentent plus que 11% du total bilan (autonomie financière faible), et la trésorerie nette est négative à -6,5 milliards FCFA. Les rapports du 1er semestre 2025 (perte de 6,71 milliards FCFA) et du 1er trimestre 2025 (bénéfice de 3,21 milliards FCFA) montrent une forte détérioration en cours d'année. Les rapports de 2024 et antérieurs confirment la trajectoire erratique de la société, avec un retour à la profitabilité en 2024 après les pertes de 2023 (-9,01 milliards FCFA). Les perspectives 2026 restent très incertaines, la société devant faire face à un endettement critique (ratio d'endettement de 374% des capitaux propres) et à des charges financières insoutenables. La recommandation fondamentale est clairement négative, les rapports disponibles suggérant une décision de vente.</w:t>
      </w:r>
    </w:p>
    <w:p>
      <w:pPr>
        <w:spacing w:after="120" w:line="276" w:lineRule="auto" w:before="240"/>
      </w:pPr>
      <w:r>
        <w:rPr>
          <w:b/>
          <w:color w:val="003366"/>
          <w:sz w:val="24"/>
        </w:rPr>
        <w:t>**PARTIE 4 : CONCLUSION D'INVESTISSEMENT**</w:t>
      </w:r>
    </w:p>
    <w:p>
      <w:pPr>
        <w:spacing w:after="120" w:line="276" w:lineRule="auto"/>
      </w:pPr>
      <w:r>
        <w:t>La valorisation boursière de SCRC apparaît nettement surévaluée : le PER négatif, le P/B de 4,05x et l'EV/EBITDA de 10,9x ne trouvent aucune justification dans des fondamentaux qui se dégradent rapidement. Le comportement du cours (+76% sur 100 jours) contraste fortement avec la réalité économique de l'entreprise, créant une divergence préoccupante entre le prix et la valeur intrinsèque. Les signaux techniques sont mitigés, avec un MACD positif mais des moyennes mobiles neutres et un stochastique proche du surachat, suggérant une possible correction. Les fondamentaux sont très dégradés : perte nette de 7,95 milliards FCFA en 2025, endettement massif, charges financières explosives et trésorerie négative. Les prédictions IA pour les 10 prochains jours (chute de 3 298 à 2 414 FCFA, soit -32%) confirment cette analyse baissière et anticipent une correction brutale. La convergence entre la surévaluation, la dégradation fondamentale et les prédictions IA est frappante. La recommandation est une **VENTE FORTE** avec un niveau de confiance **Élevé** et un risque global **Élevé**. L'horizon d'investissement optimal est le court terme (&lt;3 mois) pour les investisseurs détenant encore le titre, afin de limiter les pertes potentielles.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1,161 titres</w:t>
            </w:r>
          </w:p>
        </w:tc>
        <w:tc>
          <w:tcPr>
            <w:tcW w:type="dxa" w:w="2268"/>
            <w:shd w:fill="FFF2CC" w:val="clear"/>
          </w:tcPr>
          <w:p>
            <w:r>
              <w:rPr>
                <w:b/>
                <w:color w:val="503200"/>
                <w:sz w:val="16"/>
              </w:rPr>
              <w:t xml:space="preserve">Cours actuel : </w:t>
            </w:r>
            <w:r>
              <w:rPr>
                <w:color w:val="000000"/>
                <w:sz w:val="17"/>
              </w:rPr>
              <w:t>13,500 FCFA</w:t>
            </w:r>
          </w:p>
          <w:p>
            <w:r>
              <w:rPr>
                <w:b/>
                <w:color w:val="503200"/>
                <w:sz w:val="16"/>
              </w:rPr>
              <w:t xml:space="preserve">Var. 100 jours : </w:t>
            </w:r>
            <w:r>
              <w:rPr>
                <w:b/>
                <w:color w:val="007800"/>
                <w:sz w:val="17"/>
              </w:rPr>
              <w:t>+86.21%</w:t>
            </w:r>
          </w:p>
          <w:p>
            <w:r>
              <w:rPr>
                <w:b/>
                <w:color w:val="503200"/>
                <w:sz w:val="16"/>
              </w:rPr>
              <w:t xml:space="preserve">Plus haut 100j : </w:t>
            </w:r>
            <w:r>
              <w:rPr>
                <w:color w:val="000000"/>
                <w:sz w:val="17"/>
              </w:rPr>
              <w:t>13,500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15.73% (Élevée) — μ=10,958 FCFA, σ=1,723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β=0.1305 (Défensif) — Cov=0.000005, Var(idx)=0.000037, ρ=0.034,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12,360</w:t>
            </w:r>
          </w:p>
        </w:tc>
        <w:tc>
          <w:tcPr>
            <w:tcW w:type="dxa" w:w="1440"/>
            <w:shd w:fill="FFDCE0" w:val="clear"/>
          </w:tcPr>
          <w:p>
            <w:r>
              <w:rPr>
                <w:b/>
                <w:sz w:val="17"/>
              </w:rPr>
              <w:t>12,762</w:t>
            </w:r>
          </w:p>
        </w:tc>
        <w:tc>
          <w:tcPr>
            <w:tcW w:type="dxa" w:w="1440"/>
            <w:shd w:fill="FFDCE0" w:val="clear"/>
          </w:tcPr>
          <w:p>
            <w:r>
              <w:rPr>
                <w:sz w:val="17"/>
              </w:rPr>
              <w:t>13,164</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11,986</w:t>
            </w:r>
          </w:p>
        </w:tc>
        <w:tc>
          <w:tcPr>
            <w:tcW w:type="dxa" w:w="1440"/>
            <w:shd w:fill="FFDCE0" w:val="clear"/>
          </w:tcPr>
          <w:p>
            <w:r>
              <w:rPr>
                <w:b/>
                <w:sz w:val="17"/>
              </w:rPr>
              <w:t>12,545</w:t>
            </w:r>
          </w:p>
        </w:tc>
        <w:tc>
          <w:tcPr>
            <w:tcW w:type="dxa" w:w="1440"/>
            <w:shd w:fill="FFDCE0" w:val="clear"/>
          </w:tcPr>
          <w:p>
            <w:r>
              <w:rPr>
                <w:sz w:val="17"/>
              </w:rPr>
              <w:t>13,104</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11,672</w:t>
            </w:r>
          </w:p>
        </w:tc>
        <w:tc>
          <w:tcPr>
            <w:tcW w:type="dxa" w:w="1440"/>
            <w:shd w:fill="FFDCE0" w:val="clear"/>
          </w:tcPr>
          <w:p>
            <w:r>
              <w:rPr>
                <w:b/>
                <w:sz w:val="17"/>
              </w:rPr>
              <w:t>12,345</w:t>
            </w:r>
          </w:p>
        </w:tc>
        <w:tc>
          <w:tcPr>
            <w:tcW w:type="dxa" w:w="1440"/>
            <w:shd w:fill="FFDCE0" w:val="clear"/>
          </w:tcPr>
          <w:p>
            <w:r>
              <w:rPr>
                <w:sz w:val="17"/>
              </w:rPr>
              <w:t>13,019</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11,401</w:t>
            </w:r>
          </w:p>
        </w:tc>
        <w:tc>
          <w:tcPr>
            <w:tcW w:type="dxa" w:w="1440"/>
            <w:shd w:fill="FFDCE0" w:val="clear"/>
          </w:tcPr>
          <w:p>
            <w:r>
              <w:rPr>
                <w:b/>
                <w:sz w:val="17"/>
              </w:rPr>
              <w:t>12,167</w:t>
            </w:r>
          </w:p>
        </w:tc>
        <w:tc>
          <w:tcPr>
            <w:tcW w:type="dxa" w:w="1440"/>
            <w:shd w:fill="FFDCE0" w:val="clear"/>
          </w:tcPr>
          <w:p>
            <w:r>
              <w:rPr>
                <w:sz w:val="17"/>
              </w:rPr>
              <w:t>12,934</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11,162</w:t>
            </w:r>
          </w:p>
        </w:tc>
        <w:tc>
          <w:tcPr>
            <w:tcW w:type="dxa" w:w="1440"/>
            <w:shd w:fill="FFDCE0" w:val="clear"/>
          </w:tcPr>
          <w:p>
            <w:r>
              <w:rPr>
                <w:b/>
                <w:sz w:val="17"/>
              </w:rPr>
              <w:t>12,008</w:t>
            </w:r>
          </w:p>
        </w:tc>
        <w:tc>
          <w:tcPr>
            <w:tcW w:type="dxa" w:w="1440"/>
            <w:shd w:fill="FFDCE0" w:val="clear"/>
          </w:tcPr>
          <w:p>
            <w:r>
              <w:rPr>
                <w:sz w:val="17"/>
              </w:rPr>
              <w:t>12,853</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10,949</w:t>
            </w:r>
          </w:p>
        </w:tc>
        <w:tc>
          <w:tcPr>
            <w:tcW w:type="dxa" w:w="1440"/>
            <w:shd w:fill="FFDCE0" w:val="clear"/>
          </w:tcPr>
          <w:p>
            <w:r>
              <w:rPr>
                <w:b/>
                <w:sz w:val="17"/>
              </w:rPr>
              <w:t>11,865</w:t>
            </w:r>
          </w:p>
        </w:tc>
        <w:tc>
          <w:tcPr>
            <w:tcW w:type="dxa" w:w="1440"/>
            <w:shd w:fill="FFDCE0" w:val="clear"/>
          </w:tcPr>
          <w:p>
            <w:r>
              <w:rPr>
                <w:sz w:val="17"/>
              </w:rPr>
              <w:t>12,780</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10,757</w:t>
            </w:r>
          </w:p>
        </w:tc>
        <w:tc>
          <w:tcPr>
            <w:tcW w:type="dxa" w:w="1440"/>
            <w:shd w:fill="FFDCE0" w:val="clear"/>
          </w:tcPr>
          <w:p>
            <w:r>
              <w:rPr>
                <w:b/>
                <w:sz w:val="17"/>
              </w:rPr>
              <w:t>11,734</w:t>
            </w:r>
          </w:p>
        </w:tc>
        <w:tc>
          <w:tcPr>
            <w:tcW w:type="dxa" w:w="1440"/>
            <w:shd w:fill="FFDCE0" w:val="clear"/>
          </w:tcPr>
          <w:p>
            <w:r>
              <w:rPr>
                <w:sz w:val="17"/>
              </w:rPr>
              <w:t>12,712</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10,580</w:t>
            </w:r>
          </w:p>
        </w:tc>
        <w:tc>
          <w:tcPr>
            <w:tcW w:type="dxa" w:w="1440"/>
            <w:shd w:fill="FFDCE0" w:val="clear"/>
          </w:tcPr>
          <w:p>
            <w:r>
              <w:rPr>
                <w:b/>
                <w:sz w:val="17"/>
              </w:rPr>
              <w:t>11,615</w:t>
            </w:r>
          </w:p>
        </w:tc>
        <w:tc>
          <w:tcPr>
            <w:tcW w:type="dxa" w:w="1440"/>
            <w:shd w:fill="FFDCE0" w:val="clear"/>
          </w:tcPr>
          <w:p>
            <w:r>
              <w:rPr>
                <w:sz w:val="17"/>
              </w:rPr>
              <w:t>12,650</w:t>
            </w:r>
          </w:p>
        </w:tc>
        <w:tc>
          <w:tcPr>
            <w:tcW w:type="dxa" w:w="1440"/>
            <w:shd w:fill="FFDCE0" w:val="clear"/>
          </w:tcPr>
          <w:p>
            <w:r>
              <w:rPr>
                <w:b/>
                <w:color w:val="C00000"/>
                <w:sz w:val="17"/>
              </w:rPr>
              <w:t>-14.0%</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10,419</w:t>
            </w:r>
          </w:p>
        </w:tc>
        <w:tc>
          <w:tcPr>
            <w:tcW w:type="dxa" w:w="1440"/>
            <w:shd w:fill="FFDCE0" w:val="clear"/>
          </w:tcPr>
          <w:p>
            <w:r>
              <w:rPr>
                <w:b/>
                <w:sz w:val="17"/>
              </w:rPr>
              <w:t>11,506</w:t>
            </w:r>
          </w:p>
        </w:tc>
        <w:tc>
          <w:tcPr>
            <w:tcW w:type="dxa" w:w="1440"/>
            <w:shd w:fill="FFDCE0" w:val="clear"/>
          </w:tcPr>
          <w:p>
            <w:r>
              <w:rPr>
                <w:sz w:val="17"/>
              </w:rPr>
              <w:t>12,593</w:t>
            </w:r>
          </w:p>
        </w:tc>
        <w:tc>
          <w:tcPr>
            <w:tcW w:type="dxa" w:w="1440"/>
            <w:shd w:fill="FFDCE0" w:val="clear"/>
          </w:tcPr>
          <w:p>
            <w:r>
              <w:rPr>
                <w:b/>
                <w:color w:val="C00000"/>
                <w:sz w:val="17"/>
              </w:rPr>
              <w:t>-14.8%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10,268</w:t>
            </w:r>
          </w:p>
        </w:tc>
        <w:tc>
          <w:tcPr>
            <w:tcW w:type="dxa" w:w="1440"/>
            <w:shd w:fill="FFDCE0" w:val="clear"/>
          </w:tcPr>
          <w:p>
            <w:r>
              <w:rPr>
                <w:b/>
                <w:sz w:val="17"/>
              </w:rPr>
              <w:t>11,404</w:t>
            </w:r>
          </w:p>
        </w:tc>
        <w:tc>
          <w:tcPr>
            <w:tcW w:type="dxa" w:w="1440"/>
            <w:shd w:fill="FFDCE0" w:val="clear"/>
          </w:tcPr>
          <w:p>
            <w:r>
              <w:rPr>
                <w:sz w:val="17"/>
              </w:rPr>
              <w:t>12,540</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7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121,50 milliards FCFA, un niveau significatif qui positionne la société comme une valeur de premier plan sur la BRVM, reflétant son statut de quasi-monopole dans la distribution d'eau potable en Côte d'Ivoire. Le BPA de 518 FCFA indique que chaque action génère un bénéfice modeste, ce qui explique un PER de 26,1x, très supérieur à la moyenne historique de la BRVM (8-12x). Ce ratio élevé suggère que les investisseurs anticipent une croissance future substantielle, mais il expose également le titre à un risque de correction si ces attentes ne se matérialisent pas. Le P/B de 6,16x confirme cette prime boursière, le marché valorisant fortement les actifs de la société par rapport à leur valeur comptable. Enfin, l'EV/EBITDA de 15,1x, bien que plus modéré, reste exigeant et indique que la valeur totale de l'entreprise (dette incluse) est élevée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SDCC a enregistré une progression spectaculaire de +86,21%, passant d'un plus bas de 7 140 FCFA à un plus haut de 13 500 FCFA, qui correspond également au cours actuel, avec une stabilité lors de la dernière séance. Cette tendance fortement haussière témoigne d'un momentum remarquable. La moyenne du cours sur la période (10 958 FCFA) est inférieure à la médiane (11 812 FCFA), et le skewness négatif (-1.178) indique que, malgré la hausse, la distribution des rendements est asymétrique avec des journées plus fréquentes au-dessus de la moyenne, suggérant une pression acheteuse soutenue. L'écart-type de 1 732 FCFA (CV de 15,8%) montre une dispersion modérée des prix autour de la moyenne. Le kurtosis proche de zéro (0.142) indique une distribution mésokurtique, sans risque de pics extrêmes particulier. La volatilité annualisée de 36,6% classe le titre comme très volatil,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(13 500 FCFA) se situe nettement au-dessus de la MM20 (12 314,75 FCFA) et de la MM50 (12 019,4 FCFA), qui sont dans une configuration haussière (MM20 &gt; MM50). Cette configuration confirme la vigueur de la tendance haussière à court et moyen terme, justifiant la décision d'achat.</w:t>
      </w:r>
    </w:p>
    <w:p>
      <w:pPr>
        <w:spacing w:after="120" w:line="276" w:lineRule="auto"/>
      </w:pPr>
      <w:r>
        <w:t>**Bandes de Bollinger**: Le prix est positionné à la borne supérieure des bandes (13 545 FCFA), ce qui indique une pression acheteuse extrême et une volatilité élevée. Le fait que le prix touche la borne supérieure peut signaler une condition de surachat temporaire, mais la décision est neutre car le prix n'a pas encore franchi la bande, ce qui pourrait précéder une consolidation.</w:t>
      </w:r>
    </w:p>
    <w:p>
      <w:pPr>
        <w:spacing w:after="120" w:line="276" w:lineRule="auto"/>
      </w:pPr>
      <w:r>
        <w:t>**MACD**: La valeur du MACD (386,17) est nettement supérieure à sa ligne de signal (250,34), avec un écart positif croissant. Cette divergence haussière confirme un momentum positif fort, justifiant la décision d'achat. La dynamique actuelle suggère que la tendance haussière pourrait se poursuivre à court terme.</w:t>
      </w:r>
    </w:p>
    <w:p>
      <w:pPr>
        <w:spacing w:after="120" w:line="276" w:lineRule="auto"/>
      </w:pPr>
      <w:r>
        <w:t>**RSI**: Le RSI à 83,87 est en zone de surachat sévère (au-dessus de 70). Cette lecture indique que le titre est survendu et qu'une correction technique est probable à court terme. La décision de vente est donc justifiée pour les traders à court terme, bien que dans une tendance forte, le RSI puisse rester suracheté pendant une période prolongée.</w:t>
      </w:r>
    </w:p>
    <w:p>
      <w:pPr>
        <w:spacing w:after="120" w:line="276" w:lineRule="auto"/>
      </w:pPr>
      <w:r>
        <w:t>**Stochastique**: Le %K (100) et le %D (96,4) sont tous deux en zone de surachat extrême, avec un %K au plus haut. Cette configuration signale un épuisement potentiel de la dynamique haussière, justifiant la décision de vente. Un croisement baissier du %K sous le %D serait un signal de retournement.</w:t>
      </w:r>
    </w:p>
    <w:p>
      <w:pPr>
        <w:spacing w:after="120" w:line="276" w:lineRule="auto"/>
      </w:pPr>
      <w:r>
        <w:t>**Conclusion technique**: Les indicateurs de tendance (MM, MACD) sont résolument haussiers, mais les oscillateurs de momentum (RSI, Stochastique) sont en surachat extrême. Cette divergence entre indicateurs de tendance et de momentum suggère une forte probabilité de consolidation ou de correction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confirment une année de croissance pour SDCC. Le chiffre d'affaires agrégé s'établit à 189,430 milliards FCFA, en hausse de 10% par rapport à 2024 (172,2 milliards FCFA), et le résultat net progresse de 31% pour atteindre 4,663 milliards FCFA. La marge nette reste faible à 2,46%, mais le ROE est excellent à 23,65%, démontrant une utilisation très efficace des capitaux propres (19,716 milliards FCFA). Le rapport annuel 2025, analysé en 2026, souligne une amélioration de l'EBE (+21%) et du résultat d'exploitation (+34%). Cependant, le BFR est très élevé (104,748 milliards FCFA), avec un délai de paiement clients extrêmement long de 749 jours, ce qui représente un risque de trésorerie majeur. La trésorerie nette est fortement négative (-61,7 milliards FCFA), et le free cash-flow est de -38,5 milliards FCFA, illustrant des besoins de financement importants. Le rapport du T1 2026 (publié en 2026) montre une amélioration spectaculaire de la rentabilité avec un résultat net en hausse de 118% à 1,318 milliard FCFA, malgré un CA en léger repli de 2%. Sur la base de ce T1 2026, on estime que l'exercice 2026 pourrait voir une nouvelle amélioration de la marge nette, mais la question de la trésorerie et du recouvrement des créances demeure cruciale. La recommandation fondamentale est de conserver le titre, car la solidité opérationnelle et la croissance sont réelles, mais les risques de liquidité et la valorisation élevée imposent une prudence.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de valeur contrasté. La valorisation (PER 26,1x, P/B 6,16x) est clairement surévaluée par rapport aux moyennes du marché, intégrant des attentes de croissance très optimistes. Le comportement du cours (+86% en 100 jours) est extrêmement haussier mais accompagné d'une volatilité élevée (36,6%) et d'une asymétrie négative qui suggèrent un risque de retournement. Les signaux techniques sont mitigés : la tendance de fond (MM, MACD) reste positive, mais les indicateurs de surachat (RSI, Stochastique) sont à des niveaux extrêmes, annonçant une correction probable. Les fondamentaux sont solides avec une croissance du CA et du résultat net, mais la santé financière est fragile (trésorerie très négative, délais clients élevés). Les prédictions IA pour les 10 prochains jours (baisse de 13 500 à 12 008 FCFA) confirment le scénario d'une correction technique à court terme. En conclusion, la convergence des signaux de surachat technique et de la prédiction IA, couplée à une valorisation exigeante, conduit à une recommandation de **CONSERVER** le titre pour les investisseurs existants, avec un niveau de confiance **Moyen**. Le niveau de risque global est **Élevé** en raison de la volatilité et des tensions de trésorerie. L'horizon d'investissement optimal serait de **moyen terme (3-12 mois)**, attendant une correction pour renforcer la position ou une confirmation de l'amélioration fondamentale pour justifier la valorisation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18,036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007800"/>
                <w:sz w:val="17"/>
              </w:rPr>
              <w:t>+69.13%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18.51% (Élevée) — μ=2,268 FCFA, σ=420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β=0.7640 (Défensif) — Cov=0.000029, Var(idx)=0.000037, ρ=0.145,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18,036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2,926</w:t>
            </w:r>
          </w:p>
        </w:tc>
        <w:tc>
          <w:tcPr>
            <w:tcW w:type="dxa" w:w="1440"/>
            <w:shd w:fill="FFDCE0" w:val="clear"/>
          </w:tcPr>
          <w:p>
            <w:r>
              <w:rPr>
                <w:b/>
                <w:sz w:val="17"/>
              </w:rPr>
              <w:t>3,107</w:t>
            </w:r>
          </w:p>
        </w:tc>
        <w:tc>
          <w:tcPr>
            <w:tcW w:type="dxa" w:w="1440"/>
            <w:shd w:fill="FFDCE0" w:val="clear"/>
          </w:tcPr>
          <w:p>
            <w:r>
              <w:rPr>
                <w:sz w:val="17"/>
              </w:rPr>
              <w:t>3,288</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2,771</w:t>
            </w:r>
          </w:p>
        </w:tc>
        <w:tc>
          <w:tcPr>
            <w:tcW w:type="dxa" w:w="1440"/>
            <w:shd w:fill="FFDCE0" w:val="clear"/>
          </w:tcPr>
          <w:p>
            <w:r>
              <w:rPr>
                <w:b/>
                <w:sz w:val="17"/>
              </w:rPr>
              <w:t>3,020</w:t>
            </w:r>
          </w:p>
        </w:tc>
        <w:tc>
          <w:tcPr>
            <w:tcW w:type="dxa" w:w="1440"/>
            <w:shd w:fill="FFDCE0" w:val="clear"/>
          </w:tcPr>
          <w:p>
            <w:r>
              <w:rPr>
                <w:sz w:val="17"/>
              </w:rPr>
              <w:t>3,269</w:t>
            </w:r>
          </w:p>
        </w:tc>
        <w:tc>
          <w:tcPr>
            <w:tcW w:type="dxa" w:w="1440"/>
            <w:shd w:fill="FFDCE0" w:val="clear"/>
          </w:tcPr>
          <w:p>
            <w:r>
              <w:rPr>
                <w:b/>
                <w:color w:val="C00000"/>
                <w:sz w:val="17"/>
              </w:rPr>
              <w:t>-5.8%</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2,663</w:t>
            </w:r>
          </w:p>
        </w:tc>
        <w:tc>
          <w:tcPr>
            <w:tcW w:type="dxa" w:w="1440"/>
            <w:shd w:fill="FFDCE0" w:val="clear"/>
          </w:tcPr>
          <w:p>
            <w:r>
              <w:rPr>
                <w:b/>
                <w:sz w:val="17"/>
              </w:rPr>
              <w:t>2,962</w:t>
            </w:r>
          </w:p>
        </w:tc>
        <w:tc>
          <w:tcPr>
            <w:tcW w:type="dxa" w:w="1440"/>
            <w:shd w:fill="FFDCE0" w:val="clear"/>
          </w:tcPr>
          <w:p>
            <w:r>
              <w:rPr>
                <w:sz w:val="17"/>
              </w:rPr>
              <w:t>3,261</w:t>
            </w:r>
          </w:p>
        </w:tc>
        <w:tc>
          <w:tcPr>
            <w:tcW w:type="dxa" w:w="1440"/>
            <w:shd w:fill="FFDCE0" w:val="clear"/>
          </w:tcPr>
          <w:p>
            <w:r>
              <w:rPr>
                <w:b/>
                <w:color w:val="C00000"/>
                <w:sz w:val="17"/>
              </w:rPr>
              <w:t>-7.6%</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2,581</w:t>
            </w:r>
          </w:p>
        </w:tc>
        <w:tc>
          <w:tcPr>
            <w:tcW w:type="dxa" w:w="1440"/>
            <w:shd w:fill="FFDCE0" w:val="clear"/>
          </w:tcPr>
          <w:p>
            <w:r>
              <w:rPr>
                <w:b/>
                <w:sz w:val="17"/>
              </w:rPr>
              <w:t>2,921</w:t>
            </w:r>
          </w:p>
        </w:tc>
        <w:tc>
          <w:tcPr>
            <w:tcW w:type="dxa" w:w="1440"/>
            <w:shd w:fill="FFDCE0" w:val="clear"/>
          </w:tcPr>
          <w:p>
            <w:r>
              <w:rPr>
                <w:sz w:val="17"/>
              </w:rPr>
              <w:t>3,262</w:t>
            </w:r>
          </w:p>
        </w:tc>
        <w:tc>
          <w:tcPr>
            <w:tcW w:type="dxa" w:w="1440"/>
            <w:shd w:fill="FFDCE0" w:val="clear"/>
          </w:tcPr>
          <w:p>
            <w:r>
              <w:rPr>
                <w:b/>
                <w:color w:val="C00000"/>
                <w:sz w:val="17"/>
              </w:rPr>
              <w:t>-8.9%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2,512</w:t>
            </w:r>
          </w:p>
        </w:tc>
        <w:tc>
          <w:tcPr>
            <w:tcW w:type="dxa" w:w="1440"/>
            <w:shd w:fill="FFDCE0" w:val="clear"/>
          </w:tcPr>
          <w:p>
            <w:r>
              <w:rPr>
                <w:b/>
                <w:sz w:val="17"/>
              </w:rPr>
              <w:t>2,889</w:t>
            </w:r>
          </w:p>
        </w:tc>
        <w:tc>
          <w:tcPr>
            <w:tcW w:type="dxa" w:w="1440"/>
            <w:shd w:fill="FFDCE0" w:val="clear"/>
          </w:tcPr>
          <w:p>
            <w:r>
              <w:rPr>
                <w:sz w:val="17"/>
              </w:rPr>
              <w:t>3,265</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2,452</w:t>
            </w:r>
          </w:p>
        </w:tc>
        <w:tc>
          <w:tcPr>
            <w:tcW w:type="dxa" w:w="1440"/>
            <w:shd w:fill="FFDCE0" w:val="clear"/>
          </w:tcPr>
          <w:p>
            <w:r>
              <w:rPr>
                <w:b/>
                <w:sz w:val="17"/>
              </w:rPr>
              <w:t>2,860</w:t>
            </w:r>
          </w:p>
        </w:tc>
        <w:tc>
          <w:tcPr>
            <w:tcW w:type="dxa" w:w="1440"/>
            <w:shd w:fill="FFDCE0" w:val="clear"/>
          </w:tcPr>
          <w:p>
            <w:r>
              <w:rPr>
                <w:sz w:val="17"/>
              </w:rPr>
              <w:t>3,268</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2,396</w:t>
            </w:r>
          </w:p>
        </w:tc>
        <w:tc>
          <w:tcPr>
            <w:tcW w:type="dxa" w:w="1440"/>
            <w:shd w:fill="FFDCE0" w:val="clear"/>
          </w:tcPr>
          <w:p>
            <w:r>
              <w:rPr>
                <w:b/>
                <w:sz w:val="17"/>
              </w:rPr>
              <w:t>2,833</w:t>
            </w:r>
          </w:p>
        </w:tc>
        <w:tc>
          <w:tcPr>
            <w:tcW w:type="dxa" w:w="1440"/>
            <w:shd w:fill="FFDCE0" w:val="clear"/>
          </w:tcPr>
          <w:p>
            <w:r>
              <w:rPr>
                <w:sz w:val="17"/>
              </w:rPr>
              <w:t>3,270</w:t>
            </w:r>
          </w:p>
        </w:tc>
        <w:tc>
          <w:tcPr>
            <w:tcW w:type="dxa" w:w="1440"/>
            <w:shd w:fill="FFDCE0" w:val="clear"/>
          </w:tcPr>
          <w:p>
            <w:r>
              <w:rPr>
                <w:b/>
                <w:color w:val="C00000"/>
                <w:sz w:val="17"/>
              </w:rPr>
              <w:t>-11.6%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2,345</w:t>
            </w:r>
          </w:p>
        </w:tc>
        <w:tc>
          <w:tcPr>
            <w:tcW w:type="dxa" w:w="1440"/>
            <w:shd w:fill="FFDCE0" w:val="clear"/>
          </w:tcPr>
          <w:p>
            <w:r>
              <w:rPr>
                <w:b/>
                <w:sz w:val="17"/>
              </w:rPr>
              <w:t>2,808</w:t>
            </w:r>
          </w:p>
        </w:tc>
        <w:tc>
          <w:tcPr>
            <w:tcW w:type="dxa" w:w="1440"/>
            <w:shd w:fill="FFDCE0" w:val="clear"/>
          </w:tcPr>
          <w:p>
            <w:r>
              <w:rPr>
                <w:sz w:val="17"/>
              </w:rPr>
              <w:t>3,271</w:t>
            </w:r>
          </w:p>
        </w:tc>
        <w:tc>
          <w:tcPr>
            <w:tcW w:type="dxa" w:w="1440"/>
            <w:shd w:fill="FFDCE0" w:val="clear"/>
          </w:tcPr>
          <w:p>
            <w:r>
              <w:rPr>
                <w:b/>
                <w:color w:val="C00000"/>
                <w:sz w:val="17"/>
              </w:rPr>
              <w:t>-12.4%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2,297</w:t>
            </w:r>
          </w:p>
        </w:tc>
        <w:tc>
          <w:tcPr>
            <w:tcW w:type="dxa" w:w="1440"/>
            <w:shd w:fill="FFDCE0" w:val="clear"/>
          </w:tcPr>
          <w:p>
            <w:r>
              <w:rPr>
                <w:b/>
                <w:sz w:val="17"/>
              </w:rPr>
              <w:t>2,784</w:t>
            </w:r>
          </w:p>
        </w:tc>
        <w:tc>
          <w:tcPr>
            <w:tcW w:type="dxa" w:w="1440"/>
            <w:shd w:fill="FFDCE0" w:val="clear"/>
          </w:tcPr>
          <w:p>
            <w:r>
              <w:rPr>
                <w:sz w:val="17"/>
              </w:rPr>
              <w:t>3,271</w:t>
            </w:r>
          </w:p>
        </w:tc>
        <w:tc>
          <w:tcPr>
            <w:tcW w:type="dxa" w:w="1440"/>
            <w:shd w:fill="FFDCE0" w:val="clear"/>
          </w:tcPr>
          <w:p>
            <w:r>
              <w:rPr>
                <w:b/>
                <w:color w:val="C00000"/>
                <w:sz w:val="17"/>
              </w:rPr>
              <w:t>-13.1%</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2,253</w:t>
            </w:r>
          </w:p>
        </w:tc>
        <w:tc>
          <w:tcPr>
            <w:tcW w:type="dxa" w:w="1440"/>
            <w:shd w:fill="FFDCE0" w:val="clear"/>
          </w:tcPr>
          <w:p>
            <w:r>
              <w:rPr>
                <w:b/>
                <w:sz w:val="17"/>
              </w:rPr>
              <w:t>2,761</w:t>
            </w:r>
          </w:p>
        </w:tc>
        <w:tc>
          <w:tcPr>
            <w:tcW w:type="dxa" w:w="1440"/>
            <w:shd w:fill="FFDCE0" w:val="clear"/>
          </w:tcPr>
          <w:p>
            <w:r>
              <w:rPr>
                <w:sz w:val="17"/>
              </w:rPr>
              <w:t>3,270</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(AGL COTE D'IVOIRE)**</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174,47 milliards FCFA positionne SDSC comme une valeur moyenne sur la BRVM. Le BPA de 387 FCFA par action, combiné à un cours de 3 205 FCFA, établit un PER de 8,3x, inférieur à la moyenne du marché (8-12x). Ce niveau suggère une sous-évaluation relative du titre par rapport à ses bénéfices historiques, offrant une marge de sécurité pour l'investisseur. Le P/B de 2,24x indique que le marché valorise la société à plus du double de ses capitaux propres, traduisant une prime de croissance. Cependant, l'EV/EBITDA de 37,7x est extrêmement exigeant, signalant que la valeur d'entreprise est très élevée par rapport à sa capacité opérationnelle, ce qui contraste fortement avec le PER et suggère une décote basée sur des bénéfices non récurrents.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+69,13%, avec une dernière séance en hausse de +3,39% pour clôturer à 3 205 FCFA. Le titre a évolué dans une fourchette très large, entre un plus bas de 1 650 FCFA et un plus haut de 3 205 FCFA, démontrant une forte dynamique haussière. La moyenne (2 268 FCFA) est inférieure à la médiane (2 322 FCFA), indiquant une distribution légèrement asymétrique avec des valeurs extrêmes élevées récentes. L'écart-type de 422 FCFA (CV=18,6%) montre une dispersion modérée. Le kurtosis de -1,351 (platykurtique) suggère une distribution aplatie avec peu de pics de volatilité extrême, tandis que le skewness de 0,052 confirme une symétrie quasi parfaite. La volatilité annualisée de 51,0% est très élevée (&gt;30%), indiquant un risque de marché substantiel.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(3 205 FCFA) est nettement au-dessus de la MM20 (2 759 FCFA) et de la MM50 (2 633 FCFA), confirmant une tendance haussière solide à court et moyen terme. L'écart positif entre le prix et les moyennes indique une dynamique d'achat forte, justifiant la décision d'achat.</w:t>
      </w:r>
    </w:p>
    <w:p>
      <w:pPr>
        <w:spacing w:after="120" w:line="276" w:lineRule="auto"/>
      </w:pPr>
      <w:r>
        <w:t>**Bandes de Bollinger** : Le prix a franchi la borne supérieure (3 104 FCFA) pour atteindre 3 205 FCFA, signalant une condition de surachat extrême. Cette sortie de bande suggère une volatilité accrue et un potentiel de retour vers la moyenne, justifiant la décision de vente à court terme.</w:t>
      </w:r>
    </w:p>
    <w:p>
      <w:pPr>
        <w:spacing w:after="120" w:line="276" w:lineRule="auto"/>
      </w:pPr>
      <w:r>
        <w:t>**MACD** : La valeur du MACD (116,775) est nettement supérieure à sa ligne de signal (72,996), indiquant un momentum haussier robuste. La divergence positive confirme la force de la tendance actuelle, justifiant la décision d'achat.</w:t>
      </w:r>
    </w:p>
    <w:p>
      <w:pPr>
        <w:spacing w:after="120" w:line="276" w:lineRule="auto"/>
      </w:pPr>
      <w:r>
        <w:t>**RSI** : À 67,623, le RSI se situe en zone neutre mais proche du seuil de surachat (70). Il indique une pression acheteuse soutenue sans encore atteindre des niveaux extrêmes, justifiant une décision neutre avec une vigilance accrue.</w:t>
      </w:r>
    </w:p>
    <w:p>
      <w:pPr>
        <w:spacing w:after="120" w:line="276" w:lineRule="auto"/>
      </w:pPr>
      <w:r>
        <w:t>**Stochastique** : Le %K et le %D sont tous deux à 100,00, en territoire de surachat extrême. Cette configuration signale un épuisement potentiel de la dynamique haussière à très court terme, justifiant la décision de vente.</w:t>
      </w:r>
    </w:p>
    <w:p>
      <w:pPr>
        <w:spacing w:after="120" w:line="276" w:lineRule="auto"/>
      </w:pPr>
      <w:r>
        <w:t>**Conclusion technique** : Les indicateurs sont contradictoires, avec des signaux d'achat (MM, MACD) et de vente (Bollinger, Stochastique). Cette divergence indique une forte tendance haussière mais avec un risque élevé de correction technique à court terme. La prudence est recommandée malgré la dynamique positive.</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avec un résultat net de 21,069 milliards FCFA, soit une marge nette de 24,6%. Le ROE était excellent à 27,08% et le ROA à 11,20%, démontrant une forte rentabilité. Le délai clients de 467 jours est très élevé, indiquant un risque de trésorerie important, mais le BFR de 17,874 milliards reste positif. Selon le rapport annuel 2025 (daté du 31/12/2025), le CA a progressé de 7,43% à 92,004 milliards FCFA, mais le résultat net s'est effondré de 96% à 784,97 millions FCFA, avec un résultat d'exploitation négatif (-2,271 milliards). Cette dégradation s'explique par une hausse des dotations et une chute des dividendes de filiales. Le rapport T3 2025 (30/09/2025) confirme cette tendance avec un résultat net en baisse de 77% à 4,341 milliards FCFA. La trésorerie nette reste solide à 74,78 milliards FCFA en 2025, et les capitaux propres s'établissent à 73,55 milliards. Le dividende proposé pour 2025 est de 544,353 millions FCFA, en forte baisse par rapport aux 5,008 milliards versés au titre de 2024.</w:t>
      </w:r>
    </w:p>
    <w:p>
      <w:pPr>
        <w:spacing w:after="120" w:line="276" w:lineRule="auto"/>
      </w:pPr>
      <w:r>
        <w:t>---</w:t>
      </w:r>
    </w:p>
    <w:p>
      <w:pPr>
        <w:spacing w:after="120" w:line="276" w:lineRule="auto"/>
      </w:pPr>
      <w:r>
        <w:t>### PARTIE 4 : CONCLUSION D'INVESTISSEMENT</w:t>
      </w:r>
    </w:p>
    <w:p>
      <w:pPr>
        <w:spacing w:after="120" w:line="276" w:lineRule="auto"/>
      </w:pPr>
      <w:r>
        <w:t>La valorisation de SDSC présente un paradoxe : le PER de 8,3x suggère une sous-évaluation, mais l'EV/EBITDA de 37,7x et le P/B de 2,24x indiquent une valorisation exigeante. Le comportement du cours montre une tendance haussière spectaculaire (+69,13%) avec une volatilité très élevée (51%), signalant un risque important. Les signaux techniques sont mitigés, avec une dynamique positive (MM, MACD) mais des conditions de surachat extrême (Bollinger, Stochastique). Fondamentalement, la société a connu un effondrement de sa rentabilité en 2025 (marge nette de 0,85% contre 24,6% en 2024), malgré une croissance du CA de 7,4%. Les prédictions IA pour les 10 prochains jours prévoient une correction significative, avec un cours passant de 3 107 à 2 889 FCFA, contredisant la tendance récente. **Recommandation : VENTE** avec un niveau de confiance moyen. La convergence entre les signaux techniques de surachat, la dégradation fondamentale sévère et les prédictions IA baissières justifie cette décision. Le risque global est élevé, et l'horizon d'investissement optimal serait à court terme (&lt;3 mois) pour les investisseurs existants cherchant à sécuriser leurs gains, avec une réévaluation après la publication des résultats semestriels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5,895 titres</w:t>
            </w:r>
          </w:p>
        </w:tc>
        <w:tc>
          <w:tcPr>
            <w:tcW w:type="dxa" w:w="2268"/>
            <w:shd w:fill="FFF2CC" w:val="clear"/>
          </w:tcPr>
          <w:p>
            <w:r>
              <w:rPr>
                <w:b/>
                <w:color w:val="503200"/>
                <w:sz w:val="16"/>
              </w:rPr>
              <w:t xml:space="preserve">Cours actuel : </w:t>
            </w:r>
            <w:r>
              <w:rPr>
                <w:color w:val="000000"/>
                <w:sz w:val="17"/>
              </w:rPr>
              <w:t>1,580 FCFA</w:t>
            </w:r>
          </w:p>
          <w:p>
            <w:r>
              <w:rPr>
                <w:b/>
                <w:color w:val="503200"/>
                <w:sz w:val="16"/>
              </w:rPr>
              <w:t xml:space="preserve">Var. 100 jours : </w:t>
            </w:r>
            <w:r>
              <w:rPr>
                <w:b/>
                <w:color w:val="B40000"/>
                <w:sz w:val="17"/>
              </w:rPr>
              <w:t>-17.92%</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6.90% (Moyenne) — μ=1,547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β=1.3414 (Agressif) — Cov=0.000050, Var(idx)=0.000037, ρ=0.260,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1,417</w:t>
            </w:r>
          </w:p>
        </w:tc>
        <w:tc>
          <w:tcPr>
            <w:tcW w:type="dxa" w:w="1440"/>
            <w:shd w:fill="FFDCE0" w:val="clear"/>
          </w:tcPr>
          <w:p>
            <w:r>
              <w:rPr>
                <w:b/>
                <w:sz w:val="17"/>
              </w:rPr>
              <w:t>1,490</w:t>
            </w:r>
          </w:p>
        </w:tc>
        <w:tc>
          <w:tcPr>
            <w:tcW w:type="dxa" w:w="1440"/>
            <w:shd w:fill="FFDCE0" w:val="clear"/>
          </w:tcPr>
          <w:p>
            <w:r>
              <w:rPr>
                <w:sz w:val="17"/>
              </w:rPr>
              <w:t>1,562</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1,381</w:t>
            </w:r>
          </w:p>
        </w:tc>
        <w:tc>
          <w:tcPr>
            <w:tcW w:type="dxa" w:w="1440"/>
            <w:shd w:fill="FFDCE0" w:val="clear"/>
          </w:tcPr>
          <w:p>
            <w:r>
              <w:rPr>
                <w:b/>
                <w:sz w:val="17"/>
              </w:rPr>
              <w:t>1,483</w:t>
            </w:r>
          </w:p>
        </w:tc>
        <w:tc>
          <w:tcPr>
            <w:tcW w:type="dxa" w:w="1440"/>
            <w:shd w:fill="FFDCE0" w:val="clear"/>
          </w:tcPr>
          <w:p>
            <w:r>
              <w:rPr>
                <w:sz w:val="17"/>
              </w:rPr>
              <w:t>1,585</w:t>
            </w:r>
          </w:p>
        </w:tc>
        <w:tc>
          <w:tcPr>
            <w:tcW w:type="dxa" w:w="1440"/>
            <w:shd w:fill="FFDCE0" w:val="clear"/>
          </w:tcPr>
          <w:p>
            <w:r>
              <w:rPr>
                <w:b/>
                <w:color w:val="C00000"/>
                <w:sz w:val="17"/>
              </w:rPr>
              <w:t>-6.2%</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1,346</w:t>
            </w:r>
          </w:p>
        </w:tc>
        <w:tc>
          <w:tcPr>
            <w:tcW w:type="dxa" w:w="1440"/>
            <w:shd w:fill="FFDCE0" w:val="clear"/>
          </w:tcPr>
          <w:p>
            <w:r>
              <w:rPr>
                <w:b/>
                <w:sz w:val="17"/>
              </w:rPr>
              <w:t>1,470</w:t>
            </w:r>
          </w:p>
        </w:tc>
        <w:tc>
          <w:tcPr>
            <w:tcW w:type="dxa" w:w="1440"/>
            <w:shd w:fill="FFDCE0" w:val="clear"/>
          </w:tcPr>
          <w:p>
            <w:r>
              <w:rPr>
                <w:sz w:val="17"/>
              </w:rPr>
              <w:t>1,594</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1,314</w:t>
            </w:r>
          </w:p>
        </w:tc>
        <w:tc>
          <w:tcPr>
            <w:tcW w:type="dxa" w:w="1440"/>
            <w:shd w:fill="FFDCE0" w:val="clear"/>
          </w:tcPr>
          <w:p>
            <w:r>
              <w:rPr>
                <w:b/>
                <w:sz w:val="17"/>
              </w:rPr>
              <w:t>1,455</w:t>
            </w:r>
          </w:p>
        </w:tc>
        <w:tc>
          <w:tcPr>
            <w:tcW w:type="dxa" w:w="1440"/>
            <w:shd w:fill="FFDCE0" w:val="clear"/>
          </w:tcPr>
          <w:p>
            <w:r>
              <w:rPr>
                <w:sz w:val="17"/>
              </w:rPr>
              <w:t>1,597</w:t>
            </w:r>
          </w:p>
        </w:tc>
        <w:tc>
          <w:tcPr>
            <w:tcW w:type="dxa" w:w="1440"/>
            <w:shd w:fill="FFDCE0" w:val="clear"/>
          </w:tcPr>
          <w:p>
            <w:r>
              <w:rPr>
                <w:b/>
                <w:color w:val="C00000"/>
                <w:sz w:val="17"/>
              </w:rPr>
              <w:t>-7.9%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1,284</w:t>
            </w:r>
          </w:p>
        </w:tc>
        <w:tc>
          <w:tcPr>
            <w:tcW w:type="dxa" w:w="1440"/>
            <w:shd w:fill="FFDCE0" w:val="clear"/>
          </w:tcPr>
          <w:p>
            <w:r>
              <w:rPr>
                <w:b/>
                <w:sz w:val="17"/>
              </w:rPr>
              <w:t>1,441</w:t>
            </w:r>
          </w:p>
        </w:tc>
        <w:tc>
          <w:tcPr>
            <w:tcW w:type="dxa" w:w="1440"/>
            <w:shd w:fill="FFDCE0" w:val="clear"/>
          </w:tcPr>
          <w:p>
            <w:r>
              <w:rPr>
                <w:sz w:val="17"/>
              </w:rPr>
              <w:t>1,597</w:t>
            </w:r>
          </w:p>
        </w:tc>
        <w:tc>
          <w:tcPr>
            <w:tcW w:type="dxa" w:w="1440"/>
            <w:shd w:fill="FFDCE0" w:val="clear"/>
          </w:tcPr>
          <w:p>
            <w:r>
              <w:rPr>
                <w:b/>
                <w:color w:val="C00000"/>
                <w:sz w:val="17"/>
              </w:rPr>
              <w:t>-8.8%</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1,256</w:t>
            </w:r>
          </w:p>
        </w:tc>
        <w:tc>
          <w:tcPr>
            <w:tcW w:type="dxa" w:w="1440"/>
            <w:shd w:fill="FFDCE0" w:val="clear"/>
          </w:tcPr>
          <w:p>
            <w:r>
              <w:rPr>
                <w:b/>
                <w:sz w:val="17"/>
              </w:rPr>
              <w:t>1,426</w:t>
            </w:r>
          </w:p>
        </w:tc>
        <w:tc>
          <w:tcPr>
            <w:tcW w:type="dxa" w:w="1440"/>
            <w:shd w:fill="FFDCE0" w:val="clear"/>
          </w:tcPr>
          <w:p>
            <w:r>
              <w:rPr>
                <w:sz w:val="17"/>
              </w:rPr>
              <w:t>1,596</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1,230</w:t>
            </w:r>
          </w:p>
        </w:tc>
        <w:tc>
          <w:tcPr>
            <w:tcW w:type="dxa" w:w="1440"/>
            <w:shd w:fill="FFDCE0" w:val="clear"/>
          </w:tcPr>
          <w:p>
            <w:r>
              <w:rPr>
                <w:b/>
                <w:sz w:val="17"/>
              </w:rPr>
              <w:t>1,412</w:t>
            </w:r>
          </w:p>
        </w:tc>
        <w:tc>
          <w:tcPr>
            <w:tcW w:type="dxa" w:w="1440"/>
            <w:shd w:fill="FFDCE0" w:val="clear"/>
          </w:tcPr>
          <w:p>
            <w:r>
              <w:rPr>
                <w:sz w:val="17"/>
              </w:rPr>
              <w:t>1,594</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1,206</w:t>
            </w:r>
          </w:p>
        </w:tc>
        <w:tc>
          <w:tcPr>
            <w:tcW w:type="dxa" w:w="1440"/>
            <w:shd w:fill="FFDCE0" w:val="clear"/>
          </w:tcPr>
          <w:p>
            <w:r>
              <w:rPr>
                <w:b/>
                <w:sz w:val="17"/>
              </w:rPr>
              <w:t>1,398</w:t>
            </w:r>
          </w:p>
        </w:tc>
        <w:tc>
          <w:tcPr>
            <w:tcW w:type="dxa" w:w="1440"/>
            <w:shd w:fill="FFDCE0" w:val="clear"/>
          </w:tcPr>
          <w:p>
            <w:r>
              <w:rPr>
                <w:sz w:val="17"/>
              </w:rPr>
              <w:t>1,591</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1,183</w:t>
            </w:r>
          </w:p>
        </w:tc>
        <w:tc>
          <w:tcPr>
            <w:tcW w:type="dxa" w:w="1440"/>
            <w:shd w:fill="FFDCE0" w:val="clear"/>
          </w:tcPr>
          <w:p>
            <w:r>
              <w:rPr>
                <w:b/>
                <w:sz w:val="17"/>
              </w:rPr>
              <w:t>1,385</w:t>
            </w:r>
          </w:p>
        </w:tc>
        <w:tc>
          <w:tcPr>
            <w:tcW w:type="dxa" w:w="1440"/>
            <w:shd w:fill="FFDCE0" w:val="clear"/>
          </w:tcPr>
          <w:p>
            <w:r>
              <w:rPr>
                <w:sz w:val="17"/>
              </w:rPr>
              <w:t>1,587</w:t>
            </w:r>
          </w:p>
        </w:tc>
        <w:tc>
          <w:tcPr>
            <w:tcW w:type="dxa" w:w="1440"/>
            <w:shd w:fill="FFDCE0" w:val="clear"/>
          </w:tcPr>
          <w:p>
            <w:r>
              <w:rPr>
                <w:b/>
                <w:color w:val="C00000"/>
                <w:sz w:val="17"/>
              </w:rPr>
              <w:t>-12.4%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1,161</w:t>
            </w:r>
          </w:p>
        </w:tc>
        <w:tc>
          <w:tcPr>
            <w:tcW w:type="dxa" w:w="1440"/>
            <w:shd w:fill="FFDCE0" w:val="clear"/>
          </w:tcPr>
          <w:p>
            <w:r>
              <w:rPr>
                <w:b/>
                <w:sz w:val="17"/>
              </w:rPr>
              <w:t>1,372</w:t>
            </w:r>
          </w:p>
        </w:tc>
        <w:tc>
          <w:tcPr>
            <w:tcW w:type="dxa" w:w="1440"/>
            <w:shd w:fill="FFDCE0" w:val="clear"/>
          </w:tcPr>
          <w:p>
            <w:r>
              <w:rPr>
                <w:sz w:val="17"/>
              </w:rPr>
              <w:t>1,583</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39,80 milliards FCFA, un niveau modeste qui la classe parmi les valeurs de taille moyenne sur la BRVM, reflétant un profil industriel spécifique plutôt qu'un poids lourd de la cote. Les ratios de valorisation (BPA, PER, P/B, EV/EBITDA) ne sont pas calculables en raison de l'absence de données financières structurées dans la base, ce qui constitue une limite notable pour évaluer le niveau de prix relatif du titre. En l'absence de ces multiples, l'investisseur ne peut pas déterminer si le marché valorise la société au-dessus ou en dessous de sa valeur comptable, ni comparer son niveau de prix à la moyenne du marché BRVM (PER de 8 à 12x). Cette absence de données chiffrées récentes oblige à s'appuyer sur les rapports fondamentaux historiques et l'analyse technique pour apprécier l'attractivité du titre, en gardant à l'esprit que la suspension passée de la cote et le changement d'actionnariat ont pu affecter la liquidité et la perception du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affiche une variation totale de -17,92%, passant d'un plus haut de 1 940 FCFA à un plus bas de 1 350 FCFA, soit une amplitude de trading de 590 FCFA, ce qui traduit une tendance baissière marquée malgré un rebond de +5,33% lors de la dernière séance qui ramène le cours à 1 580 FCFA. La moyenne du cours sur la période est de 1 547 FCFA, légèrement supérieure à la médiane de 1 520 FCFA, et le mode de 1 500 FCFA indique une concentration des transactions autour de ce niveau, tandis que l'écart-type de 107 FCFA (CV=6,9%) révèle une dispersion modérée des prix autour de la moyenne. Le kurtosis en excès de 3,768 signale une distribution leptokurtique avec des queues épaisses, suggérant un risque de mouvements extrêmes, tandis que le skewness positif de 1,695 indique une asymétrie avec davantage de journées sous la moyenne, ce qui confirme la pression vendeuse dominante. La volatilité annualisée de 50,6% positionne le titre dans la catégorie des valeurs à volatilité élevée (&gt;30%), un niveau qui reflète l'incertitude entourant la société et qui nécessite une gestion prudente du risque pour les investisseurs.</w:t>
      </w:r>
    </w:p>
    <w:p>
      <w:pPr>
        <w:spacing w:after="120" w:line="276" w:lineRule="auto" w:before="240"/>
      </w:pPr>
      <w:r>
        <w:rPr>
          <w:b/>
          <w:color w:val="003366"/>
          <w:sz w:val="24"/>
        </w:rPr>
        <w:t>**PARTIE 2 : ANALYSE TECHNIQUE DÉTAILLÉE**</w:t>
      </w:r>
    </w:p>
    <w:p>
      <w:pPr>
        <w:spacing w:after="120" w:line="276" w:lineRule="auto"/>
      </w:pPr>
      <w:r>
        <w:t>Les **Moyennes Mobiles** indiquent une décision d'Achat avec une MM20 à 1 522,5 FCFA et une MM50 à 1 497,9 FCFA, toutes deux inférieures au cours actuel de 1 580 FCFA, ce qui suggère que la tendance de court et moyen terme est positive et que le prix évolue au-dessus de ses moyennes mobiles, un signal haussier classique. Les **Bandes de Bollinger** affichent une décision Neutre avec une borne supérieure à 1 615,6 FCFA et une borne inférieure à 1 429,4 FCFA, le cours se situant dans la partie haute de la bande sans toutefois la toucher, indiquant une volatilité modérée et un potentiel de poursuite haussière si le prix franchit la borne supérieure. Le **MACD** confirme la dynamique positive avec une valeur de 11,663 supérieure à son signal de 10,123, la divergence positive indiquant un momentum haussier en cours, ce qui justifie la décision d'Achat malgré un écart encore limité entre les deux lignes. Le **RSI** à 58,182 se situe en zone neutre (30-70), suggérant que le titre n'est ni suracheté ni survendu, avec une marge de progression avant d'atteindre la zone de surachat à 70, ce qui laisse place à un potentiel haussier supplémentaire. Le **Stochastique** en revanche émet une décision de Vente avec un %K à 86,667 nettement supérieur au %D à 54,444, indiquant une condition de surachat technique qui pourrait précéder un repli à court terme.</w:t>
      </w:r>
    </w:p>
    <w:p>
      <w:pPr>
        <w:spacing w:after="120" w:line="276" w:lineRule="auto"/>
      </w:pPr>
      <w:r>
        <w:t>La conclusion technique est contrastée : les indicateurs de tendance (MM, MACD) sont positifs et suggèrent une poursuite du mouvement haussier, mais les oscillateurs de momentum (Stochastique) signalent une fatigue potentielle avec un risque de correction à court terme. Le RSI neutre et les Bandes de Bollinger sans pression particulière indiquent que le marché n'est pas encore en situation extrême, mais la prudence est de mise après le récent rebond de +5,33%. Globalement, la tendance de fond reste constructive, mais un repli technique vers les 1 520-1 550 FCFA serait sain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SEMC ne sont pas disponibles dans la base, mais les rapports fondamentaux fournis permettent une analyse approfondie, bien qu'ils datent de 2022 à 2024 et soient donc antérieurs à 2025. Le rapport du 31 décembre 2023 (analysé en mars 2026) révèle un chiffre d'affaires de 27,88 milliards FCFA en 2023, en baisse de 6% par rapport à 2022 (29,60 milliards FCFA), avec un résultat net de 1,01 milliard FCFA contre 3,86 milliards FCFA en 2022, soit une chute de 74% de la rentabilité. La marge nette s'est effondrée à 3,6% contre 13,0% en 2022, et aucune politique de dividende n'a été maintenue (0 FCFA distribué), la société privilégiant la conservation de sa trésorerie de 3,35 milliards FCFA pour faire face à la suspension de la cote BRVM. Le rapport du 31 décembre 2022 présente des chiffres nettement plus favorables avec un CA consolidé de 125,4 milliards FCFA et un bénéfice net de 12,8 milliards FCFA, mais ces données semblent concerner la consolidation du groupe Eviosys et non la seule entité SEMC cotée, créant une confusion dans l'interprétation. Le rapport du premier trimestre 2023 indique un CA de 7,65 milliards FCFA (+16,5% vs T1 2022) et un bénéfice net de 855,65 millions FCFA (+37,9%), suggérant une dynamique positive en début d'exercice avant la dégradation constatée sur l'ensemble de l'année. Le rachat par Sonoco Products Company finalisé en décembre 2024 constitue un tournant stratégique majeur, avec des perspectives de relance affichées à 32 milliards FCFA de CA pour 2024, portées par les bouchons couronnes (+61% en volume) et les exportations, mais la rentabilité reste fragile et la recommandation fondamentale est de conserver avec vigilance.</w:t>
      </w:r>
    </w:p>
    <w:p>
      <w:pPr>
        <w:spacing w:after="120" w:line="276" w:lineRule="auto" w:before="240"/>
      </w:pPr>
      <w:r>
        <w:rPr>
          <w:b/>
          <w:color w:val="003366"/>
          <w:sz w:val="24"/>
        </w:rPr>
        <w:t>**PARTIE 4 : CONCLUSION D'INVESTISSEMENT**</w:t>
      </w:r>
    </w:p>
    <w:p>
      <w:pPr>
        <w:spacing w:after="120" w:line="276" w:lineRule="auto"/>
      </w:pPr>
      <w:r>
        <w:t>La valorisation de SEMC ne peut être appréciée via les ratios traditionnels faute de données structurées, mais la capitalisation de 39,80 milliards FCFA semble modeste au regard des actifs industriels et des perspectives de rebond, tandis que le comportement du cours sur 100 jours est préoccupant avec une baisse de 17,92% et une volatilité annualisée de 50,6%, bien que le rebond récent de +5,33% et les statistiques (kurtosis élevé, skewness positif) suggèrent un potentiel de retournement. Les signaux techniques sont partagés : les moyennes mobiles et le MACD sont positifs, mais le stochastique en surachat appelle à la prudence à court terme. Les fondamentaux historiques montrent une dégradation marquée entre 2022 et 2023 (résultat net divisé par quatre), mais le changement d'actionnariat avec Sonoco et l'objectif de CA de 32 milliards FCFA offrent des perspectives de redressement. Les prédictions IA pour les 10 prochains jours indiquent une trajectoire baissière de 1 490 à 1 441 FCFA, contredisant les signaux techniques haussiers et suggérant une correction à venir. En synthèse, la convergence entre la faiblesse des fondamentaux récents, la volatilité élevée et les prédictions IA baissières l'emporte sur les signaux techniques positifs, conduisant à une recommandation de **CONSERVER** avec un niveau de confiance **Moyen** et un risque global **Élevé**, l'horizon d'investissement optimal étant le **moyen terme (3-12 mois)** pour observer l'impact du rachat par Sonoco et la publication des résultats 2024-2025.</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5,354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+13.24%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5.32% (Moyenne) — μ=37,237 FCFA, σ=1,982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β=0.6222 (Défensif) — Cov=0.000023, Var(idx)=0.000037, ρ=0.249,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37,197</w:t>
            </w:r>
          </w:p>
        </w:tc>
        <w:tc>
          <w:tcPr>
            <w:tcW w:type="dxa" w:w="1440"/>
            <w:shd w:fill="FAFAFA" w:val="clear"/>
          </w:tcPr>
          <w:p>
            <w:r>
              <w:rPr>
                <w:b/>
                <w:sz w:val="17"/>
              </w:rPr>
              <w:t>38,060</w:t>
            </w:r>
          </w:p>
        </w:tc>
        <w:tc>
          <w:tcPr>
            <w:tcW w:type="dxa" w:w="1440"/>
            <w:shd w:fill="FAFAFA" w:val="clear"/>
          </w:tcPr>
          <w:p>
            <w:r>
              <w:rPr>
                <w:sz w:val="17"/>
              </w:rPr>
              <w:t>38,923</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36,765</w:t>
            </w:r>
          </w:p>
        </w:tc>
        <w:tc>
          <w:tcPr>
            <w:tcW w:type="dxa" w:w="1440"/>
            <w:shd w:fill="FAFAFA" w:val="clear"/>
          </w:tcPr>
          <w:p>
            <w:r>
              <w:rPr>
                <w:b/>
                <w:sz w:val="17"/>
              </w:rPr>
              <w:t>37,982</w:t>
            </w:r>
          </w:p>
        </w:tc>
        <w:tc>
          <w:tcPr>
            <w:tcW w:type="dxa" w:w="1440"/>
            <w:shd w:fill="FAFAFA" w:val="clear"/>
          </w:tcPr>
          <w:p>
            <w:r>
              <w:rPr>
                <w:sz w:val="17"/>
              </w:rPr>
              <w:t>39,200</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36,404</w:t>
            </w:r>
          </w:p>
        </w:tc>
        <w:tc>
          <w:tcPr>
            <w:tcW w:type="dxa" w:w="1440"/>
            <w:shd w:fill="FAFAFA" w:val="clear"/>
          </w:tcPr>
          <w:p>
            <w:r>
              <w:rPr>
                <w:b/>
                <w:sz w:val="17"/>
              </w:rPr>
              <w:t>37,892</w:t>
            </w:r>
          </w:p>
        </w:tc>
        <w:tc>
          <w:tcPr>
            <w:tcW w:type="dxa" w:w="1440"/>
            <w:shd w:fill="FAFAFA" w:val="clear"/>
          </w:tcPr>
          <w:p>
            <w:r>
              <w:rPr>
                <w:sz w:val="17"/>
              </w:rPr>
              <w:t>39,380</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2026-09-10</w:t>
            </w:r>
          </w:p>
        </w:tc>
        <w:tc>
          <w:tcPr>
            <w:tcW w:type="dxa" w:w="1440"/>
            <w:shd w:fill="FAFAFA" w:val="clear"/>
          </w:tcPr>
          <w:p>
            <w:r>
              <w:rPr>
                <w:sz w:val="17"/>
              </w:rPr>
              <w:t>36,091</w:t>
            </w:r>
          </w:p>
        </w:tc>
        <w:tc>
          <w:tcPr>
            <w:tcW w:type="dxa" w:w="1440"/>
            <w:shd w:fill="FAFAFA" w:val="clear"/>
          </w:tcPr>
          <w:p>
            <w:r>
              <w:rPr>
                <w:b/>
                <w:sz w:val="17"/>
              </w:rPr>
              <w:t>37,805</w:t>
            </w:r>
          </w:p>
        </w:tc>
        <w:tc>
          <w:tcPr>
            <w:tcW w:type="dxa" w:w="1440"/>
            <w:shd w:fill="FAFAFA" w:val="clear"/>
          </w:tcPr>
          <w:p>
            <w:r>
              <w:rPr>
                <w:sz w:val="17"/>
              </w:rPr>
              <w:t>39,519</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35,810</w:t>
            </w:r>
          </w:p>
        </w:tc>
        <w:tc>
          <w:tcPr>
            <w:tcW w:type="dxa" w:w="1440"/>
            <w:shd w:fill="FFDCE0" w:val="clear"/>
          </w:tcPr>
          <w:p>
            <w:r>
              <w:rPr>
                <w:b/>
                <w:sz w:val="17"/>
              </w:rPr>
              <w:t>37,722</w:t>
            </w:r>
          </w:p>
        </w:tc>
        <w:tc>
          <w:tcPr>
            <w:tcW w:type="dxa" w:w="1440"/>
            <w:shd w:fill="FFDCE0" w:val="clear"/>
          </w:tcPr>
          <w:p>
            <w:r>
              <w:rPr>
                <w:sz w:val="17"/>
              </w:rPr>
              <w:t>39,634</w:t>
            </w:r>
          </w:p>
        </w:tc>
        <w:tc>
          <w:tcPr>
            <w:tcW w:type="dxa" w:w="1440"/>
            <w:shd w:fill="FFDCE0" w:val="clear"/>
          </w:tcPr>
          <w:p>
            <w:r>
              <w:rPr>
                <w:b/>
                <w:color w:val="C00000"/>
                <w:sz w:val="17"/>
              </w:rPr>
              <w:t>-2.0%</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35,552</w:t>
            </w:r>
          </w:p>
        </w:tc>
        <w:tc>
          <w:tcPr>
            <w:tcW w:type="dxa" w:w="1440"/>
            <w:shd w:fill="FFDCE0" w:val="clear"/>
          </w:tcPr>
          <w:p>
            <w:r>
              <w:rPr>
                <w:b/>
                <w:sz w:val="17"/>
              </w:rPr>
              <w:t>37,642</w:t>
            </w:r>
          </w:p>
        </w:tc>
        <w:tc>
          <w:tcPr>
            <w:tcW w:type="dxa" w:w="1440"/>
            <w:shd w:fill="FFDCE0" w:val="clear"/>
          </w:tcPr>
          <w:p>
            <w:r>
              <w:rPr>
                <w:sz w:val="17"/>
              </w:rPr>
              <w:t>39,732</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35,312</w:t>
            </w:r>
          </w:p>
        </w:tc>
        <w:tc>
          <w:tcPr>
            <w:tcW w:type="dxa" w:w="1440"/>
            <w:shd w:fill="FFDCE0" w:val="clear"/>
          </w:tcPr>
          <w:p>
            <w:r>
              <w:rPr>
                <w:b/>
                <w:sz w:val="17"/>
              </w:rPr>
              <w:t>37,564</w:t>
            </w:r>
          </w:p>
        </w:tc>
        <w:tc>
          <w:tcPr>
            <w:tcW w:type="dxa" w:w="1440"/>
            <w:shd w:fill="FFDCE0" w:val="clear"/>
          </w:tcPr>
          <w:p>
            <w:r>
              <w:rPr>
                <w:sz w:val="17"/>
              </w:rPr>
              <w:t>39,817</w:t>
            </w:r>
          </w:p>
        </w:tc>
        <w:tc>
          <w:tcPr>
            <w:tcW w:type="dxa" w:w="1440"/>
            <w:shd w:fill="FFDCE0" w:val="clear"/>
          </w:tcPr>
          <w:p>
            <w:r>
              <w:rPr>
                <w:b/>
                <w:color w:val="C00000"/>
                <w:sz w:val="17"/>
              </w:rPr>
              <w:t>-2.4%</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35,085</w:t>
            </w:r>
          </w:p>
        </w:tc>
        <w:tc>
          <w:tcPr>
            <w:tcW w:type="dxa" w:w="1440"/>
            <w:shd w:fill="FFDCE0" w:val="clear"/>
          </w:tcPr>
          <w:p>
            <w:r>
              <w:rPr>
                <w:b/>
                <w:sz w:val="17"/>
              </w:rPr>
              <w:t>37,488</w:t>
            </w:r>
          </w:p>
        </w:tc>
        <w:tc>
          <w:tcPr>
            <w:tcW w:type="dxa" w:w="1440"/>
            <w:shd w:fill="FFDCE0" w:val="clear"/>
          </w:tcPr>
          <w:p>
            <w:r>
              <w:rPr>
                <w:sz w:val="17"/>
              </w:rPr>
              <w:t>39,891</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34,869</w:t>
            </w:r>
          </w:p>
        </w:tc>
        <w:tc>
          <w:tcPr>
            <w:tcW w:type="dxa" w:w="1440"/>
            <w:shd w:fill="FFDCE0" w:val="clear"/>
          </w:tcPr>
          <w:p>
            <w:r>
              <w:rPr>
                <w:b/>
                <w:sz w:val="17"/>
              </w:rPr>
              <w:t>37,413</w:t>
            </w:r>
          </w:p>
        </w:tc>
        <w:tc>
          <w:tcPr>
            <w:tcW w:type="dxa" w:w="1440"/>
            <w:shd w:fill="FFDCE0" w:val="clear"/>
          </w:tcPr>
          <w:p>
            <w:r>
              <w:rPr>
                <w:sz w:val="17"/>
              </w:rPr>
              <w:t>39,957</w:t>
            </w:r>
          </w:p>
        </w:tc>
        <w:tc>
          <w:tcPr>
            <w:tcW w:type="dxa" w:w="1440"/>
            <w:shd w:fill="FFDCE0" w:val="clear"/>
          </w:tcPr>
          <w:p>
            <w:r>
              <w:rPr>
                <w:b/>
                <w:color w:val="C00000"/>
                <w:sz w:val="17"/>
              </w:rPr>
              <w:t>-2.8%</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34,664</w:t>
            </w:r>
          </w:p>
        </w:tc>
        <w:tc>
          <w:tcPr>
            <w:tcW w:type="dxa" w:w="1440"/>
            <w:shd w:fill="FFDCE0" w:val="clear"/>
          </w:tcPr>
          <w:p>
            <w:r>
              <w:rPr>
                <w:b/>
                <w:sz w:val="17"/>
              </w:rPr>
              <w:t>37,340</w:t>
            </w:r>
          </w:p>
        </w:tc>
        <w:tc>
          <w:tcPr>
            <w:tcW w:type="dxa" w:w="1440"/>
            <w:shd w:fill="FFDCE0" w:val="clear"/>
          </w:tcPr>
          <w:p>
            <w:r>
              <w:rPr>
                <w:sz w:val="17"/>
              </w:rPr>
              <w:t>40,016</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Absolument. Voici un rapport d'analyse professionnel structuré pour l'action SGBC,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1 197,78 Mds FCFA, ce qui en fait l'une des plus importantes capitalisations de la BRVM, reflétant son statut de leader bancaire régional. Avec un BPA de 3 258 FCFA, le PER de 11,8x se situe dans la partie haute de la fourchette de référence du marché (8-12x), indiquant que les investisseurs valorisent légèrement au-dessus de la moyenne du marché, mais de manière raisonnable pour un acteur de cette qualité. Le P/B de 2,42x confirme cette prime, le marché valorisant la banque à plus de deux fois sa valeur comptable, ce qui traduit une anticipation de croissance et de rentabilité future. Cependant, le ratio EV/EBITDA de 24,6x est particulièrement exigeant, signalant que la valeur totale de l'entreprise (capitaux propres + dettes) est élevée par rapport à sa capacité opérationnelle, un point de vigilance pour les investisseurs à long terme.</w:t>
      </w:r>
    </w:p>
    <w:p>
      <w:pPr>
        <w:spacing w:after="120" w:line="276" w:lineRule="auto"/>
      </w:pPr>
      <w:r>
        <w:t>### **PARTIE 1 : ANALYSE DU COURS — STATISTIQUES ET ÉVOLUTION (100 derniers jours)**</w:t>
      </w:r>
    </w:p>
    <w:p>
      <w:pPr>
        <w:spacing w:after="120" w:line="276" w:lineRule="auto"/>
      </w:pPr>
      <w:r>
        <w:t>Sur les 100 derniers jours, l'action SGBC a enregistré une progression solide de +13,24%, avec une dernière séance stable (+0,00%), démontrant une consolidation après une période de hausse. Le titre a évolué dans une fourchette de 32 800 FCFA (plus bas) à 39 300 FCFA (plus haut), soit une amplitude de 19,8%, indiquant une volatilité modérée. La moyenne du cours (37 237 FCFA) est inférieure à la médiane (38 000 FCFA), et le skewness négatif de -0.945 confirme une asymétrie avec des journées plus fréquentes au-dessus de la moyenne, mais des baisses plus marquées. Le kurtosis de -0.461 (mésokurtique) suggère une distribution des rendements proche de la normale, sans risque de pics extrêmes. L'écart-type de 1 992 FCFA (CV=5.3%) indique une dispersion relativement faible autour de la moyenne. La volatilité annualisée de 24,1% positionne le titre comme modérément volatil, offrant un équilibre entre risque et potentiel de rendement.</w:t>
      </w:r>
    </w:p>
    <w:p>
      <w:pPr>
        <w:spacing w:after="120" w:line="276" w:lineRule="auto"/>
      </w:pPr>
      <w:r>
        <w:t>### **PARTIE 2 : ANALYSE TECHNIQUE DÉTAILLÉE**</w:t>
      </w:r>
    </w:p>
    <w:p>
      <w:pPr>
        <w:spacing w:after="120" w:line="276" w:lineRule="auto"/>
      </w:pPr>
      <w:r>
        <w:t>**Moyennes Mobiles** : Le cours actuel (38 500 FCFA) est légèrement en dessous de la MM20 (38 600,25 FCFA) mais au-dessus de la MM50 (38 440,8 FCFA). Cette configuration, où le prix est soutenu par la tendance à moyen terme mais bute sur la résistance à court terme, justifie une décision d'**Achat** car la tendance de fond reste positive.</w:t>
      </w:r>
    </w:p>
    <w:p>
      <w:pPr>
        <w:spacing w:after="120" w:line="276" w:lineRule="auto"/>
      </w:pPr>
      <w:r>
        <w:t>**Bandes de Bollinger** : Le prix se situe à l'intérieur des bandes, entre la borne supérieure (39 680,5 FCFA) et la borne inférieure (37 520 FCFA), près du milieu. Cela indique une volatilité modérée et une absence de mouvement directionnel fort, d'où une décision **Neutre**.</w:t>
      </w:r>
    </w:p>
    <w:p>
      <w:pPr>
        <w:spacing w:after="120" w:line="276" w:lineRule="auto"/>
      </w:pPr>
      <w:r>
        <w:t>**MACD** : La valeur du MACD (-36,177) est inférieure à son signal (5,481), avec les deux sous la ligne zéro. Cette configuration baissière indique un momentum négatif à court terme, justifiant une décision de **Vente**.</w:t>
      </w:r>
    </w:p>
    <w:p>
      <w:pPr>
        <w:spacing w:after="120" w:line="276" w:lineRule="auto"/>
      </w:pPr>
      <w:r>
        <w:t>**RSI** : Avec une valeur de 46,019, le RSI se situe en zone neutre (entre 30 et 70), indiquant que le titre n'est ni suracheté ni survendu. Il n'y a pas de pression directionnelle forte, d'où une décision **Neutre**.</w:t>
      </w:r>
    </w:p>
    <w:p>
      <w:pPr>
        <w:spacing w:after="120" w:line="276" w:lineRule="auto"/>
      </w:pPr>
      <w:r>
        <w:t>**Stochastique** : Le %K (49,843) est supérieur au %D (41,17), suggérant un croisement haussier potentiel. Cependant, les deux valeurs étant en zone neutre, le signal est faible, justifiant une décision **Neutre**.</w:t>
      </w:r>
    </w:p>
    <w:p>
      <w:pPr>
        <w:spacing w:after="120" w:line="276" w:lineRule="auto"/>
      </w:pPr>
      <w:r>
        <w:t>**Conclusion technique** : Les indicateurs sont mitigés. Les moyennes mobiles suggèrent une tendance haussière de fond, mais le MACD indique un momentum négatif à court terme. Le RSI et le Stochastique sont neutres, tandis que les bandes de Bollinger montrent une absence de volatilité extrême. Cette divergence suggère une phase de consolidation, où le titre pourrait hésiter avant de poursuivre sa tendance.</w:t>
      </w:r>
    </w:p>
    <w:p>
      <w:pPr>
        <w:spacing w:after="120" w:line="276" w:lineRule="auto"/>
      </w:pPr>
      <w:r>
        <w:t>### **PARTIE 3 : ANALYSE FONDAMENTALE (SECTION CRITIQUE)**</w:t>
      </w:r>
    </w:p>
    <w:p>
      <w:pPr>
        <w:spacing w:after="120" w:line="276" w:lineRule="auto"/>
      </w:pPr>
      <w:r>
        <w:t>En 2025, les données financières structurées de SGBC confirment sa puissance. Le Produit Net Bancaire (PNB) atteint 276,048 Mds FCFA, avec un résultat net de 101,352 Mds FCFA. La rentabilité est excellente avec un ROE de 20,47% et un ROA de 2,69%. Le coefficient d'exploitation de 38,75% témoigne d'une efficacité opérationnelle remarquable, bien en deçà du seuil de 60%. Le coût du risque, estimé à 17,995 Mds FCFA (provisions), reste maîtrisé. Le bilan est solide avec des capitaux propres de 495,113 Mds FCFA et un total de bilan de 3 769,174 Mds FCFA. Les dépôts clients (2 907,675 Mds FCFA) financent largement les crédits à la clientèle (2 546,290 Mds FCFA), avec un ratio de transformation prudent. Les rapports trimestriels de 2025 confirment cette dynamique : le rapport du 3e trimestre (30/09/2025) fait état d'un PNB cumulé de 201,0 Mds FCFA (+2,5%) et d'un résultat net de 83,3 Mds FCFA (+11,7%), porté par une maîtrise des coûts. Le rapport du S1 2025 (30/06/2025) montre une croissance du résultat net de +10,0% à 53,1 Mds FCFA. Sur la base de ces performances, on estime que l'exercice 2025 devrait dépasser les chiffres records de 2024 (PNB de 263,2 Mds FCFA et résultat net de 101,2 Mds FCFA), confirmant la solidité et la croissance rentable de la banque.</w:t>
      </w:r>
    </w:p>
    <w:p>
      <w:pPr>
        <w:spacing w:after="120" w:line="276" w:lineRule="auto"/>
      </w:pPr>
      <w:r>
        <w:t>### **PARTIE 4 : CONCLUSION D'INVESTISSEMENT**</w:t>
      </w:r>
    </w:p>
    <w:p>
      <w:pPr>
        <w:spacing w:after="120" w:line="276" w:lineRule="auto"/>
      </w:pPr>
      <w:r>
        <w:t>La valorisation de SGBC (PER de 11,8x, P/B de 2,42x) est exigeante mais justifiable pour un leader de cette qualité, bien que l'EV/EBITDA élevé (24,6x) appelle à la prudence. Le comportement du cours sur 100 jours est positif (+13,24%) avec une volatilité modérée (24,1%), mais les statistiques (skewness négatif) suggèrent un risque de repli après les gains. Les signaux techniques sont divergents : la tendance de fond (MM) est haussière, mais le momentum à court terme (MACD) est vendeur, et les autres indicateurs sont neutres, indiquant une phase de consolidation. Les fondamentaux sont exceptionnellement solides, avec une croissance soutenue du résultat net et une efficacité opérationnelle de premier ordre. Les prédictions IA pour les 10 prochains jours (de 38 060 à 37 722 FCFA) suggèrent une légère correction, contredisant la tendance haussière de fond mais confirmant le signal de vente du MACD. En synthèse, la convergence entre la solidité fondamentale et la tendance de fond positive est contrebalancée par la cherté relative de la valorisation et les signaux techniques mitigés à court terme. Par conséquent, notre recommandation est de **CONSERVER** le titre. Le niveau de confiance est **Moyen**, le risque global est **Moyen**. L'horizon d'investissement optimal serait le **moyen terme (3-12 mois)**, pour bénéficier de la croissance des bénéfices et d'une possible appréciation du cours après une phase de consolidation.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4,622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+9.59%</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7.75% (Moyenne) — μ=2,136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β=1.1021 (Neutre (suit le marché)) — Cov=0.000041, Var(idx)=0.000037, ρ=0.302,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2,179</w:t>
            </w:r>
          </w:p>
        </w:tc>
        <w:tc>
          <w:tcPr>
            <w:tcW w:type="dxa" w:w="1440"/>
            <w:shd w:fill="FFDCE0" w:val="clear"/>
          </w:tcPr>
          <w:p>
            <w:r>
              <w:rPr>
                <w:b/>
                <w:sz w:val="17"/>
              </w:rPr>
              <w:t>2,254</w:t>
            </w:r>
          </w:p>
        </w:tc>
        <w:tc>
          <w:tcPr>
            <w:tcW w:type="dxa" w:w="1440"/>
            <w:shd w:fill="FFDCE0" w:val="clear"/>
          </w:tcPr>
          <w:p>
            <w:r>
              <w:rPr>
                <w:sz w:val="17"/>
              </w:rPr>
              <w:t>2,329</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2,047</w:t>
            </w:r>
          </w:p>
        </w:tc>
        <w:tc>
          <w:tcPr>
            <w:tcW w:type="dxa" w:w="1440"/>
            <w:shd w:fill="FFDCE0" w:val="clear"/>
          </w:tcPr>
          <w:p>
            <w:r>
              <w:rPr>
                <w:b/>
                <w:sz w:val="17"/>
              </w:rPr>
              <w:t>2,148</w:t>
            </w:r>
          </w:p>
        </w:tc>
        <w:tc>
          <w:tcPr>
            <w:tcW w:type="dxa" w:w="1440"/>
            <w:shd w:fill="FFDCE0" w:val="clear"/>
          </w:tcPr>
          <w:p>
            <w:r>
              <w:rPr>
                <w:sz w:val="17"/>
              </w:rPr>
              <w:t>2,249</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1,935</w:t>
            </w:r>
          </w:p>
        </w:tc>
        <w:tc>
          <w:tcPr>
            <w:tcW w:type="dxa" w:w="1440"/>
            <w:shd w:fill="FFDCE0" w:val="clear"/>
          </w:tcPr>
          <w:p>
            <w:r>
              <w:rPr>
                <w:b/>
                <w:sz w:val="17"/>
              </w:rPr>
              <w:t>2,053</w:t>
            </w:r>
          </w:p>
        </w:tc>
        <w:tc>
          <w:tcPr>
            <w:tcW w:type="dxa" w:w="1440"/>
            <w:shd w:fill="FFDCE0" w:val="clear"/>
          </w:tcPr>
          <w:p>
            <w:r>
              <w:rPr>
                <w:sz w:val="17"/>
              </w:rPr>
              <w:t>2,171</w:t>
            </w:r>
          </w:p>
        </w:tc>
        <w:tc>
          <w:tcPr>
            <w:tcW w:type="dxa" w:w="1440"/>
            <w:shd w:fill="FFDCE0" w:val="clear"/>
          </w:tcPr>
          <w:p>
            <w:r>
              <w:rPr>
                <w:b/>
                <w:color w:val="C00000"/>
                <w:sz w:val="17"/>
              </w:rPr>
              <w:t>-14.5%</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1,843</w:t>
            </w:r>
          </w:p>
        </w:tc>
        <w:tc>
          <w:tcPr>
            <w:tcW w:type="dxa" w:w="1440"/>
            <w:shd w:fill="FFDCE0" w:val="clear"/>
          </w:tcPr>
          <w:p>
            <w:r>
              <w:rPr>
                <w:b/>
                <w:sz w:val="17"/>
              </w:rPr>
              <w:t>1,974</w:t>
            </w:r>
          </w:p>
        </w:tc>
        <w:tc>
          <w:tcPr>
            <w:tcW w:type="dxa" w:w="1440"/>
            <w:shd w:fill="FFDCE0" w:val="clear"/>
          </w:tcPr>
          <w:p>
            <w:r>
              <w:rPr>
                <w:sz w:val="17"/>
              </w:rPr>
              <w:t>2,106</w:t>
            </w:r>
          </w:p>
        </w:tc>
        <w:tc>
          <w:tcPr>
            <w:tcW w:type="dxa" w:w="1440"/>
            <w:shd w:fill="FFDCE0" w:val="clear"/>
          </w:tcPr>
          <w:p>
            <w:r>
              <w:rPr>
                <w:b/>
                <w:color w:val="C00000"/>
                <w:sz w:val="17"/>
              </w:rPr>
              <w:t>-17.7%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1,767</w:t>
            </w:r>
          </w:p>
        </w:tc>
        <w:tc>
          <w:tcPr>
            <w:tcW w:type="dxa" w:w="1440"/>
            <w:shd w:fill="FFDCE0" w:val="clear"/>
          </w:tcPr>
          <w:p>
            <w:r>
              <w:rPr>
                <w:b/>
                <w:sz w:val="17"/>
              </w:rPr>
              <w:t>1,909</w:t>
            </w:r>
          </w:p>
        </w:tc>
        <w:tc>
          <w:tcPr>
            <w:tcW w:type="dxa" w:w="1440"/>
            <w:shd w:fill="FFDCE0" w:val="clear"/>
          </w:tcPr>
          <w:p>
            <w:r>
              <w:rPr>
                <w:sz w:val="17"/>
              </w:rPr>
              <w:t>2,051</w:t>
            </w:r>
          </w:p>
        </w:tc>
        <w:tc>
          <w:tcPr>
            <w:tcW w:type="dxa" w:w="1440"/>
            <w:shd w:fill="FFDCE0" w:val="clear"/>
          </w:tcPr>
          <w:p>
            <w:r>
              <w:rPr>
                <w:b/>
                <w:color w:val="C00000"/>
                <w:sz w:val="17"/>
              </w:rPr>
              <w:t>-20.4%</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1,704</w:t>
            </w:r>
          </w:p>
        </w:tc>
        <w:tc>
          <w:tcPr>
            <w:tcW w:type="dxa" w:w="1440"/>
            <w:shd w:fill="FFDCE0" w:val="clear"/>
          </w:tcPr>
          <w:p>
            <w:r>
              <w:rPr>
                <w:b/>
                <w:sz w:val="17"/>
              </w:rPr>
              <w:t>1,855</w:t>
            </w:r>
          </w:p>
        </w:tc>
        <w:tc>
          <w:tcPr>
            <w:tcW w:type="dxa" w:w="1440"/>
            <w:shd w:fill="FFDCE0" w:val="clear"/>
          </w:tcPr>
          <w:p>
            <w:r>
              <w:rPr>
                <w:sz w:val="17"/>
              </w:rPr>
              <w:t>2,006</w:t>
            </w:r>
          </w:p>
        </w:tc>
        <w:tc>
          <w:tcPr>
            <w:tcW w:type="dxa" w:w="1440"/>
            <w:shd w:fill="FFDCE0" w:val="clear"/>
          </w:tcPr>
          <w:p>
            <w:r>
              <w:rPr>
                <w:b/>
                <w:color w:val="C00000"/>
                <w:sz w:val="17"/>
              </w:rPr>
              <w:t>-22.7%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1,648</w:t>
            </w:r>
          </w:p>
        </w:tc>
        <w:tc>
          <w:tcPr>
            <w:tcW w:type="dxa" w:w="1440"/>
            <w:shd w:fill="FFDCE0" w:val="clear"/>
          </w:tcPr>
          <w:p>
            <w:r>
              <w:rPr>
                <w:b/>
                <w:sz w:val="17"/>
              </w:rPr>
              <w:t>1,807</w:t>
            </w:r>
          </w:p>
        </w:tc>
        <w:tc>
          <w:tcPr>
            <w:tcW w:type="dxa" w:w="1440"/>
            <w:shd w:fill="FFDCE0" w:val="clear"/>
          </w:tcPr>
          <w:p>
            <w:r>
              <w:rPr>
                <w:sz w:val="17"/>
              </w:rPr>
              <w:t>1,966</w:t>
            </w:r>
          </w:p>
        </w:tc>
        <w:tc>
          <w:tcPr>
            <w:tcW w:type="dxa" w:w="1440"/>
            <w:shd w:fill="FFDCE0" w:val="clear"/>
          </w:tcPr>
          <w:p>
            <w:r>
              <w:rPr>
                <w:b/>
                <w:color w:val="C00000"/>
                <w:sz w:val="17"/>
              </w:rPr>
              <w:t>-24.7%</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1,599</w:t>
            </w:r>
          </w:p>
        </w:tc>
        <w:tc>
          <w:tcPr>
            <w:tcW w:type="dxa" w:w="1440"/>
            <w:shd w:fill="FFDCE0" w:val="clear"/>
          </w:tcPr>
          <w:p>
            <w:r>
              <w:rPr>
                <w:b/>
                <w:sz w:val="17"/>
              </w:rPr>
              <w:t>1,765</w:t>
            </w:r>
          </w:p>
        </w:tc>
        <w:tc>
          <w:tcPr>
            <w:tcW w:type="dxa" w:w="1440"/>
            <w:shd w:fill="FFDCE0" w:val="clear"/>
          </w:tcPr>
          <w:p>
            <w:r>
              <w:rPr>
                <w:sz w:val="17"/>
              </w:rPr>
              <w:t>1,931</w:t>
            </w:r>
          </w:p>
        </w:tc>
        <w:tc>
          <w:tcPr>
            <w:tcW w:type="dxa" w:w="1440"/>
            <w:shd w:fill="FFDCE0" w:val="clear"/>
          </w:tcPr>
          <w:p>
            <w:r>
              <w:rPr>
                <w:b/>
                <w:color w:val="C00000"/>
                <w:sz w:val="17"/>
              </w:rPr>
              <w:t>-26.4%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1,555</w:t>
            </w:r>
          </w:p>
        </w:tc>
        <w:tc>
          <w:tcPr>
            <w:tcW w:type="dxa" w:w="1440"/>
            <w:shd w:fill="FFDCE0" w:val="clear"/>
          </w:tcPr>
          <w:p>
            <w:r>
              <w:rPr>
                <w:b/>
                <w:sz w:val="17"/>
              </w:rPr>
              <w:t>1,728</w:t>
            </w:r>
          </w:p>
        </w:tc>
        <w:tc>
          <w:tcPr>
            <w:tcW w:type="dxa" w:w="1440"/>
            <w:shd w:fill="FFDCE0" w:val="clear"/>
          </w:tcPr>
          <w:p>
            <w:r>
              <w:rPr>
                <w:sz w:val="17"/>
              </w:rPr>
              <w:t>1,900</w:t>
            </w:r>
          </w:p>
        </w:tc>
        <w:tc>
          <w:tcPr>
            <w:tcW w:type="dxa" w:w="1440"/>
            <w:shd w:fill="FFDCE0" w:val="clear"/>
          </w:tcPr>
          <w:p>
            <w:r>
              <w:rPr>
                <w:b/>
                <w:color w:val="C00000"/>
                <w:sz w:val="17"/>
              </w:rPr>
              <w:t>-28.0%</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1,515</w:t>
            </w:r>
          </w:p>
        </w:tc>
        <w:tc>
          <w:tcPr>
            <w:tcW w:type="dxa" w:w="1440"/>
            <w:shd w:fill="FFDCE0" w:val="clear"/>
          </w:tcPr>
          <w:p>
            <w:r>
              <w:rPr>
                <w:b/>
                <w:sz w:val="17"/>
              </w:rPr>
              <w:t>1,693</w:t>
            </w:r>
          </w:p>
        </w:tc>
        <w:tc>
          <w:tcPr>
            <w:tcW w:type="dxa" w:w="1440"/>
            <w:shd w:fill="FFDCE0" w:val="clear"/>
          </w:tcPr>
          <w:p>
            <w:r>
              <w:rPr>
                <w:sz w:val="17"/>
              </w:rPr>
              <w:t>1,871</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151,20 milliards FCFA, un niveau significatif qui positionne la société parmi les valeurs moyennes à grandes capitalisations de la BRVM, reflétant son statut d'acteur majeur de la distribution pétrolière en Côte d'Ivoire. Le BPA de 96 FCFA par action indique que chaque titre a généré un bénéfice modeste, caractéristique d'un secteur à faible marge. Le PER de 25,1x est particulièrement élevé comparé à la moyenne historique de la BRVM (8-12x), suggérant que les investisseurs anticipent une croissance future substantielle ou que le titre est surévalué par rapport à ses bénéfices actuels. Le P/B de 5,57x confirme cette prime boursière significative, le marché valorisant le titre bien au-delà de sa valeur comptable, ce qui traduit des attentes élevées en termes de rendement des actifs. Enfin, l'EV/EBITDA de 13,3x, bien que dans la fourchette haute (10-15x), indique une valorisation exigeante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+9,59%, avec une dernière séance stable à 2 400 FCFA. Le titre a évolué dans une fourchette de 1 840 à 2 480 FCFA, démontrant une amplitude de variation considérable de 640 FCFA, soit environ 35% du cours le plus bas. La moyenne du cours sur la période s'établit à 2 136 FCFA, légèrement inférieure à la médiane de 2 160 FCFA, indiquant une distribution quasi symétrique des prix, confirmée par un skewness de 0,287. Le mode de 2 200 FCFA suggère que le titre a fréquemment oscillé autour de ce niveau. L'écart-type de 166 FCFA, représentant un coefficient de variation de 7,8%, témoigne d'une dispersion modérée des prix autour de la moyenne. Le kurtosis de -0,767, qualifié de mésokurtique, indique une distribution proche de la normale sans risque extrême de pics. La volatilité annualisée de 35,2% classe le titre dans la catégorie des valeurs à volatilité élevée, ce qui implique des fluctuations de prix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2 400 FCFA se positionne nettement au-dessus de la MM20 (2 373 FCFA) et de la MM50 (2 268 FCFA), confirmant une tendance haussière de moyen terme. L'écart positif entre le cours et les moyennes mobiles indique une dynamique positive, justifiant la décision d'achat. La configuration des moyennes mobiles, avec la MM20 au-dessus de la MM50, suggère un croisement haussier favorable.</w:t>
      </w:r>
    </w:p>
    <w:p>
      <w:pPr>
        <w:spacing w:after="120" w:line="276" w:lineRule="auto"/>
      </w:pPr>
      <w:r>
        <w:t>**Bandes de Bollinger** : Le prix évolue à 2 400 FCFA, positionné entre la borne supérieure (2 550 FCFA) et la borne inférieure (2 196 FCFA), avec une largeur de bande de 354 FCFA indiquant une volatilité modérée. Le cours se situe dans la partie supérieure de la bande, proche de la borne haute, ce qui pourrait signaler une zone de surachat potentiel. La décision neutre reflète l'absence de signal directionnel fort, le prix n'ayant pas encore touché les extrêmes des bandes.</w:t>
      </w:r>
    </w:p>
    <w:p>
      <w:pPr>
        <w:spacing w:after="120" w:line="276" w:lineRule="auto"/>
      </w:pPr>
      <w:r>
        <w:t>**MACD** : La valeur du MACD (50,198) est inférieure à son signal (57,835), indiquant un croisement baissier récent. Cette configuration suggère un affaiblissement du momentum haussier à court terme, justifiant la décision de vente. La divergence négative entre le MACD et son signal pourrait précéder une correction du cours, bien que la valeur positive du MACD indique que la tendance de fond reste haussière.</w:t>
      </w:r>
    </w:p>
    <w:p>
      <w:pPr>
        <w:spacing w:after="120" w:line="276" w:lineRule="auto"/>
      </w:pPr>
      <w:r>
        <w:t>**RSI** : Avec une valeur de 76,316, le RSI se trouve en zone de surachat (au-dessus de 70), signalant que le titre a connu une hausse trop rapide et pourrait être sujet à une correction technique. Cette situation justifie la décision de vente, car elle suggère que le potentiel de hausse à court terme est limité et qu'un repli est probable pour normaliser les conditions de marché.</w:t>
      </w:r>
    </w:p>
    <w:p>
      <w:pPr>
        <w:spacing w:after="120" w:line="276" w:lineRule="auto"/>
      </w:pPr>
      <w:r>
        <w:t>**Stochastique** : Le %K (38,462) est inférieur au %D (60,44), indiquant un croisement baissier en cours. Cette configuration suggère un affaiblissement de la dynamique haussière, avec le %K qui a déjà quitté la zone de surachat. La décision neutre reflète l'absence de signal extrême, mais la tendance des indicateurs stochastiques penche vers une poursuite du mouvement correctif.</w:t>
      </w:r>
    </w:p>
    <w:p>
      <w:pPr>
        <w:spacing w:after="120" w:line="276" w:lineRule="auto"/>
      </w:pPr>
      <w:r>
        <w:t>**Conclusion technique** : La convergence des signaux techniques est mitigée. Les moyennes mobiles indiquent une tendance haussière de fond, mais le RSI en surachat, le MACD baissier et le stochastique en croisement négatif suggèrent tous un essoufflement du mouvement haussier à court terme. Cette divergence entre la tendance de moyen terme et les indicateurs de court terme laisse présager une consolidation ou une correction technique dans les prochaines séances.</w:t>
      </w:r>
    </w:p>
    <w:p>
      <w:pPr>
        <w:spacing w:after="120" w:line="276" w:lineRule="auto" w:before="240"/>
      </w:pPr>
      <w:r>
        <w:rPr>
          <w:b/>
          <w:color w:val="003366"/>
          <w:sz w:val="24"/>
        </w:rPr>
        <w:t>**PARTIE 3 : ANALYSE FONDAMENTALE (SECTION CRITIQUE)**</w:t>
      </w:r>
    </w:p>
    <w:p>
      <w:pPr>
        <w:spacing w:after="120" w:line="276" w:lineRule="auto"/>
      </w:pPr>
      <w:r>
        <w:t>En 2025, SHEC (VIVO ENERGY COTE D'IVOIRE) affiche un chiffre d'affaires de 604,978 milliards FCFA, en légère progression de 0,71% par rapport à 2024, et un résultat net de 6,028 milliards FCFA, en hausse de 12,6%. Le ROE s'établit à 22,20%, démontrant une excellente rentabilité des fonds propres, tandis que le ROA de 3,11% reflète une utilisation modérée des actifs. La marge nette reste faible à 0,996%, caractéristique du secteur de distribution pétrolière. Le BFR de 15,315 milliards FCFA est positif, indiquant un besoin de financement, avec un délai clients de 23,27 jours et un délai fournisseurs de 35,47 jours, ce qui crée un décalage de trésorerie défavorable. L'endettement total représente 43,95% des capitaux propres, avec une capacité de remboursement de 0,97 an, ce qui reste gérable. Le rapport du 3ème trimestre 2025 (daté du 30/09/2025) montre un résultat net cumulé de 4,119 milliards FCFA, en hausse de 45%, suggérant une accélération de la rentabilité au second semestre. Le rapport du 30 juin 2026 indique un CA de 305,038 milliards FCFA (-1%) mais un résultat d'exploitation en hausse de 17% à 6,133 milliards FCFA, confirmant la tendance d'amélioration opérationnelle. Sur la base de ces rapports récents, on estime que l'exercice 2026 pourrait maintenir un résultat net stable autour de 6 milliards FCFA, porté par la maîtrise des charges et le développement des segments butane et lubrifiants. La société propose un dividende de 6,09 milliards FCFA pour 2025, représentant un taux de distribution de 101%, ce qui témoigne d'une politique généreuse mais potentiellement fragile. Les fondamentaux de SHEC sont globalement solides avec une rentabilité en amélioration, mais la trésorerie nette négative de -65,26 milliards FCFA et la dépendance aux concours bancaires constituent des points de vigilance majeurs.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SHEC. La valorisation boursière (PER de 25,1x, P/B de 5,57x) indique une nette surévaluation du titre par rapport aux fondamentaux actuels, les investisseurs payant une prime significative pour des bénéfices modestes. Le comportement du cours sur 100 jours montre une tendance haussière de +9,59% mais avec une volatilité élevée (35,2%) et des signaux techniques divergents : les moyennes mobiles restent haussières tandis que le RSI (76,3) en surachat et le MACD baissier suggèrent une correction imminente. Les fondamentaux, bien qu'en amélioration avec un ROE de 22,2% et un résultat net en hausse de 12,6% en 2025, restent fragiles avec une marge nette de seulement 1% et une trésorerie nette très négative. Les prédictions IA pour les 10 prochains jours (2 254 à 1 909 FCFA) confirment cette anticipation de correction, projetant une baisse de plus de 20% par rapport au cours actuel. La convergence entre les signaux techniques de surachat, la valorisation exigeante et les prédictions IA baissières conduit à une recommandation de **VENTE** avec un niveau de confiance **Moyen** et un risque global **Élevé**. L'horizon d'investissement optimal serait le court terme (&lt;3 mois) pour les investisseurs cherchant à réaliser des gains, tandis que les investisseurs de long terme pourraient conserver le titre pour le rendement du dividende, mais en surveillant attentivement la capacité de la société à maintenir sa politique de distribution face à ses tensions de trésorerie.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10,003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+29.67%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9.97% (Moyenne) — μ=8,418 FCFA, σ=839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β=0.3814 (Défensif) — Cov=0.000014, Var(idx)=0.000037, ρ=0.128,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8,577</w:t>
            </w:r>
          </w:p>
        </w:tc>
        <w:tc>
          <w:tcPr>
            <w:tcW w:type="dxa" w:w="1440"/>
            <w:shd w:fill="FFDCE0" w:val="clear"/>
          </w:tcPr>
          <w:p>
            <w:r>
              <w:rPr>
                <w:b/>
                <w:sz w:val="17"/>
              </w:rPr>
              <w:t>8,863</w:t>
            </w:r>
          </w:p>
        </w:tc>
        <w:tc>
          <w:tcPr>
            <w:tcW w:type="dxa" w:w="1440"/>
            <w:shd w:fill="FFDCE0" w:val="clear"/>
          </w:tcPr>
          <w:p>
            <w:r>
              <w:rPr>
                <w:sz w:val="17"/>
              </w:rPr>
              <w:t>9,148</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8,164</w:t>
            </w:r>
          </w:p>
        </w:tc>
        <w:tc>
          <w:tcPr>
            <w:tcW w:type="dxa" w:w="1440"/>
            <w:shd w:fill="FFDCE0" w:val="clear"/>
          </w:tcPr>
          <w:p>
            <w:r>
              <w:rPr>
                <w:b/>
                <w:sz w:val="17"/>
              </w:rPr>
              <w:t>8,554</w:t>
            </w:r>
          </w:p>
        </w:tc>
        <w:tc>
          <w:tcPr>
            <w:tcW w:type="dxa" w:w="1440"/>
            <w:shd w:fill="FFDCE0" w:val="clear"/>
          </w:tcPr>
          <w:p>
            <w:r>
              <w:rPr>
                <w:sz w:val="17"/>
              </w:rPr>
              <w:t>8,944</w:t>
            </w:r>
          </w:p>
        </w:tc>
        <w:tc>
          <w:tcPr>
            <w:tcW w:type="dxa" w:w="1440"/>
            <w:shd w:fill="FFDCE0" w:val="clear"/>
          </w:tcPr>
          <w:p>
            <w:r>
              <w:rPr>
                <w:b/>
                <w:color w:val="C00000"/>
                <w:sz w:val="17"/>
              </w:rPr>
              <w:t>-7.0%</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7,822</w:t>
            </w:r>
          </w:p>
        </w:tc>
        <w:tc>
          <w:tcPr>
            <w:tcW w:type="dxa" w:w="1440"/>
            <w:shd w:fill="FFDCE0" w:val="clear"/>
          </w:tcPr>
          <w:p>
            <w:r>
              <w:rPr>
                <w:b/>
                <w:sz w:val="17"/>
              </w:rPr>
              <w:t>8,285</w:t>
            </w:r>
          </w:p>
        </w:tc>
        <w:tc>
          <w:tcPr>
            <w:tcW w:type="dxa" w:w="1440"/>
            <w:shd w:fill="FFDCE0" w:val="clear"/>
          </w:tcPr>
          <w:p>
            <w:r>
              <w:rPr>
                <w:sz w:val="17"/>
              </w:rPr>
              <w:t>8,747</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7,538</w:t>
            </w:r>
          </w:p>
        </w:tc>
        <w:tc>
          <w:tcPr>
            <w:tcW w:type="dxa" w:w="1440"/>
            <w:shd w:fill="FFDCE0" w:val="clear"/>
          </w:tcPr>
          <w:p>
            <w:r>
              <w:rPr>
                <w:b/>
                <w:sz w:val="17"/>
              </w:rPr>
              <w:t>8,058</w:t>
            </w:r>
          </w:p>
        </w:tc>
        <w:tc>
          <w:tcPr>
            <w:tcW w:type="dxa" w:w="1440"/>
            <w:shd w:fill="FFDCE0" w:val="clear"/>
          </w:tcPr>
          <w:p>
            <w:r>
              <w:rPr>
                <w:sz w:val="17"/>
              </w:rPr>
              <w:t>8,577</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7,299</w:t>
            </w:r>
          </w:p>
        </w:tc>
        <w:tc>
          <w:tcPr>
            <w:tcW w:type="dxa" w:w="1440"/>
            <w:shd w:fill="FFDCE0" w:val="clear"/>
          </w:tcPr>
          <w:p>
            <w:r>
              <w:rPr>
                <w:b/>
                <w:sz w:val="17"/>
              </w:rPr>
              <w:t>7,867</w:t>
            </w:r>
          </w:p>
        </w:tc>
        <w:tc>
          <w:tcPr>
            <w:tcW w:type="dxa" w:w="1440"/>
            <w:shd w:fill="FFDCE0" w:val="clear"/>
          </w:tcPr>
          <w:p>
            <w:r>
              <w:rPr>
                <w:sz w:val="17"/>
              </w:rPr>
              <w:t>8,434</w:t>
            </w:r>
          </w:p>
        </w:tc>
        <w:tc>
          <w:tcPr>
            <w:tcW w:type="dxa" w:w="1440"/>
            <w:shd w:fill="FFDCE0" w:val="clear"/>
          </w:tcPr>
          <w:p>
            <w:r>
              <w:rPr>
                <w:b/>
                <w:color w:val="C00000"/>
                <w:sz w:val="17"/>
              </w:rPr>
              <w:t>-14.5%</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7,094</w:t>
            </w:r>
          </w:p>
        </w:tc>
        <w:tc>
          <w:tcPr>
            <w:tcW w:type="dxa" w:w="1440"/>
            <w:shd w:fill="FFDCE0" w:val="clear"/>
          </w:tcPr>
          <w:p>
            <w:r>
              <w:rPr>
                <w:b/>
                <w:sz w:val="17"/>
              </w:rPr>
              <w:t>7,702</w:t>
            </w:r>
          </w:p>
        </w:tc>
        <w:tc>
          <w:tcPr>
            <w:tcW w:type="dxa" w:w="1440"/>
            <w:shd w:fill="FFDCE0" w:val="clear"/>
          </w:tcPr>
          <w:p>
            <w:r>
              <w:rPr>
                <w:sz w:val="17"/>
              </w:rPr>
              <w:t>8,311</w:t>
            </w:r>
          </w:p>
        </w:tc>
        <w:tc>
          <w:tcPr>
            <w:tcW w:type="dxa" w:w="1440"/>
            <w:shd w:fill="FFDCE0" w:val="clear"/>
          </w:tcPr>
          <w:p>
            <w:r>
              <w:rPr>
                <w:b/>
                <w:color w:val="C00000"/>
                <w:sz w:val="17"/>
              </w:rPr>
              <w:t>-16.3%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6,914</w:t>
            </w:r>
          </w:p>
        </w:tc>
        <w:tc>
          <w:tcPr>
            <w:tcW w:type="dxa" w:w="1440"/>
            <w:shd w:fill="FFDCE0" w:val="clear"/>
          </w:tcPr>
          <w:p>
            <w:r>
              <w:rPr>
                <w:b/>
                <w:sz w:val="17"/>
              </w:rPr>
              <w:t>7,558</w:t>
            </w:r>
          </w:p>
        </w:tc>
        <w:tc>
          <w:tcPr>
            <w:tcW w:type="dxa" w:w="1440"/>
            <w:shd w:fill="FFDCE0" w:val="clear"/>
          </w:tcPr>
          <w:p>
            <w:r>
              <w:rPr>
                <w:sz w:val="17"/>
              </w:rPr>
              <w:t>8,203</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6,752</w:t>
            </w:r>
          </w:p>
        </w:tc>
        <w:tc>
          <w:tcPr>
            <w:tcW w:type="dxa" w:w="1440"/>
            <w:shd w:fill="FFDCE0" w:val="clear"/>
          </w:tcPr>
          <w:p>
            <w:r>
              <w:rPr>
                <w:b/>
                <w:sz w:val="17"/>
              </w:rPr>
              <w:t>7,430</w:t>
            </w:r>
          </w:p>
        </w:tc>
        <w:tc>
          <w:tcPr>
            <w:tcW w:type="dxa" w:w="1440"/>
            <w:shd w:fill="FFDCE0" w:val="clear"/>
          </w:tcPr>
          <w:p>
            <w:r>
              <w:rPr>
                <w:sz w:val="17"/>
              </w:rPr>
              <w:t>8,107</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6,606</w:t>
            </w:r>
          </w:p>
        </w:tc>
        <w:tc>
          <w:tcPr>
            <w:tcW w:type="dxa" w:w="1440"/>
            <w:shd w:fill="FFDCE0" w:val="clear"/>
          </w:tcPr>
          <w:p>
            <w:r>
              <w:rPr>
                <w:b/>
                <w:sz w:val="17"/>
              </w:rPr>
              <w:t>7,314</w:t>
            </w:r>
          </w:p>
        </w:tc>
        <w:tc>
          <w:tcPr>
            <w:tcW w:type="dxa" w:w="1440"/>
            <w:shd w:fill="FFDCE0" w:val="clear"/>
          </w:tcPr>
          <w:p>
            <w:r>
              <w:rPr>
                <w:sz w:val="17"/>
              </w:rPr>
              <w:t>8,021</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6,472</w:t>
            </w:r>
          </w:p>
        </w:tc>
        <w:tc>
          <w:tcPr>
            <w:tcW w:type="dxa" w:w="1440"/>
            <w:shd w:fill="FFDCE0" w:val="clear"/>
          </w:tcPr>
          <w:p>
            <w:r>
              <w:rPr>
                <w:b/>
                <w:sz w:val="17"/>
              </w:rPr>
              <w:t>7,207</w:t>
            </w:r>
          </w:p>
        </w:tc>
        <w:tc>
          <w:tcPr>
            <w:tcW w:type="dxa" w:w="1440"/>
            <w:shd w:fill="FFDCE0" w:val="clear"/>
          </w:tcPr>
          <w:p>
            <w:r>
              <w:rPr>
                <w:sz w:val="17"/>
              </w:rPr>
              <w:t>7,942</w:t>
            </w:r>
          </w:p>
        </w:tc>
        <w:tc>
          <w:tcPr>
            <w:tcW w:type="dxa" w:w="1440"/>
            <w:shd w:fill="FFDCE0" w:val="clear"/>
          </w:tcPr>
          <w:p>
            <w:r>
              <w:rPr>
                <w:b/>
                <w:color w:val="C00000"/>
                <w:sz w:val="17"/>
              </w:rPr>
              <w:t>-21.7%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SIBC s'établit à 920 milliards FCFA, ce qui en fait l'une des valeurs les plus significatives de la BRVM, reflétant son statut de banque systémique en Côte d'Ivoire. Avec un BPA de 556 FCFA, chaque action génère un bénéfice substantiel, mais le PER de 16,5x indique que les investisseurs paient une prime notable par rapport à la moyenne historique du marché BRVM (8-12x), suggérant une valorisation déjà généreuse intégrant des attentes de croissance soutenue. Le P/B de 4,49x confirme cette lecture : le marché valorise l'action près de 4,5 fois sa valeur comptable, signe d'une forte confiance dans la qualité des actifs et la rentabilité future, mais aussi d'une marge de sécurité réduite. Enfin, l'EV/EBITDA de 15,3x, bien que supérieur au seuil exigeant de 15x, reste cohérent avec les standards des banques performantes de la zone UEMOA, justifiant partiellement cette prime par l'excellente génération de cash-flow opérationnel.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enregistré une progression spectaculaire de +29,67%, passant d'un plus bas de 6 805 FCFA à un plus haut de 9 500 FCFA, avant de clôturer à 9 200 FCFA, soit un léger repli de -1,08% lors de la dernière séance. Cette tendance haussière marquée est confirmée par les statistiques descriptives : le cours moyen de 8 418 FCFA est inférieur à la médiane de 8 825 FCFA, et le skewness négatif de -0,784 indique que les journées au-dessus de la moyenne ont été plus fréquentes, typique d'un marché porteur. L'écart-type de 843 FCFA (CV de 10%) révèle une dispersion modérée, tandis que le kurtosis platykurtique de -1,040 suggère une distribution aplatie avec peu de valeurs extrêmes, réduisant le risque de mouvements brusques. La volatilité annualisée de 28,8% positionne le titre dans une zone modérée à élevée, reflétant une dynamique de croissance soutenue mais avec des fluctuations notables, caractéristique des valeurs bancaires en phase d'appréciation rapide sur la BRVM.</w:t>
      </w:r>
    </w:p>
    <w:p>
      <w:pPr>
        <w:spacing w:after="120" w:line="276" w:lineRule="auto" w:before="240"/>
      </w:pPr>
      <w:r>
        <w:rPr>
          <w:b/>
          <w:color w:val="003366"/>
          <w:sz w:val="24"/>
        </w:rPr>
        <w:t>**PARTIE 2 : ANALYSE TECHNIQUE DÉTAILLÉE**</w:t>
      </w:r>
    </w:p>
    <w:p>
      <w:pPr>
        <w:spacing w:after="120" w:line="276" w:lineRule="auto"/>
      </w:pPr>
      <w:r>
        <w:t>**Moyennes Mobiles** : Le cours actuel de 9 200 FCFA se positionne au-dessus de la MM20 (9 202,5 FCFA) et nettement au-dessus de la MM50 (9 032,1 FCFA), confirmant une structure haussière de moyen terme. La proximité du cours avec la MM20 suggère un léger essoufflement à court terme, mais la configuration globale reste positive, justifiant la décision d'Achat.</w:t>
      </w:r>
    </w:p>
    <w:p>
      <w:pPr>
        <w:spacing w:after="120" w:line="276" w:lineRule="auto"/>
      </w:pPr>
      <w:r>
        <w:t>**Bandes de Bollinger** : Le prix se situe à 9 200 FCFA, entre la borne supérieure de 9 441,4 FCFA et la borne inférieure de 8 963,6 FCFA, indiquant une volatilité modérée sans excès. La position centrale du cours dans les bandes suggère une phase de consolidation après la forte hausse, d'où la décision Neutre, le titre n'étant ni suracheté ni survendu.</w:t>
      </w:r>
    </w:p>
    <w:p>
      <w:pPr>
        <w:spacing w:after="120" w:line="276" w:lineRule="auto"/>
      </w:pPr>
      <w:r>
        <w:t>**MACD** : La valeur du MACD (55,9) est légèrement inférieure à son signal (59,3), indiquant un momentum baissier à court terme. Cette divergence négative, bien que modeste, signale un possible ralentissement de la dynamique haussière, justifiant la décision de Vente pour les traders à court terme.</w:t>
      </w:r>
    </w:p>
    <w:p>
      <w:pPr>
        <w:spacing w:after="120" w:line="276" w:lineRule="auto"/>
      </w:pPr>
      <w:r>
        <w:t>**RSI** : À 51,02, le RSI se situe exactement dans la zone neutre (30-70), indiquant un équilibre entre pression acheteuse et vendeuse. Cette valeur reflète une absence de surachat ou de survente, cohérente avec la phase de consolidation observée, d'où la décision Neutre.</w:t>
      </w:r>
    </w:p>
    <w:p>
      <w:pPr>
        <w:spacing w:after="120" w:line="276" w:lineRule="auto"/>
      </w:pPr>
      <w:r>
        <w:t>**Stochastique** : Le %K (66,7) est inférieur au %D (88,9), suggérant un croisement baissier potentiel. Cette configuration indique un affaiblissement du momentum haussier à très court terme, mais les valeurs restent dans la zone positive, justifiant une décision Neutre avec une vigilance accrue.</w:t>
      </w:r>
    </w:p>
    <w:p>
      <w:pPr>
        <w:spacing w:after="120" w:line="276" w:lineRule="auto"/>
      </w:pPr>
      <w:r>
        <w:t>**Conclusion technique** : Les indicateurs techniques présentent un tableau contrasté : les moyennes mobiles restent haussières, mais le MACD, le RSI et le Stochastique signalent tous un essoufflement du momentum. Cette divergence entre la tendance de fond (haussière) et les indicateurs de court terme (neutres à baissiers) suggère une phase de consolidation nécessaire avant une éventuelle reprise de la hausse, ou un risque de correction technique à surveiller.</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SIBC révèlent une performance financière exceptionnelle : le Produit Net Bancaire atteint 108,663 milliards FCFA, en croissance de 5,74%, générant un résultat net de 55,623 milliards FCFA, soit une marge nette remarquable de 51,19%. La rentabilité des fonds propres (ROE) s'établit à 27,16%, largement au-dessus du seuil d'excellence de 15%, tandis que le ROA de 2,96% confirme une utilisation efficace des actifs. Le coefficient d'exploitation de 38,59% témoigne d'une gestion rigoureuse des charges, bien en-dessous du seuil d'excellence de 50%. La structure financière montre une autonomie de 10,88% et une solvabilité générale de 112,21%, avec un ratio d'endettement de 50,92%. Les rapports trimestriels confirment cette trajectoire : le T1 2025 (PNB 26,5 Mds, RN 13,6 Mds) et le T3 2025 (PNB cumulé 81,4 Mds, RN 43,0 Mds) montrent une croissance soutenue de 8-11%. Le rapport T1 2026 (publié en mai 2026) indique un PNB de 27,7 milliards (+4%) et un résultat net de 15,2 milliards (+11%), avec des dépôts en hausse de 9% à 1 495 milliards et des crédits en progression de 7% à 1 112 milliards. Sur cette base, on estime que l'exercice 2026 devrait voir le PNB atteindre environ 113-115 milliards FCFA et le résultat net dépasser 60 milliards FCFA, confirmant la solidité du modèle économique et la poursuite du plan stratégique « IMPULSION 2028 ».</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SIBC. La valorisation (PER 16,5x, P/B 4,49x) indique une prime significative par rapport au marché BRVM, intégrant déjà les excellentes performances passées, tandis que le comportement du cours (+29,67% sur 100 jours) montre une dynamique haussière soutenue mais potentiellement surchauffée. Les signaux techniques sont mitigés : les moyennes mobiles restent haussières, mais le MACD, le RSI et le Stochastique signalent un essoufflement à court terme. Les fondamentaux demeurent excellents avec un ROE de 27,16%, un coefficient d'exploitation de 38,59% et une croissance soutenue du résultat net (+11% au T1 2026). Cependant, les prédictions IA pour les 10 prochains jours (9 200 → 7 867 FCFA, soit -14,5%) suggèrent une correction significative imminente, contredisant la tendance haussière de fond. Cette divergence entre les fondamentaux solides et les signaux techniques/IA de court terme appelle à la prudence. **Recommandation finale : CONSERVER** pour les investisseurs déjà positionnés, avec un niveau de confiance Moyen et un risque global Moyen. L'horizon d'investissement optimal serait le moyen terme (3-12 mois), permettant d'absorber la correction technique anticipée tout en bénéficiant de la croissance fondamentale solide de la banque. Un point d'entrée plus attractif pourrait se présenter autour de 8 000-8 500 FCFA si la correction prédite se matérialise.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5.03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127 titres</w:t>
            </w:r>
          </w:p>
        </w:tc>
        <w:tc>
          <w:tcPr>
            <w:tcW w:type="dxa" w:w="2268"/>
            <w:shd w:fill="FFF2CC" w:val="clear"/>
          </w:tcPr>
          <w:p>
            <w:r>
              <w:rPr>
                <w:b/>
                <w:color w:val="503200"/>
                <w:sz w:val="16"/>
              </w:rPr>
              <w:t xml:space="preserve">Cours actuel : </w:t>
            </w:r>
            <w:r>
              <w:rPr>
                <w:color w:val="000000"/>
                <w:sz w:val="17"/>
              </w:rPr>
              <w:t>8,385 FCFA</w:t>
            </w:r>
          </w:p>
          <w:p>
            <w:r>
              <w:rPr>
                <w:b/>
                <w:color w:val="503200"/>
                <w:sz w:val="16"/>
              </w:rPr>
              <w:t xml:space="preserve">Var. 100 jours : </w:t>
            </w:r>
            <w:r>
              <w:rPr>
                <w:b/>
                <w:color w:val="007800"/>
                <w:sz w:val="17"/>
              </w:rPr>
              <w:t>+109.89%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60.7%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30.73% (Élevée) — μ=5,513 FCFA, σ=1,694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β=-0.8110 (Contre-cyclique) — Cov=-0.000030, Var(idx)=0.000037, ρ=-0.131,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7,387</w:t>
            </w:r>
          </w:p>
        </w:tc>
        <w:tc>
          <w:tcPr>
            <w:tcW w:type="dxa" w:w="1440"/>
            <w:shd w:fill="FFDCE0" w:val="clear"/>
          </w:tcPr>
          <w:p>
            <w:r>
              <w:rPr>
                <w:b/>
                <w:sz w:val="17"/>
              </w:rPr>
              <w:t>7,985</w:t>
            </w:r>
          </w:p>
        </w:tc>
        <w:tc>
          <w:tcPr>
            <w:tcW w:type="dxa" w:w="1440"/>
            <w:shd w:fill="FFDCE0" w:val="clear"/>
          </w:tcPr>
          <w:p>
            <w:r>
              <w:rPr>
                <w:sz w:val="17"/>
              </w:rPr>
              <w:t>8,584</w:t>
            </w:r>
          </w:p>
        </w:tc>
        <w:tc>
          <w:tcPr>
            <w:tcW w:type="dxa" w:w="1440"/>
            <w:shd w:fill="FFDCE0" w:val="clear"/>
          </w:tcPr>
          <w:p>
            <w:r>
              <w:rPr>
                <w:b/>
                <w:color w:val="C00000"/>
                <w:sz w:val="17"/>
              </w:rPr>
              <w:t>-4.8%</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7,003</w:t>
            </w:r>
          </w:p>
        </w:tc>
        <w:tc>
          <w:tcPr>
            <w:tcW w:type="dxa" w:w="1440"/>
            <w:shd w:fill="FFDCE0" w:val="clear"/>
          </w:tcPr>
          <w:p>
            <w:r>
              <w:rPr>
                <w:b/>
                <w:sz w:val="17"/>
              </w:rPr>
              <w:t>7,933</w:t>
            </w:r>
          </w:p>
        </w:tc>
        <w:tc>
          <w:tcPr>
            <w:tcW w:type="dxa" w:w="1440"/>
            <w:shd w:fill="FFDCE0" w:val="clear"/>
          </w:tcPr>
          <w:p>
            <w:r>
              <w:rPr>
                <w:sz w:val="17"/>
              </w:rPr>
              <w:t>8,864</w:t>
            </w:r>
          </w:p>
        </w:tc>
        <w:tc>
          <w:tcPr>
            <w:tcW w:type="dxa" w:w="1440"/>
            <w:shd w:fill="FFDCE0" w:val="clear"/>
          </w:tcPr>
          <w:p>
            <w:r>
              <w:rPr>
                <w:b/>
                <w:color w:val="C00000"/>
                <w:sz w:val="17"/>
              </w:rPr>
              <w:t>-5.4%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6,680</w:t>
            </w:r>
          </w:p>
        </w:tc>
        <w:tc>
          <w:tcPr>
            <w:tcW w:type="dxa" w:w="1440"/>
            <w:shd w:fill="FFDCE0" w:val="clear"/>
          </w:tcPr>
          <w:p>
            <w:r>
              <w:rPr>
                <w:b/>
                <w:sz w:val="17"/>
              </w:rPr>
              <w:t>7,800</w:t>
            </w:r>
          </w:p>
        </w:tc>
        <w:tc>
          <w:tcPr>
            <w:tcW w:type="dxa" w:w="1440"/>
            <w:shd w:fill="FFDCE0" w:val="clear"/>
          </w:tcPr>
          <w:p>
            <w:r>
              <w:rPr>
                <w:sz w:val="17"/>
              </w:rPr>
              <w:t>8,920</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6,384</w:t>
            </w:r>
          </w:p>
        </w:tc>
        <w:tc>
          <w:tcPr>
            <w:tcW w:type="dxa" w:w="1440"/>
            <w:shd w:fill="FFDCE0" w:val="clear"/>
          </w:tcPr>
          <w:p>
            <w:r>
              <w:rPr>
                <w:b/>
                <w:sz w:val="17"/>
              </w:rPr>
              <w:t>7,652</w:t>
            </w:r>
          </w:p>
        </w:tc>
        <w:tc>
          <w:tcPr>
            <w:tcW w:type="dxa" w:w="1440"/>
            <w:shd w:fill="FFDCE0" w:val="clear"/>
          </w:tcPr>
          <w:p>
            <w:r>
              <w:rPr>
                <w:sz w:val="17"/>
              </w:rPr>
              <w:t>8,921</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6,111</w:t>
            </w:r>
          </w:p>
        </w:tc>
        <w:tc>
          <w:tcPr>
            <w:tcW w:type="dxa" w:w="1440"/>
            <w:shd w:fill="FFDCE0" w:val="clear"/>
          </w:tcPr>
          <w:p>
            <w:r>
              <w:rPr>
                <w:b/>
                <w:sz w:val="17"/>
              </w:rPr>
              <w:t>7,502</w:t>
            </w:r>
          </w:p>
        </w:tc>
        <w:tc>
          <w:tcPr>
            <w:tcW w:type="dxa" w:w="1440"/>
            <w:shd w:fill="FFDCE0" w:val="clear"/>
          </w:tcPr>
          <w:p>
            <w:r>
              <w:rPr>
                <w:sz w:val="17"/>
              </w:rPr>
              <w:t>8,893</w:t>
            </w:r>
          </w:p>
        </w:tc>
        <w:tc>
          <w:tcPr>
            <w:tcW w:type="dxa" w:w="1440"/>
            <w:shd w:fill="FFDCE0" w:val="clear"/>
          </w:tcPr>
          <w:p>
            <w:r>
              <w:rPr>
                <w:b/>
                <w:color w:val="C00000"/>
                <w:sz w:val="17"/>
              </w:rPr>
              <w:t>-10.5%</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5,860</w:t>
            </w:r>
          </w:p>
        </w:tc>
        <w:tc>
          <w:tcPr>
            <w:tcW w:type="dxa" w:w="1440"/>
            <w:shd w:fill="FFDCE0" w:val="clear"/>
          </w:tcPr>
          <w:p>
            <w:r>
              <w:rPr>
                <w:b/>
                <w:sz w:val="17"/>
              </w:rPr>
              <w:t>7,353</w:t>
            </w:r>
          </w:p>
        </w:tc>
        <w:tc>
          <w:tcPr>
            <w:tcW w:type="dxa" w:w="1440"/>
            <w:shd w:fill="FFDCE0" w:val="clear"/>
          </w:tcPr>
          <w:p>
            <w:r>
              <w:rPr>
                <w:sz w:val="17"/>
              </w:rPr>
              <w:t>8,846</w:t>
            </w:r>
          </w:p>
        </w:tc>
        <w:tc>
          <w:tcPr>
            <w:tcW w:type="dxa" w:w="1440"/>
            <w:shd w:fill="FFDCE0" w:val="clear"/>
          </w:tcPr>
          <w:p>
            <w:r>
              <w:rPr>
                <w:b/>
                <w:color w:val="C00000"/>
                <w:sz w:val="17"/>
              </w:rPr>
              <w:t>-12.3%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5,626</w:t>
            </w:r>
          </w:p>
        </w:tc>
        <w:tc>
          <w:tcPr>
            <w:tcW w:type="dxa" w:w="1440"/>
            <w:shd w:fill="FFDCE0" w:val="clear"/>
          </w:tcPr>
          <w:p>
            <w:r>
              <w:rPr>
                <w:b/>
                <w:sz w:val="17"/>
              </w:rPr>
              <w:t>7,207</w:t>
            </w:r>
          </w:p>
        </w:tc>
        <w:tc>
          <w:tcPr>
            <w:tcW w:type="dxa" w:w="1440"/>
            <w:shd w:fill="FFDCE0" w:val="clear"/>
          </w:tcPr>
          <w:p>
            <w:r>
              <w:rPr>
                <w:sz w:val="17"/>
              </w:rPr>
              <w:t>8,787</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5,409</w:t>
            </w:r>
          </w:p>
        </w:tc>
        <w:tc>
          <w:tcPr>
            <w:tcW w:type="dxa" w:w="1440"/>
            <w:shd w:fill="FFDCE0" w:val="clear"/>
          </w:tcPr>
          <w:p>
            <w:r>
              <w:rPr>
                <w:b/>
                <w:sz w:val="17"/>
              </w:rPr>
              <w:t>7,065</w:t>
            </w:r>
          </w:p>
        </w:tc>
        <w:tc>
          <w:tcPr>
            <w:tcW w:type="dxa" w:w="1440"/>
            <w:shd w:fill="FFDCE0" w:val="clear"/>
          </w:tcPr>
          <w:p>
            <w:r>
              <w:rPr>
                <w:sz w:val="17"/>
              </w:rPr>
              <w:t>8,722</w:t>
            </w:r>
          </w:p>
        </w:tc>
        <w:tc>
          <w:tcPr>
            <w:tcW w:type="dxa" w:w="1440"/>
            <w:shd w:fill="FFDCE0" w:val="clear"/>
          </w:tcPr>
          <w:p>
            <w:r>
              <w:rPr>
                <w:b/>
                <w:color w:val="C00000"/>
                <w:sz w:val="17"/>
              </w:rPr>
              <w:t>-15.7%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5,206</w:t>
            </w:r>
          </w:p>
        </w:tc>
        <w:tc>
          <w:tcPr>
            <w:tcW w:type="dxa" w:w="1440"/>
            <w:shd w:fill="FFDCE0" w:val="clear"/>
          </w:tcPr>
          <w:p>
            <w:r>
              <w:rPr>
                <w:b/>
                <w:sz w:val="17"/>
              </w:rPr>
              <w:t>6,929</w:t>
            </w:r>
          </w:p>
        </w:tc>
        <w:tc>
          <w:tcPr>
            <w:tcW w:type="dxa" w:w="1440"/>
            <w:shd w:fill="FFDCE0" w:val="clear"/>
          </w:tcPr>
          <w:p>
            <w:r>
              <w:rPr>
                <w:sz w:val="17"/>
              </w:rPr>
              <w:t>8,652</w:t>
            </w:r>
          </w:p>
        </w:tc>
        <w:tc>
          <w:tcPr>
            <w:tcW w:type="dxa" w:w="1440"/>
            <w:shd w:fill="FFDCE0" w:val="clear"/>
          </w:tcPr>
          <w:p>
            <w:r>
              <w:rPr>
                <w:b/>
                <w:color w:val="C00000"/>
                <w:sz w:val="17"/>
              </w:rPr>
              <w:t>-17.4%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5,016</w:t>
            </w:r>
          </w:p>
        </w:tc>
        <w:tc>
          <w:tcPr>
            <w:tcW w:type="dxa" w:w="1440"/>
            <w:shd w:fill="FFDCE0" w:val="clear"/>
          </w:tcPr>
          <w:p>
            <w:r>
              <w:rPr>
                <w:b/>
                <w:sz w:val="17"/>
              </w:rPr>
              <w:t>6,798</w:t>
            </w:r>
          </w:p>
        </w:tc>
        <w:tc>
          <w:tcPr>
            <w:tcW w:type="dxa" w:w="1440"/>
            <w:shd w:fill="FFDCE0" w:val="clear"/>
          </w:tcPr>
          <w:p>
            <w:r>
              <w:rPr>
                <w:sz w:val="17"/>
              </w:rPr>
              <w:t>8,580</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SICC,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5,03 milliards FCFA positionne SICC comme une valeur de petite capitalisation sur la BRVM, un segment souvent délaissé par les investisseurs institutionnels mais pouvant offrir des opportunités de croissance. Les ratios de valorisation (BPA, PER, P/B, EV/EBITDA) ne sont pas calculables en raison de l'absence de données financières structurées et récentes dans la base. Cette absence est un signal d'alerte majeur pour l'analyse quantitative, car elle empêche de déterminer si le marché valorise correctement la société par rapport à ses bénéfices ou à son actif net. En l'état, l'investisseur ne peut pas juger si le prix actuel de 8 385 FCFA est "cher" ou "bon marché" sur une base fondamentale, ce qui introduit un risque d'évaluation significatif. La prudence est donc de mise, car la forte progression du cours n'est pas adossée à des données de valorisation vérifiables.</w:t>
      </w:r>
    </w:p>
    <w:p>
      <w:pPr>
        <w:spacing w:after="120" w:line="276" w:lineRule="auto"/>
      </w:pPr>
      <w:r>
        <w:t>### PARTIE 1 : ANALYSE DU COURS — STATISTIQUES ET ÉVOLUTION (100 derniers jours)</w:t>
      </w:r>
    </w:p>
    <w:p>
      <w:pPr>
        <w:spacing w:after="120" w:line="276" w:lineRule="auto"/>
      </w:pPr>
      <w:r>
        <w:t>Sur les 100 derniers jours, l'action SICC a connu une hausse spectaculaire de +109,89%, avec une accélération notable lors de la dernière séance (+7,50%). Le cours a évolué dans une fourchette très large, oscillant entre un plus bas de 3 930 FCFA et un plus haut de 10 200 FCFA, démontrant une volatilité extrême. La moyenne (5 513 FCFA) est nettement supérieure à la médiane (4 605 FCFA), et le skewness positif de 1,309 confirme une distribution asymétrique avec des jours de forte hausse qui tirent la moyenne vers le haut, mais aussi un grand nombre de journées sous la moyenne. L'écart-type de 1 703 FCFA (CV=30,9%) et la volatilité annualisée de 60,7% signalent un risque de marché très élevé. Le kurtosis de 0,440 indique une distribution mésokurtique, suggérant que les mouvements extrêmes de prix ne sont pas plus fréquents que dans une distribution normale, ce qui est surprenant compte tenu de l'amplitude des variations.</w:t>
      </w:r>
    </w:p>
    <w:p>
      <w:pPr>
        <w:spacing w:after="120" w:line="276" w:lineRule="auto"/>
      </w:pPr>
      <w:r>
        <w:t>### PARTIE 2 : ANALYSE TECHNIQUE DÉTAILLÉE</w:t>
      </w:r>
    </w:p>
    <w:p>
      <w:pPr>
        <w:spacing w:after="120" w:line="276" w:lineRule="auto"/>
      </w:pPr>
      <w:r>
        <w:t>**Moyennes Mobiles:** La MM20 (8 573,5 FCFA) est supérieure à la MM50 (6 677,4 FCFA), et le cours actuel (8 385 FCFA) est passé sous sa MM20 après une longue période au-dessus. Ce croisement baissier à court terme, malgré une tendance de fond haussière (cours &gt; MM50), justifie la décision d'**Achat** à moyen terme, mais signale un essoufflement potentiel à court terme.</w:t>
      </w:r>
    </w:p>
    <w:p>
      <w:pPr>
        <w:spacing w:after="120" w:line="276" w:lineRule="auto"/>
      </w:pPr>
      <w:r>
        <w:t>**Bandes de Bollinger:** Le prix actuel (8 385 FCFA) se situe dans la partie médiane de la bande, entre la borne inférieure (6 799,5 FCFA) et la borne supérieure (10 347,5 FCFA). La largeur des bandes est considérable, reflétant la volatilité élevée. La décision **Neutre** est cohérente, car le prix n'est pas en situation de surachat ou de survente extrême, mais l'écart avec la borne supérieure après un pic suggère une consolidation en cours.</w:t>
      </w:r>
    </w:p>
    <w:p>
      <w:pPr>
        <w:spacing w:after="120" w:line="276" w:lineRule="auto"/>
      </w:pPr>
      <w:r>
        <w:t>**MACD:** Le MACD (375,9) est passé sous sa ligne de signal (582,7), formant un croisement baissier. Cette configuration indique un ralentissement du momentum haussier et précède souvent une correction ou une phase de consolidation. La décision de **Vente** est justifiée par ce croisement, qui est un signal de retournement de tendance à court terme.</w:t>
      </w:r>
    </w:p>
    <w:p>
      <w:pPr>
        <w:spacing w:after="120" w:line="276" w:lineRule="auto"/>
      </w:pPr>
      <w:r>
        <w:t>**RSI:** Le RSI à 27,3 est en zone de survente (&lt;30). Cela suggère que le titre a été vendu de manière excessive et qu'un rebond technique est possible à très court terme. La décision d'**Achat** se base sur ce potentiel de rebond, mais il est crucial de noter que dans une tendance baissière forte, le RSI peut rester en zone de survente pendant une période prolongée.</w:t>
      </w:r>
    </w:p>
    <w:p>
      <w:pPr>
        <w:spacing w:after="120" w:line="276" w:lineRule="auto"/>
      </w:pPr>
      <w:r>
        <w:t>**Stochastique:** Le %K (24,4) est au-dessus du %D (8,1), indiquant un début de croisement haussier depuis des conditions de survente extrême. La décision **Neutre** est prudente, car ce croisement est encore fragile. Il devra être confirmé par une remontée du %K au-dessus de 30 pour signaler un renversement de tendance plus fiable.</w:t>
      </w:r>
    </w:p>
    <w:p>
      <w:pPr>
        <w:spacing w:after="120" w:line="276" w:lineRule="auto"/>
      </w:pPr>
      <w:r>
        <w:t>**Conclusion technique:** Les signaux sont contradictoires. Le RSI et le Stochastique suggèrent un rebond imminent après une chute brutale, tandis que le MACD et la position sous la MM20 indiquent une dynamique baissière à court terme. La tendance de fond reste haussière (MM50). Cette configuration suggère une phase de forte volatilité et d'incertitude, avec un risque de correction à court terme avant une possible reprise de la tendance haussière.</w:t>
      </w:r>
    </w:p>
    <w:p>
      <w:pPr>
        <w:spacing w:after="120" w:line="276" w:lineRule="auto"/>
      </w:pPr>
      <w:r>
        <w:t>### PARTIE 3 : ANALYSE FONDAMENTALE (SECTION CRITIQUE)</w:t>
      </w:r>
    </w:p>
    <w:p>
      <w:pPr>
        <w:spacing w:after="120" w:line="276" w:lineRule="auto"/>
      </w:pPr>
      <w:r>
        <w:t>L'analyse fondamentale s'appuie sur les rapports annuels disponibles, le plus récent datant de l'exercice 2024 (publié en 2026). Il est impératif de noter que le rapport le plus récent (2026-12-31) est tronqué et ne fournit pas de chiffres exploitables. Les données les plus complètes proviennent des rapports 2023 et 2022. En 2023, la société, identifiée comme la **SICOR** (Société Ivoirienne de Coco Râpé), a réalisé un chiffre d'affaires de **701,09 millions FCFA**, en forte baisse de 38,4% par rapport à 2022 (1 138,17 millions FCFA). Malgré cette chute, elle a renoué avec les bénéfices, affichant un résultat net de **+19,25 millions FCFA** (contre une perte de -39,95 millions en 2022), grâce à une réduction drastique des charges (-43,68%). Cette amélioration reste fragile, la marge nette de 2,75% étant inférieure aux standards du secteur. L'entreprise ne distribue aucun dividende, priorisant l'apurement de ses pertes cumulées de 689,86 millions FCFA. Les rapports plus anciens (2015-2020) montrent une activité historiquement rentable mais très volatile, avec des exercices 2021 et 2020 bénéficiaires. Le rapport de 2020 confirme un redressement opérationnel avec un CA de 2,36 milliards FCFA et un bénéfice de 109,8 millions. La recommandation fondamentale est **CONSERVER**, car si la société a prouvé sa capacité à revenir à l'équilibre, sa rentabilité est faible, son endettement et sa trésorerie sont des points de vigilance, et l'absence de perspectives de dividende à court terme pénalise l'attractivité du titre.</w:t>
      </w:r>
    </w:p>
    <w:p>
      <w:pPr>
        <w:spacing w:after="120" w:line="276" w:lineRule="auto"/>
      </w:pPr>
      <w:r>
        <w:t>### PARTIE 4 : CONCLUSION D'INVESTISSEMENT</w:t>
      </w:r>
    </w:p>
    <w:p>
      <w:pPr>
        <w:spacing w:after="120" w:line="276" w:lineRule="auto"/>
      </w:pPr>
      <w:r>
        <w:t>La situation de l'action SICC est extrêmement spéculative. La valorisation boursière est impossible à déterminer faute de ratios fiables, un signal d'incertitude majeur. Le comportement du cours sur 100 jours est haussier mais excessivement volatil, avec des statistiques montrant une distribution asymétrique et un risque élevé. Les signaux techniques sont contradictoires, oscillant entre un rebond de survente à court terme et une correction plus profonde, tandis que les fondamentaux, bien qu'en amélioration en 2023, restent fragiles avec une rentabilité faible et aucun dividende. Les prédictions IA pour les 10 prochains jours (chute de 8 385 à 7 502 FCFA) confirment le scénario de correction à court terme suggéré par le MACD et la position sous la MM20. La convergence des signaux techniques baissiers à court terme et des prédictions IA, combinée à l'absence de soutien fondamental solide, conduit à une recommandation de **VENTE** pour les investisseurs à court terme, avec un niveau de confiance **Moyen** et un risque global **Élevé**. Pour un investisseur à long terme, l'horizon optimal serait de surveiller une stabilisation du cours et une amélioration durable des fondamentaux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5,567 titres</w:t>
            </w:r>
          </w:p>
        </w:tc>
        <w:tc>
          <w:tcPr>
            <w:tcW w:type="dxa" w:w="2268"/>
            <w:shd w:fill="FFF2CC" w:val="clear"/>
          </w:tcPr>
          <w:p>
            <w:r>
              <w:rPr>
                <w:b/>
                <w:color w:val="503200"/>
                <w:sz w:val="16"/>
              </w:rPr>
              <w:t xml:space="preserve">Cours actuel : </w:t>
            </w:r>
            <w:r>
              <w:rPr>
                <w:color w:val="000000"/>
                <w:sz w:val="17"/>
              </w:rPr>
              <w:t>2,330 FCFA</w:t>
            </w:r>
          </w:p>
          <w:p>
            <w:r>
              <w:rPr>
                <w:b/>
                <w:color w:val="503200"/>
                <w:sz w:val="16"/>
              </w:rPr>
              <w:t xml:space="preserve">Var. 100 jours : </w:t>
            </w:r>
            <w:r>
              <w:rPr>
                <w:b/>
                <w:color w:val="B40000"/>
                <w:sz w:val="17"/>
              </w:rPr>
              <w:t>-23.86%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11.03% (Moyenne) — μ=2,566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β=0.3308 (Défensif) — Cov=0.000012, Var(idx)=0.000037, ρ=0.063,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Achat=3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2,146</w:t>
            </w:r>
          </w:p>
        </w:tc>
        <w:tc>
          <w:tcPr>
            <w:tcW w:type="dxa" w:w="1440"/>
            <w:shd w:fill="FFDCE0" w:val="clear"/>
          </w:tcPr>
          <w:p>
            <w:r>
              <w:rPr>
                <w:b/>
                <w:sz w:val="17"/>
              </w:rPr>
              <w:t>2,230</w:t>
            </w:r>
          </w:p>
        </w:tc>
        <w:tc>
          <w:tcPr>
            <w:tcW w:type="dxa" w:w="1440"/>
            <w:shd w:fill="FFDCE0" w:val="clear"/>
          </w:tcPr>
          <w:p>
            <w:r>
              <w:rPr>
                <w:sz w:val="17"/>
              </w:rPr>
              <w:t>2,315</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2,071</w:t>
            </w:r>
          </w:p>
        </w:tc>
        <w:tc>
          <w:tcPr>
            <w:tcW w:type="dxa" w:w="1440"/>
            <w:shd w:fill="FFDCE0" w:val="clear"/>
          </w:tcPr>
          <w:p>
            <w:r>
              <w:rPr>
                <w:b/>
                <w:sz w:val="17"/>
              </w:rPr>
              <w:t>2,189</w:t>
            </w:r>
          </w:p>
        </w:tc>
        <w:tc>
          <w:tcPr>
            <w:tcW w:type="dxa" w:w="1440"/>
            <w:shd w:fill="FFDCE0" w:val="clear"/>
          </w:tcPr>
          <w:p>
            <w:r>
              <w:rPr>
                <w:sz w:val="17"/>
              </w:rPr>
              <w:t>2,306</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1,999</w:t>
            </w:r>
          </w:p>
        </w:tc>
        <w:tc>
          <w:tcPr>
            <w:tcW w:type="dxa" w:w="1440"/>
            <w:shd w:fill="FFDCE0" w:val="clear"/>
          </w:tcPr>
          <w:p>
            <w:r>
              <w:rPr>
                <w:b/>
                <w:sz w:val="17"/>
              </w:rPr>
              <w:t>2,140</w:t>
            </w:r>
          </w:p>
        </w:tc>
        <w:tc>
          <w:tcPr>
            <w:tcW w:type="dxa" w:w="1440"/>
            <w:shd w:fill="FFDCE0" w:val="clear"/>
          </w:tcPr>
          <w:p>
            <w:r>
              <w:rPr>
                <w:sz w:val="17"/>
              </w:rPr>
              <w:t>2,281</w:t>
            </w:r>
          </w:p>
        </w:tc>
        <w:tc>
          <w:tcPr>
            <w:tcW w:type="dxa" w:w="1440"/>
            <w:shd w:fill="FFDCE0" w:val="clear"/>
          </w:tcPr>
          <w:p>
            <w:r>
              <w:rPr>
                <w:b/>
                <w:color w:val="C00000"/>
                <w:sz w:val="17"/>
              </w:rPr>
              <w:t>-8.2%</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1,932</w:t>
            </w:r>
          </w:p>
        </w:tc>
        <w:tc>
          <w:tcPr>
            <w:tcW w:type="dxa" w:w="1440"/>
            <w:shd w:fill="FFDCE0" w:val="clear"/>
          </w:tcPr>
          <w:p>
            <w:r>
              <w:rPr>
                <w:b/>
                <w:sz w:val="17"/>
              </w:rPr>
              <w:t>2,091</w:t>
            </w:r>
          </w:p>
        </w:tc>
        <w:tc>
          <w:tcPr>
            <w:tcW w:type="dxa" w:w="1440"/>
            <w:shd w:fill="FFDCE0" w:val="clear"/>
          </w:tcPr>
          <w:p>
            <w:r>
              <w:rPr>
                <w:sz w:val="17"/>
              </w:rPr>
              <w:t>2,250</w:t>
            </w:r>
          </w:p>
        </w:tc>
        <w:tc>
          <w:tcPr>
            <w:tcW w:type="dxa" w:w="1440"/>
            <w:shd w:fill="FFDCE0" w:val="clear"/>
          </w:tcPr>
          <w:p>
            <w:r>
              <w:rPr>
                <w:b/>
                <w:color w:val="C00000"/>
                <w:sz w:val="17"/>
              </w:rPr>
              <w:t>-10.3%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1,870</w:t>
            </w:r>
          </w:p>
        </w:tc>
        <w:tc>
          <w:tcPr>
            <w:tcW w:type="dxa" w:w="1440"/>
            <w:shd w:fill="FFDCE0" w:val="clear"/>
          </w:tcPr>
          <w:p>
            <w:r>
              <w:rPr>
                <w:b/>
                <w:sz w:val="17"/>
              </w:rPr>
              <w:t>2,043</w:t>
            </w:r>
          </w:p>
        </w:tc>
        <w:tc>
          <w:tcPr>
            <w:tcW w:type="dxa" w:w="1440"/>
            <w:shd w:fill="FFDCE0" w:val="clear"/>
          </w:tcPr>
          <w:p>
            <w:r>
              <w:rPr>
                <w:sz w:val="17"/>
              </w:rPr>
              <w:t>2,217</w:t>
            </w:r>
          </w:p>
        </w:tc>
        <w:tc>
          <w:tcPr>
            <w:tcW w:type="dxa" w:w="1440"/>
            <w:shd w:fill="FFDCE0" w:val="clear"/>
          </w:tcPr>
          <w:p>
            <w:r>
              <w:rPr>
                <w:b/>
                <w:color w:val="C00000"/>
                <w:sz w:val="17"/>
              </w:rPr>
              <w:t>-12.3%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1,811</w:t>
            </w:r>
          </w:p>
        </w:tc>
        <w:tc>
          <w:tcPr>
            <w:tcW w:type="dxa" w:w="1440"/>
            <w:shd w:fill="FFDCE0" w:val="clear"/>
          </w:tcPr>
          <w:p>
            <w:r>
              <w:rPr>
                <w:b/>
                <w:sz w:val="17"/>
              </w:rPr>
              <w:t>1,997</w:t>
            </w:r>
          </w:p>
        </w:tc>
        <w:tc>
          <w:tcPr>
            <w:tcW w:type="dxa" w:w="1440"/>
            <w:shd w:fill="FFDCE0" w:val="clear"/>
          </w:tcPr>
          <w:p>
            <w:r>
              <w:rPr>
                <w:sz w:val="17"/>
              </w:rPr>
              <w:t>2,183</w:t>
            </w:r>
          </w:p>
        </w:tc>
        <w:tc>
          <w:tcPr>
            <w:tcW w:type="dxa" w:w="1440"/>
            <w:shd w:fill="FFDCE0" w:val="clear"/>
          </w:tcPr>
          <w:p>
            <w:r>
              <w:rPr>
                <w:b/>
                <w:color w:val="C00000"/>
                <w:sz w:val="17"/>
              </w:rPr>
              <w:t>-14.3%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1,756</w:t>
            </w:r>
          </w:p>
        </w:tc>
        <w:tc>
          <w:tcPr>
            <w:tcW w:type="dxa" w:w="1440"/>
            <w:shd w:fill="FFDCE0" w:val="clear"/>
          </w:tcPr>
          <w:p>
            <w:r>
              <w:rPr>
                <w:b/>
                <w:sz w:val="17"/>
              </w:rPr>
              <w:t>1,952</w:t>
            </w:r>
          </w:p>
        </w:tc>
        <w:tc>
          <w:tcPr>
            <w:tcW w:type="dxa" w:w="1440"/>
            <w:shd w:fill="FFDCE0" w:val="clear"/>
          </w:tcPr>
          <w:p>
            <w:r>
              <w:rPr>
                <w:sz w:val="17"/>
              </w:rPr>
              <w:t>2,149</w:t>
            </w:r>
          </w:p>
        </w:tc>
        <w:tc>
          <w:tcPr>
            <w:tcW w:type="dxa" w:w="1440"/>
            <w:shd w:fill="FFDCE0" w:val="clear"/>
          </w:tcPr>
          <w:p>
            <w:r>
              <w:rPr>
                <w:b/>
                <w:color w:val="C00000"/>
                <w:sz w:val="17"/>
              </w:rPr>
              <w:t>-16.2%</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1,704</w:t>
            </w:r>
          </w:p>
        </w:tc>
        <w:tc>
          <w:tcPr>
            <w:tcW w:type="dxa" w:w="1440"/>
            <w:shd w:fill="FFDCE0" w:val="clear"/>
          </w:tcPr>
          <w:p>
            <w:r>
              <w:rPr>
                <w:b/>
                <w:sz w:val="17"/>
              </w:rPr>
              <w:t>1,909</w:t>
            </w:r>
          </w:p>
        </w:tc>
        <w:tc>
          <w:tcPr>
            <w:tcW w:type="dxa" w:w="1440"/>
            <w:shd w:fill="FFDCE0" w:val="clear"/>
          </w:tcPr>
          <w:p>
            <w:r>
              <w:rPr>
                <w:sz w:val="17"/>
              </w:rPr>
              <w:t>2,114</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1,655</w:t>
            </w:r>
          </w:p>
        </w:tc>
        <w:tc>
          <w:tcPr>
            <w:tcW w:type="dxa" w:w="1440"/>
            <w:shd w:fill="FFDCE0" w:val="clear"/>
          </w:tcPr>
          <w:p>
            <w:r>
              <w:rPr>
                <w:b/>
                <w:sz w:val="17"/>
              </w:rPr>
              <w:t>1,868</w:t>
            </w:r>
          </w:p>
        </w:tc>
        <w:tc>
          <w:tcPr>
            <w:tcW w:type="dxa" w:w="1440"/>
            <w:shd w:fill="FFDCE0" w:val="clear"/>
          </w:tcPr>
          <w:p>
            <w:r>
              <w:rPr>
                <w:sz w:val="17"/>
              </w:rPr>
              <w:t>2,081</w:t>
            </w:r>
          </w:p>
        </w:tc>
        <w:tc>
          <w:tcPr>
            <w:tcW w:type="dxa" w:w="1440"/>
            <w:shd w:fill="FFDCE0" w:val="clear"/>
          </w:tcPr>
          <w:p>
            <w:r>
              <w:rPr>
                <w:b/>
                <w:color w:val="C00000"/>
                <w:sz w:val="17"/>
              </w:rPr>
              <w:t>-19.8%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1,608</w:t>
            </w:r>
          </w:p>
        </w:tc>
        <w:tc>
          <w:tcPr>
            <w:tcW w:type="dxa" w:w="1440"/>
            <w:shd w:fill="FFDCE0" w:val="clear"/>
          </w:tcPr>
          <w:p>
            <w:r>
              <w:rPr>
                <w:b/>
                <w:sz w:val="17"/>
              </w:rPr>
              <w:t>1,828</w:t>
            </w:r>
          </w:p>
        </w:tc>
        <w:tc>
          <w:tcPr>
            <w:tcW w:type="dxa" w:w="1440"/>
            <w:shd w:fill="FFDCE0" w:val="clear"/>
          </w:tcPr>
          <w:p>
            <w:r>
              <w:rPr>
                <w:sz w:val="17"/>
              </w:rPr>
              <w:t>2,047</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(ex-AIR LIQUIDE CI)**</w:t>
        <w:br/>
        <w:t>**Date de l'analyse : 05 septembre 2026**</w:t>
        <w:br/>
        <w:t>**Cours de référence : 2 330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20,35 milliards FCFA positionne ERIUM CI comme une valeur de taille moyenne sur la BRVM. Le titre se traite à un niveau extrêmement exigeant au regard de ses bénéfices, avec un PER de 54,0x, très supérieur à la moyenne historique de la place (~8-12x). Ce ratio suggère que les investisseurs anticipent une croissance future des bénéfices significative, ou que le marché valorise un actif stratégique. Le P/B de 6,22x confirme cette prime, le marché valorisant l'actif net comptable plus de six fois au-dessus de sa valeur. Enfin, l'EV/EBITDA de 17,0x indique que la valeur d'entreprise (capitalisation + dette) représente 17 fois le résultat opérationnel brut, un niveau de valorisation très élevé qui laisse peu de marge d'erreur sur l'exécution de la stratégie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ERIUM CI a subi une forte dépréciation de -23,86%, avec une accélération récente (-2,92% sur la dernière séance). Le titre a évolué dans une fourchette large de 1 920 FCFA (plus bas) à 3 215 FCFA (plus haut), illustrant une forte amplitude de trading. La moyenne du cours sur la période (2 566 FCFA) est inférieure à la médiane (2 625 FCFA), indiquant une distribution légèrement asymétrique avec une queue de distribution vers les cours les plus bas. L'écart-type de 284 FCFA (CV = 11,1%) témoigne d'une dispersion modérée autour de la moyenne. Le kurtosis négatif (-0,993) suggère une distribution mésokurtique, sans risque de variations extrêmes, tandis que le skewness légèrement négatif (-0,132) confirme une asymétrie vers les rendements négatifs. La volatilité annualisée de 51,0% est très élevée, classant ce titre comme spéculatif et risqué pour un investisseur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(2 330 FCFA) se situe sous la MM20 (2 363,25 FCFA) mais au-dessus de la MM50 (2 316,9 FCFA). Cette configuration, où le cours est entre les deux moyennes, suggère une tendance hésitante. La décision "Achat" est probablement générée par le croisement haussier de la MM20 au-dessus de la MM50, indiquant un potentiel de rebond technique à court terme malgré la pression vendeuse récente.</w:t>
      </w:r>
    </w:p>
    <w:p>
      <w:pPr>
        <w:spacing w:after="120" w:line="276" w:lineRule="auto"/>
      </w:pPr>
      <w:r>
        <w:t>**Bandes de Bollinger** : Le prix évolue dans la partie médiane du canal, entre la borne inférieure (2 225,2 FCFA) et la borne supérieure (2 501,3 FCFA). La position actuelle, proche de la moyenne mobile, indique une volatilité en contraction. La décision "Neutre" est cohérente, le marché n'étant ni en situation de surachat ni de survente extrême, laissant place à une consolidation.</w:t>
      </w:r>
    </w:p>
    <w:p>
      <w:pPr>
        <w:spacing w:after="120" w:line="276" w:lineRule="auto"/>
      </w:pPr>
      <w:r>
        <w:t>**MACD** : La valeur du MACD (12,891) est supérieure à son signal (10,339), avec un écart positif. Cette configuration est un signal haussier classique, indiquant que le momentum à moyen terme est en train de s'améliorer. La décision "Achat" se justifie par cette divergence positive, qui suggère une possible poursuite du rebond technique.</w:t>
      </w:r>
    </w:p>
    <w:p>
      <w:pPr>
        <w:spacing w:after="120" w:line="276" w:lineRule="auto"/>
      </w:pPr>
      <w:r>
        <w:t>**RSI** : À 37,805, le RSI se situe en zone neutre, proche de la zone de survente (&lt;30). Cela indique que le titre n'est ni suracheté ni survendu, mais que la pression vendeuse s'estompe. La décision "Neutre" est appropriée, le marché attendant un signal directionnel plus clair.</w:t>
      </w:r>
    </w:p>
    <w:p>
      <w:pPr>
        <w:spacing w:after="120" w:line="276" w:lineRule="auto"/>
      </w:pPr>
      <w:r>
        <w:t>**Stochastique** : Le %K (17,391) est très bas, en zone de survente, tandis que le %D (62,742) est plus élevé. Ce croisement baissier récent suggère un potentiel de rebond technique. La décision "Achat" se base sur ce déséquilibre, anticipant un retour du %K vers le %D.</w:t>
      </w:r>
    </w:p>
    <w:p>
      <w:pPr>
        <w:spacing w:after="120" w:line="276" w:lineRule="auto"/>
      </w:pPr>
      <w:r>
        <w:t>**Conclusion technique** : Les indicateurs sont mitigés mais globalement positifs à court terme. Les moyennes mobiles et le MACD suggèrent un potentiel de rebond, tandis que le RSI et les bandes de Bollinger indiquent une phase de consolidation. Le stochastique en survente renforce l'hypothèse d'un rebond technique. Cependant, la tendance de fond reste baissière, et un rebond ne serait qu'un mouvement correctif au sein d'une tendance baissière plus large.</w:t>
      </w:r>
    </w:p>
    <w:p>
      <w:pPr>
        <w:spacing w:after="120" w:line="276" w:lineRule="auto"/>
      </w:pPr>
      <w:r>
        <w:t>---</w:t>
      </w:r>
    </w:p>
    <w:p>
      <w:pPr>
        <w:spacing w:after="120" w:line="276" w:lineRule="auto"/>
      </w:pPr>
      <w:r>
        <w:t>### PARTIE 3 : ANALYSE FONDAMENTALE (SECTION CRITIQUE)</w:t>
      </w:r>
    </w:p>
    <w:p>
      <w:pPr>
        <w:spacing w:after="120" w:line="276" w:lineRule="auto"/>
      </w:pPr>
      <w:r>
        <w:t>Les états financiers annuels 2024 (base de données structurée) révèlent une entreprise industrielle (et non une banque, malgré certaines classifications) avec un chiffre d'affaires de 9,283 milliards FCFA et un résultat net de 376,96 millions FCFA (marge nette de 4,06%). Le ROE s'établit à 11,52% et le ROA à 2,69%, indiquant une rentabilité correcte mais perfectible. Le rapport annuel 2025 (daté du 31/12/2025, analysé le 29/06/2026) montre une hausse du CA de +8,53% à 10,07 milliards FCFA, mais une chute brutale du résultat net de -52,4% à 179,3 millions FCFA (marge nette de 1,78%). Cette dégradation s'explique par une forte augmentation des charges et une perte financière de -114 millions FCFA. Le rapport du 3ème trimestre 2025 (cumul au 30/09/2025) contraste fortement, affichant un résultat net cumulé de 832,5 millions FCFA (+58% vs T3 2024), suggérant une dégradation significative au T4 2025. Les capitaux propres ont diminué à 2,53 milliards FCFA en 2025, et l'endettement financier a augmenté à 4,16 milliards FCFA. La trésorerie nette reste négative (-1,66 milliard FCFA). Le changement de contrôle (cession d'Air Liquide International à ERIUM LTD au prix de 230 FCFA/action le 21/11/2025) marque un tournant stratégique majeur. Les estimations pour 2026, basées sur la dynamique du S1 2025 (+8,8% CA) et du T3 2025, suggèrent une reprise possible de la rentabilité si la nouvelle direction maîtrise les charges.</w:t>
      </w:r>
    </w:p>
    <w:p>
      <w:pPr>
        <w:spacing w:after="120" w:line="276" w:lineRule="auto"/>
      </w:pPr>
      <w:r>
        <w:t>---</w:t>
      </w:r>
    </w:p>
    <w:p>
      <w:pPr>
        <w:spacing w:after="120" w:line="276" w:lineRule="auto"/>
      </w:pPr>
      <w:r>
        <w:t>### PARTIE 4 : CONCLUSION D'INVESTISSEMENT</w:t>
      </w:r>
    </w:p>
    <w:p>
      <w:pPr>
        <w:spacing w:after="120" w:line="276" w:lineRule="auto"/>
      </w:pPr>
      <w:r>
        <w:t>La valorisation boursière (PER de 54x, P/B de 6,22x) est extrêmement exigeante et reflète une prime spéculative, en décalage avec la dégradation des fondamentaux de 2025. Le comportement du cours (-23,86% sur 100 jours) et la volatilité élevée (51%) indiquent un titre risqué, avec une tendance baissière marquée. Les signaux techniques sont mitigés, avec un potentiel de rebond à court terme (MACD, stochastique) mais une tendance de fond négative. Les fondamentaux montrent une entreprise en transition, avec un CA en croissance mais une rentabilité en chute libre et une structure financière fragilisée. Les prédictions IA (2 230 FCFA à J+1, 2 043 FCFA à J+10) confirment la poursuite de la baisse à court terme. La convergence des signaux (valorisation excessive, tendance baissière, fondamentaux dégradés, prédictions baissières) conduit à une recommandation **VENTE**. Le niveau de confiance est **Moyen**, le risque global est **Élevé**. L'horizon d'investissement optimal serait le **court terme (&lt;3 mois)** pour les investisseurs cherchant à réduire leur exposition, en attendant une stabilisation des fondamentaux et un point d'entrée plus attractif.</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613.17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1,255 titres</w:t>
            </w:r>
          </w:p>
        </w:tc>
        <w:tc>
          <w:tcPr>
            <w:tcW w:type="dxa" w:w="2268"/>
            <w:shd w:fill="FFF2CC" w:val="clear"/>
          </w:tcPr>
          <w:p>
            <w:r>
              <w:rPr>
                <w:b/>
                <w:color w:val="503200"/>
                <w:sz w:val="16"/>
              </w:rPr>
              <w:t xml:space="preserve">Cours actuel : </w:t>
            </w:r>
            <w:r>
              <w:rPr>
                <w:color w:val="000000"/>
                <w:sz w:val="17"/>
              </w:rPr>
              <w:t>37,250 FCFA</w:t>
            </w:r>
          </w:p>
          <w:p>
            <w:r>
              <w:rPr>
                <w:b/>
                <w:color w:val="503200"/>
                <w:sz w:val="16"/>
              </w:rPr>
              <w:t xml:space="preserve">Var. 100 jours : </w:t>
            </w:r>
            <w:r>
              <w:rPr>
                <w:b/>
                <w:color w:val="007800"/>
                <w:sz w:val="17"/>
              </w:rPr>
              <w:t>+0.13%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2.50% (Faible) — μ=38,306 FCFA, σ=959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β=0.0284 (Défensif) — Cov=0.000001, Var(idx)=0.000037, ρ=0.009,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36,353</w:t>
            </w:r>
          </w:p>
        </w:tc>
        <w:tc>
          <w:tcPr>
            <w:tcW w:type="dxa" w:w="1440"/>
            <w:shd w:fill="FAFAFA" w:val="clear"/>
          </w:tcPr>
          <w:p>
            <w:r>
              <w:rPr>
                <w:b/>
                <w:sz w:val="17"/>
              </w:rPr>
              <w:t>37,611</w:t>
            </w:r>
          </w:p>
        </w:tc>
        <w:tc>
          <w:tcPr>
            <w:tcW w:type="dxa" w:w="1440"/>
            <w:shd w:fill="FAFAFA" w:val="clear"/>
          </w:tcPr>
          <w:p>
            <w:r>
              <w:rPr>
                <w:sz w:val="17"/>
              </w:rPr>
              <w:t>38,870</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35,724</w:t>
            </w:r>
          </w:p>
        </w:tc>
        <w:tc>
          <w:tcPr>
            <w:tcW w:type="dxa" w:w="1440"/>
            <w:shd w:fill="FAFAFA" w:val="clear"/>
          </w:tcPr>
          <w:p>
            <w:r>
              <w:rPr>
                <w:b/>
                <w:sz w:val="17"/>
              </w:rPr>
              <w:t>37,498</w:t>
            </w:r>
          </w:p>
        </w:tc>
        <w:tc>
          <w:tcPr>
            <w:tcW w:type="dxa" w:w="1440"/>
            <w:shd w:fill="FAFAFA" w:val="clear"/>
          </w:tcPr>
          <w:p>
            <w:r>
              <w:rPr>
                <w:sz w:val="17"/>
              </w:rPr>
              <w:t>39,273</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35,277</w:t>
            </w:r>
          </w:p>
        </w:tc>
        <w:tc>
          <w:tcPr>
            <w:tcW w:type="dxa" w:w="1440"/>
            <w:shd w:fill="FAFAFA" w:val="clear"/>
          </w:tcPr>
          <w:p>
            <w:r>
              <w:rPr>
                <w:b/>
                <w:sz w:val="17"/>
              </w:rPr>
              <w:t>37,447</w:t>
            </w:r>
          </w:p>
        </w:tc>
        <w:tc>
          <w:tcPr>
            <w:tcW w:type="dxa" w:w="1440"/>
            <w:shd w:fill="FAFAFA" w:val="clear"/>
          </w:tcPr>
          <w:p>
            <w:r>
              <w:rPr>
                <w:sz w:val="17"/>
              </w:rPr>
              <w:t>39,618</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34,907</w:t>
            </w:r>
          </w:p>
        </w:tc>
        <w:tc>
          <w:tcPr>
            <w:tcW w:type="dxa" w:w="1440"/>
            <w:shd w:fill="FAFAFA" w:val="clear"/>
          </w:tcPr>
          <w:p>
            <w:r>
              <w:rPr>
                <w:b/>
                <w:sz w:val="17"/>
              </w:rPr>
              <w:t>37,411</w:t>
            </w:r>
          </w:p>
        </w:tc>
        <w:tc>
          <w:tcPr>
            <w:tcW w:type="dxa" w:w="1440"/>
            <w:shd w:fill="FAFAFA" w:val="clear"/>
          </w:tcPr>
          <w:p>
            <w:r>
              <w:rPr>
                <w:sz w:val="17"/>
              </w:rPr>
              <w:t>39,915</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34,581</w:t>
            </w:r>
          </w:p>
        </w:tc>
        <w:tc>
          <w:tcPr>
            <w:tcW w:type="dxa" w:w="1440"/>
            <w:shd w:fill="FAFAFA" w:val="clear"/>
          </w:tcPr>
          <w:p>
            <w:r>
              <w:rPr>
                <w:b/>
                <w:sz w:val="17"/>
              </w:rPr>
              <w:t>37,378</w:t>
            </w:r>
          </w:p>
        </w:tc>
        <w:tc>
          <w:tcPr>
            <w:tcW w:type="dxa" w:w="1440"/>
            <w:shd w:fill="FAFAFA" w:val="clear"/>
          </w:tcPr>
          <w:p>
            <w:r>
              <w:rPr>
                <w:sz w:val="17"/>
              </w:rPr>
              <w:t>40,175</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34,284</w:t>
            </w:r>
          </w:p>
        </w:tc>
        <w:tc>
          <w:tcPr>
            <w:tcW w:type="dxa" w:w="1440"/>
            <w:shd w:fill="FAFAFA" w:val="clear"/>
          </w:tcPr>
          <w:p>
            <w:r>
              <w:rPr>
                <w:b/>
                <w:sz w:val="17"/>
              </w:rPr>
              <w:t>37,345</w:t>
            </w:r>
          </w:p>
        </w:tc>
        <w:tc>
          <w:tcPr>
            <w:tcW w:type="dxa" w:w="1440"/>
            <w:shd w:fill="FAFAFA" w:val="clear"/>
          </w:tcPr>
          <w:p>
            <w:r>
              <w:rPr>
                <w:sz w:val="17"/>
              </w:rPr>
              <w:t>40,406</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34,009</w:t>
            </w:r>
          </w:p>
        </w:tc>
        <w:tc>
          <w:tcPr>
            <w:tcW w:type="dxa" w:w="1440"/>
            <w:shd w:fill="FAFAFA" w:val="clear"/>
          </w:tcPr>
          <w:p>
            <w:r>
              <w:rPr>
                <w:b/>
                <w:sz w:val="17"/>
              </w:rPr>
              <w:t>37,313</w:t>
            </w:r>
          </w:p>
        </w:tc>
        <w:tc>
          <w:tcPr>
            <w:tcW w:type="dxa" w:w="1440"/>
            <w:shd w:fill="FAFAFA" w:val="clear"/>
          </w:tcPr>
          <w:p>
            <w:r>
              <w:rPr>
                <w:sz w:val="17"/>
              </w:rPr>
              <w:t>40,616</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33,752</w:t>
            </w:r>
          </w:p>
        </w:tc>
        <w:tc>
          <w:tcPr>
            <w:tcW w:type="dxa" w:w="1440"/>
            <w:shd w:fill="FAFAFA" w:val="clear"/>
          </w:tcPr>
          <w:p>
            <w:r>
              <w:rPr>
                <w:b/>
                <w:sz w:val="17"/>
              </w:rPr>
              <w:t>37,281</w:t>
            </w:r>
          </w:p>
        </w:tc>
        <w:tc>
          <w:tcPr>
            <w:tcW w:type="dxa" w:w="1440"/>
            <w:shd w:fill="FAFAFA" w:val="clear"/>
          </w:tcPr>
          <w:p>
            <w:r>
              <w:rPr>
                <w:sz w:val="17"/>
              </w:rPr>
              <w:t>40,809</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33,509</w:t>
            </w:r>
          </w:p>
        </w:tc>
        <w:tc>
          <w:tcPr>
            <w:tcW w:type="dxa" w:w="1440"/>
            <w:shd w:fill="FAFAFA" w:val="clear"/>
          </w:tcPr>
          <w:p>
            <w:r>
              <w:rPr>
                <w:b/>
                <w:sz w:val="17"/>
              </w:rPr>
              <w:t>37,248</w:t>
            </w:r>
          </w:p>
        </w:tc>
        <w:tc>
          <w:tcPr>
            <w:tcW w:type="dxa" w:w="1440"/>
            <w:shd w:fill="FAFAFA" w:val="clear"/>
          </w:tcPr>
          <w:p>
            <w:r>
              <w:rPr>
                <w:sz w:val="17"/>
              </w:rPr>
              <w:t>40,988</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33,278</w:t>
            </w:r>
          </w:p>
        </w:tc>
        <w:tc>
          <w:tcPr>
            <w:tcW w:type="dxa" w:w="1440"/>
            <w:shd w:fill="FAFAFA" w:val="clear"/>
          </w:tcPr>
          <w:p>
            <w:r>
              <w:rPr>
                <w:b/>
                <w:sz w:val="17"/>
              </w:rPr>
              <w:t>37,216</w:t>
            </w:r>
          </w:p>
        </w:tc>
        <w:tc>
          <w:tcPr>
            <w:tcW w:type="dxa" w:w="1440"/>
            <w:shd w:fill="FAFAFA" w:val="clear"/>
          </w:tcPr>
          <w:p>
            <w:r>
              <w:rPr>
                <w:sz w:val="17"/>
              </w:rPr>
              <w:t>41,154</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613,17 milliards FCFA, ce qui positionne la société parmi les valeurs à grande capitalisation de la BRVM, lui conférant une liquidité et une visibilité importantes. Le BPA de 2 781 FCFA indique que chaque action génère un bénéfice substantiel, justifiant un PER de 13,4x, légèrement supérieur à la moyenne historique de la place (~8-12x), mais qui reste modéré compte tenu de la croissance exceptionnelle de l'entreprise. Le P/B de 3,14x reflète la prime de croissance accordée par le marché à une société dont le ROE dépasse 23%, tandis que l'EV/EBITDA de 7,3x, situé dans la fourchette raisonnable de 5-10x, confirme une valorisation cohérente avec la capacité opérationnelle de l'entreprise. Ces ratios suggèrent que le marché intègre déjà une partie des bonnes performances, mais sans excès de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+0,13%, passant par un plus haut de 41 500 FCFA et un plus bas de 35 540 FCFA, soit une amplitude de près de 6 000 FCFA. La dernière séance enregistre un repli de -1,95%, ramenant le cours à 37 250 FCFA, ce qui témoigne d'une certaine nervosité à court terme. La moyenne (38 306 FCFA) et la médiane (38 005 FCFA) sont très proches, indiquant une distribution relativement symétrique des cours, confirmée par un skewness de 0,322. L'écart-type de 964 FCFA, avec un coefficient de variation de seulement 2,5%, révèle une dispersion très faible autour de la moyenne, suggérant un cours globalement stable. Le kurtosis de 0,269, qualifié de mésokurtique, indique l'absence de mouvements extrêmes fréquents, tandis que la volatilité annualisée de 29,8% positionne le titre dans la zone élevée (&gt;30% étant considéré comme très volatil), ce qui contraste avec la stabilité observée sur la période.</w:t>
      </w:r>
    </w:p>
    <w:p>
      <w:pPr>
        <w:spacing w:after="120" w:line="276" w:lineRule="auto" w:before="240"/>
      </w:pPr>
      <w:r>
        <w:rPr>
          <w:b/>
          <w:color w:val="003366"/>
          <w:sz w:val="24"/>
        </w:rPr>
        <w:t>**PARTIE 2 : ANALYSE TECHNIQUE DÉTAILLÉE**</w:t>
      </w:r>
    </w:p>
    <w:p>
      <w:pPr>
        <w:spacing w:after="120" w:line="276" w:lineRule="auto"/>
      </w:pPr>
      <w:r>
        <w:t>**Moyennes Mobiles** : La MM20 (37 554,5 FCFA) est inférieure à la MM50 (38 429,9 FCFA), configuration baissière classique. Le cours actuel (37 250 FCFA) se situe sous les deux moyennes, confirmant une pression vendeuse à moyen terme. La décision de Vente est justifiée par cette structure défavorable, le titre évoluant dans une tendance baissière depuis plusieurs semaines.</w:t>
      </w:r>
    </w:p>
    <w:p>
      <w:pPr>
        <w:spacing w:after="120" w:line="276" w:lineRule="auto"/>
      </w:pPr>
      <w:r>
        <w:t>**Bandes de Bollinger** : Le cours se positionne à 37 250 FCFA, entre la borne inférieure (36 760,9 FCFA) et la borne supérieure (38 348 FCFA), proche de la zone médiane. La largeur des bandes indique une volatilité modérée. La décision Neutre s'explique par l'absence de contact avec les bornes extrêmes, le titre n'étant ni suracheté ni survendu.</w:t>
      </w:r>
    </w:p>
    <w:p>
      <w:pPr>
        <w:spacing w:after="120" w:line="276" w:lineRule="auto"/>
      </w:pPr>
      <w:r>
        <w:t>**MACD** : La valeur du MACD (-162,8) est supérieure à son signal (-230,7), formant un croisement haussier potentiel. Bien que les deux indicateurs soient négatifs, cette divergence positive suggère un ralentissement de la dynamique baissière. La décision d'Achat reflète ce début de retournement du momentum.</w:t>
      </w:r>
    </w:p>
    <w:p>
      <w:pPr>
        <w:spacing w:after="120" w:line="276" w:lineRule="auto"/>
      </w:pPr>
      <w:r>
        <w:t>**RSI** : Positionné à 50,0, le RSI se situe exactement à la neutralité, indiquant un équilibre entre pressions acheteuses et vendeuses. Cette valeur ne signale ni surachat ni survente, laissant place à une évolution dans les deux sens. La décision Neutre est cohérente avec cette lecture.</w:t>
      </w:r>
    </w:p>
    <w:p>
      <w:pPr>
        <w:spacing w:after="120" w:line="276" w:lineRule="auto"/>
      </w:pPr>
      <w:r>
        <w:t>**Stochastique** : Le %K (25,0) est nettement inférieur au %D (74,3), indiquant une dynamique baissière récente. Cependant, le %K en zone de survente (&lt;30) pourrait précéder un rebond technique. La décision Neutre reflète cette situation ambiguë où la faiblesse actuelle pourrait se prolonger ou s'inverser.</w:t>
      </w:r>
    </w:p>
    <w:p>
      <w:pPr>
        <w:spacing w:after="120" w:line="276" w:lineRule="auto"/>
      </w:pPr>
      <w:r>
        <w:t>**Conclusion technique** : Les indicateurs sont partagés entre signaux baissiers (MM) et signaux haussiers naissants (MACD), avec des indicateurs neutres (Bollinger, RSI, Stochastique). Cette configuration traduit une phase de consolidation sans direction claire, le titre semblant chercher un nouveau catalyseur pour sortir de cette zone d'incertitude.</w:t>
      </w:r>
    </w:p>
    <w:p>
      <w:pPr>
        <w:spacing w:after="120" w:line="276" w:lineRule="auto" w:before="240"/>
      </w:pPr>
      <w:r>
        <w:rPr>
          <w:b/>
          <w:color w:val="003366"/>
          <w:sz w:val="24"/>
        </w:rPr>
        <w:t>**PARTIE 3 : ANALYSE FONDAMENTALE (SECTION CRITIQUE)**</w:t>
      </w:r>
    </w:p>
    <w:p>
      <w:pPr>
        <w:spacing w:after="120" w:line="276" w:lineRule="auto"/>
      </w:pPr>
      <w:r>
        <w:t>En 2025, SLBC a réalisé des performances financières exceptionnelles avec un chiffre d'affaires de 378,123 milliards FCFA, en croissance de +22,1% par rapport à 2024 (309,722 milliards FCFA), et un résultat net de 45,781 milliards FCFA, plus du double de celui de 2024 (21,472 milliards FCFA). La marge nette s'est ainsi améliorée de 6,9% à 12,1%, tandis que le ROE atteint un niveau remarquable de 23,46% et le ROA de 13,48%. En tant qu'entreprise industrielle, l'analyse des délais d'exploitation révèle un délai clients de 64 jours, un délai fournisseurs de 77 jours et une durée de stockage de 117 jours, cette dernière étant élevée pour le secteur des boissons et immobilisant du capital. Le BFR de 61,587 milliards FCFA et la trésorerie nette positive de 22,117 milliards FCFA témoignent d'une gestion financière saine. Les rapports trimestriels confirment cette dynamique : le S1 2025 (rapport du 30/06/2025) affichait déjà un résultat net de 28 milliards FCFA (+175%), et le T1 2026 (rapport du 31/03/2026) montre une croissance du CA de +7,6% avec un résultat net de 16,26 milliards FCFA, laissant estimer un exercice 2026 potentiellement supérieur à 2025. Les rapports historiques (2023, 2018, 2017) montrent une trajectoire de redressement spectaculaire depuis les années difficiles, confirmant la solidité retrouvée de l'entreprise.</w:t>
      </w:r>
    </w:p>
    <w:p>
      <w:pPr>
        <w:spacing w:after="120" w:line="276" w:lineRule="auto" w:before="240"/>
      </w:pPr>
      <w:r>
        <w:rPr>
          <w:b/>
          <w:color w:val="003366"/>
          <w:sz w:val="24"/>
        </w:rPr>
        <w:t>**PARTIE 4 : CONCLUSION D'INVESTISSEMENT**</w:t>
      </w:r>
    </w:p>
    <w:p>
      <w:pPr>
        <w:spacing w:after="120" w:line="276" w:lineRule="auto"/>
      </w:pPr>
      <w:r>
        <w:t>La valorisation de SLBC (PER 13,4x, P/B 3,14x, EV/EBITDA 7,3x) apparaît raisonnable au regard de la croissance exceptionnelle des fondamentaux, sans surévaluation excessive. Le comportement du cours sur 100 jours montre une stabilité remarquable (CV de 2,5%) malgré une volatilité annualisée élevée de 29,8%, avec une distribution symétrique et sans risque de pics extrêmes. Les signaux techniques sont mitigés, oscillant entre une tendance baissière à court terme (MM) et des signaux de retournement naissants (MACD), le tout dans un contexte de neutralité des autres indicateurs. Les fondamentaux, eux, sont indiscutablement solides avec une croissance de 22% du CA, un doublement du résultat net et un ROE de 23,5%, soutenus par des rapports trimestriels positifs pour 2026. Les prédictions IA (37 611 à 37 378 FCFA sur 10 jours) suggèrent une stabilisation légèrement au-dessus du cours actuel, confirmant l'absence de catalyseur baissier majeur. La convergence entre des fondamentaux excellents et une valorisation modérée, malgré des signaux techniques neutres, justifie une recommandation **ACHAT** pour les investisseurs de moyen-long terme, avec un niveau de confiance **Moyen** et un risque global **Moyen**, l'horizon optimal étant de 3 à 12 mois pour bénéficier pleinement de la dynamique de croissance.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136.42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1,471 titres</w:t>
            </w:r>
          </w:p>
        </w:tc>
        <w:tc>
          <w:tcPr>
            <w:tcW w:type="dxa" w:w="2268"/>
            <w:shd w:fill="FFF2CC" w:val="clear"/>
          </w:tcPr>
          <w:p>
            <w:r>
              <w:rPr>
                <w:b/>
                <w:color w:val="503200"/>
                <w:sz w:val="16"/>
              </w:rPr>
              <w:t xml:space="preserve">Cours actuel : </w:t>
            </w:r>
            <w:r>
              <w:rPr>
                <w:color w:val="000000"/>
                <w:sz w:val="17"/>
              </w:rPr>
              <w:t>17,500 FCFA</w:t>
            </w:r>
          </w:p>
          <w:p>
            <w:r>
              <w:rPr>
                <w:b/>
                <w:color w:val="503200"/>
                <w:sz w:val="16"/>
              </w:rPr>
              <w:t xml:space="preserve">Var. 100 jours : </w:t>
            </w:r>
            <w:r>
              <w:rPr>
                <w:b/>
                <w:color w:val="007800"/>
                <w:sz w:val="17"/>
              </w:rPr>
              <w:t>+50.86%</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14.53% (Moyenne) — μ=14,923 FCFA, σ=2,168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β=-0.6457 (Contre-cyclique) — Cov=-0.000024, Var(idx)=0.000037, ρ=-0.172,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16,799</w:t>
            </w:r>
          </w:p>
        </w:tc>
        <w:tc>
          <w:tcPr>
            <w:tcW w:type="dxa" w:w="1440"/>
            <w:shd w:fill="FAFAFA" w:val="clear"/>
          </w:tcPr>
          <w:p>
            <w:r>
              <w:rPr>
                <w:b/>
                <w:sz w:val="17"/>
              </w:rPr>
              <w:t>17,223</w:t>
            </w:r>
          </w:p>
        </w:tc>
        <w:tc>
          <w:tcPr>
            <w:tcW w:type="dxa" w:w="1440"/>
            <w:shd w:fill="FAFAFA" w:val="clear"/>
          </w:tcPr>
          <w:p>
            <w:r>
              <w:rPr>
                <w:sz w:val="17"/>
              </w:rPr>
              <w:t>17,647</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16,565</w:t>
            </w:r>
          </w:p>
        </w:tc>
        <w:tc>
          <w:tcPr>
            <w:tcW w:type="dxa" w:w="1440"/>
            <w:shd w:fill="FAFAFA" w:val="clear"/>
          </w:tcPr>
          <w:p>
            <w:r>
              <w:rPr>
                <w:b/>
                <w:sz w:val="17"/>
              </w:rPr>
              <w:t>17,163</w:t>
            </w:r>
          </w:p>
        </w:tc>
        <w:tc>
          <w:tcPr>
            <w:tcW w:type="dxa" w:w="1440"/>
            <w:shd w:fill="FAFAFA" w:val="clear"/>
          </w:tcPr>
          <w:p>
            <w:r>
              <w:rPr>
                <w:sz w:val="17"/>
              </w:rPr>
              <w:t>17,761</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16,355</w:t>
            </w:r>
          </w:p>
        </w:tc>
        <w:tc>
          <w:tcPr>
            <w:tcW w:type="dxa" w:w="1440"/>
            <w:shd w:fill="FFDCE0" w:val="clear"/>
          </w:tcPr>
          <w:p>
            <w:r>
              <w:rPr>
                <w:b/>
                <w:sz w:val="17"/>
              </w:rPr>
              <w:t>17,083</w:t>
            </w:r>
          </w:p>
        </w:tc>
        <w:tc>
          <w:tcPr>
            <w:tcW w:type="dxa" w:w="1440"/>
            <w:shd w:fill="FFDCE0" w:val="clear"/>
          </w:tcPr>
          <w:p>
            <w:r>
              <w:rPr>
                <w:sz w:val="17"/>
              </w:rPr>
              <w:t>17,812</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16,173</w:t>
            </w:r>
          </w:p>
        </w:tc>
        <w:tc>
          <w:tcPr>
            <w:tcW w:type="dxa" w:w="1440"/>
            <w:shd w:fill="FFDCE0" w:val="clear"/>
          </w:tcPr>
          <w:p>
            <w:r>
              <w:rPr>
                <w:b/>
                <w:sz w:val="17"/>
              </w:rPr>
              <w:t>17,011</w:t>
            </w:r>
          </w:p>
        </w:tc>
        <w:tc>
          <w:tcPr>
            <w:tcW w:type="dxa" w:w="1440"/>
            <w:shd w:fill="FFDCE0" w:val="clear"/>
          </w:tcPr>
          <w:p>
            <w:r>
              <w:rPr>
                <w:sz w:val="17"/>
              </w:rPr>
              <w:t>17,849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16,009</w:t>
            </w:r>
          </w:p>
        </w:tc>
        <w:tc>
          <w:tcPr>
            <w:tcW w:type="dxa" w:w="1440"/>
            <w:shd w:fill="FFDCE0" w:val="clear"/>
          </w:tcPr>
          <w:p>
            <w:r>
              <w:rPr>
                <w:b/>
                <w:sz w:val="17"/>
              </w:rPr>
              <w:t>16,942</w:t>
            </w:r>
          </w:p>
        </w:tc>
        <w:tc>
          <w:tcPr>
            <w:tcW w:type="dxa" w:w="1440"/>
            <w:shd w:fill="FFDCE0" w:val="clear"/>
          </w:tcPr>
          <w:p>
            <w:r>
              <w:rPr>
                <w:sz w:val="17"/>
              </w:rPr>
              <w:t>17,875</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15,856</w:t>
            </w:r>
          </w:p>
        </w:tc>
        <w:tc>
          <w:tcPr>
            <w:tcW w:type="dxa" w:w="1440"/>
            <w:shd w:fill="FFDCE0" w:val="clear"/>
          </w:tcPr>
          <w:p>
            <w:r>
              <w:rPr>
                <w:b/>
                <w:sz w:val="17"/>
              </w:rPr>
              <w:t>16,875</w:t>
            </w:r>
          </w:p>
        </w:tc>
        <w:tc>
          <w:tcPr>
            <w:tcW w:type="dxa" w:w="1440"/>
            <w:shd w:fill="FFDCE0" w:val="clear"/>
          </w:tcPr>
          <w:p>
            <w:r>
              <w:rPr>
                <w:sz w:val="17"/>
              </w:rPr>
              <w:t>17,893</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15,713</w:t>
            </w:r>
          </w:p>
        </w:tc>
        <w:tc>
          <w:tcPr>
            <w:tcW w:type="dxa" w:w="1440"/>
            <w:shd w:fill="FFDCE0" w:val="clear"/>
          </w:tcPr>
          <w:p>
            <w:r>
              <w:rPr>
                <w:b/>
                <w:sz w:val="17"/>
              </w:rPr>
              <w:t>16,808</w:t>
            </w:r>
          </w:p>
        </w:tc>
        <w:tc>
          <w:tcPr>
            <w:tcW w:type="dxa" w:w="1440"/>
            <w:shd w:fill="FFDCE0" w:val="clear"/>
          </w:tcPr>
          <w:p>
            <w:r>
              <w:rPr>
                <w:sz w:val="17"/>
              </w:rPr>
              <w:t>17,904</w:t>
            </w:r>
          </w:p>
        </w:tc>
        <w:tc>
          <w:tcPr>
            <w:tcW w:type="dxa" w:w="1440"/>
            <w:shd w:fill="FFDCE0" w:val="clear"/>
          </w:tcPr>
          <w:p>
            <w:r>
              <w:rPr>
                <w:b/>
                <w:color w:val="C00000"/>
                <w:sz w:val="17"/>
              </w:rPr>
              <w:t>-4.0%</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15,577</w:t>
            </w:r>
          </w:p>
        </w:tc>
        <w:tc>
          <w:tcPr>
            <w:tcW w:type="dxa" w:w="1440"/>
            <w:shd w:fill="FFDCE0" w:val="clear"/>
          </w:tcPr>
          <w:p>
            <w:r>
              <w:rPr>
                <w:b/>
                <w:sz w:val="17"/>
              </w:rPr>
              <w:t>16,743</w:t>
            </w:r>
          </w:p>
        </w:tc>
        <w:tc>
          <w:tcPr>
            <w:tcW w:type="dxa" w:w="1440"/>
            <w:shd w:fill="FFDCE0" w:val="clear"/>
          </w:tcPr>
          <w:p>
            <w:r>
              <w:rPr>
                <w:sz w:val="17"/>
              </w:rPr>
              <w:t>17,910</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15,447</w:t>
            </w:r>
          </w:p>
        </w:tc>
        <w:tc>
          <w:tcPr>
            <w:tcW w:type="dxa" w:w="1440"/>
            <w:shd w:fill="FFDCE0" w:val="clear"/>
          </w:tcPr>
          <w:p>
            <w:r>
              <w:rPr>
                <w:b/>
                <w:sz w:val="17"/>
              </w:rPr>
              <w:t>16,679</w:t>
            </w:r>
          </w:p>
        </w:tc>
        <w:tc>
          <w:tcPr>
            <w:tcW w:type="dxa" w:w="1440"/>
            <w:shd w:fill="FFDCE0" w:val="clear"/>
          </w:tcPr>
          <w:p>
            <w:r>
              <w:rPr>
                <w:sz w:val="17"/>
              </w:rPr>
              <w:t>17,912</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15,322</w:t>
            </w:r>
          </w:p>
        </w:tc>
        <w:tc>
          <w:tcPr>
            <w:tcW w:type="dxa" w:w="1440"/>
            <w:shd w:fill="FFDCE0" w:val="clear"/>
          </w:tcPr>
          <w:p>
            <w:r>
              <w:rPr>
                <w:b/>
                <w:sz w:val="17"/>
              </w:rPr>
              <w:t>16,616</w:t>
            </w:r>
          </w:p>
        </w:tc>
        <w:tc>
          <w:tcPr>
            <w:tcW w:type="dxa" w:w="1440"/>
            <w:shd w:fill="FFDCE0" w:val="clear"/>
          </w:tcPr>
          <w:p>
            <w:r>
              <w:rPr>
                <w:sz w:val="17"/>
              </w:rPr>
              <w:t>17,910</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136,42 milliards FCFA, un niveau qui la positionne parmi les valeurs moyennes de la cote BRVM, reflétant un profil de liquidité modéré mais une présence notable dans le secteur industriel. Le BPA de 1 677 FCFA indique que chaque action génère un bénéfice substantiel, justifiant un PER de 10,4x, en ligne avec la moyenne historique de la place (~8-12x), ce qui traduit une valorisation raisonnable sans prime excessive. Le P/B de 3,18x, situé dans la fourchette de 2 à 4x, montre que le marché accorde une prime de croissance à l'entreprise par rapport à sa valeur comptable, signe de confiance dans sa rentabilité future. Enfin, l'EV/EBITDA de 6,6x, dans la zone de 5 à 10x, confirme une évaluation cohérente de la capacité opérationnelle de l'entreprise, ni sous-évaluée ni surévaluée par rapport à ses pairs régionaux.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performance spectaculaire de +50,86%, avec une dernière séance en hausse de +1,16%, clôturant à 17 500 FCFA. Le titre a évolué dans une fourchette large de 11 450 FCFA (plus bas) à 17 735 FCFA (plus haut), démontrant une dynamique haussière soutenue. La moyenne du cours sur la période (14 923 FCFA) est inférieure à la médiane (15 995 FCFA) et au mode (16 000 FCFA), ce qui indique une distribution asymétrique avec une concentration des prix vers le haut, confirmée par un skewness négatif de -0,463. L'écart-type de 2 179 FCFA, avec un coefficient de variation de 14,6%, révèle une dispersion modérée des prix autour de la moyenne. Le kurtosis de -1,393 (platykurtique) suggère une distribution aplatie, avec peu de valeurs extrêmes, tandis que la volatilité annualisée de 36,2% classe le titre comme très volatil, un niveau élevé qui implique des fluctuations importantes et un risque accru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(16 829,5 FCFA) et la MM50 (16 643,9 FCFA) sont toutes deux inférieures au cours actuel de 17 500 FCFA, indiquant une tendance haussière solide. Le croisement des moyennes mobiles, avec la MM20 au-dessus de la MM50, confirme un momentum positif à court et moyen terme, justifiant la décision d'achat.</w:t>
      </w:r>
    </w:p>
    <w:p>
      <w:pPr>
        <w:spacing w:after="120" w:line="276" w:lineRule="auto"/>
      </w:pPr>
      <w:r>
        <w:t>**Bandes de Bollinger** : Le cours se situe à 17 500 FCFA, très proche de la borne supérieure (17 605,8 FCFA), ce qui reflète une pression acheteuse intense. Cette position, combinée à une volatilité élevée (36,2% annualisée), suggère que le titre pourrait être suracheté à court terme, d'où une décision neutre, car un repli technique est possible avant une poursuite de la tendance.</w:t>
      </w:r>
    </w:p>
    <w:p>
      <w:pPr>
        <w:spacing w:after="120" w:line="276" w:lineRule="auto"/>
      </w:pPr>
      <w:r>
        <w:t>**MACD** : Le MACD (301,161) est nettement au-dessus de sa ligne de signal (238,508), montrant une divergence positive qui renforce le momentum haussier. Cette configuration indique que la dynamique d'achat reste vigoureuse, justifiant la décision d'achat, bien que l'écart important puisse signaler une exubérance à surveiller.</w:t>
      </w:r>
    </w:p>
    <w:p>
      <w:pPr>
        <w:spacing w:after="120" w:line="276" w:lineRule="auto"/>
      </w:pPr>
      <w:r>
        <w:t>**RSI** : Le RSI à 83,578 est largement au-dessus du seuil de surachat de 70, ce qui indique que le titre est fortement suracheté. Cette situation suggère un risque élevé de correction à court terme, justifiant la décision de vente, car les acheteurs pourraient être épuisés.</w:t>
      </w:r>
    </w:p>
    <w:p>
      <w:pPr>
        <w:spacing w:after="120" w:line="276" w:lineRule="auto"/>
      </w:pPr>
      <w:r>
        <w:t>**Stochastique** : Le %K à 100,0 et le %D à 93,171 sont tous deux en zone de surachat extrême, avec un %K au maximum, signalant une condition de marché extrêmement tendue. La décision de vente est donc justifiée, car un croisement baissier est probable, précédant un repli technique.</w:t>
      </w:r>
    </w:p>
    <w:p>
      <w:pPr>
        <w:spacing w:after="120" w:line="276" w:lineRule="auto"/>
      </w:pPr>
      <w:r>
        <w:t>**Conclusion technique** : Les indicateurs de tendance (MM, MACD) sont positifs, mais les oscillateurs (RSI, Stochastique) sont en surachat extrême, créant un conflit de signaux. La probabilité d'une consolidation ou d'un repli à court terme est élevée, mais la tendance de fond reste haussière, suggérant que tout recul pourrait être une opportunité d'achat pour les investisseurs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le résultat net progresse fortement de +50,3% à 13,075 milliards FCFA, contre 8,698 milliards en 2024. Cette amélioration spectaculaire de la rentabilité se traduit par une marge nette de 6,3% (vs 3,8% en 2024) et un ROE exceptionnel de 30,47%, tandis que le ROA s'établit à 7,26%. L'entreprise, non bancaire, présente un BFR de 1,693 milliards FCFA, un niveau faible et favorable, mais les délais clients (193,75 jours) et fournisseurs (207,07 jours) sont élevés, indiquant un risque de trésorerie lié aux créances, bien que compensé par un délai fournisseur plus long. La trésorerie nette est solide à 23,988 milliards FCFA, avec un flux opérationnel de 26,120 milliards et un free cash flow de 20,642 milliards, démontrant une excellente génération de cash. Les rapports trimestriels 2025 (T1, S1, 9M) montrent une baisse du CA (-22% au T1, -23% au S1, -14% au 9M) mais une amélioration des marges opérationnelles, et le rapport annuel 2025 (daté du 31/12/2025, analysé par DeepSeek le 12/05/2026) confirme la reprise de la rentabilité. Sur la base des 9M 2025 (résultat net de 5,7 milliards, +6%), on estime que l'exercice 2026 pourrait voir une stabilisation du CA et une poursuite de l'amélioration des marges, si l'environnement de raffinage reste favorable. La structure financière est saine avec des capitaux propres de 42,913 milliards FCFA (+21,6% vs 2024), mais l'autonomie financière de 23,84% reste inférieure au seuil de 30%, indiquant une dépendance modérée aux dettes, bien que la capacité de remboursement de 0,68 an soit très satisfaisante.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(PER 10,4x, P/B 3,18x, EV/EBITDA 6,6x) indique une sous-évaluation légère par rapport à son potentiel de croissance, avec des ratios raisonnables pour une entreprise affichant un ROE de 30,5%. Le comportement du cours sur 100 jours est très favorable (+50,86%), mais la volatilité élevée (36,2%) et le skewness négatif signalent des risques de retournement, bien que la tendance reste haussière. Les signaux techniques sont mitigés : les MM et le MACD sont positifs, mais le RSI et le Stochastique en surachat extrême suggèrent une correction imminente à court terme. Les fondamentaux sont solides, avec une rentabilité en forte hausse en 2025 et une trésorerie abondante, malgré une baisse du CA, et les perspectives 2026 semblent stables. Les prédictions IA (J+1 à J+10) montrent une légère baisse de 17 223 à 16 942 FCFA, contredisant la tendance haussière récente et confirmant les signaux de surachat technique. En synthèse, la convergence entre la valorisation attractive, les fondamentaux solides et la tendance de fond haussière est contrebalancée par les signaux techniques de surachat et les prédictions IA baissières à court terme. **Recommandation finale : CONSERVER**, avec un niveau de confiance Moyen, un risque global Élevé, et un horizon d'investissement optimal à moyen terme (3-12 mois), en attendant une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10,241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+33.68%</w:t>
            </w:r>
          </w:p>
          <w:p>
            <w:r>
              <w:rPr>
                <w:b/>
                <w:color w:val="503200"/>
                <w:sz w:val="16"/>
              </w:rPr>
              <w:t xml:space="preserve">Plus haut 100j : </w:t>
            </w:r>
            <w:r>
              <w:rPr>
                <w:color w:val="000000"/>
                <w:sz w:val="17"/>
              </w:rPr>
              <w:t>38,500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8.66% (Moyenne) — μ=30,394 FCFA, σ=2,631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β=1.9046 (Très agressif) — Cov=0.000071, Var(idx)=0.000037, ρ=0.587,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10,241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35,524</w:t>
            </w:r>
          </w:p>
        </w:tc>
        <w:tc>
          <w:tcPr>
            <w:tcW w:type="dxa" w:w="1440"/>
            <w:shd w:fill="FFDCE0" w:val="clear"/>
          </w:tcPr>
          <w:p>
            <w:r>
              <w:rPr>
                <w:b/>
                <w:sz w:val="17"/>
              </w:rPr>
              <w:t>36,997</w:t>
            </w:r>
          </w:p>
        </w:tc>
        <w:tc>
          <w:tcPr>
            <w:tcW w:type="dxa" w:w="1440"/>
            <w:shd w:fill="FFDCE0" w:val="clear"/>
          </w:tcPr>
          <w:p>
            <w:r>
              <w:rPr>
                <w:sz w:val="17"/>
              </w:rPr>
              <w:t>38,469</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34,883</w:t>
            </w:r>
          </w:p>
        </w:tc>
        <w:tc>
          <w:tcPr>
            <w:tcW w:type="dxa" w:w="1440"/>
            <w:shd w:fill="FFDCE0" w:val="clear"/>
          </w:tcPr>
          <w:p>
            <w:r>
              <w:rPr>
                <w:b/>
                <w:sz w:val="17"/>
              </w:rPr>
              <w:t>36,964</w:t>
            </w:r>
          </w:p>
        </w:tc>
        <w:tc>
          <w:tcPr>
            <w:tcW w:type="dxa" w:w="1440"/>
            <w:shd w:fill="FFDCE0" w:val="clear"/>
          </w:tcPr>
          <w:p>
            <w:r>
              <w:rPr>
                <w:sz w:val="17"/>
              </w:rPr>
              <w:t>39,044</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34,279</w:t>
            </w:r>
          </w:p>
        </w:tc>
        <w:tc>
          <w:tcPr>
            <w:tcW w:type="dxa" w:w="1440"/>
            <w:shd w:fill="FFDCE0" w:val="clear"/>
          </w:tcPr>
          <w:p>
            <w:r>
              <w:rPr>
                <w:b/>
                <w:sz w:val="17"/>
              </w:rPr>
              <w:t>36,818</w:t>
            </w:r>
          </w:p>
        </w:tc>
        <w:tc>
          <w:tcPr>
            <w:tcW w:type="dxa" w:w="1440"/>
            <w:shd w:fill="FFDCE0" w:val="clear"/>
          </w:tcPr>
          <w:p>
            <w:r>
              <w:rPr>
                <w:sz w:val="17"/>
              </w:rPr>
              <w:t>39,356</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33,764</w:t>
            </w:r>
          </w:p>
        </w:tc>
        <w:tc>
          <w:tcPr>
            <w:tcW w:type="dxa" w:w="1440"/>
            <w:shd w:fill="FFDCE0" w:val="clear"/>
          </w:tcPr>
          <w:p>
            <w:r>
              <w:rPr>
                <w:b/>
                <w:sz w:val="17"/>
              </w:rPr>
              <w:t>36,685</w:t>
            </w:r>
          </w:p>
        </w:tc>
        <w:tc>
          <w:tcPr>
            <w:tcW w:type="dxa" w:w="1440"/>
            <w:shd w:fill="FFDCE0" w:val="clear"/>
          </w:tcPr>
          <w:p>
            <w:r>
              <w:rPr>
                <w:sz w:val="17"/>
              </w:rPr>
              <w:t>39,605</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33,319</w:t>
            </w:r>
          </w:p>
        </w:tc>
        <w:tc>
          <w:tcPr>
            <w:tcW w:type="dxa" w:w="1440"/>
            <w:shd w:fill="FFDCE0" w:val="clear"/>
          </w:tcPr>
          <w:p>
            <w:r>
              <w:rPr>
                <w:b/>
                <w:sz w:val="17"/>
              </w:rPr>
              <w:t>36,575</w:t>
            </w:r>
          </w:p>
        </w:tc>
        <w:tc>
          <w:tcPr>
            <w:tcW w:type="dxa" w:w="1440"/>
            <w:shd w:fill="FFDCE0" w:val="clear"/>
          </w:tcPr>
          <w:p>
            <w:r>
              <w:rPr>
                <w:sz w:val="17"/>
              </w:rPr>
              <w:t>39,830</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32,921</w:t>
            </w:r>
          </w:p>
        </w:tc>
        <w:tc>
          <w:tcPr>
            <w:tcW w:type="dxa" w:w="1440"/>
            <w:shd w:fill="FFDCE0" w:val="clear"/>
          </w:tcPr>
          <w:p>
            <w:r>
              <w:rPr>
                <w:b/>
                <w:sz w:val="17"/>
              </w:rPr>
              <w:t>36,478</w:t>
            </w:r>
          </w:p>
        </w:tc>
        <w:tc>
          <w:tcPr>
            <w:tcW w:type="dxa" w:w="1440"/>
            <w:shd w:fill="FFDCE0" w:val="clear"/>
          </w:tcPr>
          <w:p>
            <w:r>
              <w:rPr>
                <w:sz w:val="17"/>
              </w:rPr>
              <w:t>40,035</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32,556</w:t>
            </w:r>
          </w:p>
        </w:tc>
        <w:tc>
          <w:tcPr>
            <w:tcW w:type="dxa" w:w="1440"/>
            <w:shd w:fill="FFDCE0" w:val="clear"/>
          </w:tcPr>
          <w:p>
            <w:r>
              <w:rPr>
                <w:b/>
                <w:sz w:val="17"/>
              </w:rPr>
              <w:t>36,388</w:t>
            </w:r>
          </w:p>
        </w:tc>
        <w:tc>
          <w:tcPr>
            <w:tcW w:type="dxa" w:w="1440"/>
            <w:shd w:fill="FFDCE0" w:val="clear"/>
          </w:tcPr>
          <w:p>
            <w:r>
              <w:rPr>
                <w:sz w:val="17"/>
              </w:rPr>
              <w:t>40,220</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32,214</w:t>
            </w:r>
          </w:p>
        </w:tc>
        <w:tc>
          <w:tcPr>
            <w:tcW w:type="dxa" w:w="1440"/>
            <w:shd w:fill="FFDCE0" w:val="clear"/>
          </w:tcPr>
          <w:p>
            <w:r>
              <w:rPr>
                <w:b/>
                <w:sz w:val="17"/>
              </w:rPr>
              <w:t>36,301</w:t>
            </w:r>
          </w:p>
        </w:tc>
        <w:tc>
          <w:tcPr>
            <w:tcW w:type="dxa" w:w="1440"/>
            <w:shd w:fill="FFDCE0" w:val="clear"/>
          </w:tcPr>
          <w:p>
            <w:r>
              <w:rPr>
                <w:sz w:val="17"/>
              </w:rPr>
              <w:t>40,388</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31,891</w:t>
            </w:r>
          </w:p>
        </w:tc>
        <w:tc>
          <w:tcPr>
            <w:tcW w:type="dxa" w:w="1440"/>
            <w:shd w:fill="FFDCE0" w:val="clear"/>
          </w:tcPr>
          <w:p>
            <w:r>
              <w:rPr>
                <w:b/>
                <w:sz w:val="17"/>
              </w:rPr>
              <w:t>36,216</w:t>
            </w:r>
          </w:p>
        </w:tc>
        <w:tc>
          <w:tcPr>
            <w:tcW w:type="dxa" w:w="1440"/>
            <w:shd w:fill="FFDCE0" w:val="clear"/>
          </w:tcPr>
          <w:p>
            <w:r>
              <w:rPr>
                <w:sz w:val="17"/>
              </w:rPr>
              <w:t>40,540</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31,583</w:t>
            </w:r>
          </w:p>
        </w:tc>
        <w:tc>
          <w:tcPr>
            <w:tcW w:type="dxa" w:w="1440"/>
            <w:shd w:fill="FFDCE0" w:val="clear"/>
          </w:tcPr>
          <w:p>
            <w:r>
              <w:rPr>
                <w:b/>
                <w:sz w:val="17"/>
              </w:rPr>
              <w:t>36,131</w:t>
            </w:r>
          </w:p>
        </w:tc>
        <w:tc>
          <w:tcPr>
            <w:tcW w:type="dxa" w:w="1440"/>
            <w:shd w:fill="FFDCE0" w:val="clear"/>
          </w:tcPr>
          <w:p>
            <w:r>
              <w:rPr>
                <w:sz w:val="17"/>
              </w:rPr>
              <w:t>40,679</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r>
    </w:p>
    <w:p>
      <w:pPr>
        <w:spacing w:after="120" w:line="276" w:lineRule="auto" w:before="240"/>
      </w:pPr>
      <w:r>
        <w:rPr>
          <w:b/>
          <w:color w:val="003366"/>
          <w:sz w:val="24"/>
        </w:rPr>
        <w:t>**PARTIE 0 : INDICATEURS DE VALORISATION BOURSIÈRE**</w:t>
      </w:r>
    </w:p>
    <w:p>
      <w:pPr>
        <w:spacing w:after="120" w:line="276" w:lineRule="auto"/>
      </w:pPr>
      <w:r>
        <w:t>La capitalisation boursière de Sonatel s'établit à 3 850 milliards FCFA, ce qui en fait l'une des plus importantes capitalisations de la BRVM, représentant une part significative de l'indice. Avec un BPA de 4 136 FCFA, chaque action génère un bénéfice substantiel. Le PER de 9,3x est inférieur à la moyenne historique de la BRVM (8-12x), se positionnant dans la fourchette basse, ce qui suggère que le marché ne paie pas cher pour les bénéfices de l'entreprise, malgré sa qualité. Le P/B de 2,75x indique que le marché valorise la société à environ 2,75 fois sa valeur comptable, une prime de croissance justifiée par la forte rentabilité des fonds propres. Enfin, l'EV/EBITDA de 4,0x est très inférieur au seuil de 5x, signalant une sous-évaluation relative de la valeur totale de l'entreprise par rapport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+33,68%, avec une dernière séance en hausse de +1,32% pour clôturer à 38 500 FCFA. Le cours a évolué dans une fourchette de 27 160 FCFA (plus bas) à 38 500 FCFA (plus haut), démontrant une dynamique fortement haussière. La moyenne du cours sur la période est de 30 394 FCFA, tandis que la médiane est de 29 000 FCFA ; l'écart positif entre la moyenne et la médiane, couplé à un skewness de 1,440, confirme une asymétrie positive avec des journées majoritairement sous la moyenne mais quelques fortes progressions. L'écart-type de 2 645 FCFA (CV de 8,7%) indique une dispersion modérée autour de la moyenne. Le kurtosis excédentaire de 1,325 signale un risque de pics de volatilité, et la volatilité annualisée de 31,4% classe le titre comme très volatil, nécessitant une gestion active du risque.</w:t>
      </w:r>
    </w:p>
    <w:p>
      <w:pPr>
        <w:spacing w:after="120" w:line="276" w:lineRule="auto" w:before="240"/>
      </w:pPr>
      <w:r>
        <w:rPr>
          <w:b/>
          <w:color w:val="003366"/>
          <w:sz w:val="24"/>
        </w:rPr>
        <w:t>**PARTIE 2 : ANALYSE TECHNIQUE DÉTAILLÉE**</w:t>
      </w:r>
    </w:p>
    <w:p>
      <w:pPr>
        <w:spacing w:after="120" w:line="276" w:lineRule="auto"/>
      </w:pPr>
      <w:r>
        <w:t>**Moyennes Mobiles**: Les MM20 et MM50 s'établissent respectivement à 34 606 FCFA et 32 239 FCFA. Le cours actuel de 38 500 FCFA est nettement au-dessus de ces deux moyennes, confirmant une tendance haussière solide à court et moyen terme. La configuration des MM (MM20 &gt; MM50) valide le signal d'achat, indiquant que la dynamique positive est toujours en place.</w:t>
      </w:r>
    </w:p>
    <w:p>
      <w:pPr>
        <w:spacing w:after="120" w:line="276" w:lineRule="auto"/>
      </w:pPr>
      <w:r>
        <w:t>**Bandes de Bollinger**: Le cours se situe à 38 500 FCFA, proche de la borne supérieure de 39 586 FCFA, tandis que la borne inférieure est à 29 627 FCFA. Cette position suggère que le titre est en zone de surachat technique, mais la décision est neutre car le cours n'a pas encore franchi la borne supérieure. La largeur des bandes reflète une volatilité élevée, cohérente avec la hausse récente.</w:t>
      </w:r>
    </w:p>
    <w:p>
      <w:pPr>
        <w:spacing w:after="120" w:line="276" w:lineRule="auto"/>
      </w:pPr>
      <w:r>
        <w:t>**MACD**: Le MACD (1 741,15) est nettement supérieur à sa ligne de signal (1 429,11), avec un écart positif de 312 points. Cette configuration indique un momentum haussier fort et confirme la décision d'achat. La divergence positive suggère que la tendance haussière pourrait se poursuivre à court terme.</w:t>
      </w:r>
    </w:p>
    <w:p>
      <w:pPr>
        <w:spacing w:after="120" w:line="276" w:lineRule="auto"/>
      </w:pPr>
      <w:r>
        <w:t>**RSI**: Le RSI s'établit à 78,55, bien au-dessus du seuil de surachat de 70. Cette valeur extrême signale que le titre est en zone de surachat technique, ce qui justifie la décision de vente. Historiquement, un RSI supérieur à 78 précède souvent une consolidation ou un repli technique.</w:t>
      </w:r>
    </w:p>
    <w:p>
      <w:pPr>
        <w:spacing w:after="120" w:line="276" w:lineRule="auto"/>
      </w:pPr>
      <w:r>
        <w:t>**Stochastique**: Les valeurs %K et %D sont toutes deux à 100, indiquant une condition de surachat extrême. Cette configuration, qui justifie la décision de vente, suggère que le titre est temporairement épuisé à la hausse et qu'un mouvement de correction est probable à très court terme.</w:t>
      </w:r>
    </w:p>
    <w:p>
      <w:pPr>
        <w:spacing w:after="120" w:line="276" w:lineRule="auto"/>
      </w:pPr>
      <w:r>
        <w:t>**Conclusion technique**: Les indicateurs de tendance (MM, MACD) sont résolument haussiers, mais les oscillateurs de momentum (RSI, Stochastique) signalent un surachat extrême. Cette divergence entre indicateurs de tendance et de momentum suggère qu'une consolidation technique est probable avant la poursuite de la tendance haussière. Le scénario le plus probable est un mouvement latéral ou un léger repli dans les prochaines séances.</w:t>
      </w:r>
    </w:p>
    <w:p>
      <w:pPr>
        <w:spacing w:after="120" w:line="276" w:lineRule="auto" w:before="240"/>
      </w:pPr>
      <w:r>
        <w:rPr>
          <w:b/>
          <w:color w:val="003366"/>
          <w:sz w:val="24"/>
        </w:rPr>
        <w:t>**PARTIE 3 : ANALYSE FONDAMENTALE (SECTION CRITIQUE)**</w:t>
      </w:r>
    </w:p>
    <w:p>
      <w:pPr>
        <w:spacing w:after="120" w:line="276" w:lineRule="auto"/>
      </w:pPr>
      <w:r>
        <w:t>En 2025, Sonatel affiche des fondamentaux solides avec un chiffre d'affaires de 1 923,1 milliards FCFA, en progression de +8,3% par rapport à 2024, et un résultat net de 413,6 milliards FCFA (+5,1%). La rentabilité est excellente avec un ROE de 29,6% et un ROA de 12,6%, largement supérieurs aux seuils d'excellence de 15% et 10%. La marge opérationnelle de 34,8% et la marge nette de 21,5% témoignent d'une excellente maîtrise des coûts. Le BFR négatif de -284,9 milliards FCFA est un signal très favorable, indiquant que l'entreprise finance son exploitation par ses fournisseurs (délai fournisseurs de 201 jours contre 46 jours pour les clients). La structure financière est saine avec une autonomie financière de 42,8% et une capacité de remboursement de seulement 0,64 an. Les rapports trimestriels confirment cette dynamique : le S1 2025 affichait un CA de 960,2 milliards FCFA (+9,4%), et le T3 2025 un CA de 1 432,5 milliards FCFA (+8,6%). Le rapport annuel 2025 confirme la distribution d'un dividende de 1 933 FCFA brut par action (1 740 FCFA net), soit un rendement d'environ 4,5% au cours actuel. Les perspectives 2026 sont positives avec un S1 2026 en hausse de +9,3% à 1 049,8 milliards FCFA et un résultat net de 230 milliards FCFA (+10,5%), soutenus par la fibre (+23% de clients) et les licences 5G.</w:t>
      </w:r>
    </w:p>
    <w:p>
      <w:pPr>
        <w:spacing w:after="120" w:line="276" w:lineRule="auto" w:before="240"/>
      </w:pPr>
      <w:r>
        <w:rPr>
          <w:b/>
          <w:color w:val="003366"/>
          <w:sz w:val="24"/>
        </w:rPr>
        <w:t>**PARTIE 4 : CONCLUSION D'INVESTISSEMENT**</w:t>
      </w:r>
    </w:p>
    <w:p>
      <w:pPr>
        <w:spacing w:after="120" w:line="276" w:lineRule="auto"/>
      </w:pPr>
      <w:r>
        <w:t>La valorisation de Sonatel est attractive avec un PER de 9,3x et un EV/EBITDA de 4,0x, indiquant une sous-évaluation relative malgré la hausse récente du cours. Le comportement du titre sur 100 jours est très positif (+33,68%), mais les statistiques révèlent une volatilité élevée (31,4%) et un risque de surachat technique. Les signaux techniques sont mitigés : les indicateurs de tendance (MM, MACD) sont haussiers, mais le RSI à 78,5 et le Stochastique à 100 signalent un épuisement à court terme. Les fondamentaux sont excellents avec une croissance soutenue du CA et du résultat net, une rentabilité supérieure aux normes du secteur et une structure financière saine. Les prédictions IA pour les 10 prochains jours suggèrent un léger repli vers 36 575 FCFA, confirmant la probabilité d'une consolidation technique. La convergence entre la sous-évaluation fondamentale et les signaux de surachat technique suggère une recommandation de **CONSERVER** avec un niveau de confiance **Élevé** et un risque global **Moyen**. L'horizon d'investissement optimal est le **moyen terme (3-12 mois)**, permettant de bénéficier de la croissance des fondamentaux tout en absorbant une éventuelle correction technique à court terme.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190.10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5,928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+10.41%</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μ=8,023 FCFA, σ=404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β=0.3711 (Défensif) — Cov=0.000014, Var(idx)=0.000037, ρ=0.096,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8,351</w:t>
            </w:r>
          </w:p>
        </w:tc>
        <w:tc>
          <w:tcPr>
            <w:tcW w:type="dxa" w:w="1440"/>
            <w:shd w:fill="FAFAFA" w:val="clear"/>
          </w:tcPr>
          <w:p>
            <w:r>
              <w:rPr>
                <w:b/>
                <w:sz w:val="17"/>
              </w:rPr>
              <w:t>8,755</w:t>
            </w:r>
          </w:p>
        </w:tc>
        <w:tc>
          <w:tcPr>
            <w:tcW w:type="dxa" w:w="1440"/>
            <w:shd w:fill="FAFAFA" w:val="clear"/>
          </w:tcPr>
          <w:p>
            <w:r>
              <w:rPr>
                <w:sz w:val="17"/>
              </w:rPr>
              <w:t>9,160</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8,184</w:t>
            </w:r>
          </w:p>
        </w:tc>
        <w:tc>
          <w:tcPr>
            <w:tcW w:type="dxa" w:w="1440"/>
            <w:shd w:fill="FAFAFA" w:val="clear"/>
          </w:tcPr>
          <w:p>
            <w:r>
              <w:rPr>
                <w:b/>
                <w:sz w:val="17"/>
              </w:rPr>
              <w:t>8,757</w:t>
            </w:r>
          </w:p>
        </w:tc>
        <w:tc>
          <w:tcPr>
            <w:tcW w:type="dxa" w:w="1440"/>
            <w:shd w:fill="FAFAFA" w:val="clear"/>
          </w:tcPr>
          <w:p>
            <w:r>
              <w:rPr>
                <w:sz w:val="17"/>
              </w:rPr>
              <w:t>9,329</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8,059</w:t>
            </w:r>
          </w:p>
        </w:tc>
        <w:tc>
          <w:tcPr>
            <w:tcW w:type="dxa" w:w="1440"/>
            <w:shd w:fill="FAFAFA" w:val="clear"/>
          </w:tcPr>
          <w:p>
            <w:r>
              <w:rPr>
                <w:b/>
                <w:sz w:val="17"/>
              </w:rPr>
              <w:t>8,760</w:t>
            </w:r>
          </w:p>
        </w:tc>
        <w:tc>
          <w:tcPr>
            <w:tcW w:type="dxa" w:w="1440"/>
            <w:shd w:fill="FAFAFA" w:val="clear"/>
          </w:tcPr>
          <w:p>
            <w:r>
              <w:rPr>
                <w:sz w:val="17"/>
              </w:rPr>
              <w:t>9,461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7,956</w:t>
            </w:r>
          </w:p>
        </w:tc>
        <w:tc>
          <w:tcPr>
            <w:tcW w:type="dxa" w:w="1440"/>
            <w:shd w:fill="FAFAFA" w:val="clear"/>
          </w:tcPr>
          <w:p>
            <w:r>
              <w:rPr>
                <w:b/>
                <w:sz w:val="17"/>
              </w:rPr>
              <w:t>8,766</w:t>
            </w:r>
          </w:p>
        </w:tc>
        <w:tc>
          <w:tcPr>
            <w:tcW w:type="dxa" w:w="1440"/>
            <w:shd w:fill="FAFAFA" w:val="clear"/>
          </w:tcPr>
          <w:p>
            <w:r>
              <w:rPr>
                <w:sz w:val="17"/>
              </w:rPr>
              <w:t>9,576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7,867</w:t>
            </w:r>
          </w:p>
        </w:tc>
        <w:tc>
          <w:tcPr>
            <w:tcW w:type="dxa" w:w="1440"/>
            <w:shd w:fill="FAFAFA" w:val="clear"/>
          </w:tcPr>
          <w:p>
            <w:r>
              <w:rPr>
                <w:b/>
                <w:sz w:val="17"/>
              </w:rPr>
              <w:t>8,773</w:t>
            </w:r>
          </w:p>
        </w:tc>
        <w:tc>
          <w:tcPr>
            <w:tcW w:type="dxa" w:w="1440"/>
            <w:shd w:fill="FAFAFA" w:val="clear"/>
          </w:tcPr>
          <w:p>
            <w:r>
              <w:rPr>
                <w:sz w:val="17"/>
              </w:rPr>
              <w:t>9,679</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7,786</w:t>
            </w:r>
          </w:p>
        </w:tc>
        <w:tc>
          <w:tcPr>
            <w:tcW w:type="dxa" w:w="1440"/>
            <w:shd w:fill="FAFAFA" w:val="clear"/>
          </w:tcPr>
          <w:p>
            <w:r>
              <w:rPr>
                <w:b/>
                <w:sz w:val="17"/>
              </w:rPr>
              <w:t>8,780</w:t>
            </w:r>
          </w:p>
        </w:tc>
        <w:tc>
          <w:tcPr>
            <w:tcW w:type="dxa" w:w="1440"/>
            <w:shd w:fill="FAFAFA" w:val="clear"/>
          </w:tcPr>
          <w:p>
            <w:r>
              <w:rPr>
                <w:sz w:val="17"/>
              </w:rPr>
              <w:t>9,773</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7,713</w:t>
            </w:r>
          </w:p>
        </w:tc>
        <w:tc>
          <w:tcPr>
            <w:tcW w:type="dxa" w:w="1440"/>
            <w:shd w:fill="FAFAFA" w:val="clear"/>
          </w:tcPr>
          <w:p>
            <w:r>
              <w:rPr>
                <w:b/>
                <w:sz w:val="17"/>
              </w:rPr>
              <w:t>8,787</w:t>
            </w:r>
          </w:p>
        </w:tc>
        <w:tc>
          <w:tcPr>
            <w:tcW w:type="dxa" w:w="1440"/>
            <w:shd w:fill="FAFAFA" w:val="clear"/>
          </w:tcPr>
          <w:p>
            <w:r>
              <w:rPr>
                <w:sz w:val="17"/>
              </w:rPr>
              <w:t>9,860</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7,644</w:t>
            </w:r>
          </w:p>
        </w:tc>
        <w:tc>
          <w:tcPr>
            <w:tcW w:type="dxa" w:w="1440"/>
            <w:shd w:fill="FAFAFA" w:val="clear"/>
          </w:tcPr>
          <w:p>
            <w:r>
              <w:rPr>
                <w:b/>
                <w:sz w:val="17"/>
              </w:rPr>
              <w:t>8,793</w:t>
            </w:r>
          </w:p>
        </w:tc>
        <w:tc>
          <w:tcPr>
            <w:tcW w:type="dxa" w:w="1440"/>
            <w:shd w:fill="FAFAFA" w:val="clear"/>
          </w:tcPr>
          <w:p>
            <w:r>
              <w:rPr>
                <w:sz w:val="17"/>
              </w:rPr>
              <w:t>9,942</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7,580</w:t>
            </w:r>
          </w:p>
        </w:tc>
        <w:tc>
          <w:tcPr>
            <w:tcW w:type="dxa" w:w="1440"/>
            <w:shd w:fill="FAFAFA" w:val="clear"/>
          </w:tcPr>
          <w:p>
            <w:r>
              <w:rPr>
                <w:b/>
                <w:sz w:val="17"/>
              </w:rPr>
              <w:t>8,800</w:t>
            </w:r>
          </w:p>
        </w:tc>
        <w:tc>
          <w:tcPr>
            <w:tcW w:type="dxa" w:w="1440"/>
            <w:shd w:fill="FAFAFA" w:val="clear"/>
          </w:tcPr>
          <w:p>
            <w:r>
              <w:rPr>
                <w:sz w:val="17"/>
              </w:rPr>
              <w:t>10,020</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7,520</w:t>
            </w:r>
          </w:p>
        </w:tc>
        <w:tc>
          <w:tcPr>
            <w:tcW w:type="dxa" w:w="1440"/>
            <w:shd w:fill="FAFAFA" w:val="clear"/>
          </w:tcPr>
          <w:p>
            <w:r>
              <w:rPr>
                <w:b/>
                <w:sz w:val="17"/>
              </w:rPr>
              <w:t>8,807</w:t>
            </w:r>
          </w:p>
        </w:tc>
        <w:tc>
          <w:tcPr>
            <w:tcW w:type="dxa" w:w="1440"/>
            <w:shd w:fill="FAFAFA" w:val="clear"/>
          </w:tcPr>
          <w:p>
            <w:r>
              <w:rPr>
                <w:sz w:val="17"/>
              </w:rPr>
              <w:t>10,093</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05 septembre 2026**</w:t>
        <w:br/>
        <w:t>**Cours de référence : 8 800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190,10 Mds FCFA positionne la SOGC comme une valeur de première ligne sur la BRVM, représentant un poids significatif dans l'indice, ce qui lui confère une liquidité relative appréciable. Avec un BPA de 578 FCFA, le titre se négocie à un PER de 15,2x, une valorisation supérieure à la moyenne historique de la place (~8-12x), traduisant une prime de croissance que le marché accorde à la société pour ses performances passées. Le P/B de 2,78x confirme cette prime, le marché valorisant les actifs nets à près de trois fois leur valeur comptable, signe d'une forte création de valeur. Enfin, un EV/EBITDA de 7,9x indique que la valeur totale de l'entreprise (capitaux propres + dettes) reste raisonnable par rapport à sa capacité opérationnelle de génération de cash, ce qui nuance une éventuelle surévaluation flagrante.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affiché une progression solide de +10,41%, malgré un léger repli de -0,85% lors de la dernière séance, marquant une consolidation après une période haussière. Le cours a évolué dans un range de 7 100 FCFA (plus bas) à 8 875 FCFA (plus haut), démontrant une dynamique positive soutenue. La moyenne (8 023 FCFA) est inférieure à la médiane (8 125 FCFA) et au mode (8 200 FCFA), indiquant une asymétrie négative (skewness de -0,406) : les fortes progressions ont été plus fréquentes que les fortes baisses, mais les jours de correction ont été plus violents. L'écart-type de 406 FCFA (CV=5,1%) révèle une dispersion relativement faible autour de la moyenne, suggérant une certaine stabilité dans la tendance. Le kurtosis de -0,780 (mésokurtique) indique une distribution proche de la normale, sans risque de variations extrêmes imprévisibles. Cependant, la volatilité annualisée de 37,4% classe le titre comme très volatil (&gt;30%), un niveau élevé qui exige une gestion de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(MM20=8144.5, MM50=8224.4) :** Le cours actuel (8 800 FCFA) évolue nettement au-dessus de ses deux moyennes mobiles, confirmant une tendance haussière de fond. Cependant, le signal de "Vente" suggère que le marché pourrait considérer cette extension comme excessive à court terme, les MM n'ayant pas encore rattrapé le prix, ce qui pourrait précéder un mouvement de correction ou de consolidation.</w:t>
      </w:r>
    </w:p>
    <w:p>
      <w:pPr>
        <w:spacing w:after="120" w:line="276" w:lineRule="auto"/>
      </w:pPr>
      <w:r>
        <w:t>**Bandes de Bollinger (Borne sup=8839.2, Borne inf=7449.8) :** Le prix à 8 800 FCFA se situe très près de la borne supérieure (8 839 FCFA), indiquant que le titre est en zone de "surachat" technique. La largeur des bandes (écart de ~1 400 FCFA) reflète la volatilité élevée du titre. La décision "Neutre" suggère que le marché attend un catalyseur pour sortir de cette zone, soit une poursuite de la hausse avec élargissement des bandes, soit un retour vers la moyenne.</w:t>
      </w:r>
    </w:p>
    <w:p>
      <w:pPr>
        <w:spacing w:after="120" w:line="276" w:lineRule="auto"/>
      </w:pPr>
      <w:r>
        <w:t>**MACD (Valeur=136.4, Signal=48.0) :** La divergence positive entre la ligne MACD et sa ligne de signal est importante et croissante, indiquant un momentum haussier très fort. Le signal "Achat" est clair et confirme la dynamique positive du titre. Tant que la ligne MACD reste au-dessus du signal, la tendance haussière devrait se poursuivre, même si un éventuel croisement baissier serait un signal d'alerte précoce.</w:t>
      </w:r>
    </w:p>
    <w:p>
      <w:pPr>
        <w:spacing w:after="120" w:line="276" w:lineRule="auto"/>
      </w:pPr>
      <w:r>
        <w:t>**RSI (Valeur=83.2) :** Le RSI est profondément en zone de surachat (&gt;70), ce qui est un signal de "Vente" classique. Cette valeur extrême indique que le titre a été massivement acheté sur la période récente et qu'une correction technique est statistiquement probable à court terme. Les investisseurs pourraient être tentés de prendre leurs profits.</w:t>
      </w:r>
    </w:p>
    <w:p>
      <w:pPr>
        <w:spacing w:after="120" w:line="276" w:lineRule="auto"/>
      </w:pPr>
      <w:r>
        <w:t>**Stochastique (%K=92.7, %D=97.6) :** Les deux lignes %K et %D sont à des niveaux extrêmement élevés, bien au-dessus de 80, confirmant la suraccumulation du titre. Le %D étant supérieur au %K, cela suggère un affaiblissement du momentum à très court terme, précédant souvent un croisement baissier. La décision "Vente" est cohérente avec cette lecture.</w:t>
      </w:r>
    </w:p>
    <w:p>
      <w:pPr>
        <w:spacing w:after="120" w:line="276" w:lineRule="auto"/>
      </w:pPr>
      <w:r>
        <w:t>**Conclusion technique :** Les indicateurs de tendance (MACD, MM) sont positifs, mais les oscillateurs (RSI, Stochastique) et la position par rapport aux bandes de Bollinger signalent une condition de surachat extrême. Le titre est dans une phase de "surachat haussier". La probabilité d'une consolidation ou d'un repli technique à court terme est élevée, mais la tendance de fond reste résolument haussière.</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98,98 Mds FCFA, en hausse de +10,7% par rapport à 2024, et un résultat net de 12,49 Mds FCFA, en léger repli de -5% par rapport au résultat exceptionnel de 2024 (13,11 Mds FCFA). La rentabilité reste excellente avec un ROE de 18,26% et un ROA de 13,84%, démontrant une gestion très efficace des capitaux propres et des actifs. La structure financière est saine avec une autonomie financière de 75,8% et une solvabilité générale de 413%. En tant qu'entreprise agro-industrielle, les délais clients (29,6 jours) et fournisseurs (31,7 jours) sont bien gérés, mais la durée de stockage de 97,7 jours est un point d'attention qui immobilise du capital. Le BFR est positif (7,12 Mds FCFA), ce qui est normal pour ce secteur. Les rapports trimestriels de 2025 (T1, S1, 9M) montrent une année en deux temps : un S1 exceptionnel (CA +51,9%, RN +151,6%) porté par des prix élevés, suivi d'un S2 marqué par une baisse des cours du caoutchouc et une concurrence accrue, comme l'alerte le rapport du 30 septembre 2025. Le rapport annuel 2025 (daté du 31/12/2025) confirme cette tendance avec une hausse des coûts de matières premières de +15%. La société propose un dividende brut de 570 FCFA par action pour 2025, représentant un rendement d'environ 6,5% au cours actuel, un signal positif pour les actionnaires.</w:t>
      </w:r>
    </w:p>
    <w:p>
      <w:pPr>
        <w:spacing w:after="120" w:line="276" w:lineRule="auto"/>
      </w:pPr>
      <w:r>
        <w:t>---</w:t>
      </w:r>
    </w:p>
    <w:p>
      <w:pPr>
        <w:spacing w:after="120" w:line="276" w:lineRule="auto"/>
      </w:pPr>
      <w:r>
        <w:t>### PARTIE 4 : CONCLUSION D'INVESTISSEMENT</w:t>
      </w:r>
    </w:p>
    <w:p>
      <w:pPr>
        <w:spacing w:after="120" w:line="276" w:lineRule="auto"/>
      </w:pPr>
      <w:r>
        <w:t>La valorisation (PER 15,2x, P/B 2,78x) est exigeante, mais justifiée par une rentabilité supérieure à la moyenne du marché. Le comportement du cours (+10,4% sur 100 jours) est haussier, mais la volatilité annualisée de 37,4% et les statistiques (skewness négatif) appellent à la prudence. Les signaux techniques sont contradictoires : la tendance (MACD, MM) est positive, mais les oscillateurs (RSI 83, Stochastique 92) crient au surachat, suggérant un risque de correction à court terme. Les fondamentaux restent solides, avec un ROE de 18,26% et une politique de dividende généreuse (570 FCFA/action), malgré un contexte de prix des matières premières moins porteur. Les prédictions IA (8 755 à 8 773 FCFA sur J+10) indiquent une stabilisation, contredisant le signal de surachat extrême et suggérant une consolidation horizontale plutôt qu'une chute brutale. En synthèse, la convergence entre des fondamentaux robustes, une tendance haussière et une prédiction IA stable plaide pour une recommandation **CONSERVER**. Le niveau de confiance est **Moyen** et le risque global est **Élevé** en raison de la volatilité et du surachat technique. L'horizon d'investissement optimal serait le **moyen terme (3-12 mois)**, en attendant une éventuelle correction technique pour renforcer la position, ou une confirmation de la poursuite de la hausse après consolidation.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255.96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4,451 titres</w:t>
            </w:r>
          </w:p>
        </w:tc>
        <w:tc>
          <w:tcPr>
            <w:tcW w:type="dxa" w:w="2268"/>
            <w:shd w:fill="FFF2CC" w:val="clear"/>
          </w:tcPr>
          <w:p>
            <w:r>
              <w:rPr>
                <w:b/>
                <w:color w:val="503200"/>
                <w:sz w:val="16"/>
              </w:rPr>
              <w:t xml:space="preserve">Cours actuel : </w:t>
            </w:r>
            <w:r>
              <w:rPr>
                <w:color w:val="000000"/>
                <w:sz w:val="17"/>
              </w:rPr>
              <w:t>10,015 FCFA</w:t>
            </w:r>
          </w:p>
          <w:p>
            <w:r>
              <w:rPr>
                <w:b/>
                <w:color w:val="503200"/>
                <w:sz w:val="16"/>
              </w:rPr>
              <w:t xml:space="preserve">Var. 100 jours : </w:t>
            </w:r>
            <w:r>
              <w:rPr>
                <w:b/>
                <w:color w:val="007800"/>
                <w:sz w:val="17"/>
              </w:rPr>
              <w:t>+34.52%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10.23% (Moyenne) — μ=7,703 FCFA, σ=788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β=1.0146 (Neutre (suit le marché)) — Cov=0.000038, Var(idx)=0.000037, ρ=0.244,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9,404</w:t>
            </w:r>
          </w:p>
        </w:tc>
        <w:tc>
          <w:tcPr>
            <w:tcW w:type="dxa" w:w="1440"/>
            <w:shd w:fill="FAFAFA" w:val="clear"/>
          </w:tcPr>
          <w:p>
            <w:r>
              <w:rPr>
                <w:b/>
                <w:sz w:val="17"/>
              </w:rPr>
              <w:t>9,898</w:t>
            </w:r>
          </w:p>
        </w:tc>
        <w:tc>
          <w:tcPr>
            <w:tcW w:type="dxa" w:w="1440"/>
            <w:shd w:fill="FAFAFA" w:val="clear"/>
          </w:tcPr>
          <w:p>
            <w:r>
              <w:rPr>
                <w:sz w:val="17"/>
              </w:rPr>
              <w:t>10,392</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9,142</w:t>
            </w:r>
          </w:p>
        </w:tc>
        <w:tc>
          <w:tcPr>
            <w:tcW w:type="dxa" w:w="1440"/>
            <w:shd w:fill="FAFAFA" w:val="clear"/>
          </w:tcPr>
          <w:p>
            <w:r>
              <w:rPr>
                <w:b/>
                <w:sz w:val="17"/>
              </w:rPr>
              <w:t>9,837</w:t>
            </w:r>
          </w:p>
        </w:tc>
        <w:tc>
          <w:tcPr>
            <w:tcW w:type="dxa" w:w="1440"/>
            <w:shd w:fill="FAFAFA" w:val="clear"/>
          </w:tcPr>
          <w:p>
            <w:r>
              <w:rPr>
                <w:sz w:val="17"/>
              </w:rPr>
              <w:t>10,532</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8,935</w:t>
            </w:r>
          </w:p>
        </w:tc>
        <w:tc>
          <w:tcPr>
            <w:tcW w:type="dxa" w:w="1440"/>
            <w:shd w:fill="FFDCE0" w:val="clear"/>
          </w:tcPr>
          <w:p>
            <w:r>
              <w:rPr>
                <w:b/>
                <w:sz w:val="17"/>
              </w:rPr>
              <w:t>9,782</w:t>
            </w:r>
          </w:p>
        </w:tc>
        <w:tc>
          <w:tcPr>
            <w:tcW w:type="dxa" w:w="1440"/>
            <w:shd w:fill="FFDCE0" w:val="clear"/>
          </w:tcPr>
          <w:p>
            <w:r>
              <w:rPr>
                <w:sz w:val="17"/>
              </w:rPr>
              <w:t>10,628</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8,758</w:t>
            </w:r>
          </w:p>
        </w:tc>
        <w:tc>
          <w:tcPr>
            <w:tcW w:type="dxa" w:w="1440"/>
            <w:shd w:fill="FFDCE0" w:val="clear"/>
          </w:tcPr>
          <w:p>
            <w:r>
              <w:rPr>
                <w:b/>
                <w:sz w:val="17"/>
              </w:rPr>
              <w:t>9,730</w:t>
            </w:r>
          </w:p>
        </w:tc>
        <w:tc>
          <w:tcPr>
            <w:tcW w:type="dxa" w:w="1440"/>
            <w:shd w:fill="FFDCE0" w:val="clear"/>
          </w:tcPr>
          <w:p>
            <w:r>
              <w:rPr>
                <w:sz w:val="17"/>
              </w:rPr>
              <w:t>10,702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8,598</w:t>
            </w:r>
          </w:p>
        </w:tc>
        <w:tc>
          <w:tcPr>
            <w:tcW w:type="dxa" w:w="1440"/>
            <w:shd w:fill="FFDCE0" w:val="clear"/>
          </w:tcPr>
          <w:p>
            <w:r>
              <w:rPr>
                <w:b/>
                <w:sz w:val="17"/>
              </w:rPr>
              <w:t>9,679</w:t>
            </w:r>
          </w:p>
        </w:tc>
        <w:tc>
          <w:tcPr>
            <w:tcW w:type="dxa" w:w="1440"/>
            <w:shd w:fill="FFDCE0" w:val="clear"/>
          </w:tcPr>
          <w:p>
            <w:r>
              <w:rPr>
                <w:sz w:val="17"/>
              </w:rPr>
              <w:t>10,761</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8,451</w:t>
            </w:r>
          </w:p>
        </w:tc>
        <w:tc>
          <w:tcPr>
            <w:tcW w:type="dxa" w:w="1440"/>
            <w:shd w:fill="FFDCE0" w:val="clear"/>
          </w:tcPr>
          <w:p>
            <w:r>
              <w:rPr>
                <w:b/>
                <w:sz w:val="17"/>
              </w:rPr>
              <w:t>9,630</w:t>
            </w:r>
          </w:p>
        </w:tc>
        <w:tc>
          <w:tcPr>
            <w:tcW w:type="dxa" w:w="1440"/>
            <w:shd w:fill="FFDCE0" w:val="clear"/>
          </w:tcPr>
          <w:p>
            <w:r>
              <w:rPr>
                <w:sz w:val="17"/>
              </w:rPr>
              <w:t>10,808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8,314</w:t>
            </w:r>
          </w:p>
        </w:tc>
        <w:tc>
          <w:tcPr>
            <w:tcW w:type="dxa" w:w="1440"/>
            <w:shd w:fill="FFDCE0" w:val="clear"/>
          </w:tcPr>
          <w:p>
            <w:r>
              <w:rPr>
                <w:b/>
                <w:sz w:val="17"/>
              </w:rPr>
              <w:t>9,580</w:t>
            </w:r>
          </w:p>
        </w:tc>
        <w:tc>
          <w:tcPr>
            <w:tcW w:type="dxa" w:w="1440"/>
            <w:shd w:fill="FFDCE0" w:val="clear"/>
          </w:tcPr>
          <w:p>
            <w:r>
              <w:rPr>
                <w:sz w:val="17"/>
              </w:rPr>
              <w:t>10,847</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8,185</w:t>
            </w:r>
          </w:p>
        </w:tc>
        <w:tc>
          <w:tcPr>
            <w:tcW w:type="dxa" w:w="1440"/>
            <w:shd w:fill="FFDCE0" w:val="clear"/>
          </w:tcPr>
          <w:p>
            <w:r>
              <w:rPr>
                <w:b/>
                <w:sz w:val="17"/>
              </w:rPr>
              <w:t>9,532</w:t>
            </w:r>
          </w:p>
        </w:tc>
        <w:tc>
          <w:tcPr>
            <w:tcW w:type="dxa" w:w="1440"/>
            <w:shd w:fill="FFDCE0" w:val="clear"/>
          </w:tcPr>
          <w:p>
            <w:r>
              <w:rPr>
                <w:sz w:val="17"/>
              </w:rPr>
              <w:t>10,879</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8,063</w:t>
            </w:r>
          </w:p>
        </w:tc>
        <w:tc>
          <w:tcPr>
            <w:tcW w:type="dxa" w:w="1440"/>
            <w:shd w:fill="FFDCE0" w:val="clear"/>
          </w:tcPr>
          <w:p>
            <w:r>
              <w:rPr>
                <w:b/>
                <w:sz w:val="17"/>
              </w:rPr>
              <w:t>9,485</w:t>
            </w:r>
          </w:p>
        </w:tc>
        <w:tc>
          <w:tcPr>
            <w:tcW w:type="dxa" w:w="1440"/>
            <w:shd w:fill="FFDCE0" w:val="clear"/>
          </w:tcPr>
          <w:p>
            <w:r>
              <w:rPr>
                <w:sz w:val="17"/>
              </w:rPr>
              <w:t>10,906</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7,947</w:t>
            </w:r>
          </w:p>
        </w:tc>
        <w:tc>
          <w:tcPr>
            <w:tcW w:type="dxa" w:w="1440"/>
            <w:shd w:fill="FFDCE0" w:val="clear"/>
          </w:tcPr>
          <w:p>
            <w:r>
              <w:rPr>
                <w:b/>
                <w:sz w:val="17"/>
              </w:rPr>
              <w:t>9,438</w:t>
            </w:r>
          </w:p>
        </w:tc>
        <w:tc>
          <w:tcPr>
            <w:tcW w:type="dxa" w:w="1440"/>
            <w:shd w:fill="FFDCE0" w:val="clear"/>
          </w:tcPr>
          <w:p>
            <w:r>
              <w:rPr>
                <w:sz w:val="17"/>
              </w:rPr>
              <w:t>10,929</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255,96 milliards FCFA, ce qui positionne la société parmi les valeurs moyennes à grandes capitalisations de la BRVM, lui conférant une liquidité et une visibilité notables. Avec un BPA de 977 FCFA, chaque action génère un bénéfice substantiel, justifiant un PER de 10,2x. Ce ratio, comparé à la moyenne historique de la BRVM (8-12x), indique que les investisseurs paient un prix raisonnable pour les bénéfices de l'entreprise, sans prime excessive. Le P/B de 1,86x suggère que le marché valorise la société à près du double de sa valeur comptable, reflétant une confiance dans sa capacité à générer de la valeur au-delà de ses actifs nets. Enfin, un EV/EBITDA de 6,2x, situé dans la fourchette basse de la zone considérée comme raisonnable (5-10x), confirme une valorisation globale attractive de l'entreprise par rapport à sa seule capacité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 enregistré une progression spectaculaire de +34,52%, malgré un léger repli de -1,81% lors de la dernière séance, pour s'établir à 10 015 FCFA. Le titre a évolué dans une fourchette très large, entre un plus bas de 6 720 FCFA et un plus haut de 10 300 FCFA, démontrant une forte dynamique haussière. La moyenne du cours sur la période (7 703 FCFA) est supérieure à la médiane (7 502 FCFA), et l'écart avec le mode (7 600 FCFA) confirme une distribution asymétrique, avec des jours de forte hausse tirant la moyenne vers le haut. L'écart-type de 792 FCFA (CV=10,3%) indique une dispersion modérée autour de la moyenne. Le kurtosis élevé (2,304) signale un risque de mouvements extrêmes, tandis que le skewness positif (1,697) révèle que la majorité des séances se sont situées sous la moyenne, avec quelques fortes progressions. La volatilité annualisée de 40,2% classe le titre comme très volatil, un niveau élevé qui implique un risque significatif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Le cours actuel de 10 015 FCFA se situe nettement au-dessus de la MM20 (8 982 FCFA) et de la MM50 (8 145,1 FCFA). Cette configuration haussière, où les moyennes courtes sont sous le prix, confirme une tendance de fond positive et justifie la décision d'**Achat**.</w:t>
      </w:r>
    </w:p>
    <w:p>
      <w:pPr>
        <w:spacing w:after="120" w:line="276" w:lineRule="auto"/>
      </w:pPr>
      <w:r>
        <w:t>**Bandes de Bollinger**: Le prix évolue près de la borne supérieure (10 699 FCFA) et très au-dessus de la borne inférieure (7 264 FCFA), indiquant une volatilité élevée et une pression acheteuse soutenue. Bien que le prix ne soit pas en zone de surachat extrême, la décision est **Neutre**, car une poursuite de la hausse pourrait être limitée par cette borne.</w:t>
      </w:r>
    </w:p>
    <w:p>
      <w:pPr>
        <w:spacing w:after="120" w:line="276" w:lineRule="auto"/>
      </w:pPr>
      <w:r>
        <w:t>**MACD**: La valeur du MACD (602,246) est supérieure à son signal (505,479), avec une divergence positive. Ce croisement haussier indique un momentum de prix solide et une dynamique positive toujours en place, justifiant la décision d'**Achat**.</w:t>
      </w:r>
    </w:p>
    <w:p>
      <w:pPr>
        <w:spacing w:after="120" w:line="276" w:lineRule="auto"/>
      </w:pPr>
      <w:r>
        <w:t>**RSI**: Avec une valeur de 72,333, le RSI entre en zone de surachat (au-delà de 70). Ce niveau signale que le titre a fortement monté et qu'un repli technique ou une consolidation est probable à court terme. La décision associée est donc **Vente** pour potentiellement prendre des bénéfices.</w:t>
      </w:r>
    </w:p>
    <w:p>
      <w:pPr>
        <w:spacing w:after="120" w:line="276" w:lineRule="auto"/>
      </w:pPr>
      <w:r>
        <w:t>**Stochastique**: Le %K (85,0) et le %D (93,548) sont tous deux en zone de surachat. Le %K est passé sous le %D, ce qui constitue un signal de retournement baissier imminent. Cette configuration suggère un épuisement de la dynamique haussière à court terme, justifiant la décision de **Vente**.</w:t>
      </w:r>
    </w:p>
    <w:p>
      <w:pPr>
        <w:spacing w:after="120" w:line="276" w:lineRule="auto"/>
      </w:pPr>
      <w:r>
        <w:t>**Conclusion technique**: Les indicateurs de tendance (MM, MACD) sont résolument haussiers, mais les oscillateurs de momentum (RSI, Stochastique) signalent une condition de surachat extrême. Cette divergence indique que la tendance de fond reste positive, mais qu'un repli technique correctif est très probable à très court terme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2025, SPHC a réalisé une performance financière robuste. Le chiffre d'affaires s'établit à 340,831 milliards FCFA, en croissance de 22% par rapport à 2024, et le résultat net atteint 24,972 milliards FCFA, en hausse de 32,9%. Cette performance s'accompagne d'une rentabilité élevée avec un ROE de 18,1% et un ROA de 11,1%, tous deux excellents. En tant qu'entreprise agro-industrielle, l'analyse se concentre sur le BFR, qui est positif à 65,389 milliards FCFA, indiquant un besoin de financement de l'exploitation, et sur les délais clients (35 jours) et de stockage (72 jours), qui sont des points de vigilance pour la trésorerie. L'endettement reste maîtrisé avec un ratio d'endettement de 25,8%. Les rapports trimestriels de 2025 montrent une dynamique exceptionnelle au S1 (+51% de CA), qui s'est normalisée au T3 (+36%), mais qui s'est nettement dégradée au T1 2026 avec un CA en baisse de 24% et un résultat net en chute de 78%, pénalisé par la chute des cours mondiaux du caoutchouc. Sur la base de ce rapport du T1 2026 (daté de mars 2026), on estime que l'exercice 2026 sera difficile, avec une rentabilité potentiellement en forte baisse par rapport à 2025. La société conserve néanmoins une structure financière solide et un avantage stratégique sur les normes EUDR, mais les perspectives à court terme sont assombries par la volatilité des cours et la concurrence accrue.</w:t>
      </w:r>
    </w:p>
    <w:p>
      <w:pPr>
        <w:spacing w:after="120" w:line="276" w:lineRule="auto" w:before="240"/>
      </w:pPr>
      <w:r>
        <w:rPr>
          <w:b/>
          <w:color w:val="003366"/>
          <w:sz w:val="24"/>
        </w:rPr>
        <w:t>**PARTIE 4 : CONCLUSION D'INVESTISSEMENT**</w:t>
      </w:r>
    </w:p>
    <w:p>
      <w:pPr>
        <w:spacing w:after="120" w:line="276" w:lineRule="auto"/>
      </w:pPr>
      <w:r>
        <w:t>La valorisation de SPHC (PER 10,2x, P/B 1,86x, EV/EBITDA 6,2x) apparaît raisonnable et non surévaluée, tandis que la tendance du cours sur 100 jours est fortement haussière (+34,5%) mais avec une volatilité très élevée (40,2%) et des statistiques (kurtosis, skewness) suggérant un risque de retournement. Les signaux techniques sont contradictoires : la tendance de fond (MM, MACD) est positive, mais les oscillateurs (RSI, Stochastique) crient au surachat, annonçant une consolidation probable. Les fondamentaux sont solides pour 2025 (ROE 18,1%), mais les estimations pour 2026, basées sur le rapport T1 2026, sont nettement moins favorables. Les prédictions IA pour les 10 prochains jours (baisse progressive de 9 898 à 9 679 FCFA) confirment le scénario d'un repli technique à court terme. En synthèse, la convergence des signaux de surachat technique et de dégradation fondamentale suggère une pause dans la dynamique haussière. La recommandation finale est **CONSERVER**, avec un niveau de confiance **Moyen** et un risque global **Élevé**. L'horizon d'investissement optimal serait à **moyen terme (3-12 mois)**, en attendant une meilleure visibilité sur les cours du caoutchouc et une correction technique du titre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5,973 titres</w:t>
            </w:r>
          </w:p>
        </w:tc>
        <w:tc>
          <w:tcPr>
            <w:tcW w:type="dxa" w:w="2268"/>
            <w:shd w:fill="FFF2CC" w:val="clear"/>
          </w:tcPr>
          <w:p>
            <w:r>
              <w:rPr>
                <w:b/>
                <w:color w:val="503200"/>
                <w:sz w:val="16"/>
              </w:rPr>
              <w:t xml:space="preserve">Cours actuel : </w:t>
            </w:r>
            <w:r>
              <w:rPr>
                <w:color w:val="000000"/>
                <w:sz w:val="17"/>
              </w:rPr>
              <w:t>2,605 FCFA</w:t>
            </w:r>
          </w:p>
          <w:p>
            <w:r>
              <w:rPr>
                <w:b/>
                <w:color w:val="503200"/>
                <w:sz w:val="16"/>
              </w:rPr>
              <w:t xml:space="preserve">Var. 100 jours : </w:t>
            </w:r>
            <w:r>
              <w:rPr>
                <w:b/>
                <w:color w:val="B40000"/>
                <w:sz w:val="17"/>
              </w:rPr>
              <w:t>-24.49%</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10.74% (Moyenne) — μ=2,992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β=-0.5440 (Contre-cyclique) — Cov=-0.000020, Var(idx)=0.000037, ρ=-0.088,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2,293</w:t>
            </w:r>
          </w:p>
        </w:tc>
        <w:tc>
          <w:tcPr>
            <w:tcW w:type="dxa" w:w="1440"/>
            <w:shd w:fill="FFDCE0" w:val="clear"/>
          </w:tcPr>
          <w:p>
            <w:r>
              <w:rPr>
                <w:b/>
                <w:sz w:val="17"/>
              </w:rPr>
              <w:t>2,410</w:t>
            </w:r>
          </w:p>
        </w:tc>
        <w:tc>
          <w:tcPr>
            <w:tcW w:type="dxa" w:w="1440"/>
            <w:shd w:fill="FFDCE0" w:val="clear"/>
          </w:tcPr>
          <w:p>
            <w:r>
              <w:rPr>
                <w:sz w:val="17"/>
              </w:rPr>
              <w:t>2,527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2,089</w:t>
            </w:r>
          </w:p>
        </w:tc>
        <w:tc>
          <w:tcPr>
            <w:tcW w:type="dxa" w:w="1440"/>
            <w:shd w:fill="FFDCE0" w:val="clear"/>
          </w:tcPr>
          <w:p>
            <w:r>
              <w:rPr>
                <w:b/>
                <w:sz w:val="17"/>
              </w:rPr>
              <w:t>2,243</w:t>
            </w:r>
          </w:p>
        </w:tc>
        <w:tc>
          <w:tcPr>
            <w:tcW w:type="dxa" w:w="1440"/>
            <w:shd w:fill="FFDCE0" w:val="clear"/>
          </w:tcPr>
          <w:p>
            <w:r>
              <w:rPr>
                <w:sz w:val="17"/>
              </w:rPr>
              <w:t>2,397</w:t>
            </w:r>
          </w:p>
        </w:tc>
        <w:tc>
          <w:tcPr>
            <w:tcW w:type="dxa" w:w="1440"/>
            <w:shd w:fill="FFDCE0" w:val="clear"/>
          </w:tcPr>
          <w:p>
            <w:r>
              <w:rPr>
                <w:b/>
                <w:color w:val="C00000"/>
                <w:sz w:val="17"/>
              </w:rPr>
              <w:t>-13.9%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1,915</w:t>
            </w:r>
          </w:p>
        </w:tc>
        <w:tc>
          <w:tcPr>
            <w:tcW w:type="dxa" w:w="1440"/>
            <w:shd w:fill="FFDCE0" w:val="clear"/>
          </w:tcPr>
          <w:p>
            <w:r>
              <w:rPr>
                <w:b/>
                <w:sz w:val="17"/>
              </w:rPr>
              <w:t>2,090</w:t>
            </w:r>
          </w:p>
        </w:tc>
        <w:tc>
          <w:tcPr>
            <w:tcW w:type="dxa" w:w="1440"/>
            <w:shd w:fill="FFDCE0" w:val="clear"/>
          </w:tcPr>
          <w:p>
            <w:r>
              <w:rPr>
                <w:sz w:val="17"/>
              </w:rPr>
              <w:t>2,266</w:t>
            </w:r>
          </w:p>
        </w:tc>
        <w:tc>
          <w:tcPr>
            <w:tcW w:type="dxa" w:w="1440"/>
            <w:shd w:fill="FFDCE0" w:val="clear"/>
          </w:tcPr>
          <w:p>
            <w:r>
              <w:rPr>
                <w:b/>
                <w:color w:val="C00000"/>
                <w:sz w:val="17"/>
              </w:rPr>
              <w:t>-19.8%</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1,772</w:t>
            </w:r>
          </w:p>
        </w:tc>
        <w:tc>
          <w:tcPr>
            <w:tcW w:type="dxa" w:w="1440"/>
            <w:shd w:fill="FFDCE0" w:val="clear"/>
          </w:tcPr>
          <w:p>
            <w:r>
              <w:rPr>
                <w:b/>
                <w:sz w:val="17"/>
              </w:rPr>
              <w:t>1,962</w:t>
            </w:r>
          </w:p>
        </w:tc>
        <w:tc>
          <w:tcPr>
            <w:tcW w:type="dxa" w:w="1440"/>
            <w:shd w:fill="FFDCE0" w:val="clear"/>
          </w:tcPr>
          <w:p>
            <w:r>
              <w:rPr>
                <w:sz w:val="17"/>
              </w:rPr>
              <w:t>2,153</w:t>
            </w:r>
          </w:p>
        </w:tc>
        <w:tc>
          <w:tcPr>
            <w:tcW w:type="dxa" w:w="1440"/>
            <w:shd w:fill="FFDCE0" w:val="clear"/>
          </w:tcPr>
          <w:p>
            <w:r>
              <w:rPr>
                <w:b/>
                <w:color w:val="C00000"/>
                <w:sz w:val="17"/>
              </w:rPr>
              <w:t>-24.7%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1,658</w:t>
            </w:r>
          </w:p>
        </w:tc>
        <w:tc>
          <w:tcPr>
            <w:tcW w:type="dxa" w:w="1440"/>
            <w:shd w:fill="FFDCE0" w:val="clear"/>
          </w:tcPr>
          <w:p>
            <w:r>
              <w:rPr>
                <w:b/>
                <w:sz w:val="17"/>
              </w:rPr>
              <w:t>1,860</w:t>
            </w:r>
          </w:p>
        </w:tc>
        <w:tc>
          <w:tcPr>
            <w:tcW w:type="dxa" w:w="1440"/>
            <w:shd w:fill="FFDCE0" w:val="clear"/>
          </w:tcPr>
          <w:p>
            <w:r>
              <w:rPr>
                <w:sz w:val="17"/>
              </w:rPr>
              <w:t>2,061</w:t>
            </w:r>
          </w:p>
        </w:tc>
        <w:tc>
          <w:tcPr>
            <w:tcW w:type="dxa" w:w="1440"/>
            <w:shd w:fill="FFDCE0" w:val="clear"/>
          </w:tcPr>
          <w:p>
            <w:r>
              <w:rPr>
                <w:b/>
                <w:color w:val="C00000"/>
                <w:sz w:val="17"/>
              </w:rPr>
              <w:t>-28.6%</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1,566</w:t>
            </w:r>
          </w:p>
        </w:tc>
        <w:tc>
          <w:tcPr>
            <w:tcW w:type="dxa" w:w="1440"/>
            <w:shd w:fill="FFDCE0" w:val="clear"/>
          </w:tcPr>
          <w:p>
            <w:r>
              <w:rPr>
                <w:b/>
                <w:sz w:val="17"/>
              </w:rPr>
              <w:t>1,777</w:t>
            </w:r>
          </w:p>
        </w:tc>
        <w:tc>
          <w:tcPr>
            <w:tcW w:type="dxa" w:w="1440"/>
            <w:shd w:fill="FFDCE0" w:val="clear"/>
          </w:tcPr>
          <w:p>
            <w:r>
              <w:rPr>
                <w:sz w:val="17"/>
              </w:rPr>
              <w:t>1,989</w:t>
            </w:r>
          </w:p>
        </w:tc>
        <w:tc>
          <w:tcPr>
            <w:tcW w:type="dxa" w:w="1440"/>
            <w:shd w:fill="FFDCE0" w:val="clear"/>
          </w:tcPr>
          <w:p>
            <w:r>
              <w:rPr>
                <w:b/>
                <w:color w:val="C00000"/>
                <w:sz w:val="17"/>
              </w:rPr>
              <w:t>-31.8%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1,492</w:t>
            </w:r>
          </w:p>
        </w:tc>
        <w:tc>
          <w:tcPr>
            <w:tcW w:type="dxa" w:w="1440"/>
            <w:shd w:fill="FFDCE0" w:val="clear"/>
          </w:tcPr>
          <w:p>
            <w:r>
              <w:rPr>
                <w:b/>
                <w:sz w:val="17"/>
              </w:rPr>
              <w:t>1,711</w:t>
            </w:r>
          </w:p>
        </w:tc>
        <w:tc>
          <w:tcPr>
            <w:tcW w:type="dxa" w:w="1440"/>
            <w:shd w:fill="FFDCE0" w:val="clear"/>
          </w:tcPr>
          <w:p>
            <w:r>
              <w:rPr>
                <w:sz w:val="17"/>
              </w:rPr>
              <w:t>1,931</w:t>
            </w:r>
          </w:p>
        </w:tc>
        <w:tc>
          <w:tcPr>
            <w:tcW w:type="dxa" w:w="1440"/>
            <w:shd w:fill="FFDCE0" w:val="clear"/>
          </w:tcPr>
          <w:p>
            <w:r>
              <w:rPr>
                <w:b/>
                <w:color w:val="C00000"/>
                <w:sz w:val="17"/>
              </w:rPr>
              <w:t>-34.3%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1,430</w:t>
            </w:r>
          </w:p>
        </w:tc>
        <w:tc>
          <w:tcPr>
            <w:tcW w:type="dxa" w:w="1440"/>
            <w:shd w:fill="FFDCE0" w:val="clear"/>
          </w:tcPr>
          <w:p>
            <w:r>
              <w:rPr>
                <w:b/>
                <w:sz w:val="17"/>
              </w:rPr>
              <w:t>1,657</w:t>
            </w:r>
          </w:p>
        </w:tc>
        <w:tc>
          <w:tcPr>
            <w:tcW w:type="dxa" w:w="1440"/>
            <w:shd w:fill="FFDCE0" w:val="clear"/>
          </w:tcPr>
          <w:p>
            <w:r>
              <w:rPr>
                <w:sz w:val="17"/>
              </w:rPr>
              <w:t>1,884</w:t>
            </w:r>
          </w:p>
        </w:tc>
        <w:tc>
          <w:tcPr>
            <w:tcW w:type="dxa" w:w="1440"/>
            <w:shd w:fill="FFDCE0" w:val="clear"/>
          </w:tcPr>
          <w:p>
            <w:r>
              <w:rPr>
                <w:b/>
                <w:color w:val="C00000"/>
                <w:sz w:val="17"/>
              </w:rPr>
              <w:t>-36.4%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1,377</w:t>
            </w:r>
          </w:p>
        </w:tc>
        <w:tc>
          <w:tcPr>
            <w:tcW w:type="dxa" w:w="1440"/>
            <w:shd w:fill="FFDCE0" w:val="clear"/>
          </w:tcPr>
          <w:p>
            <w:r>
              <w:rPr>
                <w:b/>
                <w:sz w:val="17"/>
              </w:rPr>
              <w:t>1,611</w:t>
            </w:r>
          </w:p>
        </w:tc>
        <w:tc>
          <w:tcPr>
            <w:tcW w:type="dxa" w:w="1440"/>
            <w:shd w:fill="FFDCE0" w:val="clear"/>
          </w:tcPr>
          <w:p>
            <w:r>
              <w:rPr>
                <w:sz w:val="17"/>
              </w:rPr>
              <w:t>1,845</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1,330</w:t>
            </w:r>
          </w:p>
        </w:tc>
        <w:tc>
          <w:tcPr>
            <w:tcW w:type="dxa" w:w="1440"/>
            <w:shd w:fill="FFDCE0" w:val="clear"/>
          </w:tcPr>
          <w:p>
            <w:r>
              <w:rPr>
                <w:b/>
                <w:sz w:val="17"/>
              </w:rPr>
              <w:t>1,571</w:t>
            </w:r>
          </w:p>
        </w:tc>
        <w:tc>
          <w:tcPr>
            <w:tcW w:type="dxa" w:w="1440"/>
            <w:shd w:fill="FFDCE0" w:val="clear"/>
          </w:tcPr>
          <w:p>
            <w:r>
              <w:rPr>
                <w:sz w:val="17"/>
              </w:rPr>
              <w:t>1,812</w:t>
            </w:r>
          </w:p>
        </w:tc>
        <w:tc>
          <w:tcPr>
            <w:tcW w:type="dxa" w:w="1440"/>
            <w:shd w:fill="FFDCE0" w:val="clear"/>
          </w:tcPr>
          <w:p>
            <w:r>
              <w:rPr>
                <w:b/>
                <w:color w:val="C00000"/>
                <w:sz w:val="17"/>
              </w:rPr>
              <w:t>-39.7%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35,01 milliards FCFA positionne STAC comme une valeur de taille moyenne sur la BRVM, mais ce niveau est difficilement justifiable au regard des fondamentaux actuels. Le BPA négatif de -7 FCFA par action traduit une incapacité à générer du bénéfice pour l'actionnaire, ce qui explique le PER négatif de -362,6x, une situation qui rend ce ratio inexploitable pour comparer la valeur aux standards du marché (BRVM moyen ~8-12x). Le P/B de 98,14x est extrêmement élevé, indiquant que le marché valorise l'actif net comptable à près de 100 fois sa valeur, une prime déconnectée de la réalité financière d'une société dont les capitaux propres ne s'élèvent qu'à 356,75 millions FCFA. Le ratio EV/EBITDA n'est pas calculable en raison de l'EBITDA négatif, ce qui confirme l'absence de capacité opérationnelle à dégager des bénéfices pour justifier une telle valorisation.</w:t>
      </w:r>
    </w:p>
    <w:p>
      <w:pPr>
        <w:spacing w:after="120" w:line="276" w:lineRule="auto" w:before="240"/>
      </w:pPr>
      <w:r>
        <w:rPr>
          <w:b/>
          <w:color w:val="003366"/>
          <w:sz w:val="24"/>
        </w:rPr>
        <w:t>**PARTIE 1 : ANALYSE DU COURS — STATISTIQUES ET ÉVOLUTION (100 derniers jours)**</w:t>
      </w:r>
    </w:p>
    <w:p>
      <w:pPr>
        <w:spacing w:after="120" w:line="276" w:lineRule="auto"/>
      </w:pPr>
      <w:r>
        <w:t>Le titre STAC a enregistré une chute vertigineuse de -24,49% sur les 100 derniers jours, avec une accélération baissière lors de la dernière séance (-3,16% en J-1), portant le cours à 2 605 FCFA. Le range de trading s'étend de 2 515 FCFA (plus bas) à 3 640 FCFA (plus haut), illustrant une amplitude de 1 125 FCFA qui témoigne d'une forte pression vendeuse. La moyenne de 2 992 FCFA est supérieure à la médiane de 2 952 FCFA, indiquant une distribution légèrement asymétrique à gauche avec des valeurs extrêmes basses qui tirent le cours vers le bas. L'écart-type de 323 FCFA (CV=10,8%) révèle une dispersion modérée autour de la moyenne, tandis que le kurtosis de -0,937 (mésokurtique) suggère une distribution proche de la normale sans risque de pics extrêmes. Le skewness positif de 0,459 indique une asymétrie vers les valeurs élevées, mais la tendance récente contredit cette statistique. La volatilité annualisée de 60,1% classe le titre comme extrêmement risqué, bien au-delà du seuil de 30% considéré comme élevé, reflétant une instabilité chronique.</w:t>
      </w:r>
    </w:p>
    <w:p>
      <w:pPr>
        <w:spacing w:after="120" w:line="276" w:lineRule="auto" w:before="240"/>
      </w:pPr>
      <w:r>
        <w:rPr>
          <w:b/>
          <w:color w:val="003366"/>
          <w:sz w:val="24"/>
        </w:rPr>
        <w:t>**PARTIE 2 : ANALYSE TECHNIQUE DÉTAILLÉE**</w:t>
      </w:r>
    </w:p>
    <w:p>
      <w:pPr>
        <w:spacing w:after="120" w:line="276" w:lineRule="auto"/>
      </w:pPr>
      <w:r>
        <w:t>**Moyennes Mobiles** : Le cours actuel de 2 605 FCFA évolue sous la MM20 (2 632,75 FCFA) et nettement sous la MM50 (2 930,9 FCFA), confirmant une configuration baissière. L'écart croissant entre les deux moyennes indique une accélération du mouvement de baisse, la décision de Vente étant pleinement justifiée par cette structure défavorable.</w:t>
      </w:r>
    </w:p>
    <w:p>
      <w:pPr>
        <w:spacing w:after="120" w:line="276" w:lineRule="auto"/>
      </w:pPr>
      <w:r>
        <w:t>**Bandes de Bollinger** : Le prix se situe à 2 605 FCFA, entre la borne inférieure (2 461,95 FCFA) et la borne supérieure (2 803,55 FCFA), avec une largeur de bande de 341,6 FCFA qui reflète une volatilité modérée. La position du cours dans la moitié inférieure des bandes suggère une poursuite potentielle du mouvement baissier, bien que la décision Neutre indique une absence de signal extrême.</w:t>
      </w:r>
    </w:p>
    <w:p>
      <w:pPr>
        <w:spacing w:after="120" w:line="276" w:lineRule="auto"/>
      </w:pPr>
      <w:r>
        <w:t>**MACD** : La valeur MACD de -50,515 est supérieure au signal de -81,921, créant un croisement haussier qui pourrait signaler un début de retournement technique. Cependant, les deux indicateurs restent profondément négatifs, confirmant que le momentum baissier demeure dominant malgré cette légère convergence positive.</w:t>
      </w:r>
    </w:p>
    <w:p>
      <w:pPr>
        <w:spacing w:after="120" w:line="276" w:lineRule="auto"/>
      </w:pPr>
      <w:r>
        <w:t>**RSI** : À 47,945, le RSI se situe dans la zone neutre (30-70), indiquant un équilibre relatif entre pression acheteuse et vendeuse. Cette valeur ne signale ni surachat ni survente, laissant planer une incertitude sur la direction future du titre.</w:t>
      </w:r>
    </w:p>
    <w:p>
      <w:pPr>
        <w:spacing w:after="120" w:line="276" w:lineRule="auto"/>
      </w:pPr>
      <w:r>
        <w:t>**Stochastique** : Le %K à 25,0 est inférieur au %D à 57,778, formant un croisement baissier qui suggère une poursuite du mouvement de baisse. La position du %K proche de la zone de survente (&lt;20) pourrait toutefois indiquer un épuisement vendeur à court terme.</w:t>
      </w:r>
    </w:p>
    <w:p>
      <w:pPr>
        <w:spacing w:after="120" w:line="276" w:lineRule="auto"/>
      </w:pPr>
      <w:r>
        <w:t>**Conclusion technique** : La convergence des indicateurs (MM baissières, MACD négatif, Stochastique baissier) confirme une tendance baissière dominante, tempérée par un RSI neutre et un MACD en légère convergence haussière. Le titre reste sous pression, mais des signes de stabilisation technique commencent à apparaître, suggérant une possible consolidation avant une éventuelle reprise.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STAC révèlent une situation profondément dégradée avec un chiffre d'affaires de 3,878 milliards FCFA, en croissance spectaculaire de +116,26% par rapport à 2024, mais le résultat net demeure négatif à -96,56 millions FCFA. La marge nette de -2,49% et la marge opérationnelle de -19,90% témoignent d'une rentabilité structurellement déficiente, tandis que le ROE de -27,07% et le ROA de -1,77% confirment l'incapacité de l'entreprise à rémunérer ses capitaux propres et ses actifs. Le BFR négatif de -930,47 millions FCFA constitue un point positif, indiquant que l'entreprise finance son cycle d'exploitation grâce à ses fournisseurs, mais la dépendance financière de 129,87% et l'endettement de 93,45% révèlent une structure financière fragile avec des capitaux propres de seulement 356,75 millions FCFA pour un total bilan de 5,447 milliards FCFA. Le rapport du 3ème trimestre 2025 (daté du 30 septembre 2025) confirme cette trajectoire avec un CA cumulé de 3,456 milliards FCFA (+176% vs 2024), porté par les travaux de l'aéroport d'Abidjan, mais une perte nette de 477 millions FCFA, en amélioration de 22% grâce à une réduction de 50% des pertes d'exploitation. En comparaison, le rapport du 1er semestre 2025 (30 juin 2025) montrait un CA de 2,271 milliards FCFA (+290%) mais une perte aggravée de 557 millions FCFA, illustrant une amélioration séquentielle au T3. Les états financiers 2024 (31 décembre 2024) révélaient un CA effondré à 1,793 milliard FCFA (-80,6%) et une perte de 348 millions FCFA, tandis que les rapports historiques de 2020-2021 montraient une entreprise florissante avec un CA de 15,9 milliards FCFA et un résultat net de 2,32 milliards FCFA, démontrant une dégradation spectaculaire sur 5 ans. Sur la base du rapport T3 2025, on estime que l'exercice 2025 devrait atteindre un CA proche de 4 milliards FCFA (prévision direction), mais la rentabilité positive ne sera pas atteinte avant 2026-2027, sous réserve de sécurisation de nouveaux contrats au-delà du chantier aéroportuaire.</w:t>
      </w:r>
    </w:p>
    <w:p>
      <w:pPr>
        <w:spacing w:after="120" w:line="276" w:lineRule="auto" w:before="240"/>
      </w:pPr>
      <w:r>
        <w:rPr>
          <w:b/>
          <w:color w:val="003366"/>
          <w:sz w:val="24"/>
        </w:rPr>
        <w:t>**PARTIE 4 : CONCLUSION D'INVESTISSEMENT**</w:t>
      </w:r>
    </w:p>
    <w:p>
      <w:pPr>
        <w:spacing w:after="120" w:line="276" w:lineRule="auto"/>
      </w:pPr>
      <w:r>
        <w:t>La valorisation de STAC est totalement déconnectée des fondamentaux, avec un P/B de 98,14x et un PER négatif qui traduisent une surévaluation flagrante par rapport à la valeur comptable et aux bénéfices. Le comportement du cours sur 100 jours (-24,49%) confirme une tendance baissière persistante, avec une volatilité annualisée de 60,1% qui rend le titre extrêmement risqué pour les investisseurs. Les signaux techniques sont majoritairement baissiers (MM, Stochastique) malgré une légère convergence positive du MACD, tandis que les fondamentaux révèlent une entreprise en perte récurrente (-96,56 millions FCFA en 2025) avec des capitaux propres résiduels de 356,75 millions FCFA, bien que le rebond du CA (+116%) et la réduction des pertes d'exploitation (-50% au T3 2025) offrent des signes encourageants. Les prédictions IA pour les 10 prochains jours (2 410 à 1 860 FCFA) confirment la poursuite du mouvement baissier, avec une chute potentielle de 28,6% par rapport au cours actuel. La convergence entre la valorisation excessive, la tendance technique baissière, les fondamentaux fragiles et les prédictions IA défavorables justifie une recommandation de **VENTE FORTE** avec un niveau de confiance **Élevé** et un risque global **Élevé**. L'horizon d'investissement optimal est le **court terme (&lt;3 mois)** pour les investisseurs souhaitant limiter leurs pertes, tandis qu'un retour à l'achat ne serait envisageable qu'après une stabilisation des résultats financiers et une confirmation de la rentabilité opérationnelle sur plusieurs trimestres consécutifs.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396.81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3,700 titres</w:t>
            </w:r>
          </w:p>
        </w:tc>
        <w:tc>
          <w:tcPr>
            <w:tcW w:type="dxa" w:w="2268"/>
            <w:shd w:fill="FFF2CC" w:val="clear"/>
          </w:tcPr>
          <w:p>
            <w:r>
              <w:rPr>
                <w:b/>
                <w:color w:val="503200"/>
                <w:sz w:val="16"/>
              </w:rPr>
              <w:t xml:space="preserve">Cours actuel : </w:t>
            </w:r>
            <w:r>
              <w:rPr>
                <w:color w:val="000000"/>
                <w:sz w:val="17"/>
              </w:rPr>
              <w:t>22,100 FCFA</w:t>
            </w:r>
          </w:p>
          <w:p>
            <w:r>
              <w:rPr>
                <w:b/>
                <w:color w:val="503200"/>
                <w:sz w:val="16"/>
              </w:rPr>
              <w:t xml:space="preserve">Var. 100 jours : </w:t>
            </w:r>
            <w:r>
              <w:rPr>
                <w:b/>
                <w:color w:val="007800"/>
                <w:sz w:val="17"/>
              </w:rPr>
              <w:t>+4.12%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μ=22,330 FCFA, σ=1,357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β=0.4287 (Défensif) — Cov=0.000016, Var(idx)=0.000037, ρ=0.114,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21,372</w:t>
            </w:r>
          </w:p>
        </w:tc>
        <w:tc>
          <w:tcPr>
            <w:tcW w:type="dxa" w:w="1440"/>
            <w:shd w:fill="FAFAFA" w:val="clear"/>
          </w:tcPr>
          <w:p>
            <w:r>
              <w:rPr>
                <w:b/>
                <w:sz w:val="17"/>
              </w:rPr>
              <w:t>22,444</w:t>
            </w:r>
          </w:p>
        </w:tc>
        <w:tc>
          <w:tcPr>
            <w:tcW w:type="dxa" w:w="1440"/>
            <w:shd w:fill="FAFAFA" w:val="clear"/>
          </w:tcPr>
          <w:p>
            <w:r>
              <w:rPr>
                <w:sz w:val="17"/>
              </w:rPr>
              <w:t>23,516</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21,098</w:t>
            </w:r>
          </w:p>
        </w:tc>
        <w:tc>
          <w:tcPr>
            <w:tcW w:type="dxa" w:w="1440"/>
            <w:shd w:fill="C6EFCE" w:val="clear"/>
          </w:tcPr>
          <w:p>
            <w:r>
              <w:rPr>
                <w:b/>
                <w:sz w:val="17"/>
              </w:rPr>
              <w:t>22,626</w:t>
            </w:r>
          </w:p>
        </w:tc>
        <w:tc>
          <w:tcPr>
            <w:tcW w:type="dxa" w:w="1440"/>
            <w:shd w:fill="C6EFCE" w:val="clear"/>
          </w:tcPr>
          <w:p>
            <w:r>
              <w:rPr>
                <w:sz w:val="17"/>
              </w:rPr>
              <w:t>24,154</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20,943</w:t>
            </w:r>
          </w:p>
        </w:tc>
        <w:tc>
          <w:tcPr>
            <w:tcW w:type="dxa" w:w="1440"/>
            <w:shd w:fill="C6EFCE" w:val="clear"/>
          </w:tcPr>
          <w:p>
            <w:r>
              <w:rPr>
                <w:b/>
                <w:sz w:val="17"/>
              </w:rPr>
              <w:t>22,832</w:t>
            </w:r>
          </w:p>
        </w:tc>
        <w:tc>
          <w:tcPr>
            <w:tcW w:type="dxa" w:w="1440"/>
            <w:shd w:fill="C6EFCE" w:val="clear"/>
          </w:tcPr>
          <w:p>
            <w:r>
              <w:rPr>
                <w:sz w:val="17"/>
              </w:rPr>
              <w:t>24,720</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20,850</w:t>
            </w:r>
          </w:p>
        </w:tc>
        <w:tc>
          <w:tcPr>
            <w:tcW w:type="dxa" w:w="1440"/>
            <w:shd w:fill="C6EFCE" w:val="clear"/>
          </w:tcPr>
          <w:p>
            <w:r>
              <w:rPr>
                <w:b/>
                <w:sz w:val="17"/>
              </w:rPr>
              <w:t>23,052</w:t>
            </w:r>
          </w:p>
        </w:tc>
        <w:tc>
          <w:tcPr>
            <w:tcW w:type="dxa" w:w="1440"/>
            <w:shd w:fill="C6EFCE" w:val="clear"/>
          </w:tcPr>
          <w:p>
            <w:r>
              <w:rPr>
                <w:sz w:val="17"/>
              </w:rPr>
              <w:t>25,254</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20,795</w:t>
            </w:r>
          </w:p>
        </w:tc>
        <w:tc>
          <w:tcPr>
            <w:tcW w:type="dxa" w:w="1440"/>
            <w:shd w:fill="C6EFCE" w:val="clear"/>
          </w:tcPr>
          <w:p>
            <w:r>
              <w:rPr>
                <w:b/>
                <w:sz w:val="17"/>
              </w:rPr>
              <w:t>23,282</w:t>
            </w:r>
          </w:p>
        </w:tc>
        <w:tc>
          <w:tcPr>
            <w:tcW w:type="dxa" w:w="1440"/>
            <w:shd w:fill="C6EFCE" w:val="clear"/>
          </w:tcPr>
          <w:p>
            <w:r>
              <w:rPr>
                <w:sz w:val="17"/>
              </w:rPr>
              <w:t>25,768</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20,754</w:t>
            </w:r>
          </w:p>
        </w:tc>
        <w:tc>
          <w:tcPr>
            <w:tcW w:type="dxa" w:w="1440"/>
            <w:shd w:fill="C6EFCE" w:val="clear"/>
          </w:tcPr>
          <w:p>
            <w:r>
              <w:rPr>
                <w:b/>
                <w:sz w:val="17"/>
              </w:rPr>
              <w:t>23,504</w:t>
            </w:r>
          </w:p>
        </w:tc>
        <w:tc>
          <w:tcPr>
            <w:tcW w:type="dxa" w:w="1440"/>
            <w:shd w:fill="C6EFCE" w:val="clear"/>
          </w:tcPr>
          <w:p>
            <w:r>
              <w:rPr>
                <w:sz w:val="17"/>
              </w:rPr>
              <w:t>26,253</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20,725</w:t>
            </w:r>
          </w:p>
        </w:tc>
        <w:tc>
          <w:tcPr>
            <w:tcW w:type="dxa" w:w="1440"/>
            <w:shd w:fill="C6EFCE" w:val="clear"/>
          </w:tcPr>
          <w:p>
            <w:r>
              <w:rPr>
                <w:b/>
                <w:sz w:val="17"/>
              </w:rPr>
              <w:t>23,722</w:t>
            </w:r>
          </w:p>
        </w:tc>
        <w:tc>
          <w:tcPr>
            <w:tcW w:type="dxa" w:w="1440"/>
            <w:shd w:fill="C6EFCE" w:val="clear"/>
          </w:tcPr>
          <w:p>
            <w:r>
              <w:rPr>
                <w:sz w:val="17"/>
              </w:rPr>
              <w:t>26,720</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20,716</w:t>
            </w:r>
          </w:p>
        </w:tc>
        <w:tc>
          <w:tcPr>
            <w:tcW w:type="dxa" w:w="1440"/>
            <w:shd w:fill="C6EFCE" w:val="clear"/>
          </w:tcPr>
          <w:p>
            <w:r>
              <w:rPr>
                <w:b/>
                <w:sz w:val="17"/>
              </w:rPr>
              <w:t>23,951</w:t>
            </w:r>
          </w:p>
        </w:tc>
        <w:tc>
          <w:tcPr>
            <w:tcW w:type="dxa" w:w="1440"/>
            <w:shd w:fill="C6EFCE" w:val="clear"/>
          </w:tcPr>
          <w:p>
            <w:r>
              <w:rPr>
                <w:sz w:val="17"/>
              </w:rPr>
              <w:t>27,186</w:t>
            </w:r>
          </w:p>
        </w:tc>
        <w:tc>
          <w:tcPr>
            <w:tcW w:type="dxa" w:w="1440"/>
            <w:shd w:fill="C6EFCE" w:val="clear"/>
          </w:tcPr>
          <w:p>
            <w:r>
              <w:rPr>
                <w:b/>
                <w:color w:val="008000"/>
                <w:sz w:val="17"/>
              </w:rPr>
              <w:t>+8.4%</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20,716</w:t>
            </w:r>
          </w:p>
        </w:tc>
        <w:tc>
          <w:tcPr>
            <w:tcW w:type="dxa" w:w="1440"/>
            <w:shd w:fill="C6EFCE" w:val="clear"/>
          </w:tcPr>
          <w:p>
            <w:r>
              <w:rPr>
                <w:b/>
                <w:sz w:val="17"/>
              </w:rPr>
              <w:t>24,181</w:t>
            </w:r>
          </w:p>
        </w:tc>
        <w:tc>
          <w:tcPr>
            <w:tcW w:type="dxa" w:w="1440"/>
            <w:shd w:fill="C6EFCE" w:val="clear"/>
          </w:tcPr>
          <w:p>
            <w:r>
              <w:rPr>
                <w:sz w:val="17"/>
              </w:rPr>
              <w:t>27,645</w:t>
            </w:r>
          </w:p>
        </w:tc>
        <w:tc>
          <w:tcPr>
            <w:tcW w:type="dxa" w:w="1440"/>
            <w:shd w:fill="C6EFCE" w:val="clear"/>
          </w:tcPr>
          <w:p>
            <w:r>
              <w:rPr>
                <w:b/>
                <w:color w:val="008000"/>
                <w:sz w:val="17"/>
              </w:rPr>
              <w:t>+9.4%</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20,746</w:t>
            </w:r>
          </w:p>
        </w:tc>
        <w:tc>
          <w:tcPr>
            <w:tcW w:type="dxa" w:w="1440"/>
            <w:shd w:fill="C6EFCE" w:val="clear"/>
          </w:tcPr>
          <w:p>
            <w:r>
              <w:rPr>
                <w:b/>
                <w:sz w:val="17"/>
              </w:rPr>
              <w:t>24,436</w:t>
            </w:r>
          </w:p>
        </w:tc>
        <w:tc>
          <w:tcPr>
            <w:tcW w:type="dxa" w:w="1440"/>
            <w:shd w:fill="C6EFCE" w:val="clear"/>
          </w:tcPr>
          <w:p>
            <w:r>
              <w:rPr>
                <w:sz w:val="17"/>
              </w:rPr>
              <w:t>28,127</w:t>
            </w:r>
          </w:p>
        </w:tc>
        <w:tc>
          <w:tcPr>
            <w:tcW w:type="dxa" w:w="1440"/>
            <w:shd w:fill="C6EFCE" w:val="clear"/>
          </w:tcPr>
          <w:p>
            <w:r>
              <w:rPr>
                <w:b/>
                <w:color w:val="008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Absolument. Voici un rapport d'analyse structuré et professionnel pour l'action STBC (SITAB) sur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396,81 milliards FCFA positionne SITAB comme une valeur de premier plan sur la BRVM, reflétant son statut de leader sur son marché. Avec un BPA de 2 014 FCFA, le titre se négocie à un PER de 11,0x, ce qui est dans la fourchette haute des valeurs de la place (moyenne BRVM ~8-12x), indiquant une valorisation raisonnable mais non bradée. Le P/B de 8,75x est en revanche très élevé, signifiant que le marché paie une prime substantielle (plus de 8 fois) par rapport à la valeur comptable des actifs, ce qui traduit des attentes de rentabilité future élevées. Enfin, un EV/EBITDA de 7,9x est considéré comme modéré et sain, indiquant que la valeur totale de l'entreprise (capitalisation + dette nette) reste raisonnable par rapport à sa capacité à générer des bénéfices opérationnels (EBITDA).</w:t>
      </w:r>
    </w:p>
    <w:p>
      <w:pPr>
        <w:spacing w:after="120" w:line="276" w:lineRule="auto"/>
      </w:pPr>
      <w:r>
        <w:t>### **PARTIE 1 : ANALYSE DU COURS — STATISTIQUES ET ÉVOLUTION (100 derniers jours)**</w:t>
      </w:r>
    </w:p>
    <w:p>
      <w:pPr>
        <w:spacing w:after="120" w:line="276" w:lineRule="auto"/>
      </w:pPr>
      <w:r>
        <w:t>Sur les 100 derniers jours, l'action STBC affiche une progression modeste de +4,12%, avec une dernière séance en légère hausse de +0,43% à 22 100 FCFA. Le titre a évolué dans une fourchette de 19 705 FCFA (plus bas) à 25 000 FCFA (plus haut), démontrant une volatilité notable sur la période. La moyenne du cours (22 330 FCFA) est très proche de la médiane (22 168 FCFA), et le skewness de 0,219 confirme une distribution quasi symétrique des prix. L'écart-type de 1 363 FCFA (CV = 6,1%) indique une dispersion relative faible autour de la moyenne. Le kurtosis de -0,930 (mésokurtique) suggère une distribution proche de la normale, sans risque de variations extrêmes (pics) plus élevé que la normale. La volatilité annualisée de 36,4% est élevée (&gt;30%), ce qui classe le titre comme dynamique et potentiellement risqué à court terme, malgré une distribution statistique des prix relativement stable.</w:t>
      </w:r>
    </w:p>
    <w:p>
      <w:pPr>
        <w:spacing w:after="120" w:line="276" w:lineRule="auto"/>
      </w:pPr>
      <w:r>
        <w:t>### **PARTIE 2 : ANALYSE TECHNIQUE DÉTAILLÉE**</w:t>
      </w:r>
    </w:p>
    <w:p>
      <w:pPr>
        <w:spacing w:after="120" w:line="276" w:lineRule="auto"/>
      </w:pPr>
      <w:r>
        <w:t>**Moyennes Mobiles** : Le cours actuel (22 100 FCFA) est inférieur à la MM20 (22 879,75 FCFA) et à la MM50 (23 428,2 FCFA). Cette configuration, où le prix est sous ses moyennes mobiles clés, indique une tendance baissière à court et moyen terme. La décision de "Vente" est cohérente avec cette dynamique, suggérant que les acheteurs sont actuellement moins pressants que les vendeurs.</w:t>
      </w:r>
    </w:p>
    <w:p>
      <w:pPr>
        <w:spacing w:after="120" w:line="276" w:lineRule="auto"/>
      </w:pPr>
      <w:r>
        <w:t>**Bandes de Bollinger** : Le prix se situe à 22 100 FCFA, entre la borne inférieure (21 061,33 FCFA) et la moyenne mobile (22 879,75 FCFA). Il est plus proche de la borne inférieure, ce qui indique une pression vendeuse relative. La décision "Neutre" est justifiée car le prix n'est pas en situation de surachat ni de survente extrême, mais la position basse dans les bandes suggère un potentiel de rebond ou une poursuite de la baisse vers le support.</w:t>
      </w:r>
    </w:p>
    <w:p>
      <w:pPr>
        <w:spacing w:after="120" w:line="276" w:lineRule="auto"/>
      </w:pPr>
      <w:r>
        <w:t>**MACD** : La valeur du MACD (-366,47) est inférieure à sa ligne de signal (-281,909), confirmant un momentum baissier. Cette divergence négative indique que la tendance de fond est à la baisse. La décision de "Vente" est en adéquation avec ce croisement baissier, signalant une dynamique défavorable aux acheteurs.</w:t>
      </w:r>
    </w:p>
    <w:p>
      <w:pPr>
        <w:spacing w:after="120" w:line="276" w:lineRule="auto"/>
      </w:pPr>
      <w:r>
        <w:t>**RSI** : Avec une valeur de 36,229, le RSI se situe en zone neutre (30-70), mais proche de la zone de survente (&lt;30). Cela suggère que le titre n'est ni suracheté ni survendu, mais que la pression vendeuse est présente. La décision "Neutre" est correcte, mais un passage sous 30 pourrait signaler une opportunité d'achat à contre-tendance.</w:t>
      </w:r>
    </w:p>
    <w:p>
      <w:pPr>
        <w:spacing w:after="120" w:line="276" w:lineRule="auto"/>
      </w:pPr>
      <w:r>
        <w:t>**Stochastique** : Le %K (47,23) est supérieur au %D (38,96), indiquant un croisement haussier potentiel à court terme. Cependant, les deux lignes sont en territoire neutre, ce qui limite la portée du signal. La décision "Neutre" est prudente, car ce croisement pourrait signaler un rebond technique, mais il manque de confirmation par d'autres indicateurs.</w:t>
      </w:r>
    </w:p>
    <w:p>
      <w:pPr>
        <w:spacing w:after="120" w:line="276" w:lineRule="auto"/>
      </w:pPr>
      <w:r>
        <w:t>**Conclusion technique** : La majorité des indicateurs techniques (MM, MACD) penchent en faveur d'une tendance baissière, tandis que le RSI et le Stochastique sont neutres. Le titre est dans une phase de consolidation ou de correction. L'absence de signaux forts de surachat ou de survente suggère que le marché n'a pas encore trouvé de direction claire, mais la pression vendeuse dominante incite à la prudence à court terme.</w:t>
      </w:r>
    </w:p>
    <w:p>
      <w:pPr>
        <w:spacing w:after="120" w:line="276" w:lineRule="auto"/>
      </w:pPr>
      <w:r>
        <w:t>### **PARTIE 3 : ANALYSE FONDAMENTALE (SECTION CRITIQUE)**</w:t>
      </w:r>
    </w:p>
    <w:p>
      <w:pPr>
        <w:spacing w:after="120" w:line="276" w:lineRule="auto"/>
      </w:pPr>
      <w:r>
        <w:t>En 2025, selon les données structurées, SITAB (entreprise non bancaire) a réalisé un chiffre d'affaires de 268,537 Mds FCFA, en croissance de +25,3% par rapport à 2024. Cependant, le résultat net s'établit à 36,158 Mds FCFA, en baisse par rapport aux 44,2 Mds FCFA de 2024 (rapport annuel certifié). Cette dégradation de la rentabilité est confirmée par la marge nette qui passe de 20,4% à 13,46%. Les rapports de l'exercice 2025 (datés de 2026) expliquent cette baisse par la hausse des droits d'accises (de 49% à 70%) et une augmentation des charges, malgré une croissance des volumes. La structure financière reste très saine avec des capitaux propres de 45,337 Mds FCFA, une trésorerie nette de 30,763 Mds FCFA et une dette financière quasi nulle (1,4 M FCFA). Les ratios de rentabilité sont exceptionnels : un ROE de 79,75% et un ROA de 48,09% en 2025, démontrant une utilisation très efficace des capitaux propres et des actifs. Le BFR est négatif (5,639 Mds FCFA), ce qui est favorable, et le délai de paiement des clients est de 42,57 jours. Sur la base du rapport du T1 2026 (publié en 2026), le chiffre d'affaires est en hausse de +12% à 68,8 Mds FCFA, mais le résultat net est stable (-1% à 9,3 Mds FCFA), ce qui suggère que la pression sur les marges persiste. On estime que l'exercice 2026 pourrait voir une stabilisation de la rentabilité si la maîtrise des coûts s'améliore, mais la croissance du CA devrait se poursuivre.</w:t>
      </w:r>
    </w:p>
    <w:p>
      <w:pPr>
        <w:spacing w:after="120" w:line="276" w:lineRule="auto"/>
      </w:pPr>
      <w:r>
        <w:t>### **PARTIE 4 : CONCLUSION D'INVESTISSEMENT**</w:t>
      </w:r>
    </w:p>
    <w:p>
      <w:pPr>
        <w:spacing w:after="120" w:line="276" w:lineRule="auto"/>
      </w:pPr>
      <w:r>
        <w:t>L'analyse croisée des données révèle une situation contrastée pour STBC. La valorisation (PER de 11x) est raisonnable, mais le P/B très élevé (8,75x) reflète une prime de marché qui laisse peu de marge d'erreur. Le comportement du cours sur 100 jours est stable, mais la volatilité annualisée élevée (36,4%) et les signaux techniques majoritairement baissiers (MM, MACD) suggèrent une pression vendeuse à court terme. Sur le plan fondamental, l'entreprise est financièrement robuste (zéro dette, ROE &gt; 79%) et affiche une croissance de son CA, mais sa rentabilité nette s'est dégradée en 2025 et semble se stabiliser en 2026. Les prédictions IA pour les 10 prochains jours (hausse de 22 444 à 23 282 FCFA) contredisent les signaux techniques baissiers, suggérant un possible rebond technique. En synthèse, la solidité financière et la politique de dividende généreuse (rendement élevé) justifient de conserver le titre, mais la dégradation des marges et les signaux techniques mitigés incitent à la prudence avant un renforcement de la position. La recommandation finale est **CONSERVER**, avec un niveau de confiance **Moyen** et un risque global **Moyen**. L'horizon d'investissement optimal est le **moyen terme (3-12 mois)**, en attendant de voir si la direction parvient à restaurer ses marges dans un environnement fiscal difficile.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212.18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7,007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+20.36%</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μ=2,938 FCFA, σ=197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β=-0.2737 (Contre-cyclique) — Cov=-0.000010, Var(idx)=0.000037, ρ=-0.066,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7,007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3,173</w:t>
            </w:r>
          </w:p>
        </w:tc>
        <w:tc>
          <w:tcPr>
            <w:tcW w:type="dxa" w:w="1440"/>
            <w:shd w:fill="FAFAFA" w:val="clear"/>
          </w:tcPr>
          <w:p>
            <w:r>
              <w:rPr>
                <w:b/>
                <w:sz w:val="17"/>
              </w:rPr>
              <w:t>3,354</w:t>
            </w:r>
          </w:p>
        </w:tc>
        <w:tc>
          <w:tcPr>
            <w:tcW w:type="dxa" w:w="1440"/>
            <w:shd w:fill="FAFAFA" w:val="clear"/>
          </w:tcPr>
          <w:p>
            <w:r>
              <w:rPr>
                <w:sz w:val="17"/>
              </w:rPr>
              <w:t>3,535</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3,087</w:t>
            </w:r>
          </w:p>
        </w:tc>
        <w:tc>
          <w:tcPr>
            <w:tcW w:type="dxa" w:w="1440"/>
            <w:shd w:fill="FAFAFA" w:val="clear"/>
          </w:tcPr>
          <w:p>
            <w:r>
              <w:rPr>
                <w:b/>
                <w:sz w:val="17"/>
              </w:rPr>
              <w:t>3,342</w:t>
            </w:r>
          </w:p>
        </w:tc>
        <w:tc>
          <w:tcPr>
            <w:tcW w:type="dxa" w:w="1440"/>
            <w:shd w:fill="FAFAFA" w:val="clear"/>
          </w:tcPr>
          <w:p>
            <w:r>
              <w:rPr>
                <w:sz w:val="17"/>
              </w:rPr>
              <w:t>3,597</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3,017</w:t>
            </w:r>
          </w:p>
        </w:tc>
        <w:tc>
          <w:tcPr>
            <w:tcW w:type="dxa" w:w="1440"/>
            <w:shd w:fill="FAFAFA" w:val="clear"/>
          </w:tcPr>
          <w:p>
            <w:r>
              <w:rPr>
                <w:b/>
                <w:sz w:val="17"/>
              </w:rPr>
              <w:t>3,328</w:t>
            </w:r>
          </w:p>
        </w:tc>
        <w:tc>
          <w:tcPr>
            <w:tcW w:type="dxa" w:w="1440"/>
            <w:shd w:fill="FAFAFA" w:val="clear"/>
          </w:tcPr>
          <w:p>
            <w:r>
              <w:rPr>
                <w:sz w:val="17"/>
              </w:rPr>
              <w:t>3,639</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2,956</w:t>
            </w:r>
          </w:p>
        </w:tc>
        <w:tc>
          <w:tcPr>
            <w:tcW w:type="dxa" w:w="1440"/>
            <w:shd w:fill="FAFAFA" w:val="clear"/>
          </w:tcPr>
          <w:p>
            <w:r>
              <w:rPr>
                <w:b/>
                <w:sz w:val="17"/>
              </w:rPr>
              <w:t>3,314</w:t>
            </w:r>
          </w:p>
        </w:tc>
        <w:tc>
          <w:tcPr>
            <w:tcW w:type="dxa" w:w="1440"/>
            <w:shd w:fill="FAFAFA" w:val="clear"/>
          </w:tcPr>
          <w:p>
            <w:r>
              <w:rPr>
                <w:sz w:val="17"/>
              </w:rPr>
              <w:t>3,672</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2,903</w:t>
            </w:r>
          </w:p>
        </w:tc>
        <w:tc>
          <w:tcPr>
            <w:tcW w:type="dxa" w:w="1440"/>
            <w:shd w:fill="FFDCE0" w:val="clear"/>
          </w:tcPr>
          <w:p>
            <w:r>
              <w:rPr>
                <w:b/>
                <w:sz w:val="17"/>
              </w:rPr>
              <w:t>3,301</w:t>
            </w:r>
          </w:p>
        </w:tc>
        <w:tc>
          <w:tcPr>
            <w:tcW w:type="dxa" w:w="1440"/>
            <w:shd w:fill="FFDCE0" w:val="clear"/>
          </w:tcPr>
          <w:p>
            <w:r>
              <w:rPr>
                <w:sz w:val="17"/>
              </w:rPr>
              <w:t>3,699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2,854</w:t>
            </w:r>
          </w:p>
        </w:tc>
        <w:tc>
          <w:tcPr>
            <w:tcW w:type="dxa" w:w="1440"/>
            <w:shd w:fill="FFDCE0" w:val="clear"/>
          </w:tcPr>
          <w:p>
            <w:r>
              <w:rPr>
                <w:b/>
                <w:sz w:val="17"/>
              </w:rPr>
              <w:t>3,288</w:t>
            </w:r>
          </w:p>
        </w:tc>
        <w:tc>
          <w:tcPr>
            <w:tcW w:type="dxa" w:w="1440"/>
            <w:shd w:fill="FFDCE0" w:val="clear"/>
          </w:tcPr>
          <w:p>
            <w:r>
              <w:rPr>
                <w:sz w:val="17"/>
              </w:rPr>
              <w:t>3,723</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2,809</w:t>
            </w:r>
          </w:p>
        </w:tc>
        <w:tc>
          <w:tcPr>
            <w:tcW w:type="dxa" w:w="1440"/>
            <w:shd w:fill="FFDCE0" w:val="clear"/>
          </w:tcPr>
          <w:p>
            <w:r>
              <w:rPr>
                <w:b/>
                <w:sz w:val="17"/>
              </w:rPr>
              <w:t>3,276</w:t>
            </w:r>
          </w:p>
        </w:tc>
        <w:tc>
          <w:tcPr>
            <w:tcW w:type="dxa" w:w="1440"/>
            <w:shd w:fill="FFDCE0" w:val="clear"/>
          </w:tcPr>
          <w:p>
            <w:r>
              <w:rPr>
                <w:sz w:val="17"/>
              </w:rPr>
              <w:t>3,744</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2,766</w:t>
            </w:r>
          </w:p>
        </w:tc>
        <w:tc>
          <w:tcPr>
            <w:tcW w:type="dxa" w:w="1440"/>
            <w:shd w:fill="FFDCE0" w:val="clear"/>
          </w:tcPr>
          <w:p>
            <w:r>
              <w:rPr>
                <w:b/>
                <w:sz w:val="17"/>
              </w:rPr>
              <w:t>3,264</w:t>
            </w:r>
          </w:p>
        </w:tc>
        <w:tc>
          <w:tcPr>
            <w:tcW w:type="dxa" w:w="1440"/>
            <w:shd w:fill="FFDCE0" w:val="clear"/>
          </w:tcPr>
          <w:p>
            <w:r>
              <w:rPr>
                <w:sz w:val="17"/>
              </w:rPr>
              <w:t>3,762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2,726</w:t>
            </w:r>
          </w:p>
        </w:tc>
        <w:tc>
          <w:tcPr>
            <w:tcW w:type="dxa" w:w="1440"/>
            <w:shd w:fill="FFDCE0" w:val="clear"/>
          </w:tcPr>
          <w:p>
            <w:r>
              <w:rPr>
                <w:b/>
                <w:sz w:val="17"/>
              </w:rPr>
              <w:t>3,252</w:t>
            </w:r>
          </w:p>
        </w:tc>
        <w:tc>
          <w:tcPr>
            <w:tcW w:type="dxa" w:w="1440"/>
            <w:shd w:fill="FFDCE0" w:val="clear"/>
          </w:tcPr>
          <w:p>
            <w:r>
              <w:rPr>
                <w:sz w:val="17"/>
              </w:rPr>
              <w:t>3,779</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2,688</w:t>
            </w:r>
          </w:p>
        </w:tc>
        <w:tc>
          <w:tcPr>
            <w:tcW w:type="dxa" w:w="1440"/>
            <w:shd w:fill="FFDCE0" w:val="clear"/>
          </w:tcPr>
          <w:p>
            <w:r>
              <w:rPr>
                <w:b/>
                <w:sz w:val="17"/>
              </w:rPr>
              <w:t>3,241</w:t>
            </w:r>
          </w:p>
        </w:tc>
        <w:tc>
          <w:tcPr>
            <w:tcW w:type="dxa" w:w="1440"/>
            <w:shd w:fill="FFDCE0" w:val="clear"/>
          </w:tcPr>
          <w:p>
            <w:r>
              <w:rPr>
                <w:sz w:val="17"/>
              </w:rPr>
              <w:t>3,794</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04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212,18 milliards FCFA, ce qui en fait l'une des valeurs les plus significatives de la BRVM, reflétant la position dominante de la filiale ivoirienne du géant pétrolier. Avec un BPA de 144 FCFA, le titre se négocie à un PER de 23,3x, soit un niveau nettement supérieur à la moyenne historique de la BRVM (8-12x). Cette prime substantielle suggère que le marché anticipe une croissance future des bénéfices ou valorise la solidité de la marque et ses flux de trésorerie. Le P/B de 5,86x confirme cette valorisation exigeante, le marché payant près de six fois la valeur comptable des actifs, signe d'une forte prime sur les capitaux propres. Enfin, l'EV/EBITDA de 11,9x, bien que dans la fourchette haute (10-15x), indique que la valeur totale de l'entreprise reste cohérente avec sa capacité à générer du résultat opérationnel, justifiant partiellement la prime de 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TTLC a enregistré une progression remarquable de +20,36%, avec une dernière séance positive de +0,60%, clôturant à 3 370 FCFA. Le titre a évolué dans une fourchette de 945 FCFA, entre un plus bas de 2 650 FCFA et un plus haut de 3 595 FCFA, démontrant une dynamique haussière soutenue. La moyenne du cours sur la période (2 938 FCFA) est inférieure à la médiane (2 892 FCFA), et l'écart entre ces deux valeurs, combiné à un skewness positif de 1,395, indique une distribution asymétrique avec des journées majoritairement sous la moyenne mais ponctuées de fortes hausses. L'écart-type de 198 FCFA (CV=6,7%) révèle une dispersion modérée autour de la moyenne, tandis que le kurtosis élevé (1,350) signale un risque de mouvements extrêmes. La volatilité annualisée de 40% classe le titre comme très volatil (&gt;30%), ce qui implique un risque élevé mais aussi un potentiel de rendement important pour les investisseurs aguerris.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3 370 FCFA se positionne nettement au-dessus de la MM20 (3 251 FCFA) et de la MM50 (3 048,6 FCFA), confirmant une tendance haussière de moyen terme. La configuration des moyennes mobiles, avec la MM20 au-dessus de la MM50, valide la dynamique positive et génère un signal d'achat, indiquant que la tendance de fond reste favorable malgré la récente consolidation.</w:t>
      </w:r>
    </w:p>
    <w:p>
      <w:pPr>
        <w:spacing w:after="120" w:line="276" w:lineRule="auto"/>
      </w:pPr>
      <w:r>
        <w:t>**Bandes de Bollinger** : Le prix se situe à 3 370 FCFA, entre la borne inférieure (2 842,8 FCFA) et la borne supérieure (3 659,2 FCFA), mais plus proche de la borne supérieure, ce qui témoigne d'une pression acheteuse persistante. La largeur des bandes reflète la volatilité élevée du titre. La décision "Neutre" suggère que le cours n'est pas encore en zone de surachat extrême, laissant une marge de progression avant d'atteindre la borne supérieure.</w:t>
      </w:r>
    </w:p>
    <w:p>
      <w:pPr>
        <w:spacing w:after="120" w:line="276" w:lineRule="auto"/>
      </w:pPr>
      <w:r>
        <w:t>**MACD** : Le MACD (111,746) est inférieur à son signal (115,907), indiquant un momentum baissier à court terme malgré la tendance haussière de fond. Cette divergence négative, bien que légère, suggère une possible consolidation ou correction à venir. La décision de "Vente" signale un essoufflement temporaire de la dynamique haussière, appelant à la prudence pour les traders à court terme.</w:t>
      </w:r>
    </w:p>
    <w:p>
      <w:pPr>
        <w:spacing w:after="120" w:line="276" w:lineRule="auto"/>
      </w:pPr>
      <w:r>
        <w:t>**RSI** : Avec une valeur de 62,36, le RSI se situe en zone neutre, en dessous du seuil de surachat (70). Cette lecture indique que le titre dispose encore d'un potentiel haussier sans être en situation de tension excessive. La décision "Neutre" reflète un équilibre entre les forces acheteuses et vendeuses, avec une légère prédominance des premières.</w:t>
      </w:r>
    </w:p>
    <w:p>
      <w:pPr>
        <w:spacing w:after="120" w:line="276" w:lineRule="auto"/>
      </w:pPr>
      <w:r>
        <w:t>**Stochastique** : Le %K (41,558) est inférieur au %D (50,683), suggérant une dynamique baissière à court terme. Cette configuration, où le %K passe sous le %D, indique une perte de momentum haussier et pourrait précéder une phase de correction. La décision "Neutre" tempère toutefois ce signal, le titre n'étant pas encore en zone de survente.</w:t>
      </w:r>
    </w:p>
    <w:p>
      <w:pPr>
        <w:spacing w:after="120" w:line="276" w:lineRule="auto"/>
      </w:pPr>
      <w:r>
        <w:t>**Conclusion technique** : Les indicateurs techniques présentent un tableau contrasté. La tendance de fond reste haussière (MM20/MM50), mais les signaux à court terme (MACD, Stochastique) suggèrent une consolidation. Le RSI et les Bandes de Bollinger indiquent que le titre n'est ni suracheté ni survendu, laissant place à une possible poursuite de la tendance après une phase de stabilisation. La prudence est recommandée à court terme, mais la tendance de moyen terme demeure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TTLC a réalisé un chiffre d'affaires de 588,709 milliards FCFA, en repli de 5,2% par rapport à 2024 (621 milliards FCFA), mais avec une amélioration notable de la rentabilité opérationnelle : le résultat d'exploitation a progressé de 18% à 12,329 milliards FCFA, et l'EBE de 12% à 22,347 milliards FCFA. Le résultat net s'établit à 9,087 milliards FCFA (-3% vs 2024), avec un ROE excellent de 25,1% et un ROA de 4,8%. La marge nette reste faible à 1,54%, typique du secteur de distribution pétrolière. Le BFR négatif de -9,662 milliards FCFA constitue un avantage compétitif majeur, la société finançant son exploitation grâce aux délais fournisseurs (49,72 jours). Cependant, la trésorerie nette est fortement négative (-21,926 milliards FCFA) et le ratio d'endettement atteint 90,2%, traduisant une dépendance aux financements bancaires. Les rapports trimestriels 2025 (S1 et T3) confirment la tendance baissière du CA (-7,1% au S1, -5,7% au cumul T3) et du résultat net (-25,5% au S1, -30,2% au T3), principalement due à l'absence de ventes exceptionnelles et à une charge fiscale anticipée. Le rapport T1 2026 (publié en 2026) marque un net redressement avec un CA de 154,392 milliards FCFA (+4,3%) et un résultat net de 2,329 milliards FCFA (+5,5%), laissant présager une année 2026 plus favorable. La politique de dividende reste généreuse avec 10 milliards FCFA distribués au titre de 2025 (payout &gt;100%), soutenue par une CAF solide de 19,106 milliards FCFA. La société maintient sa position de leader avec 182 stations-service et poursuit ses investissements dans les segments porteurs (GPL, lubrifiants).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pour TTLC. La valorisation boursière (PER 23,3x, P/B 5,86x) apparaît exigeante, intégrant une prime substantielle pour la qualité de la franchise et sa position dominante. Le comportement du cours sur 100 jours (+20,36%) démontre une dynamique haussière soutenue, mais la volatilité élevée (40%) et les statistiques (kurtosis élevé, skewness positif) signalent un risque de mouvements brusques. Les signaux techniques sont mitigés : la tendance de fond reste positive (MM), mais les indicateurs à court terme (MACD, Stochastique) suggèrent une consolidation. Les fondamentaux, bien qu'en amélioration opérationnelle (EBE +12%), montrent une dégradation du résultat net en 2025, partiellement compensée par un T1 2026 encourageant (+5,5%). Les prédictions IA (J+1 à J+10) indiquent une légère baisse progressive de 3 354 à 3 301 FCFA, confirmant le scénario de consolidation technique à court terme. Compte tenu de la convergence entre les signaux techniques de court terme (consolidation) et les prédictions IA, mais de la divergence avec la tendance de fond haussière et l'amélioration fondamentale amorcée en 2026, nous recommandons **CONSERVER** le titre. Le niveau de confiance est **Moyen**, le risque global **Élevé** (volatilité, endettement), et l'horizon d'investissement optimal se situe à **moyen terme (3-12 mois)**, en attendant une confirmation de la reprise des résultats sur les prochains trimestres pour 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2,651 titres</w:t>
            </w:r>
          </w:p>
        </w:tc>
        <w:tc>
          <w:tcPr>
            <w:tcW w:type="dxa" w:w="2268"/>
            <w:shd w:fill="FFF2CC" w:val="clear"/>
          </w:tcPr>
          <w:p>
            <w:r>
              <w:rPr>
                <w:b/>
                <w:color w:val="503200"/>
                <w:sz w:val="16"/>
              </w:rPr>
              <w:t xml:space="preserve">Cours actuel : </w:t>
            </w:r>
            <w:r>
              <w:rPr>
                <w:color w:val="000000"/>
                <w:sz w:val="17"/>
              </w:rPr>
              <w:t>3,840 FCFA</w:t>
            </w:r>
          </w:p>
          <w:p>
            <w:r>
              <w:rPr>
                <w:b/>
                <w:color w:val="503200"/>
                <w:sz w:val="16"/>
              </w:rPr>
              <w:t xml:space="preserve">Var. 100 jours : </w:t>
            </w:r>
            <w:r>
              <w:rPr>
                <w:b/>
                <w:color w:val="007800"/>
                <w:sz w:val="17"/>
              </w:rPr>
              <w:t>+21.71%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10.55% (Moyenne) — μ=3,533 FCFA, σ=373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β=0.6308 (Défensif) — Cov=0.000024, Var(idx)=0.000037, ρ=0.129,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3,545</w:t>
            </w:r>
          </w:p>
        </w:tc>
        <w:tc>
          <w:tcPr>
            <w:tcW w:type="dxa" w:w="1440"/>
            <w:shd w:fill="FFDCE0" w:val="clear"/>
          </w:tcPr>
          <w:p>
            <w:r>
              <w:rPr>
                <w:b/>
                <w:sz w:val="17"/>
              </w:rPr>
              <w:t>3,689</w:t>
            </w:r>
          </w:p>
        </w:tc>
        <w:tc>
          <w:tcPr>
            <w:tcW w:type="dxa" w:w="1440"/>
            <w:shd w:fill="FFDCE0" w:val="clear"/>
          </w:tcPr>
          <w:p>
            <w:r>
              <w:rPr>
                <w:sz w:val="17"/>
              </w:rPr>
              <w:t>3,833</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3,420</w:t>
            </w:r>
          </w:p>
        </w:tc>
        <w:tc>
          <w:tcPr>
            <w:tcW w:type="dxa" w:w="1440"/>
            <w:shd w:fill="FFDCE0" w:val="clear"/>
          </w:tcPr>
          <w:p>
            <w:r>
              <w:rPr>
                <w:b/>
                <w:sz w:val="17"/>
              </w:rPr>
              <w:t>3,620</w:t>
            </w:r>
          </w:p>
        </w:tc>
        <w:tc>
          <w:tcPr>
            <w:tcW w:type="dxa" w:w="1440"/>
            <w:shd w:fill="FFDCE0" w:val="clear"/>
          </w:tcPr>
          <w:p>
            <w:r>
              <w:rPr>
                <w:sz w:val="17"/>
              </w:rPr>
              <w:t>3,820</w:t>
            </w:r>
          </w:p>
        </w:tc>
        <w:tc>
          <w:tcPr>
            <w:tcW w:type="dxa" w:w="1440"/>
            <w:shd w:fill="FFDCE0" w:val="clear"/>
          </w:tcPr>
          <w:p>
            <w:r>
              <w:rPr>
                <w:b/>
                <w:color w:val="C00000"/>
                <w:sz w:val="17"/>
              </w:rPr>
              <w:t>-5.7%</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3,321</w:t>
            </w:r>
          </w:p>
        </w:tc>
        <w:tc>
          <w:tcPr>
            <w:tcW w:type="dxa" w:w="1440"/>
            <w:shd w:fill="FFDCE0" w:val="clear"/>
          </w:tcPr>
          <w:p>
            <w:r>
              <w:rPr>
                <w:b/>
                <w:sz w:val="17"/>
              </w:rPr>
              <w:t>3,562</w:t>
            </w:r>
          </w:p>
        </w:tc>
        <w:tc>
          <w:tcPr>
            <w:tcW w:type="dxa" w:w="1440"/>
            <w:shd w:fill="FFDCE0" w:val="clear"/>
          </w:tcPr>
          <w:p>
            <w:r>
              <w:rPr>
                <w:sz w:val="17"/>
              </w:rPr>
              <w:t>3,803</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3,238</w:t>
            </w:r>
          </w:p>
        </w:tc>
        <w:tc>
          <w:tcPr>
            <w:tcW w:type="dxa" w:w="1440"/>
            <w:shd w:fill="FFDCE0" w:val="clear"/>
          </w:tcPr>
          <w:p>
            <w:r>
              <w:rPr>
                <w:b/>
                <w:sz w:val="17"/>
              </w:rPr>
              <w:t>3,512</w:t>
            </w:r>
          </w:p>
        </w:tc>
        <w:tc>
          <w:tcPr>
            <w:tcW w:type="dxa" w:w="1440"/>
            <w:shd w:fill="FFDCE0" w:val="clear"/>
          </w:tcPr>
          <w:p>
            <w:r>
              <w:rPr>
                <w:sz w:val="17"/>
              </w:rPr>
              <w:t>3,786</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3,164</w:t>
            </w:r>
          </w:p>
        </w:tc>
        <w:tc>
          <w:tcPr>
            <w:tcW w:type="dxa" w:w="1440"/>
            <w:shd w:fill="FFDCE0" w:val="clear"/>
          </w:tcPr>
          <w:p>
            <w:r>
              <w:rPr>
                <w:b/>
                <w:sz w:val="17"/>
              </w:rPr>
              <w:t>3,467</w:t>
            </w:r>
          </w:p>
        </w:tc>
        <w:tc>
          <w:tcPr>
            <w:tcW w:type="dxa" w:w="1440"/>
            <w:shd w:fill="FFDCE0" w:val="clear"/>
          </w:tcPr>
          <w:p>
            <w:r>
              <w:rPr>
                <w:sz w:val="17"/>
              </w:rPr>
              <w:t>3,770</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3,098</w:t>
            </w:r>
          </w:p>
        </w:tc>
        <w:tc>
          <w:tcPr>
            <w:tcW w:type="dxa" w:w="1440"/>
            <w:shd w:fill="FFDCE0" w:val="clear"/>
          </w:tcPr>
          <w:p>
            <w:r>
              <w:rPr>
                <w:b/>
                <w:sz w:val="17"/>
              </w:rPr>
              <w:t>3,425</w:t>
            </w:r>
          </w:p>
        </w:tc>
        <w:tc>
          <w:tcPr>
            <w:tcW w:type="dxa" w:w="1440"/>
            <w:shd w:fill="FFDCE0" w:val="clear"/>
          </w:tcPr>
          <w:p>
            <w:r>
              <w:rPr>
                <w:sz w:val="17"/>
              </w:rPr>
              <w:t>3,753</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3,037</w:t>
            </w:r>
          </w:p>
        </w:tc>
        <w:tc>
          <w:tcPr>
            <w:tcW w:type="dxa" w:w="1440"/>
            <w:shd w:fill="FFDCE0" w:val="clear"/>
          </w:tcPr>
          <w:p>
            <w:r>
              <w:rPr>
                <w:b/>
                <w:sz w:val="17"/>
              </w:rPr>
              <w:t>3,387</w:t>
            </w:r>
          </w:p>
        </w:tc>
        <w:tc>
          <w:tcPr>
            <w:tcW w:type="dxa" w:w="1440"/>
            <w:shd w:fill="FFDCE0" w:val="clear"/>
          </w:tcPr>
          <w:p>
            <w:r>
              <w:rPr>
                <w:sz w:val="17"/>
              </w:rPr>
              <w:t>3,736</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2,980</w:t>
            </w:r>
          </w:p>
        </w:tc>
        <w:tc>
          <w:tcPr>
            <w:tcW w:type="dxa" w:w="1440"/>
            <w:shd w:fill="FFDCE0" w:val="clear"/>
          </w:tcPr>
          <w:p>
            <w:r>
              <w:rPr>
                <w:b/>
                <w:sz w:val="17"/>
              </w:rPr>
              <w:t>3,350</w:t>
            </w:r>
          </w:p>
        </w:tc>
        <w:tc>
          <w:tcPr>
            <w:tcW w:type="dxa" w:w="1440"/>
            <w:shd w:fill="FFDCE0" w:val="clear"/>
          </w:tcPr>
          <w:p>
            <w:r>
              <w:rPr>
                <w:sz w:val="17"/>
              </w:rPr>
              <w:t>3,720</w:t>
            </w:r>
          </w:p>
        </w:tc>
        <w:tc>
          <w:tcPr>
            <w:tcW w:type="dxa" w:w="1440"/>
            <w:shd w:fill="FFDCE0" w:val="clear"/>
          </w:tcPr>
          <w:p>
            <w:r>
              <w:rPr>
                <w:b/>
                <w:color w:val="C00000"/>
                <w:sz w:val="17"/>
              </w:rPr>
              <w:t>-12.8%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2,928</w:t>
            </w:r>
          </w:p>
        </w:tc>
        <w:tc>
          <w:tcPr>
            <w:tcW w:type="dxa" w:w="1440"/>
            <w:shd w:fill="FFDCE0" w:val="clear"/>
          </w:tcPr>
          <w:p>
            <w:r>
              <w:rPr>
                <w:b/>
                <w:sz w:val="17"/>
              </w:rPr>
              <w:t>3,316</w:t>
            </w:r>
          </w:p>
        </w:tc>
        <w:tc>
          <w:tcPr>
            <w:tcW w:type="dxa" w:w="1440"/>
            <w:shd w:fill="FFDCE0" w:val="clear"/>
          </w:tcPr>
          <w:p>
            <w:r>
              <w:rPr>
                <w:sz w:val="17"/>
              </w:rPr>
              <w:t>3,704</w:t>
            </w:r>
          </w:p>
        </w:tc>
        <w:tc>
          <w:tcPr>
            <w:tcW w:type="dxa" w:w="1440"/>
            <w:shd w:fill="FFDCE0" w:val="clear"/>
          </w:tcPr>
          <w:p>
            <w:r>
              <w:rPr>
                <w:b/>
                <w:color w:val="C00000"/>
                <w:sz w:val="17"/>
              </w:rPr>
              <w:t>-13.6%</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2,878</w:t>
            </w:r>
          </w:p>
        </w:tc>
        <w:tc>
          <w:tcPr>
            <w:tcW w:type="dxa" w:w="1440"/>
            <w:shd w:fill="FFDCE0" w:val="clear"/>
          </w:tcPr>
          <w:p>
            <w:r>
              <w:rPr>
                <w:b/>
                <w:sz w:val="17"/>
              </w:rPr>
              <w:t>3,284</w:t>
            </w:r>
          </w:p>
        </w:tc>
        <w:tc>
          <w:tcPr>
            <w:tcW w:type="dxa" w:w="1440"/>
            <w:shd w:fill="FFDCE0" w:val="clear"/>
          </w:tcPr>
          <w:p>
            <w:r>
              <w:rPr>
                <w:sz w:val="17"/>
              </w:rPr>
              <w:t>3,689</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125,10 Mds FCFA positionne TTLS comme une valeur de taille moyenne sur la BRVM, représentative d'un leader national dans la distribution pétrolière. Avec un BPA de 208 FCFA, le titre se négocie à un PER de 18,5x, nettement supérieur à la moyenne historique de la place (~8-12x), ce qui traduit une prime de valorisation significative que les investisseurs acceptent de payer pour la solidité de la marque et la régularité des dividendes. Le P/B de 4,43x confirme cette exigence, le marché valorisant fortement les actifs de l'entreprise par rapport à leur valeur comptable, un niveau qui reflète la confiance dans la génération de cash-flows futurs. Enfin, un EV/EBITDA de 7,8x reste dans une zone raisonnable, indiquant que la valeur totale de l'entreprise (fonds propres + dette nette) reste cohérente avec sa capacité bénéficiaire opérationnelle, malgré la cherté relative des actions.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impressionnante de +21,71%, bien que la dernière séance montre un léger repli de -0,26% à 3 840 FCFA. Le titre a évolué dans un range de trading très large, oscillant entre un plus bas de 2 845 FCFA et un plus haut de 4 500 FCFA, illustrant une volatilité intraday élevée et un momentum haussier marqué sur la période. La moyenne du cours (3 533 FCFA) étant inférieure à la médiane (3 498 FCFA) et au mode (3 800 FCFA), la distribution est légèrement asymétrique, avec une concentration des prix vers le haut de la fourchette. L'écart-type de 375 FCFA (CV de 10,6%) indique une dispersion modérée autour de la moyenne, tandis que le kurtosis de -0,381 (mésokurtique) et le skewness de 0,341 suggèrent une distribution proche de la normale, sans risque de variations extrêmes imprévisibles. La volatilité annualisée de 47,4% classe le titre comme très volatil, un niveau élevé qui reflète les sensibilités du secteur énergétique aux chocs exogènes et qui exige une gestion prudente du risque.</w:t>
      </w:r>
    </w:p>
    <w:p>
      <w:pPr>
        <w:spacing w:after="120" w:line="276" w:lineRule="auto" w:before="240"/>
      </w:pPr>
      <w:r>
        <w:rPr>
          <w:b/>
          <w:color w:val="003366"/>
          <w:sz w:val="24"/>
        </w:rPr>
        <w:t>**PARTIE 2 : ANALYSE TECHNIQUE DÉTAILLÉE**</w:t>
      </w:r>
    </w:p>
    <w:p>
      <w:pPr>
        <w:spacing w:after="120" w:line="276" w:lineRule="auto"/>
      </w:pPr>
      <w:r>
        <w:t>**Moyennes Mobiles**: La MM20 à 3 744 FCFA et la MM50 à 3 833,9 FCFA sont toutes deux inférieures au cours actuel de 3 840 FCFA, ce qui indique une dynamique positive à court et moyen terme. Cependant, le signal global de "Vente" suggère que le prix pourrait avoir dépassé son juste niveau technique à court terme, et un repli vers les moyennes est envisageable pour combler l'écart.</w:t>
      </w:r>
    </w:p>
    <w:p>
      <w:pPr>
        <w:spacing w:after="120" w:line="276" w:lineRule="auto"/>
      </w:pPr>
      <w:r>
        <w:t>**Bandes de Bollinger**: Le cours se situe à 3 840 FCFA, entre la borne inférieure (3 485,8 FCFA) et la borne supérieure (4 002,2 FCFA), mais plus proche de la partie haute. La décision "Neutre" indique que le prix évolue dans un canal normal sans être suracheté ni survendu, bien que la largeur des bandes reflète la volatilité élevée du titre.</w:t>
      </w:r>
    </w:p>
    <w:p>
      <w:pPr>
        <w:spacing w:after="120" w:line="276" w:lineRule="auto"/>
      </w:pPr>
      <w:r>
        <w:t>**MACD**: Avec une valeur de 29,478 et un signal à 15,614, le MACD est positif et nettement au-dessus de sa ligne de signal. Cette configuration haussière, avec une divergence positive croissante, confirme un momentum acheteur solide et justifie la décision d'"Achat".</w:t>
      </w:r>
    </w:p>
    <w:p>
      <w:pPr>
        <w:spacing w:after="120" w:line="276" w:lineRule="auto"/>
      </w:pPr>
      <w:r>
        <w:t>**RSI**: Le RSI à 62,201 se situe dans la zone neutre (30-70), mais proche de la zone de surachat (70). Cela indique une pression acheteuse soutenue sans pour autant signaler un retournement imminent, d'où la décision "Neutre".</w:t>
      </w:r>
    </w:p>
    <w:p>
      <w:pPr>
        <w:spacing w:after="120" w:line="276" w:lineRule="auto"/>
      </w:pPr>
      <w:r>
        <w:t>**Stochastique**: Le %K (55,357) est inférieur au %D (65,382), suggérant un croisement baissier potentiel à court terme. Cette configuration, bien que neutre, indique un affaiblissement du momentum haussier et appelle à la prudence.</w:t>
      </w:r>
    </w:p>
    <w:p>
      <w:pPr>
        <w:spacing w:after="120" w:line="276" w:lineRule="auto"/>
      </w:pPr>
      <w:r>
        <w:t>**Conclusion technique**: Les indicateurs sont mitigés : le MACD est clairement haussier, tandis que le RSI et les bandes de Bollinger sont neutres et les moyennes mobiles suggèrent une prudence à court terme. La convergence des signaux est donc imparfaite, mais la tendance de fond reste positive, soutenue par le MACD et la position du cours au-dessus des moyennes clés.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TTLS (base de données structurées) montrent un chiffre d'affaires de 455,209 Mds FCFA, en baisse de 6,1% par rapport à 2024, et un résultat net de 6,779 Mds FCFA, en repli de 5,1%. La marge nette ressort à 1,49%, tandis que le ROE est excellent à 24,0%, démontrant une utilisation très efficace des capitaux propres (28,239 Mds FCFA). Le ROA de 3,95% est plus modeste, reflet d'un bilan lourd (171,778 Mds FCFA). En tant qu'entreprise de distribution, le BFR est négatif à -36,899 Mds FCFA, une situation très favorable qui signifie que TTLS finance son exploitation grâce aux délais de paiement de ses fournisseurs (97,76 jours) qui excèdent largement ses délais clients (47,43 jours). Les rapports narratifs de 2025 et du T1 2026 (rapports datés du 31/12/2025 et du 31/03/2026) confirment une stratégie de recentrage sur les segments à plus forte valeur ajoutée (lubrifiants, GPL) après l'arrêt du fuel lourd, ce qui a permis d'améliorer le résultat d'exploitation de +28% au T1 2026. Sur la base de ce trimestre, on estime que l'exercice 2026 pourrait voir une stabilisation du résultat net autour de 6,5 à 7 Mds FCFA, malgré une pression réglementaire sur les prix à la pompe. La solidité financière est confortée par une trésorerie nette positive de 13,941 Mds FCFA et une capacité de remboursement de seulement 0,94 année.</w:t>
      </w:r>
    </w:p>
    <w:p>
      <w:pPr>
        <w:spacing w:after="120" w:line="276" w:lineRule="auto" w:before="240"/>
      </w:pPr>
      <w:r>
        <w:rPr>
          <w:b/>
          <w:color w:val="003366"/>
          <w:sz w:val="24"/>
        </w:rPr>
        <w:t>**PARTIE 4 : CONCLUSION D'INVESTISSEMENT**</w:t>
      </w:r>
    </w:p>
    <w:p>
      <w:pPr>
        <w:spacing w:after="120" w:line="276" w:lineRule="auto"/>
      </w:pPr>
      <w:r>
        <w:t>La valorisation de TTLS est exigeante (PER de 18,5x et P/B de 4,43x), intégrant une prime pour la qualité du bilan et la position dominante, mais elle n'est pas excessive au regard de la rentabilité des fonds propres (ROE &gt;24%). Le comportement du cours sur 100 jours est haussier (+21,71%) avec une volatilité élevée (47,4%) qui reflète un risque de marché non négligeable, bien que la distribution statistique (mésokurtique) limite le risque de mouvements extrêmes. Les signaux techniques sont contrastés, avec un MACD acheteur mais des moyennes mobiles et un stochastique prudents, suggérant une possible consolidation à court terme après la forte hausse. Les fondamentaux restent solides, portés par une stratégie de recentrage efficace et une génération de cash-flow opérationnel robuste (18,673 Mds FCFA), malgré une baisse du chiffre d'affaires. Les prédictions IA pour les 10 prochains jours (baisse de 3 689 à 3 467 FCFA) contredisent la tendance haussière récente et suggèrent un repli technique vers les 3 500 FCFA, ce qui est cohérent avec les signaux de prudence technique. En synthèse, nous recommandons un **CONSERVER** avec un niveau de confiance **Moyen**, car la valeur est fondamentalement saine mais temporairement surévaluée et confrontée à des vents contraires réglementaires. Le risque global est **Moyen**, et l'horizon d'investissement optimal est le **moyen terme (3-12 mois)** pour capitaliser sur la solidité opérationnelle tout en attendant un point d'entrée plus favorable.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499.12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54,350 FCFA</w:t>
            </w:r>
          </w:p>
          <w:p>
            <w:r>
              <w:rPr>
                <w:b/>
                <w:color w:val="503200"/>
                <w:sz w:val="16"/>
              </w:rPr>
              <w:t xml:space="preserve">Var. 100 jours : </w:t>
            </w:r>
            <w:r>
              <w:rPr>
                <w:b/>
                <w:color w:val="B40000"/>
                <w:sz w:val="17"/>
              </w:rPr>
              <w:t>-16.38%</w:t>
            </w:r>
          </w:p>
          <w:p>
            <w:r>
              <w:rPr>
                <w:b/>
                <w:color w:val="503200"/>
                <w:sz w:val="16"/>
              </w:rPr>
              <w:t xml:space="preserve">Plus haut 100j : </w:t>
            </w:r>
            <w:r>
              <w:rPr>
                <w:color w:val="000000"/>
                <w:sz w:val="17"/>
              </w:rPr>
              <w:t>65,000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μ=56,246 FCFA, σ=3,124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β=0.0628 (Défensif) — Cov=0.000002, Var(idx)=0.000038, ρ=0.010,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2026-09-07</w:t>
            </w:r>
          </w:p>
        </w:tc>
        <w:tc>
          <w:tcPr>
            <w:tcW w:type="dxa" w:w="1440"/>
            <w:shd w:fill="C6EFCE" w:val="clear"/>
          </w:tcPr>
          <w:p>
            <w:r>
              <w:rPr>
                <w:sz w:val="17"/>
              </w:rPr>
              <w:t>52,166</w:t>
            </w:r>
          </w:p>
        </w:tc>
        <w:tc>
          <w:tcPr>
            <w:tcW w:type="dxa" w:w="1440"/>
            <w:shd w:fill="C6EFCE" w:val="clear"/>
          </w:tcPr>
          <w:p>
            <w:r>
              <w:rPr>
                <w:b/>
                <w:sz w:val="17"/>
              </w:rPr>
              <w:t>55,443</w:t>
            </w:r>
          </w:p>
        </w:tc>
        <w:tc>
          <w:tcPr>
            <w:tcW w:type="dxa" w:w="1440"/>
            <w:shd w:fill="C6EFCE" w:val="clear"/>
          </w:tcPr>
          <w:p>
            <w:r>
              <w:rPr>
                <w:sz w:val="17"/>
              </w:rPr>
              <w:t>58,721</w:t>
            </w:r>
          </w:p>
        </w:tc>
        <w:tc>
          <w:tcPr>
            <w:tcW w:type="dxa" w:w="1440"/>
            <w:shd w:fill="C6EFCE"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51,263</w:t>
            </w:r>
          </w:p>
        </w:tc>
        <w:tc>
          <w:tcPr>
            <w:tcW w:type="dxa" w:w="1440"/>
            <w:shd w:fill="C6EFCE" w:val="clear"/>
          </w:tcPr>
          <w:p>
            <w:r>
              <w:rPr>
                <w:b/>
                <w:sz w:val="17"/>
              </w:rPr>
              <w:t>55,939</w:t>
            </w:r>
          </w:p>
        </w:tc>
        <w:tc>
          <w:tcPr>
            <w:tcW w:type="dxa" w:w="1440"/>
            <w:shd w:fill="C6EFCE" w:val="clear"/>
          </w:tcPr>
          <w:p>
            <w:r>
              <w:rPr>
                <w:sz w:val="17"/>
              </w:rPr>
              <w:t>60,616</w:t>
            </w:r>
          </w:p>
        </w:tc>
        <w:tc>
          <w:tcPr>
            <w:tcW w:type="dxa" w:w="1440"/>
            <w:shd w:fill="C6EFCE" w:val="clear"/>
          </w:tcPr>
          <w:p>
            <w:r>
              <w:rPr>
                <w:b/>
                <w:color w:val="008000"/>
                <w:sz w:val="17"/>
              </w:rPr>
              <w:t>+2.9%</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50,742</w:t>
            </w:r>
          </w:p>
        </w:tc>
        <w:tc>
          <w:tcPr>
            <w:tcW w:type="dxa" w:w="1440"/>
            <w:shd w:fill="C6EFCE" w:val="clear"/>
          </w:tcPr>
          <w:p>
            <w:r>
              <w:rPr>
                <w:b/>
                <w:sz w:val="17"/>
              </w:rPr>
              <w:t>56,530</w:t>
            </w:r>
          </w:p>
        </w:tc>
        <w:tc>
          <w:tcPr>
            <w:tcW w:type="dxa" w:w="1440"/>
            <w:shd w:fill="C6EFCE" w:val="clear"/>
          </w:tcPr>
          <w:p>
            <w:r>
              <w:rPr>
                <w:sz w:val="17"/>
              </w:rPr>
              <w:t>62,318</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50,393</w:t>
            </w:r>
          </w:p>
        </w:tc>
        <w:tc>
          <w:tcPr>
            <w:tcW w:type="dxa" w:w="1440"/>
            <w:shd w:fill="C6EFCE" w:val="clear"/>
          </w:tcPr>
          <w:p>
            <w:r>
              <w:rPr>
                <w:b/>
                <w:sz w:val="17"/>
              </w:rPr>
              <w:t>57,150</w:t>
            </w:r>
          </w:p>
        </w:tc>
        <w:tc>
          <w:tcPr>
            <w:tcW w:type="dxa" w:w="1440"/>
            <w:shd w:fill="C6EFCE" w:val="clear"/>
          </w:tcPr>
          <w:p>
            <w:r>
              <w:rPr>
                <w:sz w:val="17"/>
              </w:rPr>
              <w:t>63,907</w:t>
            </w:r>
          </w:p>
        </w:tc>
        <w:tc>
          <w:tcPr>
            <w:tcW w:type="dxa" w:w="1440"/>
            <w:shd w:fill="C6EFCE" w:val="clear"/>
          </w:tcPr>
          <w:p>
            <w:r>
              <w:rPr>
                <w:b/>
                <w:color w:val="008000"/>
                <w:sz w:val="17"/>
              </w:rPr>
              <w:t>+5.2%</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50,145</w:t>
            </w:r>
          </w:p>
        </w:tc>
        <w:tc>
          <w:tcPr>
            <w:tcW w:type="dxa" w:w="1440"/>
            <w:shd w:fill="C6EFCE" w:val="clear"/>
          </w:tcPr>
          <w:p>
            <w:r>
              <w:rPr>
                <w:b/>
                <w:sz w:val="17"/>
              </w:rPr>
              <w:t>57,784</w:t>
            </w:r>
          </w:p>
        </w:tc>
        <w:tc>
          <w:tcPr>
            <w:tcW w:type="dxa" w:w="1440"/>
            <w:shd w:fill="C6EFCE" w:val="clear"/>
          </w:tcPr>
          <w:p>
            <w:r>
              <w:rPr>
                <w:sz w:val="17"/>
              </w:rPr>
              <w:t>65,422</w:t>
            </w:r>
          </w:p>
        </w:tc>
        <w:tc>
          <w:tcPr>
            <w:tcW w:type="dxa" w:w="1440"/>
            <w:shd w:fill="C6EFCE" w:val="clear"/>
          </w:tcPr>
          <w:p>
            <w:r>
              <w:rPr>
                <w:b/>
                <w:color w:val="008000"/>
                <w:sz w:val="17"/>
              </w:rPr>
              <w:t>+6.3%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49,965</w:t>
            </w:r>
          </w:p>
        </w:tc>
        <w:tc>
          <w:tcPr>
            <w:tcW w:type="dxa" w:w="1440"/>
            <w:shd w:fill="C6EFCE" w:val="clear"/>
          </w:tcPr>
          <w:p>
            <w:r>
              <w:rPr>
                <w:b/>
                <w:sz w:val="17"/>
              </w:rPr>
              <w:t>58,425</w:t>
            </w:r>
          </w:p>
        </w:tc>
        <w:tc>
          <w:tcPr>
            <w:tcW w:type="dxa" w:w="1440"/>
            <w:shd w:fill="C6EFCE" w:val="clear"/>
          </w:tcPr>
          <w:p>
            <w:r>
              <w:rPr>
                <w:sz w:val="17"/>
              </w:rPr>
              <w:t>66,886</w:t>
            </w:r>
          </w:p>
        </w:tc>
        <w:tc>
          <w:tcPr>
            <w:tcW w:type="dxa" w:w="1440"/>
            <w:shd w:fill="C6EFCE" w:val="clear"/>
          </w:tcPr>
          <w:p>
            <w:r>
              <w:rPr>
                <w:b/>
                <w:color w:val="008000"/>
                <w:sz w:val="17"/>
              </w:rPr>
              <w:t>+7.5%</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49,833</w:t>
            </w:r>
          </w:p>
        </w:tc>
        <w:tc>
          <w:tcPr>
            <w:tcW w:type="dxa" w:w="1440"/>
            <w:shd w:fill="C6EFCE" w:val="clear"/>
          </w:tcPr>
          <w:p>
            <w:r>
              <w:rPr>
                <w:b/>
                <w:sz w:val="17"/>
              </w:rPr>
              <w:t>59,072</w:t>
            </w:r>
          </w:p>
        </w:tc>
        <w:tc>
          <w:tcPr>
            <w:tcW w:type="dxa" w:w="1440"/>
            <w:shd w:fill="C6EFCE" w:val="clear"/>
          </w:tcPr>
          <w:p>
            <w:r>
              <w:rPr>
                <w:sz w:val="17"/>
              </w:rPr>
              <w:t>68,311</w:t>
            </w:r>
          </w:p>
        </w:tc>
        <w:tc>
          <w:tcPr>
            <w:tcW w:type="dxa" w:w="1440"/>
            <w:shd w:fill="C6EFCE" w:val="clear"/>
          </w:tcPr>
          <w:p>
            <w:r>
              <w:rPr>
                <w:b/>
                <w:color w:val="008000"/>
                <w:sz w:val="17"/>
              </w:rPr>
              <w:t>+8.7%</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49,737</w:t>
            </w:r>
          </w:p>
        </w:tc>
        <w:tc>
          <w:tcPr>
            <w:tcW w:type="dxa" w:w="1440"/>
            <w:shd w:fill="C6EFCE" w:val="clear"/>
          </w:tcPr>
          <w:p>
            <w:r>
              <w:rPr>
                <w:b/>
                <w:sz w:val="17"/>
              </w:rPr>
              <w:t>59,723</w:t>
            </w:r>
          </w:p>
        </w:tc>
        <w:tc>
          <w:tcPr>
            <w:tcW w:type="dxa" w:w="1440"/>
            <w:shd w:fill="C6EFCE" w:val="clear"/>
          </w:tcPr>
          <w:p>
            <w:r>
              <w:rPr>
                <w:sz w:val="17"/>
              </w:rPr>
              <w:t>69,709</w:t>
            </w:r>
          </w:p>
        </w:tc>
        <w:tc>
          <w:tcPr>
            <w:tcW w:type="dxa" w:w="1440"/>
            <w:shd w:fill="C6EFCE" w:val="clear"/>
          </w:tcPr>
          <w:p>
            <w:r>
              <w:rPr>
                <w:b/>
                <w:color w:val="008000"/>
                <w:sz w:val="17"/>
              </w:rPr>
              <w:t>+9.9%</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49,669</w:t>
            </w:r>
          </w:p>
        </w:tc>
        <w:tc>
          <w:tcPr>
            <w:tcW w:type="dxa" w:w="1440"/>
            <w:shd w:fill="C6EFCE" w:val="clear"/>
          </w:tcPr>
          <w:p>
            <w:r>
              <w:rPr>
                <w:b/>
                <w:sz w:val="17"/>
              </w:rPr>
              <w:t>60,376</w:t>
            </w:r>
          </w:p>
        </w:tc>
        <w:tc>
          <w:tcPr>
            <w:tcW w:type="dxa" w:w="1440"/>
            <w:shd w:fill="C6EFCE" w:val="clear"/>
          </w:tcPr>
          <w:p>
            <w:r>
              <w:rPr>
                <w:sz w:val="17"/>
              </w:rPr>
              <w:t>71,084</w:t>
            </w:r>
          </w:p>
        </w:tc>
        <w:tc>
          <w:tcPr>
            <w:tcW w:type="dxa" w:w="1440"/>
            <w:shd w:fill="C6EFCE" w:val="clear"/>
          </w:tcPr>
          <w:p>
            <w:r>
              <w:rPr>
                <w:b/>
                <w:color w:val="008000"/>
                <w:sz w:val="17"/>
              </w:rPr>
              <w:t>+11.1%</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49,623</w:t>
            </w:r>
          </w:p>
        </w:tc>
        <w:tc>
          <w:tcPr>
            <w:tcW w:type="dxa" w:w="1440"/>
            <w:shd w:fill="C6EFCE" w:val="clear"/>
          </w:tcPr>
          <w:p>
            <w:r>
              <w:rPr>
                <w:b/>
                <w:sz w:val="17"/>
              </w:rPr>
              <w:t>61,032</w:t>
            </w:r>
          </w:p>
        </w:tc>
        <w:tc>
          <w:tcPr>
            <w:tcW w:type="dxa" w:w="1440"/>
            <w:shd w:fill="C6EFCE" w:val="clear"/>
          </w:tcPr>
          <w:p>
            <w:r>
              <w:rPr>
                <w:sz w:val="17"/>
              </w:rPr>
              <w:t>72,442</w:t>
            </w:r>
          </w:p>
        </w:tc>
        <w:tc>
          <w:tcPr>
            <w:tcW w:type="dxa" w:w="1440"/>
            <w:shd w:fill="C6EFCE" w:val="clear"/>
          </w:tcPr>
          <w:p>
            <w:r>
              <w:rPr>
                <w:b/>
                <w:color w:val="008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499,12 milliards FCFA, ce qui en fait une valeur de première ligne sur la BRVM, représentant un poids significatif dans l'indice composite. Les ratios de valorisation (BPA, PER, P/B, EV/EBITDA) ne sont pas calculables en raison de l'absence de données financières structurées récentes dans la base, une situation qui limite l'analyse comparative directe avec le marché. Toutefois, sur la base des derniers états financiers disponibles (exercice 2023), le bénéfice net de 640 millions FCFA pour un cours de 54 350 FCFA impliquerait un PER extrêmement élevé, signalant que le marché valorise davantage les actifs et la marque que la rentabilité actuelle. Cette situation suggère que les investisseurs anticipent une normalisation des résultats ou s'appuient sur la valeur de reconstitution des actifs, plutôt que sur les bénéfices courants, ce qui introduit une prime de risque considérable.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UNLC a enregistré une baisse significative de 16,38%, avec un léger rebond de +0,65% lors de la dernière séance, clôturant à 54 350 FCFA. Le titre a évolué dans une fourchette large de 50 000 à 65 000 FCFA, illustrant une volatilité marquée et une pression vendeuse dominante. La moyenne (56 246 FCFA) et la médiane (56 010 FCFA) sont très proches, indiquant une distribution des prix relativement symétrique, ce que confirme le skewness de 0,220. L'écart-type de 3 140 FCFA, avec un coefficient de variation de seulement 5,6%, révèle une dispersion modérée autour de la moyenne, tandis que le kurtosis de -0,244 (mésokurtique) suggère l'absence de mouvements extrêmes fréquents. La volatilité annualisée de 60,1% classe UNLC comme un actif à très haut risque, bien au-delà du seuil de 30% considéré comme élevé, ce qui reflète une incertitude majeure et des échanges très irréguliers (volume moyen de seulement 21 titres par 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Les **Moyennes Mobiles** indiquent une dynamique positive de court terme : la MM20 (54 662 FCFA) est inférieure au cours actuel, et la MM50 (54 062 FCFA) est également dépassée, signalant un croisement haussier potentiel. Cette configuration suggère que le récent rebond pourrait marquer un point d'inflexion après la phase de baisse, d'où la décision d'achat générée par cet indicateur.</w:t>
      </w:r>
    </w:p>
    <w:p>
      <w:pPr>
        <w:spacing w:after="120" w:line="276" w:lineRule="auto"/>
      </w:pPr>
      <w:r>
        <w:t>Les **Bandes de Bollinger** montrent un cours (54 350 FCFA) positionné entre la borne inférieure (50 954 FCFA) et la borne supérieure (58 370 FCFA), plus proche de la moyenne. L'écart entre les bornes reflète une volatilité encore élevée, mais le cours n'est pas en zone extrême, ce qui justifie une position neutre, le prix évoluant sans pression directionnelle forte.</w:t>
      </w:r>
    </w:p>
    <w:p>
      <w:pPr>
        <w:spacing w:after="120" w:line="276" w:lineRule="auto"/>
      </w:pPr>
      <w:r>
        <w:t>Le **MACD** affiche une valeur négative de -52,61, inférieure à sa ligne de signal (-35,31), indiquant un momentum baissier persistant. Bien que la pente semble se stabiliser, la divergence négative suggère que la pression vendeuse n'est pas totalement résorbée, justifiant la décision de vente.</w:t>
      </w:r>
    </w:p>
    <w:p>
      <w:pPr>
        <w:spacing w:after="120" w:line="276" w:lineRule="auto"/>
      </w:pPr>
      <w:r>
        <w:t>Le **RSI** à 39,74 se situe en zone neutre (entre 30 et 70), sans signal de survente ni de surachat. Cette valeur indique un équilibre relatif entre acheteurs et vendeurs, avec une légère prédominance baissière, mais sans excès, d'où la décision neutre.</w:t>
      </w:r>
    </w:p>
    <w:p>
      <w:pPr>
        <w:spacing w:after="120" w:line="276" w:lineRule="auto"/>
      </w:pPr>
      <w:r>
        <w:t>Le **Stochastique** avec %K à 39,17 et %D à 35,28 montre que le %K est au-dessus du %D, suggérant un début de croisement haussier, mais les deux restent sous le seuil de 50, indiquant une faiblesse sous-jacente. La décision neutre reflète l'absence de confirmation claire d'un retournement.</w:t>
      </w:r>
    </w:p>
    <w:p>
      <w:pPr>
        <w:spacing w:after="120" w:line="276" w:lineRule="auto"/>
      </w:pPr>
      <w:r>
        <w:t>**Conclusion technique** : Les indicateurs sont partagés entre un signal d'achat (MM) et un signal de vente (MACD), avec des positions neutres pour les autres. Cette divergence indique une phase de transition incertaine, où le récent rebond technique n'est pas encore confirmé par le momentum. La prudence est de mise, car le titre pourrait soit consolider, soit poursuivre sa baisse si les niveaux de résistance ne sont pas franchis.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disponibles, bien qu'anciens (rapports datés du 31 décembre 2023 et antérieurs), révèlent une trajectoire erratique. En 2021, UNLC a réalisé un chiffre d'affaires de 24,34 milliards FCFA avec un bénéfice net de 6,09 milliards FCFA, soit une marge nette exceptionnelle de 25%. L'exercice 2022 a marqué une rupture brutale avec une perte nette de 6,38 milliards FCFA (marge de -26%), attribuée à la cession de l'activité thé et à des charges non récurrentes. Le rapport de 2023 (publié en décembre 2023) montre un retour à un bénéfice modeste de 640 millions FCFA, avec un résultat d'exploitation positif de 3,34 milliards FCFA, mais des capitaux propres toujours négatifs à -10,66 milliards FCFA et un endettement financier de 4,38 milliards FCFA. Aucun dividende n'a été distribué sur ces trois exercices, la priorité étant donnée à la reconstitution des fonds propres. Les estimations pour 2024-2025, basées sur la tendance de redressement opérationnel de 2023, suggèrent une poursuite de l'amélioration, mais la stagnation du chiffre d'affaires (identique entre 2022 et 2023) et la faible marge nette (2,63%) indiquent que la société n'a pas retrouvé sa pleine capacité de génération de profits. La structure financière reste fragile, avec un risque de liquidité et une dépendance au marché ivoirien, bien que la marque Unilever offre une résilience certaine.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d'UNLC, avec une capitalisation de 499 milliards FCFA, ne peut être justifiée par les fondamentaux actuels, les ratios PER/P/B étant non calculables mais impliquant une surévaluation compte tenu des bénéfices modestes. Le comportement du cours sur 100 jours est préoccupant avec une baisse de 16,38%, une volatilité annualisée de 60,1% et une distribution statistique symétrique mais sans tendance claire. Les signaux techniques sont divergents : les moyennes mobiles suggèrent un achat, tandis que le MACD reste vendeur, et les autres indicateurs sont neutres, reflétant une absence de consensus directionnel. Fondamentalement, la société montre des signes de redressement en 2023 après la perte de 2022, mais sa rentabilité (marge de 2,63%) et ses capitaux propres négatifs la rendent vulnérable. Les prédictions IA pour les 10 prochains jours (54 443 à 57 784 FCFA) anticipent une hausse progressive, contredisant partiellement la faiblesse technique mais s'alignant sur le signal des moyennes mobiles. En synthèse, la convergence entre une valorisation élevée, des fondamentaux fragiles et des signaux techniques mitigés conduit à une recommandation de **CONSERVER**, avec un niveau de confiance **Moyen** et un risque global **Élevé**. L'horizon d'investissement optimal serait de **moyen terme (3-12 mois)**, en attendant une confirmation d'une amélioration durable des résultats financiers et une stabilisation des capitaux propres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13,171 titres</w:t>
            </w:r>
          </w:p>
        </w:tc>
        <w:tc>
          <w:tcPr>
            <w:tcW w:type="dxa" w:w="2268"/>
            <w:shd w:fill="FFF2CC" w:val="clear"/>
          </w:tcPr>
          <w:p>
            <w:r>
              <w:rPr>
                <w:b/>
                <w:color w:val="503200"/>
                <w:sz w:val="16"/>
              </w:rPr>
              <w:t xml:space="preserve">Cours actuel : </w:t>
            </w:r>
            <w:r>
              <w:rPr>
                <w:color w:val="000000"/>
                <w:sz w:val="17"/>
              </w:rPr>
              <w:t>2,405 FCFA</w:t>
            </w:r>
          </w:p>
          <w:p>
            <w:r>
              <w:rPr>
                <w:b/>
                <w:color w:val="503200"/>
                <w:sz w:val="16"/>
              </w:rPr>
              <w:t xml:space="preserve">Var. 100 jours : </w:t>
            </w:r>
            <w:r>
              <w:rPr>
                <w:b/>
                <w:color w:val="007800"/>
                <w:sz w:val="17"/>
              </w:rPr>
              <w:t>+22.70%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13.08% (Moyenne) — μ=1,919 FCFA, σ=251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β=-0.0272 (Contre-cyclique) — Cov=-0.000001, Var(idx)=0.000037, ρ=-0.005,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2,280</w:t>
            </w:r>
          </w:p>
        </w:tc>
        <w:tc>
          <w:tcPr>
            <w:tcW w:type="dxa" w:w="1440"/>
            <w:shd w:fill="FAFAFA" w:val="clear"/>
          </w:tcPr>
          <w:p>
            <w:r>
              <w:rPr>
                <w:b/>
                <w:sz w:val="17"/>
              </w:rPr>
              <w:t>2,388</w:t>
            </w:r>
          </w:p>
        </w:tc>
        <w:tc>
          <w:tcPr>
            <w:tcW w:type="dxa" w:w="1440"/>
            <w:shd w:fill="FAFAFA" w:val="clear"/>
          </w:tcPr>
          <w:p>
            <w:r>
              <w:rPr>
                <w:sz w:val="17"/>
              </w:rPr>
              <w:t>2,497</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2,220</w:t>
            </w:r>
          </w:p>
        </w:tc>
        <w:tc>
          <w:tcPr>
            <w:tcW w:type="dxa" w:w="1440"/>
            <w:shd w:fill="FAFAFA" w:val="clear"/>
          </w:tcPr>
          <w:p>
            <w:r>
              <w:rPr>
                <w:b/>
                <w:sz w:val="17"/>
              </w:rPr>
              <w:t>2,373</w:t>
            </w:r>
          </w:p>
        </w:tc>
        <w:tc>
          <w:tcPr>
            <w:tcW w:type="dxa" w:w="1440"/>
            <w:shd w:fill="FAFAFA" w:val="clear"/>
          </w:tcPr>
          <w:p>
            <w:r>
              <w:rPr>
                <w:sz w:val="17"/>
              </w:rPr>
              <w:t>2,526</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2,172</w:t>
            </w:r>
          </w:p>
        </w:tc>
        <w:tc>
          <w:tcPr>
            <w:tcW w:type="dxa" w:w="1440"/>
            <w:shd w:fill="FAFAFA" w:val="clear"/>
          </w:tcPr>
          <w:p>
            <w:r>
              <w:rPr>
                <w:b/>
                <w:sz w:val="17"/>
              </w:rPr>
              <w:t>2,358</w:t>
            </w:r>
          </w:p>
        </w:tc>
        <w:tc>
          <w:tcPr>
            <w:tcW w:type="dxa" w:w="1440"/>
            <w:shd w:fill="FAFAFA" w:val="clear"/>
          </w:tcPr>
          <w:p>
            <w:r>
              <w:rPr>
                <w:sz w:val="17"/>
              </w:rPr>
              <w:t>2,544</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2,131</w:t>
            </w:r>
          </w:p>
        </w:tc>
        <w:tc>
          <w:tcPr>
            <w:tcW w:type="dxa" w:w="1440"/>
            <w:shd w:fill="FFDCE0" w:val="clear"/>
          </w:tcPr>
          <w:p>
            <w:r>
              <w:rPr>
                <w:b/>
                <w:sz w:val="17"/>
              </w:rPr>
              <w:t>2,344</w:t>
            </w:r>
          </w:p>
        </w:tc>
        <w:tc>
          <w:tcPr>
            <w:tcW w:type="dxa" w:w="1440"/>
            <w:shd w:fill="FFDCE0" w:val="clear"/>
          </w:tcPr>
          <w:p>
            <w:r>
              <w:rPr>
                <w:sz w:val="17"/>
              </w:rPr>
              <w:t>2,557</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2,093</w:t>
            </w:r>
          </w:p>
        </w:tc>
        <w:tc>
          <w:tcPr>
            <w:tcW w:type="dxa" w:w="1440"/>
            <w:shd w:fill="FFDCE0" w:val="clear"/>
          </w:tcPr>
          <w:p>
            <w:r>
              <w:rPr>
                <w:b/>
                <w:sz w:val="17"/>
              </w:rPr>
              <w:t>2,330</w:t>
            </w:r>
          </w:p>
        </w:tc>
        <w:tc>
          <w:tcPr>
            <w:tcW w:type="dxa" w:w="1440"/>
            <w:shd w:fill="FFDCE0" w:val="clear"/>
          </w:tcPr>
          <w:p>
            <w:r>
              <w:rPr>
                <w:sz w:val="17"/>
              </w:rPr>
              <w:t>2,567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2,058</w:t>
            </w:r>
          </w:p>
        </w:tc>
        <w:tc>
          <w:tcPr>
            <w:tcW w:type="dxa" w:w="1440"/>
            <w:shd w:fill="FFDCE0" w:val="clear"/>
          </w:tcPr>
          <w:p>
            <w:r>
              <w:rPr>
                <w:b/>
                <w:sz w:val="17"/>
              </w:rPr>
              <w:t>2,316</w:t>
            </w:r>
          </w:p>
        </w:tc>
        <w:tc>
          <w:tcPr>
            <w:tcW w:type="dxa" w:w="1440"/>
            <w:shd w:fill="FFDCE0" w:val="clear"/>
          </w:tcPr>
          <w:p>
            <w:r>
              <w:rPr>
                <w:sz w:val="17"/>
              </w:rPr>
              <w:t>2,574</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2,025</w:t>
            </w:r>
          </w:p>
        </w:tc>
        <w:tc>
          <w:tcPr>
            <w:tcW w:type="dxa" w:w="1440"/>
            <w:shd w:fill="FFDCE0" w:val="clear"/>
          </w:tcPr>
          <w:p>
            <w:r>
              <w:rPr>
                <w:b/>
                <w:sz w:val="17"/>
              </w:rPr>
              <w:t>2,302</w:t>
            </w:r>
          </w:p>
        </w:tc>
        <w:tc>
          <w:tcPr>
            <w:tcW w:type="dxa" w:w="1440"/>
            <w:shd w:fill="FFDCE0" w:val="clear"/>
          </w:tcPr>
          <w:p>
            <w:r>
              <w:rPr>
                <w:sz w:val="17"/>
              </w:rPr>
              <w:t>2,580</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1,994</w:t>
            </w:r>
          </w:p>
        </w:tc>
        <w:tc>
          <w:tcPr>
            <w:tcW w:type="dxa" w:w="1440"/>
            <w:shd w:fill="FFDCE0" w:val="clear"/>
          </w:tcPr>
          <w:p>
            <w:r>
              <w:rPr>
                <w:b/>
                <w:sz w:val="17"/>
              </w:rPr>
              <w:t>2,289</w:t>
            </w:r>
          </w:p>
        </w:tc>
        <w:tc>
          <w:tcPr>
            <w:tcW w:type="dxa" w:w="1440"/>
            <w:shd w:fill="FFDCE0" w:val="clear"/>
          </w:tcPr>
          <w:p>
            <w:r>
              <w:rPr>
                <w:sz w:val="17"/>
              </w:rPr>
              <w:t>2,583</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1,965</w:t>
            </w:r>
          </w:p>
        </w:tc>
        <w:tc>
          <w:tcPr>
            <w:tcW w:type="dxa" w:w="1440"/>
            <w:shd w:fill="FFDCE0" w:val="clear"/>
          </w:tcPr>
          <w:p>
            <w:r>
              <w:rPr>
                <w:b/>
                <w:sz w:val="17"/>
              </w:rPr>
              <w:t>2,275</w:t>
            </w:r>
          </w:p>
        </w:tc>
        <w:tc>
          <w:tcPr>
            <w:tcW w:type="dxa" w:w="1440"/>
            <w:shd w:fill="FFDCE0" w:val="clear"/>
          </w:tcPr>
          <w:p>
            <w:r>
              <w:rPr>
                <w:sz w:val="17"/>
              </w:rPr>
              <w:t>2,586</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1,936</w:t>
            </w:r>
          </w:p>
        </w:tc>
        <w:tc>
          <w:tcPr>
            <w:tcW w:type="dxa" w:w="1440"/>
            <w:shd w:fill="FFDCE0" w:val="clear"/>
          </w:tcPr>
          <w:p>
            <w:r>
              <w:rPr>
                <w:b/>
                <w:sz w:val="17"/>
              </w:rPr>
              <w:t>2,262</w:t>
            </w:r>
          </w:p>
        </w:tc>
        <w:tc>
          <w:tcPr>
            <w:tcW w:type="dxa" w:w="1440"/>
            <w:shd w:fill="FFDCE0" w:val="clear"/>
          </w:tcPr>
          <w:p>
            <w:r>
              <w:rPr>
                <w:sz w:val="17"/>
              </w:rPr>
              <w:t>2,588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**Date de l'analyse : 07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d'UNIWAX s'établit à **49,90 milliards FCFA**, un niveau significatif qui la positionne comme une valeur de taille moyenne sur la BRVM. Avec un **BPA négatif de -105 FCFA**, l'entreprise est officiellement déficitaire sur la base des données annuelles 2024, ce qui explique un **PER de -22,8x**. Ce ratio négatif indique que le marché ne peut pas valoriser la société sur ses bénéfices actuels, mais plutôt sur des anticipations de redressement futur. Le **P/B de 3,20x** est un signal fort : le marché valorise l'actif net de la société plus de trois fois sa valeur comptable, ce qui traduit une prime de croissance ou de spéculation importante, malgré des fondamentaux historiquement fragiles. En l'absence d'EBITDA positif et de données EV/EBITDA, la valorisation repose essentiellement sur le pari d'une exécution réussie du plan de restructuration et d'un retour durable aux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UNXC a enregistré une progression spectaculaire de **+22,70%**, atteignant un cours actuel de **2 405 FCFA**, bien loin de son plus bas de 1 250 FCFA. Le titre a évolué dans une fourchette très large de 1 245 FCFA, démontrant un intérêt marqué des investisseurs. La moyenne (1 919 FCFA) et la médiane (1 900 FCFA) sont très proches, indiquant une distribution des prix relativement symétrique, confirmée par un skewness de 0.289. L'écart-type de 252 FCFA (CV=13,1%) montre une dispersion modérée autour de la moyenne. Cependant, le **kurtosis de 1.130** signale une distribution leptokurtique, suggérant un risque de mouvements extrêmes (pics de volatilité). La **volatilité annualisée de 50,9%** est extrêmement élevée, classant UNXC comme un actif à très haut risque, où les variations de prix peuvent être brutales dans les deux sens. La baisse de -0,82% lors de la dernière séance pourrait marquer un essoufflement après une forte hausse.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(2 405 FCFA) se situe nettement au-dessus de la MM20 (2 263 FCFA) et de la MM50 (1 949,7 FCFA). Cette configuration haussière, où les moyennes courtes sont au-dessus des moyennes longues, confirme une tendance de fond positive. La décision d'**Achat** est justifiée par la vigueur de la tendance, bien que l'écart important avec la MM50 suggère un marché potentiellement suracheté à court terme.</w:t>
      </w:r>
    </w:p>
    <w:p>
      <w:pPr>
        <w:spacing w:after="120" w:line="276" w:lineRule="auto"/>
      </w:pPr>
      <w:r>
        <w:t>**Bandes de Bollinger :** Le prix évolue entre la borne supérieure (2 738,5 FCFA) et la borne inférieure (1 787,5 FCFA), se positionnant dans la moitié haute du canal. La décision **Neutre** indique que le cours n'est pas en situation extrême, mais la largeur des bandes reflète la volatilité élevée du titre. Un test de la borne supérieure serait un signal haussier fort, tandis qu'un retour vers la moyenne mobile (MM20) pourrait offrir un point d'entrée.</w:t>
      </w:r>
    </w:p>
    <w:p>
      <w:pPr>
        <w:spacing w:after="120" w:line="276" w:lineRule="auto"/>
      </w:pPr>
      <w:r>
        <w:t>**MACD :** Le MACD (147,6) est passé sous sa ligne de signal (152,5), générant une décision de **Vente**. Cette divergence baissière à court terme indique un ralentissement du momentum haussier. Bien que le MACD reste en territoire positif, ce croisement suggère une possible phase de consolidation ou de correction après la récente envolée du titre.</w:t>
      </w:r>
    </w:p>
    <w:p>
      <w:pPr>
        <w:spacing w:after="120" w:line="276" w:lineRule="auto"/>
      </w:pPr>
      <w:r>
        <w:t>**RSI :** Avec une valeur de **77,9**, le RSI est en zone de surachat (au-dessus de 70). La décision de **Vente** est justifiée : le marché est survendu à court terme, et un repli technique est statistiquement probable. Les investisseurs pourraient être tentés de prendre leurs bénéfices, ce qui exercerait une pression à la baisse sur le cours.</w:t>
      </w:r>
    </w:p>
    <w:p>
      <w:pPr>
        <w:spacing w:after="120" w:line="276" w:lineRule="auto"/>
      </w:pPr>
      <w:r>
        <w:t>**Stochastique :** Le %K (76,9) est passé sous le %D (84,9), formant un croisement baissier. La décision **Neutre** suggère que le momentum haussier s'essouffle, mais le titre n'est pas encore en territoire de survente. Ce signal indique une perte de vigueur, préfigurant potentiellement une phase de correction ou de consolidation latérale.</w:t>
      </w:r>
    </w:p>
    <w:p>
      <w:pPr>
        <w:spacing w:after="120" w:line="276" w:lineRule="auto"/>
      </w:pPr>
      <w:r>
        <w:t>**Conclusion technique :** Les indicateurs de tendance (MM) restent positifs, mais les oscillateurs de momentum (RSI, MACD, Stochastique) envoient des signaux de prudence. Le titre est suracheté à court terme et montre des signes d'essoufflement. La tendance de fond demeure haussière, mais une consolidation ou un repli technique vers la zone des 2 260-2 300 FCFA (MM20) est de plus en plus probable avant la poursuite de la tendance.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**2024**, UNIWAX présente un tableau contrasté. Le chiffre d'affaires s'établit à **27,333 milliards FCFA**, en croissance de 15,4% par rapport à 2023, mais la société affiche une perte nette de **-2,189 milliards FCFA**. La marge opérationnelle est profondément négative à -7,8%, et le ROE est de -14%, illustrant une destruction de valeur pour les actionnaires. L'analyse sectorielle (ENTREPRISE) révèle des points de vigilance : le **délai de stockage de 254 jours** est excessivement long, immobilisant un capital important, tandis que le **délai de paiement des clients (51 jours)** est correct. Le BFR de 2,149 milliards FCFA est positif, ce qui est défavorable car il indique un besoin de financement de l'exploitation. Cependant, les rapports trimestriels de **2025** montrent une amélioration spectaculaire de la situation. Le rapport du S1 2025 (daté du 30/06/2025) et celui du T3 2025 (30/09/2025) indiquent un bénéfice net artificiel de plus de 8 milliards FCFA, intégralement dû à une plus-value de cession-bail d'un terrain. Hors cet élément exceptionnel, la société reste déficitaire, mais la direction annonce une amélioration de 80% de son résultat d'exploitation. Le rapport de l'exercice **2025** (publié en 2026) confirme le redressement : le CA atteint **29,03 milliards FCFA (+6,2%)**, l'EBE redevient positif à **1,13 milliard FCFA**, et la perte nette est réduite à -624 millions FCFA. Enfin, le rapport du **S1 2026** (publié en 2026) marque un tournant décisif : le **résultat d'exploitation redevient positif à 771 millions FCFA**, et le résultat net est également positif à 771 millions FCFA. On estime que l'exercice 2026 devrait confirmer ce retour à la rentabilité opérationnelle, porté par l'expansion à l'export et la maîtrise des coûts.</w:t>
      </w:r>
    </w:p>
    <w:p>
      <w:pPr>
        <w:spacing w:after="120" w:line="276" w:lineRule="auto"/>
      </w:pPr>
      <w:r>
        <w:t>---</w:t>
      </w:r>
    </w:p>
    <w:p>
      <w:pPr>
        <w:spacing w:after="120" w:line="276" w:lineRule="auto"/>
      </w:pPr>
      <w:r>
        <w:t>### PARTIE 4 : CONCLUSION D'INVESTISSEMENT</w:t>
      </w:r>
    </w:p>
    <w:p>
      <w:pPr>
        <w:spacing w:after="120" w:line="276" w:lineRule="auto"/>
      </w:pPr>
      <w:r>
        <w:t>La valorisation d'UNXC est délicate : le PER négatif et le P/B élevé de 3,2x indiquent que le marché anticipe déjà un redressement, rendant le titre théoriquement cher sur les fondamentaux passés. Le comportement du cours (+22,7% en 100 jours) et la forte volatilité (50,9%) reflètent cet optimisme, mais le kurtosis élevé et les signaux techniques de surachat (RSI à 77,9, MACD en vente) suggèrent un risque de correction à court terme. Les fondamentaux, eux, racontent une histoire de redressement réussi : après une perte de 2,19 milliards en 2024, la société est redevenue bénéficiaire au S1 2026 (771 millions FCFA), avec un EBE positif et un désendettement massif. Les prédictions IA d'une légère baisse sur 10 jours (vers 2 330 FCFA) corroborent les signaux techniques de consolidation. En synthèse, la convergence entre l'amélioration fondamentale tangible et la tendance haussière de long terme est forte, mais la divergence avec les signaux techniques à court terme impose la prudence. **Recommandation : ACHAT** sur repli, avec un niveau de confiance **Moyen** et un risque global **Élevé**. L'horizon d'investissement optimal est le **moyen terme (3-12 mois)**, en attendant la confirmation d'une rentabilité durable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