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29/08/2026 à 11:10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NSBC  (score 79/100)</w:t>
      </w:r>
    </w:p>
    <w:p>
      <w:pPr>
        <w:spacing w:before="20" w:after="20"/>
        <w:ind w:left="360" w:right="360"/>
        <w:shd w:val="clear" w:color="auto" w:fill="EBF5FB"/>
      </w:pPr>
      <w:r>
        <w:rPr>
          <w:b/>
          <w:sz w:val="19"/>
        </w:rPr>
        <w:t xml:space="preserve">Secteur surperformant :  </w:t>
      </w:r>
      <w:r>
        <w:rPr>
          <w:color w:val="008000"/>
          <w:sz w:val="19"/>
        </w:rPr>
        <w:t>SERVICES PUBLICS  (+86.4%)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11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530.06 points </w:t>
      </w:r>
      <w:r>
        <w:rPr>
          <w:color w:val="008000"/>
        </w:rPr>
        <w:t>(+0.02%)</w:t>
      </w:r>
      <w:r>
        <w:t xml:space="preserve"> sur la séance. </w:t>
      </w:r>
      <w:r>
        <w:t>La capitalisation globale du marché atteint 2 043,994 milliards FCFA.</w:t>
      </w:r>
    </w:p>
    <w:p/>
    <w:p>
      <w:pPr>
        <w:pStyle w:val="Heading3"/>
      </w:pPr>
      <w:r>
        <w:t>📊 Évolution de l'indice BRVM Composite (100 derniers jours)</w:t>
      </w:r>
    </w:p>
    <w:p>
      <w:r>
        <w:rPr>
          <w:b/>
        </w:rPr>
        <w:t xml:space="preserve">BRVM Composite — </w:t>
      </w:r>
      <w:r>
        <w:t xml:space="preserve">Sur les 100 derniers jours de cotation (2026-04-02 au 2026-08-28), l'indice BRVM Composite a évolué de </w:t>
      </w:r>
      <w:r>
        <w:rPr>
          <w:b/>
          <w:color w:val="008000"/>
        </w:rPr>
        <w:t>+29.40%</w:t>
      </w:r>
      <w:r>
        <w:t>, passant de 409.62 pts à 530.06 pts. Le plus haut atteint est 530.07 pts et le plus bas 397.33 pts. Sur l'ensemble de la période, la moyenne de l'indice s'établit à 447.66 pts, la médiane à 439.40 pts et le mode à 397.33 pts</w:t>
      </w:r>
      <w:r>
        <w:t xml:space="preserve"> (asymétrie positive — plus de jours sous la moyenne). </w:t>
      </w:r>
      <w:r>
        <w:t xml:space="preserve">L'écart-type de 38.51 pts (CV=8.6%) traduit une modérée dispersion des cotations. Le kurtosis de -0.93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-87.06%</w:t>
      </w:r>
      <w:r>
        <w:t xml:space="preserve"> sur la période, passant de 15 793,082 Mds FCFA à 2 043,994 Mds FCFA. Le pic de capitalisation observé est de 19 886,911 Mds FCFA et le plancher de 2 003,618 Mds FCFA. La moyenne de la capitalisation sur la période s'établit à 16 155,197 Mds FCFA, la médiane à 16 816,942 Mds FCFA et le mode à 2 003,618 Mds FCFA</w:t>
      </w:r>
      <w:r>
        <w:t xml:space="preserve"> (asymétrie négative). </w:t>
      </w:r>
      <w:r>
        <w:t>L'écart-type de 3 801,027 Mds FCFA (CV=23.5%) reflète une forte variabilité de la valorisation du marché. Le kurtosis de 8.74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NSBC - NSBC - NSIA BANQUE COTE D'IVOIRE</w:t>
      </w:r>
      <w:r>
        <w:t xml:space="preserve"> | Prix: 22500 FCFA | </w:t>
      </w:r>
      <w:r>
        <w:rPr>
          <w:b/>
          <w:color w:val="008000"/>
        </w:rPr>
        <w:t>ACHAT FORT</w:t>
      </w:r>
      <w:r>
        <w:t xml:space="preserve"> | Confiance: Élevée | Risque: Moyen</w:t>
      </w:r>
    </w:p>
    <w:p>
      <w:pPr>
        <w:pStyle w:val="ListNumber"/>
      </w:pPr>
      <w:r>
        <w:rPr>
          <w:b/>
        </w:rPr>
        <w:t>TTLC - TTLC - TOTAL ENERGIES MARKETING COTE D'IVOIRE</w:t>
      </w:r>
      <w:r>
        <w:t xml:space="preserve"> | Prix: 3400 FCFA | </w:t>
      </w:r>
      <w:r>
        <w:rPr>
          <w:b/>
          <w:color w:val="008000"/>
        </w:rPr>
        <w:t>ACHAT FORT</w:t>
      </w:r>
      <w:r>
        <w:t xml:space="preserve"> | Confiance: Élevée | Risque: Moyen</w:t>
      </w:r>
    </w:p>
    <w:p>
      <w:pPr>
        <w:pStyle w:val="ListNumber"/>
      </w:pPr>
      <w:r>
        <w:rPr>
          <w:b/>
        </w:rPr>
        <w:t>ABJC - ABJC - SERVAIR ABIDJAN CI</w:t>
      </w:r>
      <w:r>
        <w:t xml:space="preserve"> | Prix: 3690 FCFA | </w:t>
      </w:r>
      <w:r>
        <w:rPr>
          <w:b/>
          <w:color w:val="008000"/>
        </w:rPr>
        <w:t>ACHAT</w:t>
      </w:r>
      <w:r>
        <w:t xml:space="preserve"> | Confiance: Moyen | Risque: Moyen</w:t>
      </w:r>
    </w:p>
    <w:p>
      <w:pPr>
        <w:pStyle w:val="ListNumber"/>
      </w:pPr>
      <w:r>
        <w:rPr>
          <w:b/>
        </w:rPr>
        <w:t>BICB - BIIC BN - Banque internationale pour le commerce du benin</w:t>
      </w:r>
      <w:r>
        <w:t xml:space="preserve"> | Prix: 8500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29500 FCFA | </w:t>
      </w:r>
      <w:r>
        <w:rPr>
          <w:b/>
          <w:color w:val="008000"/>
        </w:rPr>
        <w:t>ACHAT</w:t>
      </w:r>
      <w:r>
        <w:t xml:space="preserve"> | Confiance: Élevée | Risque: Faible</w:t>
      </w:r>
    </w:p>
    <w:p>
      <w:pPr>
        <w:pStyle w:val="ListNumber"/>
      </w:pPr>
      <w:r>
        <w:rPr>
          <w:b/>
        </w:rPr>
        <w:t>BNBC - BNBC - BERNABE CI</w:t>
      </w:r>
      <w:r>
        <w:t xml:space="preserve"> | Prix: 2300 FCFA | </w:t>
      </w:r>
      <w:r>
        <w:rPr>
          <w:b/>
          <w:color w:val="008000"/>
        </w:rPr>
        <w:t>ACHAT</w:t>
      </w:r>
      <w:r>
        <w:t xml:space="preserve"> | Confiance: Faible | Risque: Moyen</w:t>
      </w:r>
    </w:p>
    <w:p>
      <w:pPr>
        <w:pStyle w:val="ListNumber"/>
      </w:pPr>
      <w:r>
        <w:rPr>
          <w:b/>
        </w:rPr>
        <w:t>BOAB - BANK OF AFRICA BENIN</w:t>
      </w:r>
      <w:r>
        <w:t xml:space="preserve"> | Prix: 10235 FCFA | </w:t>
      </w:r>
      <w:r>
        <w:rPr>
          <w:b/>
          <w:color w:val="008000"/>
        </w:rPr>
        <w:t>ACHAT</w:t>
      </w:r>
      <w:r>
        <w:t xml:space="preserve"> | Confiance: Moyen | Risque: Moyen</w:t>
      </w:r>
    </w:p>
    <w:p>
      <w:pPr>
        <w:pStyle w:val="ListNumber"/>
      </w:pPr>
      <w:r>
        <w:rPr>
          <w:b/>
        </w:rPr>
        <w:t>BOABF - BANK OF AFRICA BURKINA FASO</w:t>
      </w:r>
      <w:r>
        <w:t xml:space="preserve"> | Prix: 8900 FCFA | </w:t>
      </w:r>
      <w:r>
        <w:rPr>
          <w:b/>
          <w:color w:val="008000"/>
        </w:rPr>
        <w:t>ACHAT</w:t>
      </w:r>
      <w:r>
        <w:t xml:space="preserve"> | Confiance: Faible | Risque: Faible</w:t>
      </w:r>
    </w:p>
    <w:p>
      <w:pPr>
        <w:pStyle w:val="ListNumber"/>
      </w:pPr>
      <w:r>
        <w:rPr>
          <w:b/>
        </w:rPr>
        <w:t>BOAC - BANK OF AFRICA COTE D'IVOIRE</w:t>
      </w:r>
      <w:r>
        <w:t xml:space="preserve"> | Prix: 12400 FCFA | </w:t>
      </w:r>
      <w:r>
        <w:rPr>
          <w:b/>
          <w:color w:val="008000"/>
        </w:rPr>
        <w:t>ACHAT</w:t>
      </w:r>
      <w:r>
        <w:t xml:space="preserve"> | Confiance: Moyen | Risque: Faible</w:t>
      </w:r>
    </w:p>
    <w:p>
      <w:pPr>
        <w:pStyle w:val="ListNumber"/>
      </w:pPr>
      <w:r>
        <w:rPr>
          <w:b/>
        </w:rPr>
        <w:t>BOAM - BANK OF AFRICA MALI</w:t>
      </w:r>
      <w:r>
        <w:t xml:space="preserve"> | Prix: 6495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22350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86.37%</w:t>
      </w:r>
      <w:r>
        <w:t xml:space="preserve">  |  </w:t>
      </w:r>
      <w:r>
        <w:rPr>
          <w:b/>
        </w:rPr>
        <w:t xml:space="preserve">vs BRVM Composite: </w:t>
      </w:r>
      <w:r>
        <w:rPr>
          <w:b/>
          <w:color w:val="008000"/>
        </w:rPr>
        <w:t>+56.96%  🟢 Surperformance</w:t>
      </w:r>
      <w:r>
        <w:br/>
      </w:r>
      <w:r>
        <w:rPr>
          <w:b/>
        </w:rPr>
        <w:t xml:space="preserve">Sentiment général: </w:t>
      </w:r>
      <w:r>
        <w:t xml:space="preserve">ACHAT  |  </w:t>
      </w:r>
      <w:r>
        <w:rPr>
          <w:b/>
        </w:rPr>
        <w:t xml:space="preserve">Risque moyen: </w:t>
      </w:r>
      <w:r>
        <w:t xml:space="preserve">Moyen  |  </w:t>
      </w:r>
      <w:r>
        <w:rPr>
          <w:b/>
        </w:rPr>
        <w:t xml:space="preserve">Prix moyen: </w:t>
      </w:r>
      <w:r>
        <w:t>9850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41.10%</w:t>
      </w:r>
      <w:r>
        <w:t xml:space="preserve">  |  </w:t>
      </w:r>
      <w:r>
        <w:rPr>
          <w:b/>
        </w:rPr>
        <w:t xml:space="preserve">vs BRVM Composite: </w:t>
      </w:r>
      <w:r>
        <w:rPr>
          <w:b/>
          <w:color w:val="008000"/>
        </w:rPr>
        <w:t>+11.70%  🟢 Surperformance</w:t>
      </w:r>
      <w:r>
        <w:br/>
      </w:r>
      <w:r>
        <w:rPr>
          <w:b/>
        </w:rPr>
        <w:t xml:space="preserve">Sentiment général: </w:t>
      </w:r>
      <w:r>
        <w:t xml:space="preserve">ACHAT  |  </w:t>
      </w:r>
      <w:r>
        <w:rPr>
          <w:b/>
        </w:rPr>
        <w:t xml:space="preserve">Risque moyen: </w:t>
      </w:r>
      <w:r>
        <w:t xml:space="preserve">Faible  |  </w:t>
      </w:r>
      <w:r>
        <w:rPr>
          <w:b/>
        </w:rPr>
        <w:t xml:space="preserve">Prix moyen: </w:t>
      </w:r>
      <w:r>
        <w:t>13441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33.89%</w:t>
      </w:r>
      <w:r>
        <w:t xml:space="preserve">  |  </w:t>
      </w:r>
      <w:r>
        <w:rPr>
          <w:b/>
        </w:rPr>
        <w:t xml:space="preserve">vs BRVM Composite: </w:t>
      </w:r>
      <w:r>
        <w:rPr>
          <w:b/>
          <w:color w:val="008000"/>
        </w:rPr>
        <w:t>+4.49%  🟢 Surperformance</w:t>
      </w:r>
      <w:r>
        <w:br/>
      </w:r>
      <w:r>
        <w:rPr>
          <w:b/>
        </w:rPr>
        <w:t xml:space="preserve">Sentiment général: </w:t>
      </w:r>
      <w:r>
        <w:t xml:space="preserve">ACHAT  |  </w:t>
      </w:r>
      <w:r>
        <w:rPr>
          <w:b/>
        </w:rPr>
        <w:t xml:space="preserve">Risque moyen: </w:t>
      </w:r>
      <w:r>
        <w:t xml:space="preserve">Moyen  |  </w:t>
      </w:r>
      <w:r>
        <w:rPr>
          <w:b/>
        </w:rPr>
        <w:t xml:space="preserve">Prix moyen: </w:t>
      </w:r>
      <w:r>
        <w:t>20333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29.07%</w:t>
      </w:r>
      <w:r>
        <w:t xml:space="preserve">  |  </w:t>
      </w:r>
      <w:r>
        <w:rPr>
          <w:b/>
        </w:rPr>
        <w:t xml:space="preserve">vs BRVM Composite: </w:t>
      </w:r>
      <w:r>
        <w:rPr>
          <w:b/>
          <w:color w:val="C00000"/>
        </w:rPr>
        <w:t>-0.34%  🔴 Sous-performance</w:t>
      </w:r>
      <w:r>
        <w:br/>
      </w:r>
      <w:r>
        <w:rPr>
          <w:b/>
        </w:rPr>
        <w:t xml:space="preserve">Sentiment général: </w:t>
      </w:r>
      <w:r>
        <w:t xml:space="preserve">ACHAT  |  </w:t>
      </w:r>
      <w:r>
        <w:rPr>
          <w:b/>
        </w:rPr>
        <w:t xml:space="preserve">Risque moyen: </w:t>
      </w:r>
      <w:r>
        <w:t xml:space="preserve">Moyen  |  </w:t>
      </w:r>
      <w:r>
        <w:rPr>
          <w:b/>
        </w:rPr>
        <w:t xml:space="preserve">Prix moyen: </w:t>
      </w:r>
      <w:r>
        <w:t>18436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27.29%</w:t>
      </w:r>
      <w:r>
        <w:t xml:space="preserve">  |  </w:t>
      </w:r>
      <w:r>
        <w:rPr>
          <w:b/>
        </w:rPr>
        <w:t xml:space="preserve">vs BRVM Composite: </w:t>
      </w:r>
      <w:r>
        <w:rPr>
          <w:b/>
          <w:color w:val="C00000"/>
        </w:rPr>
        <w:t>-2.11%  🔴 Sous-performance</w:t>
      </w:r>
      <w:r>
        <w:br/>
      </w:r>
      <w:r>
        <w:rPr>
          <w:b/>
        </w:rPr>
        <w:t xml:space="preserve">Sentiment général: </w:t>
      </w:r>
      <w:r>
        <w:t xml:space="preserve">ACHAT  |  </w:t>
      </w:r>
      <w:r>
        <w:rPr>
          <w:b/>
        </w:rPr>
        <w:t xml:space="preserve">Risque moyen: </w:t>
      </w:r>
      <w:r>
        <w:t xml:space="preserve">Moyen  |  </w:t>
      </w:r>
      <w:r>
        <w:rPr>
          <w:b/>
        </w:rPr>
        <w:t xml:space="preserve">Prix moyen: </w:t>
      </w:r>
      <w:r>
        <w:t>3096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22.38%</w:t>
      </w:r>
      <w:r>
        <w:t xml:space="preserve">  |  </w:t>
      </w:r>
      <w:r>
        <w:rPr>
          <w:b/>
        </w:rPr>
        <w:t xml:space="preserve">vs BRVM Composite: </w:t>
      </w:r>
      <w:r>
        <w:rPr>
          <w:b/>
          <w:color w:val="C00000"/>
        </w:rPr>
        <w:t>-7.02%  🔴 Sous-performance</w:t>
      </w:r>
      <w:r>
        <w:br/>
      </w:r>
      <w:r>
        <w:rPr>
          <w:b/>
        </w:rPr>
        <w:t xml:space="preserve">Sentiment général: </w:t>
      </w:r>
      <w:r>
        <w:t xml:space="preserve">ACHAT  |  </w:t>
      </w:r>
      <w:r>
        <w:rPr>
          <w:b/>
        </w:rPr>
        <w:t xml:space="preserve">Risque moyen: </w:t>
      </w:r>
      <w:r>
        <w:t xml:space="preserve">Moyen  |  </w:t>
      </w:r>
      <w:r>
        <w:rPr>
          <w:b/>
        </w:rPr>
        <w:t xml:space="preserve">Prix moyen: </w:t>
      </w:r>
      <w:r>
        <w:t>6708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-4.57%</w:t>
      </w:r>
      <w:r>
        <w:t xml:space="preserve">  |  </w:t>
      </w:r>
      <w:r>
        <w:rPr>
          <w:b/>
        </w:rPr>
        <w:t xml:space="preserve">vs BRVM Composite: </w:t>
      </w:r>
      <w:r>
        <w:rPr>
          <w:b/>
          <w:color w:val="C00000"/>
        </w:rPr>
        <w:t>-33.98%  🔴 Sous-performance</w:t>
      </w:r>
      <w:r>
        <w:br/>
      </w:r>
      <w:r>
        <w:rPr>
          <w:b/>
        </w:rPr>
        <w:t xml:space="preserve">Sentiment général: </w:t>
      </w:r>
      <w:r>
        <w:t xml:space="preserve">ACHAT  |  </w:t>
      </w:r>
      <w:r>
        <w:rPr>
          <w:b/>
        </w:rPr>
        <w:t xml:space="preserve">Risque moyen: </w:t>
      </w:r>
      <w:r>
        <w:t xml:space="preserve">Moyen  |  </w:t>
      </w:r>
      <w:r>
        <w:rPr>
          <w:b/>
        </w:rPr>
        <w:t xml:space="preserve">Prix moyen: </w:t>
      </w:r>
      <w:r>
        <w:t>2468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BOAM, BOAN, BOAS, CABC, CFAC, CIEC, ETIT, FTSC, NSBC, NTLC, SAFC, SCRC, SGBC, SHEC, SICC, SLBC,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BOAC, CBIBF, ONTBF, ORAC, ORGT, PALC, PRSC, SEMC, SIBC, SIVC, SNTS, SPHC, STAC,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BOABF, ECOC, LNBB, NEIC, SDCC, SDSC, SMBC, SOGC</w:t>
            </w:r>
          </w:p>
        </w:tc>
        <w:tc>
          <w:tcPr>
            <w:tcW w:type="dxa" w:w="2160"/>
            <w:shd w:fill="FFC7CE" w:val="clear"/>
          </w:tcPr>
          <w:p>
            <w:pPr>
              <w:spacing w:before="40" w:after="40"/>
            </w:pPr>
            <w:r/>
            <w:r>
              <w:rPr>
                <w:b w:val="0"/>
                <w:sz w:val="16"/>
              </w:rPr>
              <w:t>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1590817</w:t>
            </w:r>
          </w:p>
        </w:tc>
        <w:tc>
          <w:tcPr>
            <w:tcW w:type="dxa" w:w="1728"/>
          </w:tcPr>
          <w:p>
            <w:r>
              <w:t>104997504 FCFA</w:t>
            </w:r>
          </w:p>
        </w:tc>
        <w:tc>
          <w:tcPr>
            <w:tcW w:type="dxa" w:w="1728"/>
          </w:tcPr>
          <w:p>
            <w:r>
              <w:t>96.97%</w:t>
            </w:r>
          </w:p>
        </w:tc>
        <w:tc>
          <w:tcPr>
            <w:tcW w:type="dxa" w:w="1728"/>
          </w:tcPr>
          <w:p>
            <w:r>
              <w:t>ACHAT</w:t>
            </w:r>
          </w:p>
        </w:tc>
      </w:tr>
      <w:tr>
        <w:tc>
          <w:tcPr>
            <w:tcW w:type="dxa" w:w="1728"/>
          </w:tcPr>
          <w:p>
            <w:r>
              <w:t>BICB (BIIC BN - Banque internationale pour le commerce du benin)</w:t>
            </w:r>
          </w:p>
        </w:tc>
        <w:tc>
          <w:tcPr>
            <w:tcW w:type="dxa" w:w="1728"/>
          </w:tcPr>
          <w:p>
            <w:r>
              <w:t>21001</w:t>
            </w:r>
          </w:p>
        </w:tc>
        <w:tc>
          <w:tcPr>
            <w:tcW w:type="dxa" w:w="1728"/>
          </w:tcPr>
          <w:p>
            <w:r>
              <w:t>169923894 FCFA</w:t>
            </w:r>
          </w:p>
        </w:tc>
        <w:tc>
          <w:tcPr>
            <w:tcW w:type="dxa" w:w="1728"/>
          </w:tcPr>
          <w:p>
            <w:r>
              <w:t>63.46%</w:t>
            </w:r>
          </w:p>
        </w:tc>
        <w:tc>
          <w:tcPr>
            <w:tcW w:type="dxa" w:w="1728"/>
          </w:tcPr>
          <w:p>
            <w:r>
              <w:t>ACHAT</w:t>
            </w:r>
          </w:p>
        </w:tc>
      </w:tr>
      <w:tr>
        <w:tc>
          <w:tcPr>
            <w:tcW w:type="dxa" w:w="1728"/>
          </w:tcPr>
          <w:p>
            <w:r>
              <w:t>SDSC (SDSC - AFRICA GLOBAL LOGISTICS CI)</w:t>
            </w:r>
          </w:p>
        </w:tc>
        <w:tc>
          <w:tcPr>
            <w:tcW w:type="dxa" w:w="1728"/>
          </w:tcPr>
          <w:p>
            <w:r>
              <w:t>17502</w:t>
            </w:r>
          </w:p>
        </w:tc>
        <w:tc>
          <w:tcPr>
            <w:tcW w:type="dxa" w:w="1728"/>
          </w:tcPr>
          <w:p>
            <w:r>
              <w:t>44830196 FCFA</w:t>
            </w:r>
          </w:p>
        </w:tc>
        <w:tc>
          <w:tcPr>
            <w:tcW w:type="dxa" w:w="1728"/>
          </w:tcPr>
          <w:p>
            <w:r>
              <w:t>48.25%</w:t>
            </w:r>
          </w:p>
        </w:tc>
        <w:tc>
          <w:tcPr>
            <w:tcW w:type="dxa" w:w="1728"/>
          </w:tcPr>
          <w:p>
            <w:r>
              <w:t>ACHAT</w:t>
            </w:r>
          </w:p>
        </w:tc>
      </w:tr>
      <w:tr>
        <w:tc>
          <w:tcPr>
            <w:tcW w:type="dxa" w:w="1728"/>
          </w:tcPr>
          <w:p>
            <w:r>
              <w:t>UNXC (UNXC - UNIWAX COTE D'IVOIRE)</w:t>
            </w:r>
          </w:p>
        </w:tc>
        <w:tc>
          <w:tcPr>
            <w:tcW w:type="dxa" w:w="1728"/>
          </w:tcPr>
          <w:p>
            <w:r>
              <w:t>14479</w:t>
            </w:r>
          </w:p>
        </w:tc>
        <w:tc>
          <w:tcPr>
            <w:tcW w:type="dxa" w:w="1728"/>
          </w:tcPr>
          <w:p>
            <w:r>
              <w:t>32139484 FCFA</w:t>
            </w:r>
          </w:p>
        </w:tc>
        <w:tc>
          <w:tcPr>
            <w:tcW w:type="dxa" w:w="1728"/>
          </w:tcPr>
          <w:p>
            <w:r>
              <w:t>23.99%</w:t>
            </w:r>
          </w:p>
        </w:tc>
        <w:tc>
          <w:tcPr>
            <w:tcW w:type="dxa" w:w="1728"/>
          </w:tcPr>
          <w:p>
            <w:r>
              <w:t>ACHAT</w:t>
            </w:r>
          </w:p>
        </w:tc>
      </w:tr>
      <w:tr>
        <w:tc>
          <w:tcPr>
            <w:tcW w:type="dxa" w:w="1728"/>
          </w:tcPr>
          <w:p>
            <w:r>
              <w:t>SNTS (SNTS - SONATEL SN)</w:t>
            </w:r>
          </w:p>
        </w:tc>
        <w:tc>
          <w:tcPr>
            <w:tcW w:type="dxa" w:w="1728"/>
          </w:tcPr>
          <w:p>
            <w:r>
              <w:t>13175</w:t>
            </w:r>
          </w:p>
        </w:tc>
        <w:tc>
          <w:tcPr>
            <w:tcW w:type="dxa" w:w="1728"/>
          </w:tcPr>
          <w:p>
            <w:r>
              <w:t>426856243 FCFA</w:t>
            </w:r>
          </w:p>
        </w:tc>
        <w:tc>
          <w:tcPr>
            <w:tcW w:type="dxa" w:w="1728"/>
          </w:tcPr>
          <w:p>
            <w:r>
              <w:t>26.99%</w:t>
            </w:r>
          </w:p>
        </w:tc>
        <w:tc>
          <w:tcPr>
            <w:tcW w:type="dxa" w:w="1728"/>
          </w:tcPr>
          <w:p>
            <w:r>
              <w:t>ACHAT</w:t>
            </w:r>
          </w:p>
        </w:tc>
      </w:tr>
      <w:tr>
        <w:tc>
          <w:tcPr>
            <w:tcW w:type="dxa" w:w="1728"/>
          </w:tcPr>
          <w:p>
            <w:r>
              <w:t>BOAS (BANK OF AFRICA SENEGAL)</w:t>
            </w:r>
          </w:p>
        </w:tc>
        <w:tc>
          <w:tcPr>
            <w:tcW w:type="dxa" w:w="1728"/>
          </w:tcPr>
          <w:p>
            <w:r>
              <w:t>11926</w:t>
            </w:r>
          </w:p>
        </w:tc>
        <w:tc>
          <w:tcPr>
            <w:tcW w:type="dxa" w:w="1728"/>
          </w:tcPr>
          <w:p>
            <w:r>
              <w:t>93643588 FCFA</w:t>
            </w:r>
          </w:p>
        </w:tc>
        <w:tc>
          <w:tcPr>
            <w:tcW w:type="dxa" w:w="1728"/>
          </w:tcPr>
          <w:p>
            <w:r>
              <w:t>21.17%</w:t>
            </w:r>
          </w:p>
        </w:tc>
        <w:tc>
          <w:tcPr>
            <w:tcW w:type="dxa" w:w="1728"/>
          </w:tcPr>
          <w:p>
            <w:r>
              <w:t>ACHAT</w:t>
            </w:r>
          </w:p>
        </w:tc>
      </w:tr>
      <w:tr>
        <w:tc>
          <w:tcPr>
            <w:tcW w:type="dxa" w:w="1728"/>
          </w:tcPr>
          <w:p>
            <w:r>
              <w:t>SOGC (SOGC - Société des caoutchoucs de Grand-Béréby)</w:t>
            </w:r>
          </w:p>
        </w:tc>
        <w:tc>
          <w:tcPr>
            <w:tcW w:type="dxa" w:w="1728"/>
          </w:tcPr>
          <w:p>
            <w:r>
              <w:t>10451</w:t>
            </w:r>
          </w:p>
        </w:tc>
        <w:tc>
          <w:tcPr>
            <w:tcW w:type="dxa" w:w="1728"/>
          </w:tcPr>
          <w:p>
            <w:r>
              <w:t>78302990 FCFA</w:t>
            </w:r>
          </w:p>
        </w:tc>
        <w:tc>
          <w:tcPr>
            <w:tcW w:type="dxa" w:w="1728"/>
          </w:tcPr>
          <w:p>
            <w:r>
              <w:t>6.63%</w:t>
            </w:r>
          </w:p>
        </w:tc>
        <w:tc>
          <w:tcPr>
            <w:tcW w:type="dxa" w:w="1728"/>
          </w:tcPr>
          <w:p>
            <w:r>
              <w:t>ACHAT</w:t>
            </w:r>
          </w:p>
        </w:tc>
      </w:tr>
      <w:tr>
        <w:tc>
          <w:tcPr>
            <w:tcW w:type="dxa" w:w="1728"/>
          </w:tcPr>
          <w:p>
            <w:r>
              <w:t>SIBC (SIBC - SOCIETE IVOIRIENNE DE BANQUE)</w:t>
            </w:r>
          </w:p>
        </w:tc>
        <w:tc>
          <w:tcPr>
            <w:tcW w:type="dxa" w:w="1728"/>
          </w:tcPr>
          <w:p>
            <w:r>
              <w:t>9521</w:t>
            </w:r>
          </w:p>
        </w:tc>
        <w:tc>
          <w:tcPr>
            <w:tcW w:type="dxa" w:w="1728"/>
          </w:tcPr>
          <w:p>
            <w:r>
              <w:t>87146525 FCFA</w:t>
            </w:r>
          </w:p>
        </w:tc>
        <w:tc>
          <w:tcPr>
            <w:tcW w:type="dxa" w:w="1728"/>
          </w:tcPr>
          <w:p>
            <w:r>
              <w:t>31.52%</w:t>
            </w:r>
          </w:p>
        </w:tc>
        <w:tc>
          <w:tcPr>
            <w:tcW w:type="dxa" w:w="1728"/>
          </w:tcPr>
          <w:p>
            <w:r>
              <w:t>ACHAT</w:t>
            </w:r>
          </w:p>
        </w:tc>
      </w:tr>
      <w:tr>
        <w:tc>
          <w:tcPr>
            <w:tcW w:type="dxa" w:w="1728"/>
          </w:tcPr>
          <w:p>
            <w:r>
              <w:t>BOAC (BANK OF AFRICA COTE D'IVOIRE)</w:t>
            </w:r>
          </w:p>
        </w:tc>
        <w:tc>
          <w:tcPr>
            <w:tcW w:type="dxa" w:w="1728"/>
          </w:tcPr>
          <w:p>
            <w:r>
              <w:t>9297</w:t>
            </w:r>
          </w:p>
        </w:tc>
        <w:tc>
          <w:tcPr>
            <w:tcW w:type="dxa" w:w="1728"/>
          </w:tcPr>
          <w:p>
            <w:r>
              <w:t>115480141 FCFA</w:t>
            </w:r>
          </w:p>
        </w:tc>
        <w:tc>
          <w:tcPr>
            <w:tcW w:type="dxa" w:w="1728"/>
          </w:tcPr>
          <w:p>
            <w:r>
              <w:t>45.88%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3438</w:t>
            </w:r>
          </w:p>
        </w:tc>
        <w:tc>
          <w:tcPr>
            <w:tcW w:type="dxa" w:w="1728"/>
          </w:tcPr>
          <w:p>
            <w:r>
              <w:t>7854568 FCFA</w:t>
            </w:r>
          </w:p>
        </w:tc>
        <w:tc>
          <w:tcPr>
            <w:tcW w:type="dxa" w:w="1728"/>
          </w:tcPr>
          <w:p>
            <w:r>
              <w:t>-21.16%</w:t>
            </w:r>
          </w:p>
        </w:tc>
        <w:tc>
          <w:tcPr>
            <w:tcW w:type="dxa" w:w="1728"/>
          </w:tcPr>
          <w:p>
            <w:r>
              <w:t>ACHAT</w:t>
            </w:r>
          </w:p>
        </w:tc>
      </w:tr>
      <w:tr>
        <w:tc>
          <w:tcPr>
            <w:tcW w:type="dxa" w:w="1728"/>
          </w:tcPr>
          <w:p>
            <w:r>
              <w:t>ABJC (ABJC - SERVAIR ABIDJAN CI)</w:t>
            </w:r>
          </w:p>
        </w:tc>
        <w:tc>
          <w:tcPr>
            <w:tcW w:type="dxa" w:w="1728"/>
          </w:tcPr>
          <w:p>
            <w:r>
              <w:t>3230</w:t>
            </w:r>
          </w:p>
        </w:tc>
        <w:tc>
          <w:tcPr>
            <w:tcW w:type="dxa" w:w="1728"/>
          </w:tcPr>
          <w:p>
            <w:r>
              <w:t>10498680 FCFA</w:t>
            </w:r>
          </w:p>
        </w:tc>
        <w:tc>
          <w:tcPr>
            <w:tcW w:type="dxa" w:w="1728"/>
          </w:tcPr>
          <w:p>
            <w:r>
              <w:t>0.82%</w:t>
            </w:r>
          </w:p>
        </w:tc>
        <w:tc>
          <w:tcPr>
            <w:tcW w:type="dxa" w:w="1728"/>
          </w:tcPr>
          <w:p>
            <w:r>
              <w:t>ACHAT</w:t>
            </w:r>
          </w:p>
        </w:tc>
      </w:tr>
      <w:tr>
        <w:tc>
          <w:tcPr>
            <w:tcW w:type="dxa" w:w="1728"/>
          </w:tcPr>
          <w:p>
            <w:r>
              <w:t>CFAC (CFAC - CFAO MOTORS CI)</w:t>
            </w:r>
          </w:p>
        </w:tc>
        <w:tc>
          <w:tcPr>
            <w:tcW w:type="dxa" w:w="1728"/>
          </w:tcPr>
          <w:p>
            <w:r>
              <w:t>3150</w:t>
            </w:r>
          </w:p>
        </w:tc>
        <w:tc>
          <w:tcPr>
            <w:tcW w:type="dxa" w:w="1728"/>
          </w:tcPr>
          <w:p>
            <w:r>
              <w:t>5293994 FCFA</w:t>
            </w:r>
          </w:p>
        </w:tc>
        <w:tc>
          <w:tcPr>
            <w:tcW w:type="dxa" w:w="1728"/>
          </w:tcPr>
          <w:p>
            <w:r>
              <w:t>8.41%</w:t>
            </w:r>
          </w:p>
        </w:tc>
        <w:tc>
          <w:tcPr>
            <w:tcW w:type="dxa" w:w="1728"/>
          </w:tcPr>
          <w:p>
            <w:r>
              <w:t>ACHAT</w:t>
            </w:r>
          </w:p>
        </w:tc>
      </w:tr>
      <w:tr>
        <w:tc>
          <w:tcPr>
            <w:tcW w:type="dxa" w:w="1728"/>
          </w:tcPr>
          <w:p>
            <w:r>
              <w:t>CABC (CABC - SICABLE COTE D'IVOIRE)</w:t>
            </w:r>
          </w:p>
        </w:tc>
        <w:tc>
          <w:tcPr>
            <w:tcW w:type="dxa" w:w="1728"/>
          </w:tcPr>
          <w:p>
            <w:r>
              <w:t>3122</w:t>
            </w:r>
          </w:p>
        </w:tc>
        <w:tc>
          <w:tcPr>
            <w:tcW w:type="dxa" w:w="1728"/>
          </w:tcPr>
          <w:p>
            <w:r>
              <w:t>11014508 FCFA</w:t>
            </w:r>
          </w:p>
        </w:tc>
        <w:tc>
          <w:tcPr>
            <w:tcW w:type="dxa" w:w="1728"/>
          </w:tcPr>
          <w:p>
            <w:r>
              <w:t>-10.04%</w:t>
            </w:r>
          </w:p>
        </w:tc>
        <w:tc>
          <w:tcPr>
            <w:tcW w:type="dxa" w:w="1728"/>
          </w:tcPr>
          <w:p>
            <w:r>
              <w:t>ACHAT</w:t>
            </w:r>
          </w:p>
        </w:tc>
      </w:tr>
      <w:tr>
        <w:tc>
          <w:tcPr>
            <w:tcW w:type="dxa" w:w="1728"/>
          </w:tcPr>
          <w:p>
            <w:r>
              <w:t>BNBC (BNBC - BERNABE CI)</w:t>
            </w:r>
          </w:p>
        </w:tc>
        <w:tc>
          <w:tcPr>
            <w:tcW w:type="dxa" w:w="1728"/>
          </w:tcPr>
          <w:p>
            <w:r>
              <w:t>2675</w:t>
            </w:r>
          </w:p>
        </w:tc>
        <w:tc>
          <w:tcPr>
            <w:tcW w:type="dxa" w:w="1728"/>
          </w:tcPr>
          <w:p>
            <w:r>
              <w:t>5350704 FCFA</w:t>
            </w:r>
          </w:p>
        </w:tc>
        <w:tc>
          <w:tcPr>
            <w:tcW w:type="dxa" w:w="1728"/>
          </w:tcPr>
          <w:p>
            <w:r>
              <w:t>44.65%</w:t>
            </w:r>
          </w:p>
        </w:tc>
        <w:tc>
          <w:tcPr>
            <w:tcW w:type="dxa" w:w="1728"/>
          </w:tcPr>
          <w:p>
            <w:r>
              <w:t>ACHAT</w:t>
            </w:r>
          </w:p>
        </w:tc>
      </w:tr>
      <w:tr>
        <w:tc>
          <w:tcPr>
            <w:tcW w:type="dxa" w:w="1728"/>
          </w:tcPr>
          <w:p>
            <w:r>
              <w:t>PALC (PALC - PALM COTE D'IVOIRE)</w:t>
            </w:r>
          </w:p>
        </w:tc>
        <w:tc>
          <w:tcPr>
            <w:tcW w:type="dxa" w:w="1728"/>
          </w:tcPr>
          <w:p>
            <w:r>
              <w:t>2454</w:t>
            </w:r>
          </w:p>
        </w:tc>
        <w:tc>
          <w:tcPr>
            <w:tcW w:type="dxa" w:w="1728"/>
          </w:tcPr>
          <w:p>
            <w:r>
              <w:t>22469965 FCFA</w:t>
            </w:r>
          </w:p>
        </w:tc>
        <w:tc>
          <w:tcPr>
            <w:tcW w:type="dxa" w:w="1728"/>
          </w:tcPr>
          <w:p>
            <w:r>
              <w:t>15.34%</w:t>
            </w:r>
          </w:p>
        </w:tc>
        <w:tc>
          <w:tcPr>
            <w:tcW w:type="dxa" w:w="1728"/>
          </w:tcPr>
          <w:p>
            <w:r>
              <w:t>ACHAT</w:t>
            </w:r>
          </w:p>
        </w:tc>
      </w:tr>
      <w:tr>
        <w:tc>
          <w:tcPr>
            <w:tcW w:type="dxa" w:w="1728"/>
          </w:tcPr>
          <w:p>
            <w:r>
              <w:t>TTLS (TTLS - TOTAL ENERGIES MARKETING SENEGAL)</w:t>
            </w:r>
          </w:p>
        </w:tc>
        <w:tc>
          <w:tcPr>
            <w:tcW w:type="dxa" w:w="1728"/>
          </w:tcPr>
          <w:p>
            <w:r>
              <w:t>2367</w:t>
            </w:r>
          </w:p>
        </w:tc>
        <w:tc>
          <w:tcPr>
            <w:tcW w:type="dxa" w:w="1728"/>
          </w:tcPr>
          <w:p>
            <w:r>
              <w:t>8762214 FCFA</w:t>
            </w:r>
          </w:p>
        </w:tc>
        <w:tc>
          <w:tcPr>
            <w:tcW w:type="dxa" w:w="1728"/>
          </w:tcPr>
          <w:p>
            <w:r>
              <w:t>13.28%</w:t>
            </w:r>
          </w:p>
        </w:tc>
        <w:tc>
          <w:tcPr>
            <w:tcW w:type="dxa" w:w="1728"/>
          </w:tcPr>
          <w:p>
            <w:r>
              <w:t>ACHAT</w:t>
            </w:r>
          </w:p>
        </w:tc>
      </w:tr>
      <w:tr>
        <w:tc>
          <w:tcPr>
            <w:tcW w:type="dxa" w:w="1728"/>
          </w:tcPr>
          <w:p>
            <w:r>
              <w:t>NSBC (NSBC - NSIA BANQUE COTE D'IVOIRE)</w:t>
            </w:r>
          </w:p>
        </w:tc>
        <w:tc>
          <w:tcPr>
            <w:tcW w:type="dxa" w:w="1728"/>
          </w:tcPr>
          <w:p>
            <w:r>
              <w:t>2344</w:t>
            </w:r>
          </w:p>
        </w:tc>
        <w:tc>
          <w:tcPr>
            <w:tcW w:type="dxa" w:w="1728"/>
          </w:tcPr>
          <w:p>
            <w:r>
              <w:t>54213662 FCFA</w:t>
            </w:r>
          </w:p>
        </w:tc>
        <w:tc>
          <w:tcPr>
            <w:tcW w:type="dxa" w:w="1728"/>
          </w:tcPr>
          <w:p>
            <w:r>
              <w:t>58.95%</w:t>
            </w:r>
          </w:p>
        </w:tc>
        <w:tc>
          <w:tcPr>
            <w:tcW w:type="dxa" w:w="1728"/>
          </w:tcPr>
          <w:p>
            <w:r>
              <w:t>ACHAT FORT</w:t>
            </w:r>
          </w:p>
        </w:tc>
      </w:tr>
      <w:tr>
        <w:tc>
          <w:tcPr>
            <w:tcW w:type="dxa" w:w="1728"/>
          </w:tcPr>
          <w:p>
            <w:r>
              <w:t>SMBC (SMBC - Société Multinationale de Bitumes COTE D'IVOIRE)</w:t>
            </w:r>
          </w:p>
        </w:tc>
        <w:tc>
          <w:tcPr>
            <w:tcW w:type="dxa" w:w="1728"/>
          </w:tcPr>
          <w:p>
            <w:r>
              <w:t>2305</w:t>
            </w:r>
          </w:p>
        </w:tc>
        <w:tc>
          <w:tcPr>
            <w:tcW w:type="dxa" w:w="1728"/>
          </w:tcPr>
          <w:p>
            <w:r>
              <w:t>37606029 FCFA</w:t>
            </w:r>
          </w:p>
        </w:tc>
        <w:tc>
          <w:tcPr>
            <w:tcW w:type="dxa" w:w="1728"/>
          </w:tcPr>
          <w:p>
            <w:r>
              <w:t>38.11%</w:t>
            </w:r>
          </w:p>
        </w:tc>
        <w:tc>
          <w:tcPr>
            <w:tcW w:type="dxa" w:w="1728"/>
          </w:tcPr>
          <w:p>
            <w:r>
              <w:t>ACHAT</w:t>
            </w:r>
          </w:p>
        </w:tc>
      </w:tr>
      <w:tr>
        <w:tc>
          <w:tcPr>
            <w:tcW w:type="dxa" w:w="1728"/>
          </w:tcPr>
          <w:p>
            <w:r>
              <w:t>ORAC (ORAC - ORANGE COTE D'IVOIRE)</w:t>
            </w:r>
          </w:p>
        </w:tc>
        <w:tc>
          <w:tcPr>
            <w:tcW w:type="dxa" w:w="1728"/>
          </w:tcPr>
          <w:p>
            <w:r>
              <w:t>2296</w:t>
            </w:r>
          </w:p>
        </w:tc>
        <w:tc>
          <w:tcPr>
            <w:tcW w:type="dxa" w:w="1728"/>
          </w:tcPr>
          <w:p>
            <w:r>
              <w:t>44141624 FCFA</w:t>
            </w:r>
          </w:p>
        </w:tc>
        <w:tc>
          <w:tcPr>
            <w:tcW w:type="dxa" w:w="1728"/>
          </w:tcPr>
          <w:p>
            <w:r>
              <w:t>40.79%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NEIC - NEIC - NEI-CEDA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SDCC - SDCC - Société de Distribution d'Eau de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SMBC - SMBC - Société Multinationale de Bitumes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brut ont connu une forte volatilité : après une chute de plus de 3% le 27 août, ils sont remontés le lendemain, soutenus par la dynamique de l'huile de soja. Par ailleurs, la BCE envisage une nouvelle hausse de ses taux directeurs pour freiner l'inflation persistante dans la zone euro. Enfin, les marchés de matières premières restent orientés à la hausse, portés par la demande accrue en huiles végétales.</w:t>
      </w:r>
    </w:p>
    <w:p>
      <w:pPr>
        <w:pStyle w:val="Heading3"/>
      </w:pPr>
      <w:r>
        <w:rPr>
          <w:color w:val="500050"/>
        </w:rPr>
        <w:t>⚡ Impact estimé sur la BRVM</w:t>
      </w:r>
    </w:p>
    <w:p>
      <w:pPr>
        <w:spacing w:before="20" w:after="40"/>
        <w:ind w:left="280"/>
      </w:pPr>
      <w:r>
        <w:rPr>
          <w:i/>
          <w:sz w:val="18"/>
        </w:rPr>
        <w:t>La remontée des prix du pétrole est favorable au secteur ÉNERGIE, notamment TTLC, qui bénéficie d'un environnement de prix plus porteur. La hausse des taux BCE renchérit le coût du financement externe pour les banques de la zone UEMOA, mais l'impact direct sur la BRVM reste limité. La volatilité des matières premières pourrait soutenir les valeurs agro-industrielles comme SIVC et PALC.</w:t>
      </w:r>
    </w:p>
    <w:p>
      <w:pPr>
        <w:pStyle w:val="Heading2"/>
      </w:pPr>
      <w:r>
        <w:rPr>
          <w:color w:val="006E32"/>
        </w:rPr>
        <w:t>🌍 Plan Africain</w:t>
      </w:r>
    </w:p>
    <w:p>
      <w:pPr>
        <w:spacing w:before="20" w:after="40"/>
        <w:ind w:left="0"/>
      </w:pPr>
      <w:r>
        <w:rPr>
          <w:sz w:val="18"/>
        </w:rPr>
        <w:t>Les secteurs porteurs en Afrique identifiés par Bpifrance sont les infrastructures, l'agro-industrie et les énergies renouvelables. Le Sénégal a émis 108 milliards de FCFA de dette verte à la Bourse de Luxembourg via Senelec. L'investissement dans l'économie des soins est présenté comme un levier de croissance stratégique pour la région.</w:t>
      </w:r>
    </w:p>
    <w:p>
      <w:pPr>
        <w:pStyle w:val="Heading3"/>
      </w:pPr>
      <w:r>
        <w:rPr>
          <w:color w:val="500050"/>
        </w:rPr>
        <w:t>⚡ Impact estimé sur la BRVM</w:t>
      </w:r>
    </w:p>
    <w:p>
      <w:pPr>
        <w:spacing w:before="20" w:after="40"/>
        <w:ind w:left="280"/>
      </w:pPr>
      <w:r>
        <w:rPr>
          <w:i/>
          <w:sz w:val="18"/>
        </w:rPr>
        <w:t>Les secteurs identifiés comme porteurs en Afrique correspondent aux valeurs industrielles et agro-industrielles cotées à la BRVM (CFAC, CABC, SIVC). L'émission de dette verte sénégalaise démontre l'appétit des investisseurs pour les titres ouest-africains, ce qui pourrait indirectement soutenir les levées de fonds régionales.</w:t>
      </w:r>
    </w:p>
    <w:p>
      <w:pPr>
        <w:pStyle w:val="Heading2"/>
      </w:pPr>
      <w:r>
        <w:rPr>
          <w:color w:val="145A28"/>
        </w:rPr>
        <w:t>🌍 Plan Afrique de l'Ouest</w:t>
      </w:r>
    </w:p>
    <w:p>
      <w:pPr>
        <w:spacing w:before="20" w:after="40"/>
        <w:ind w:left="0"/>
      </w:pPr>
      <w:r>
        <w:rPr>
          <w:sz w:val="18"/>
        </w:rPr>
        <w:t>La CEDEAO a annoncé des actions coordonnées de soutien à l'économie et à la santé dans la région ouest-africaine. La croissance économique du Libéria est estimée à 5% pour 2026, reflétant une dynamique positive dans la sous-région.</w:t>
      </w:r>
    </w:p>
    <w:p>
      <w:pPr>
        <w:pStyle w:val="Heading3"/>
      </w:pPr>
      <w:r>
        <w:rPr>
          <w:color w:val="500050"/>
        </w:rPr>
        <w:t>⚡ Impact estimé sur la BRVM</w:t>
      </w:r>
    </w:p>
    <w:p>
      <w:pPr>
        <w:spacing w:before="20" w:after="40"/>
        <w:ind w:left="280"/>
      </w:pPr>
      <w:r>
        <w:rPr>
          <w:i/>
          <w:sz w:val="18"/>
        </w:rPr>
        <w:t>Les mesures de soutien de la CEDEAO renforcent la stabilité macroéconomique régionale, favorable aux banques cotées opérant dans plusieurs pays (BOAB, BOAM, BOAS). La croissance libérienne, bien que non directement cotée à la BRVM, témoigne de la dynamique positive de l'Afrique de l'Ouest.</w:t>
      </w:r>
    </w:p>
    <w:p>
      <w:pPr>
        <w:pStyle w:val="Heading2"/>
      </w:pPr>
      <w:r>
        <w:rPr>
          <w:color w:val="8C4600"/>
        </w:rPr>
        <w:t>🏦 Plan UEMOA / Zone Franc</w:t>
      </w:r>
    </w:p>
    <w:p>
      <w:pPr>
        <w:spacing w:before="20" w:after="40"/>
        <w:ind w:left="0"/>
      </w:pPr>
      <w:r>
        <w:rPr>
          <w:sz w:val="18"/>
        </w:rPr>
        <w:t>Données insuffisantes concernant les décisions BCEAO, l'inflation zone ou la liquidité bancaire. Aucune actualité spécifique sur le FCFA ou les matières premières clés (cacao, caoutchouc) n'a été collectée pour cette période.</w:t>
      </w:r>
    </w:p>
    <w:p>
      <w:pPr>
        <w:pStyle w:val="Heading3"/>
      </w:pPr>
      <w:r>
        <w:rPr>
          <w:color w:val="500050"/>
        </w:rPr>
        <w:t>⚡ Impact estimé sur la BRVM</w:t>
      </w:r>
    </w:p>
    <w:p>
      <w:pPr>
        <w:spacing w:before="20" w:after="40"/>
        <w:ind w:left="280"/>
      </w:pPr>
      <w:r>
        <w:rPr>
          <w:i/>
          <w:sz w:val="18"/>
        </w:rPr>
        <w:t>Données insuffisantes pour établir un impact précis sur les secteurs bancaires et agro-industriels de la BRVM.</w:t>
      </w:r>
    </w:p>
    <w:p>
      <w:pPr>
        <w:pStyle w:val="Heading2"/>
      </w:pPr>
      <w:r>
        <w:rPr>
          <w:color w:val="003366"/>
        </w:rPr>
        <w:t>📈 Plan BRVM</w:t>
      </w:r>
    </w:p>
    <w:p>
      <w:pPr>
        <w:spacing w:before="20" w:after="40"/>
        <w:ind w:left="0"/>
      </w:pPr>
      <w:r>
        <w:rPr>
          <w:sz w:val="18"/>
        </w:rPr>
        <w:t>Les résultats des sociétés cotées ivoiriennes sont jugés encourageants à la BRVM selon La Tribune Africa. L'indice BRVM Composite se situe à 530,06 points.</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Les valeurs bancaires (NSBC, BOAN, BOAM, BOAS, BOAB) et les valeurs de consommation de base (NTLC, SCRC, SLBC) devraient continuer à bénéficier de cette dynamique positive.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sur les conflits, élections majeures, sanctions ou relations commerciales au niveau mondial. Les actualités disponibles se concentrent principalement sur les prix du pétrole et la situation politique sénégalaise.</w:t>
      </w:r>
    </w:p>
    <w:p>
      <w:pPr>
        <w:pStyle w:val="Heading3"/>
      </w:pPr>
      <w:r>
        <w:rPr>
          <w:color w:val="500050"/>
        </w:rPr>
        <w:t>⚡ Impact estimé sur la BRVM</w:t>
      </w:r>
    </w:p>
    <w:p>
      <w:pPr>
        <w:spacing w:before="20" w:after="40"/>
        <w:ind w:left="280"/>
      </w:pPr>
      <w:r>
        <w:rPr>
          <w:i/>
          <w:sz w:val="18"/>
        </w:rPr>
        <w:t>Données insuffisantes pour évaluer l'impact géopolitique mondial sur la BRVM.</w:t>
      </w:r>
    </w:p>
    <w:p>
      <w:pPr>
        <w:pStyle w:val="Heading2"/>
      </w:pPr>
      <w:r>
        <w:rPr>
          <w:color w:val="006E32"/>
        </w:rPr>
        <w:t>🌍 Plan Africain</w:t>
      </w:r>
    </w:p>
    <w:p>
      <w:pPr>
        <w:spacing w:before="20" w:after="40"/>
        <w:ind w:left="0"/>
      </w:pPr>
      <w:r>
        <w:rPr>
          <w:sz w:val="18"/>
        </w:rPr>
        <w:t>La situation politique au Sénégal domine l'actualité : la déclaration de politique générale du Premier ministre a été reportée devant l'Assemblée nationale, sans nouvelle date fixée. Ce report intervient dans un contexte politique délicat.</w:t>
      </w:r>
    </w:p>
    <w:p>
      <w:pPr>
        <w:pStyle w:val="Heading3"/>
      </w:pPr>
      <w:r>
        <w:rPr>
          <w:color w:val="500050"/>
        </w:rPr>
        <w:t>⚡ Impact estimé sur la BRVM</w:t>
      </w:r>
    </w:p>
    <w:p>
      <w:pPr>
        <w:spacing w:before="20" w:after="40"/>
        <w:ind w:left="280"/>
      </w:pPr>
      <w:r>
        <w:rPr>
          <w:i/>
          <w:sz w:val="18"/>
        </w:rPr>
        <w:t>L'incertitude politique au Sénégal pourrait temporairement freiner l'appétit des investisseurs pour les valeurs sénégalaises cotées à la BRVM, notamment les banques comme BOAS et les sociétés de consommation.</w:t>
      </w:r>
    </w:p>
    <w:p>
      <w:pPr>
        <w:pStyle w:val="Heading2"/>
      </w:pPr>
      <w:r>
        <w:rPr>
          <w:color w:val="145A28"/>
        </w:rPr>
        <w:t>🌍 Plan Afrique de l'Ouest</w:t>
      </w:r>
    </w:p>
    <w:p>
      <w:pPr>
        <w:spacing w:before="20" w:after="40"/>
        <w:ind w:left="0"/>
      </w:pPr>
      <w:r>
        <w:rPr>
          <w:sz w:val="18"/>
        </w:rPr>
        <w:t>Les mêmes actualités sur le report de la déclaration de politique générale du Premier ministre sénégalais dominent l'actualité politique de la sous-région. Aucune information sur les transitions politiques, l'AES ou les relations régionales n'est disponible.</w:t>
      </w:r>
    </w:p>
    <w:p>
      <w:pPr>
        <w:pStyle w:val="Heading3"/>
      </w:pPr>
      <w:r>
        <w:rPr>
          <w:color w:val="500050"/>
        </w:rPr>
        <w:t>⚡ Impact estimé sur la BRVM</w:t>
      </w:r>
    </w:p>
    <w:p>
      <w:pPr>
        <w:spacing w:before="20" w:after="40"/>
        <w:ind w:left="280"/>
      </w:pPr>
      <w:r>
        <w:rPr>
          <w:i/>
          <w:sz w:val="18"/>
        </w:rPr>
        <w:t>Le risque politique sénégalais est modéré et ne devrait pas affecter significativement les sociétés cotées opérant dans la sous-région.</w:t>
      </w:r>
    </w:p>
    <w:p>
      <w:pPr>
        <w:pStyle w:val="Heading2"/>
      </w:pPr>
      <w:r>
        <w:rPr>
          <w:color w:val="8C4600"/>
        </w:rPr>
        <w:t>🏦 Plan UEMOA / Zone Franc</w:t>
      </w:r>
    </w:p>
    <w:p>
      <w:pPr>
        <w:spacing w:before="20" w:after="40"/>
        <w:ind w:left="0"/>
      </w:pPr>
      <w:r>
        <w:rPr>
          <w:sz w:val="18"/>
        </w:rPr>
        <w:t>La situation politique au Sénégal, membre de l'UEMOA, est marquée par ce report de déclaration de politique générale. Aucune réforme institutionnelle majeure n'est signalée dans les autres pays membres.</w:t>
      </w:r>
    </w:p>
    <w:p>
      <w:pPr>
        <w:pStyle w:val="Heading3"/>
      </w:pPr>
      <w:r>
        <w:rPr>
          <w:color w:val="500050"/>
        </w:rPr>
        <w:t>⚡ Impact estimé sur la BRVM</w:t>
      </w:r>
    </w:p>
    <w:p>
      <w:pPr>
        <w:spacing w:before="20" w:after="40"/>
        <w:ind w:left="280"/>
      </w:pPr>
      <w:r>
        <w:rPr>
          <w:i/>
          <w:sz w:val="18"/>
        </w:rPr>
        <w:t>Le risque politique est limité et ne devrait pas entraîner de perturbations majeures sur les marchés financiers régionaux.</w:t>
      </w:r>
    </w:p>
    <w:p>
      <w:pPr>
        <w:pStyle w:val="Heading2"/>
      </w:pPr>
      <w:r>
        <w:rPr>
          <w:color w:val="003366"/>
        </w:rPr>
        <w:t>📈 Plan BRVM</w:t>
      </w:r>
    </w:p>
    <w:p>
      <w:pPr>
        <w:spacing w:before="20" w:after="40"/>
        <w:ind w:left="0"/>
      </w:pPr>
      <w:r>
        <w:rPr>
          <w:sz w:val="18"/>
        </w:rPr>
        <w:t>Données insuffisantes concernant la réglementation CREPMF, les nouvelles cotations ou la gouvernance des sociétés cotées.</w:t>
      </w:r>
    </w:p>
    <w:p>
      <w:pPr>
        <w:pStyle w:val="Heading3"/>
      </w:pPr>
      <w:r>
        <w:rPr>
          <w:color w:val="500050"/>
        </w:rPr>
        <w:t>⚡ Impact estimé sur la BRVM</w:t>
      </w:r>
    </w:p>
    <w:p>
      <w:pPr>
        <w:spacing w:before="20" w:after="40"/>
        <w:ind w:left="280"/>
      </w:pPr>
      <w:r>
        <w:rPr>
          <w:i/>
          <w:sz w:val="18"/>
        </w:rPr>
        <w:t>Données insuffisantes pour évaluer les effets réglementaires sur le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BCE envisage une nouvelle hausse des taux pour freiner l'inflation dans la zone euro. Les prix du pétrole ont d'abord chuté de plus de 3% avant de rebondir, soutenus par l'huile de soja. Aucune information sur Wall Street, les indices mondiaux ou les cryptomonnaies n'est disponible.</w:t>
      </w:r>
    </w:p>
    <w:p>
      <w:pPr>
        <w:pStyle w:val="Heading3"/>
      </w:pPr>
      <w:r>
        <w:rPr>
          <w:color w:val="500050"/>
        </w:rPr>
        <w:t>⚡ Impact estimé sur la BRVM</w:t>
      </w:r>
    </w:p>
    <w:p>
      <w:pPr>
        <w:spacing w:before="20" w:after="40"/>
        <w:ind w:left="280"/>
      </w:pPr>
      <w:r>
        <w:rPr>
          <w:i/>
          <w:sz w:val="18"/>
        </w:rPr>
        <w:t>La hausse des taux BCE renforce l'attractivité relative des marchés émergents comme la BRVM si les rendements ajustés du risque restent compétitifs. La remontée des prix du pétrole soutient le secteur ÉNERGIE (TTLC).</w:t>
      </w:r>
    </w:p>
    <w:p>
      <w:pPr>
        <w:pStyle w:val="Heading2"/>
      </w:pPr>
      <w:r>
        <w:rPr>
          <w:color w:val="006E32"/>
        </w:rPr>
        <w:t>🌍 Plan Africain</w:t>
      </w:r>
    </w:p>
    <w:p>
      <w:pPr>
        <w:spacing w:before="20" w:after="40"/>
        <w:ind w:left="0"/>
      </w:pPr>
      <w:r>
        <w:rPr>
          <w:sz w:val="18"/>
        </w:rPr>
        <w:t>Données insuffisantes sur les marchés obligataires africains, les eurobonds ou les notations souveraines. L'émission de dette verte de Senelec à Luxembourg est la seule information financière notable.</w:t>
      </w:r>
    </w:p>
    <w:p>
      <w:pPr>
        <w:pStyle w:val="Heading3"/>
      </w:pPr>
      <w:r>
        <w:rPr>
          <w:color w:val="500050"/>
        </w:rPr>
        <w:t>⚡ Impact estimé sur la BRVM</w:t>
      </w:r>
    </w:p>
    <w:p>
      <w:pPr>
        <w:spacing w:before="20" w:after="40"/>
        <w:ind w:left="280"/>
      </w:pPr>
      <w:r>
        <w:rPr>
          <w:i/>
          <w:sz w:val="18"/>
        </w:rPr>
        <w:t>L'émission de dette verte sénégalaise pourrait attirer l'attention des investisseurs internationaux sur la région, bénéficiant indirectement à la BRVM.</w:t>
      </w:r>
    </w:p>
    <w:p>
      <w:pPr>
        <w:pStyle w:val="Heading2"/>
      </w:pPr>
      <w:r>
        <w:rPr>
          <w:color w:val="145A28"/>
        </w:rPr>
        <w:t>🌍 Plan Afrique de l'Ouest</w:t>
      </w:r>
    </w:p>
    <w:p>
      <w:pPr>
        <w:spacing w:before="20" w:after="40"/>
        <w:ind w:left="0"/>
      </w:pPr>
      <w:r>
        <w:rPr>
          <w:sz w:val="18"/>
        </w:rPr>
        <w:t>Données insuffisantes sur les bourses régionales concurrentes ou les flux de capitaux sous-régionaux.</w:t>
      </w:r>
    </w:p>
    <w:p>
      <w:pPr>
        <w:pStyle w:val="Heading3"/>
      </w:pPr>
      <w:r>
        <w:rPr>
          <w:color w:val="500050"/>
        </w:rPr>
        <w:t>⚡ Impact estimé sur la BRVM</w:t>
      </w:r>
    </w:p>
    <w:p>
      <w:pPr>
        <w:spacing w:before="20" w:after="40"/>
        <w:ind w:left="280"/>
      </w:pPr>
      <w:r>
        <w:rPr>
          <w:i/>
          <w:sz w:val="18"/>
        </w:rPr>
        <w:t>Données insuffisantes pour évaluer le positionnement concurrentiel de la BRVM.</w:t>
      </w:r>
    </w:p>
    <w:p>
      <w:pPr>
        <w:pStyle w:val="Heading2"/>
      </w:pPr>
      <w:r>
        <w:rPr>
          <w:color w:val="8C4600"/>
        </w:rPr>
        <w:t>🏦 Plan UEMOA / Zone Franc</w:t>
      </w:r>
    </w:p>
    <w:p>
      <w:pPr>
        <w:spacing w:before="20" w:after="40"/>
        <w:ind w:left="0"/>
      </w:pPr>
      <w:r>
        <w:rPr>
          <w:sz w:val="18"/>
        </w:rPr>
        <w:t>Données insuffisantes sur le marché des titres publics UEMOA, le taux interbancaire ou la liquidité.</w:t>
      </w:r>
    </w:p>
    <w:p>
      <w:pPr>
        <w:pStyle w:val="Heading3"/>
      </w:pPr>
      <w:r>
        <w:rPr>
          <w:color w:val="500050"/>
        </w:rPr>
        <w:t>⚡ Impact estimé sur la BRVM</w:t>
      </w:r>
    </w:p>
    <w:p>
      <w:pPr>
        <w:spacing w:before="20" w:after="40"/>
        <w:ind w:left="280"/>
      </w:pPr>
      <w:r>
        <w:rPr>
          <w:i/>
          <w:sz w:val="18"/>
        </w:rPr>
        <w:t>Données insuffisantes pour analyser l'arbitrage entre titres publics et actions BRVM.</w:t>
      </w:r>
    </w:p>
    <w:p>
      <w:pPr>
        <w:pStyle w:val="Heading2"/>
      </w:pPr>
      <w:r>
        <w:rPr>
          <w:color w:val="003366"/>
        </w:rPr>
        <w:t>📈 Plan BRVM</w:t>
      </w:r>
    </w:p>
    <w:p>
      <w:pPr>
        <w:spacing w:before="20" w:after="40"/>
        <w:ind w:left="0"/>
      </w:pPr>
      <w:r>
        <w:rPr>
          <w:sz w:val="18"/>
        </w:rPr>
        <w:t>L'indice BRVM Composite s'établit à 530,06 points. Les résultats des sociétés cotées ivoiriennes sont jugés encourageants. Aucune information sur les volumes, les IPO ou les dividendes n'est disponible.</w:t>
      </w:r>
    </w:p>
    <w:p>
      <w:pPr>
        <w:pStyle w:val="Heading3"/>
      </w:pPr>
      <w:r>
        <w:rPr>
          <w:color w:val="500050"/>
        </w:rPr>
        <w:t>⚡ Impact estimé sur la BRVM</w:t>
      </w:r>
    </w:p>
    <w:p>
      <w:pPr>
        <w:spacing w:before="20" w:after="40"/>
        <w:ind w:left="280"/>
      </w:pPr>
      <w:r>
        <w:rPr>
          <w:i/>
          <w:sz w:val="18"/>
        </w:rPr>
        <w:t>Les fondamentaux des sociétés cotées semblent solides. Les valeurs bancaires (NSBC, BOAN, BOAM, BOAS, BOAB) et les valeurs de consommation (NTLC, SCRC, SLBC) présentent un profil défensif intéressant. Les valeurs industrielles (FTSC, CABC, CFAC) pourraient bénéficier des investissements en infrastructures régionales.</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reste globalement favorable pour la BRVM, avec des résultats encourageants des sociétés cotées ivoiriennes et un indice stable à 530 points. Les incertitudes politiques au Sénégal et la volatilité des prix du pétrole représentent des risques modérés mais gérables. La dynamique positive de la CEDEAO et les secteurs porteurs identifiés en Afrique (infrastructures, agro-industrie, énergies renouvelables) soutiennent les perspectives de croissance des valeurs cotées.</w:t>
      </w:r>
    </w:p>
    <w:p>
      <w:pPr>
        <w:spacing w:before="20" w:after="40"/>
        <w:ind w:left="0"/>
      </w:pPr>
      <w:r>
        <w:rPr>
          <w:sz w:val="18"/>
        </w:rPr>
        <w:t>**Recommandation :** Maintenir une position investie sur les valeurs bancaires (NSBC, BOAN, BOAM) et les valeurs de consommation de base (NTLC, SLBC, SCRC) qui offrent une bonne visibilité. Surveiller les opportunités d'achat sur les valeurs industrielles (CFAC, CABC) et énergétiques (TTLC) dans un contexte de remontée des prix du pétrole. Rester attentif à l'évolution politique au Sénégal qui pourrait créer des points d'entrée sur les valeurs sénégalaises (BOAS).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Brest : ultimes réglages des Aigles avec Kamory Doumbia et Hamidou Mak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Brest : ultimes réglages des Aigles avec Kamory Doumbia et Hamidou Mak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Brest : ultimes réglages des Aigles avec Kamory Doumbia et Hamidou Mak</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report de la déclaration de politique générale du Premier min</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la date de la déclaration de politique générale du Premier 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[29/08/2026] ⚪  </w:t>
      </w:r>
      <w:r>
        <w:rPr>
          <w:b/>
          <w:color w:val="505050"/>
          <w:sz w:val="18"/>
        </w:rPr>
        <w:t>Brest : ultimes réglages des Aigles avec Kamory Doumbia et Hamidou Makalou - Mali Actu</w:t>
      </w:r>
      <w:r>
        <w:rPr>
          <w:color w:val="787878"/>
          <w:sz w:val="15"/>
        </w:rPr>
        <w:t xml:space="preserve">  [politique]</w:t>
      </w:r>
      <w:r>
        <w:rPr>
          <w:color w:val="B47800"/>
          <w:sz w:val="16"/>
        </w:rPr>
        <w:t xml:space="preserve">  ★ 50/10</w:t>
      </w:r>
    </w:p>
    <w:p>
      <w:pPr>
        <w:spacing w:before="0" w:after="20"/>
        <w:ind w:left="600"/>
      </w:pPr>
      <w:r>
        <w:rPr>
          <w:color w:val="323232"/>
          <w:sz w:val="17"/>
        </w:rPr>
        <w:t>L'article relate les derniers ajustements de l'équipe nationale du Mali (les Aigles) à Brest, avec la participation de Kamory Doumbia et Hamidou Makalou. Il s'agit d'une actualité sportive sans lien direct avec les marchés financiers. Le contenu est purement informatif sur la préparation sportive.</w:t>
      </w:r>
    </w:p>
    <w:p>
      <w:pPr>
        <w:spacing w:before="0" w:after="40"/>
        <w:ind w:left="600"/>
      </w:pPr>
      <w:r>
        <w:rPr>
          <w:color w:val="00643C"/>
          <w:sz w:val="16"/>
        </w:rPr>
        <w:t>Points clés : Préparatifs de l'équipe nationale du Mali à Brest.  •  Participation de Kamory Doumbia et Hamidou Makalou aux réglages.</w:t>
      </w:r>
    </w:p>
    <w:p>
      <w:pPr>
        <w:spacing w:before="0" w:after="60"/>
        <w:ind w:left="600"/>
      </w:pPr>
      <w:r>
        <w:rPr>
          <w:color w:val="0064B4"/>
          <w:sz w:val="15"/>
        </w:rPr>
        <w:t>Source : https://news.google.com/rss/articles/CBMimgFBVV95cUxObVhRUFFvNmJWamYzN2FNeXVKUE0</w:t>
      </w:r>
    </w:p>
    <w:p>
      <w:pPr>
        <w:spacing w:before="40" w:after="40"/>
        <w:ind w:left="360"/>
      </w:pPr>
      <w:r>
        <w:rPr>
          <w:color w:val="646464"/>
          <w:sz w:val="17"/>
        </w:rPr>
        <w:t xml:space="preserve">[28/08/2026] ⚪  </w:t>
      </w:r>
      <w:r>
        <w:rPr>
          <w:b/>
          <w:color w:val="505050"/>
          <w:sz w:val="18"/>
        </w:rPr>
        <w:t>Sénégal : la date de la déclaration de politique générale du Premier ministre reste à fixer - Benin Web TV</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Benin Web TV rapporte que la date de la déclaration de politique générale du Premier ministre sénégalais n'est pas encore fixée. Cette déclaration est un moment clé pour définir les grandes orientations du gouvernement. L'incertitude sur la date peut créer une attente chez les investisseurs et les acteurs économiques de la zone UEMOA. </w:t>
      </w:r>
    </w:p>
    <w:p>
      <w:pPr>
        <w:spacing w:before="0" w:after="40"/>
        <w:ind w:left="600"/>
      </w:pPr>
      <w:r>
        <w:rPr>
          <w:color w:val="00643C"/>
          <w:sz w:val="16"/>
        </w:rPr>
        <w:t>Points clés : La date de la déclaration de politique générale du Premier ministre sénégalais n'est pas encore déterminée.  •  Cette déclaration est cruciale pour clarifier les priorités économiques et sociales du gouvernement.  •  L'incertitude politique au Sénégal peut influencer la confiance des investisseurs dans la région UEMOA.</w:t>
      </w:r>
    </w:p>
    <w:p>
      <w:pPr>
        <w:spacing w:before="0" w:after="60"/>
        <w:ind w:left="600"/>
      </w:pPr>
      <w:r>
        <w:rPr>
          <w:color w:val="0064B4"/>
          <w:sz w:val="15"/>
        </w:rPr>
        <w:t>Source : https://news.google.com/rss/articles/CBMisgFBVV95cUxPVWJ3NjB1aFJsbFRHUlZFc203a2d</w:t>
      </w:r>
    </w:p>
    <w:p>
      <w:pPr>
        <w:spacing w:before="40" w:after="40"/>
        <w:ind w:left="360"/>
      </w:pPr>
      <w:r>
        <w:rPr>
          <w:color w:val="646464"/>
          <w:sz w:val="17"/>
        </w:rPr>
        <w:t xml:space="preserve">[28/08/2026] ⚪  </w:t>
      </w:r>
      <w:r>
        <w:rPr>
          <w:b/>
          <w:color w:val="505050"/>
          <w:sz w:val="18"/>
        </w:rPr>
        <w:t>Sénégal: report de la déclaration de politique générale du Premier ministre devant l’Assemblée - Yahoo Actualités</w:t>
      </w:r>
      <w:r>
        <w:rPr>
          <w:color w:val="787878"/>
          <w:sz w:val="15"/>
        </w:rPr>
        <w:t xml:space="preserve">  [politique]</w:t>
      </w:r>
      <w:r>
        <w:rPr>
          <w:color w:val="B47800"/>
          <w:sz w:val="16"/>
        </w:rPr>
        <w:t xml:space="preserve">  ★ 50/10</w:t>
      </w:r>
    </w:p>
    <w:p>
      <w:pPr>
        <w:spacing w:before="0" w:after="20"/>
        <w:ind w:left="600"/>
      </w:pPr>
      <w:r>
        <w:rPr>
          <w:color w:val="323232"/>
          <w:sz w:val="17"/>
        </w:rPr>
        <w:t>Le Sénégal a annoncé le report de la déclaration de politique générale du Premier ministre devant l'Assemblée nationale. Cette décision intervient dans un contexte politique tendu, sans nouvelle date précisée. Le report pourrait créer une incertitude politique à court terme dans le pays, mais son impact sur les marchés financiers régionaux reste li</w:t>
      </w:r>
    </w:p>
    <w:p>
      <w:pPr>
        <w:spacing w:before="0" w:after="40"/>
        <w:ind w:left="600"/>
      </w:pPr>
      <w:r>
        <w:rPr>
          <w:color w:val="00643C"/>
          <w:sz w:val="16"/>
        </w:rPr>
        <w:t>Points clés : Report de la déclaration de politique générale du Premier ministre sénégalais.  •  Incertitude politique au Sénégal, membre de l'UEMOA.</w:t>
      </w:r>
    </w:p>
    <w:p>
      <w:pPr>
        <w:spacing w:before="0" w:after="60"/>
        <w:ind w:left="600"/>
      </w:pPr>
      <w:r>
        <w:rPr>
          <w:color w:val="0064B4"/>
          <w:sz w:val="15"/>
        </w:rPr>
        <w:t>Source : https://news.google.com/rss/articles/CBMisAFBVV95cUxPTVlzbVlfV19xZVljTVJCMlVHWE1</w:t>
      </w:r>
    </w:p>
    <w:p>
      <w:pPr>
        <w:spacing w:before="40" w:after="40"/>
        <w:ind w:left="360"/>
      </w:pPr>
      <w:r>
        <w:rPr>
          <w:color w:val="646464"/>
          <w:sz w:val="17"/>
        </w:rPr>
        <w:t xml:space="preserve">[28/08/2026] ⚪  </w:t>
      </w:r>
      <w:r>
        <w:rPr>
          <w:b/>
          <w:color w:val="505050"/>
          <w:sz w:val="18"/>
        </w:rPr>
        <w:t>Sénégal: report de la déclaration de politique générale du Premier ministre devant l’Assemblée - RFI</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 vu sa déclaration de politique générale reportée devant l'Assemblée nationale, selon RFI. Ce report intervient dans un contexte politique tendu, sans précision immédiate sur la nouvelle date. Cette situation pourrait créer une incertitude politique au Sénégal, pays membre de l'UEMOA, et potentiellement affecter la c</w:t>
      </w:r>
    </w:p>
    <w:p>
      <w:pPr>
        <w:spacing w:before="0" w:after="40"/>
        <w:ind w:left="600"/>
      </w:pPr>
      <w:r>
        <w:rPr>
          <w:color w:val="00643C"/>
          <w:sz w:val="16"/>
        </w:rPr>
        <w:t>Points clés : Report de la déclaration de politique générale du Premier ministre sénégalais.  •  Incertitude sur la nouvelle date et les raisons du report.  •  Contexte politique tendu au Sénégal, membre de l'UEMOA.</w:t>
      </w:r>
    </w:p>
    <w:p>
      <w:pPr>
        <w:spacing w:before="0" w:after="60"/>
        <w:ind w:left="600"/>
      </w:pPr>
      <w:r>
        <w:rPr>
          <w:color w:val="0064B4"/>
          <w:sz w:val="15"/>
        </w:rPr>
        <w:t>Source : https://news.google.com/rss/articles/CBMi9AFBVV95cUxNd3F4Z3FQdVdVS1ZjWnBPbkhBQ3R</w:t>
      </w:r>
    </w:p>
    <w:p>
      <w:pPr>
        <w:spacing w:before="40" w:after="40"/>
        <w:ind w:left="360"/>
      </w:pPr>
      <w:r>
        <w:rPr>
          <w:color w:val="646464"/>
          <w:sz w:val="17"/>
        </w:rPr>
        <w:t xml:space="preserve">[28/08/2026] ⚪  </w:t>
      </w:r>
      <w:r>
        <w:rPr>
          <w:b/>
          <w:color w:val="505050"/>
          <w:sz w:val="18"/>
        </w:rPr>
        <w:t>Burkina Faso : Maxime Prévot plaide pour une coopération belge fondée sur le respect - Benin Web TV</w:t>
      </w:r>
      <w:r>
        <w:rPr>
          <w:color w:val="787878"/>
          <w:sz w:val="15"/>
        </w:rPr>
        <w:t xml:space="preserve">  [politique]</w:t>
      </w:r>
      <w:r>
        <w:rPr>
          <w:color w:val="B47800"/>
          <w:sz w:val="16"/>
        </w:rPr>
        <w:t xml:space="preserve">  ★ 50/10</w:t>
      </w:r>
    </w:p>
    <w:p>
      <w:pPr>
        <w:spacing w:before="0" w:after="20"/>
        <w:ind w:left="600"/>
      </w:pPr>
      <w:r>
        <w:rPr>
          <w:color w:val="323232"/>
          <w:sz w:val="17"/>
        </w:rPr>
        <w:t>L'article rapporte que le ministre belge des Affaires étrangères, Maxime Prévot, a plaidé pour une coopération avec le Burkina Faso fondée sur le respect mutuel, dans un contexte de tensions diplomatiques. Il souligne l'importance de maintenir un dialogue constructif malgré les différences politiques. Cette déclaration intervient alors que les rela</w:t>
      </w:r>
    </w:p>
    <w:p>
      <w:pPr>
        <w:spacing w:before="0" w:after="40"/>
        <w:ind w:left="600"/>
      </w:pPr>
      <w:r>
        <w:rPr>
          <w:color w:val="00643C"/>
          <w:sz w:val="16"/>
        </w:rPr>
        <w:t>Points clés : Maxime Prévot insiste sur une coopération belgo-burkinabè basée sur le respect mutuel.  •  Le contexte est marqué par des tensions diplomatiques entre le Burkina Faso et certains partenaires occidentaux.  •  La déclaration vise à maintenir un dialogue malgré les divergences politiques.</w:t>
      </w:r>
    </w:p>
    <w:p>
      <w:pPr>
        <w:spacing w:before="0" w:after="60"/>
        <w:ind w:left="600"/>
      </w:pPr>
      <w:r>
        <w:rPr>
          <w:color w:val="0064B4"/>
          <w:sz w:val="15"/>
        </w:rPr>
        <w:t>Source : https://news.google.com/rss/articles/CBMiqAFBVV95cUxQYXVaMi1EWEhHUWRLR1pOMzFvVkR</w:t>
      </w:r>
    </w:p>
    <w:p>
      <w:pPr>
        <w:spacing w:before="120" w:after="40"/>
      </w:pPr>
      <w:r>
        <w:rPr>
          <w:b/>
          <w:color w:val="00467F"/>
          <w:sz w:val="20"/>
        </w:rPr>
        <w:t>🔑 politique_monetaire  (3 alerte(s))</w:t>
      </w:r>
    </w:p>
    <w:p>
      <w:pPr>
        <w:spacing w:before="40" w:after="40"/>
        <w:ind w:left="360"/>
      </w:pPr>
      <w:r>
        <w:rPr>
          <w:color w:val="646464"/>
          <w:sz w:val="17"/>
        </w:rPr>
        <w:t xml:space="preserve">[28/08/2026] 🔴  </w:t>
      </w:r>
      <w:r>
        <w:rPr>
          <w:b/>
          <w:color w:val="C00000"/>
          <w:sz w:val="18"/>
        </w:rPr>
        <w:t>Le patron de la Fed insiste sur l'inflation "préoccupante" aux Etats-Unis - La Libre.be</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Réserve fédérale américaine (Fed) a exprimé son inquiétude face à une inflation toujours élevée aux États-Unis, ce qui pourrait conduire à un maintien prolongé des taux d'intérêt élevés. Cette situation pourrait renforcer le dollar et peser sur les marchés émergents, y compris ceux de la zone UEMOA. Les investisseurs de la BRVM d</w:t>
      </w:r>
    </w:p>
    <w:p>
      <w:pPr>
        <w:spacing w:before="0" w:after="40"/>
        <w:ind w:left="600"/>
      </w:pPr>
      <w:r>
        <w:rPr>
          <w:color w:val="00643C"/>
          <w:sz w:val="16"/>
        </w:rPr>
        <w:t>Points clés : Inflation américaine jugée préoccupante par le patron de la Fed.  •  Possible maintien de taux d'intérêt élevés aux États-Unis.  •  Impact potentiel sur les devises et les marchés émergents.</w:t>
      </w:r>
    </w:p>
    <w:p>
      <w:pPr>
        <w:spacing w:before="0" w:after="60"/>
        <w:ind w:left="600"/>
      </w:pPr>
      <w:r>
        <w:rPr>
          <w:color w:val="0064B4"/>
          <w:sz w:val="15"/>
        </w:rPr>
        <w:t>Source : https://news.google.com/rss/articles/CBMi6AFBVV95cUxPTzlTZ2NEN2JQaUY5TnJuVnRUY0Z</w:t>
      </w:r>
    </w:p>
    <w:p>
      <w:pPr>
        <w:spacing w:before="40" w:after="40"/>
        <w:ind w:left="360"/>
      </w:pPr>
      <w:r>
        <w:rPr>
          <w:color w:val="646464"/>
          <w:sz w:val="17"/>
        </w:rPr>
        <w:t xml:space="preserve">[27/08/2026] ⚪  </w:t>
      </w:r>
      <w:r>
        <w:rPr>
          <w:b/>
          <w:color w:val="505050"/>
          <w:sz w:val="18"/>
        </w:rPr>
        <w:t>BCE: Une nouvelle hausse des taux est probable pour freiner l'inflation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directeurs afin de freiner l'inflation persistante dans la zone euro. Cette décision, bien que non encore officielle, est jugée probable par les analystes et les marchés. Elle vise à resserrer davantage la politique monétaire pour ramener l'inflation vers l'objectif de 2%.</w:t>
      </w:r>
    </w:p>
    <w:p>
      <w:pPr>
        <w:spacing w:before="0" w:after="40"/>
        <w:ind w:left="600"/>
      </w:pPr>
      <w:r>
        <w:rPr>
          <w:color w:val="00643C"/>
          <w:sz w:val="16"/>
        </w:rPr>
        <w:t>Points clés : La BCE pourrait augmenter ses taux d'intérêt lors de sa prochaine réunion.  •  L'objectif principal est de lutter contre une inflation toujours élevée dans la zone euro.  •  Cette hausse s'inscrit dans une politique monétaire restrictive déjà en cours.  •  Les marchés financiers anticipent cette décision, ce qui influence les taux d'intérêt à long terme.</w:t>
      </w:r>
    </w:p>
    <w:p>
      <w:pPr>
        <w:spacing w:before="0" w:after="60"/>
        <w:ind w:left="600"/>
      </w:pPr>
      <w:r>
        <w:rPr>
          <w:color w:val="0064B4"/>
          <w:sz w:val="15"/>
        </w:rPr>
        <w:t>Source : https://news.google.com/rss/articles/CBMi4gFBVV95cUxQSVY3dWJ5eUtJTUlnLWlrVGs2Qzl</w:t>
      </w:r>
    </w:p>
    <w:p>
      <w:pPr>
        <w:spacing w:before="40" w:after="40"/>
        <w:ind w:left="360"/>
      </w:pPr>
      <w:r>
        <w:rPr>
          <w:color w:val="646464"/>
          <w:sz w:val="17"/>
        </w:rPr>
        <w:t xml:space="preserve">[27/08/2026] ⚪  </w:t>
      </w:r>
      <w:r>
        <w:rPr>
          <w:b/>
          <w:color w:val="505050"/>
          <w:sz w:val="18"/>
        </w:rPr>
        <w:t>BCE-Une nouvelle hausse des taux est probable pour freiner l'inflation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d'intérêt afin de freiner l'inflation persistante, selon un compte-rendu. Cette décision, bien que non encore officielle, reflète une orientation monétaire restrictive. Elle pourrait avoir des répercussions sur les marchés financiers mondiaux, y compris ceux de la zone UEM</w:t>
      </w:r>
    </w:p>
    <w:p>
      <w:pPr>
        <w:spacing w:before="0" w:after="40"/>
        <w:ind w:left="600"/>
      </w:pPr>
      <w:r>
        <w:rPr>
          <w:color w:val="00643C"/>
          <w:sz w:val="16"/>
        </w:rPr>
        <w:t>Points clés : La BCE pourrait augmenter ses taux pour lutter contre l'inflation.  •  Cette politique monétaire restrictive pourrait affecter les flux de capitaux vers les marchés émergents.</w:t>
      </w:r>
    </w:p>
    <w:p>
      <w:pPr>
        <w:spacing w:before="0" w:after="60"/>
        <w:ind w:left="600"/>
      </w:pPr>
      <w:r>
        <w:rPr>
          <w:color w:val="0064B4"/>
          <w:sz w:val="15"/>
        </w:rPr>
        <w:t>Source : https://news.google.com/rss/articles/CBMiiwJBVV95cUxQajR0aDVBN2Q4a2VYR09wdXZ2cWF</w:t>
      </w:r>
    </w:p>
    <w:p>
      <w:pPr>
        <w:spacing w:before="120" w:after="40"/>
      </w:pPr>
      <w:r>
        <w:rPr>
          <w:b/>
          <w:color w:val="00467F"/>
          <w:sz w:val="20"/>
        </w:rPr>
        <w:t>🔑 matieres_premieres  (5 alerte(s))</w:t>
      </w:r>
    </w:p>
    <w:p>
      <w:pPr>
        <w:spacing w:before="40" w:after="40"/>
        <w:ind w:left="360"/>
      </w:pPr>
      <w:r>
        <w:rPr>
          <w:color w:val="646464"/>
          <w:sz w:val="17"/>
        </w:rPr>
        <w:t xml:space="preserve">[28/08/2026] 🟢  </w:t>
      </w:r>
      <w:r>
        <w:rPr>
          <w:b/>
          <w:color w:val="008000"/>
          <w:sz w:val="18"/>
        </w:rPr>
        <w:t>Marché des matières premières : Les prix du pétrole remontent, l'huile de soja donne un nouvel élan à cette hausse. - Vi</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enregistré une hausse sur le marché international, soutenus notamment par la dynamique de l'huile de soja qui a donné un nouvel élan à cette tendance. Cette évolution reflète une reprise des cours des matières premières, avec des implications possibles pour les économies dépendantes des importations énergétiques. Le marché o</w:t>
      </w:r>
    </w:p>
    <w:p>
      <w:pPr>
        <w:spacing w:before="0" w:after="40"/>
        <w:ind w:left="600"/>
      </w:pPr>
      <w:r>
        <w:rPr>
          <w:color w:val="00643C"/>
          <w:sz w:val="16"/>
        </w:rPr>
        <w:t>Points clés : Hausse des prix du pétrole sur le marché international.  •  L'huile de soja contribue à la dynamique haussière des matières premières.</w:t>
      </w:r>
    </w:p>
    <w:p>
      <w:pPr>
        <w:spacing w:before="0" w:after="60"/>
        <w:ind w:left="600"/>
      </w:pPr>
      <w:r>
        <w:rPr>
          <w:color w:val="0064B4"/>
          <w:sz w:val="15"/>
        </w:rPr>
        <w:t>Source : https://news.google.com/rss/articles/CBMikwFBVV95cUxQQ0liYmtOa2xvNlQ4ZW4tT1FzWXM</w:t>
      </w:r>
    </w:p>
    <w:p>
      <w:pPr>
        <w:spacing w:before="40" w:after="40"/>
        <w:ind w:left="360"/>
      </w:pPr>
      <w:r>
        <w:rPr>
          <w:color w:val="646464"/>
          <w:sz w:val="17"/>
        </w:rPr>
        <w:t xml:space="preserve">[28/08/2026] 🟢  </w:t>
      </w:r>
      <w:r>
        <w:rPr>
          <w:b/>
          <w:color w:val="008000"/>
          <w:sz w:val="18"/>
        </w:rPr>
        <w:t>Les prix du pétrole remontent, ce qui donne un nouvel élan à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soutient les cours de l'huile de soja sur les marchés internationaux. Cette hausse est liée à la demande accrue pour les biocarburants et à l'offre restreinte. Pour la BRVM, cela pourrait influencer les valeurs agro-industrielles et les sociétés liées aux matières premières.</w:t>
      </w:r>
    </w:p>
    <w:p>
      <w:pPr>
        <w:spacing w:before="0" w:after="40"/>
        <w:ind w:left="600"/>
      </w:pPr>
      <w:r>
        <w:rPr>
          <w:color w:val="00643C"/>
          <w:sz w:val="16"/>
        </w:rPr>
        <w:t>Points clés : Hausse des prix du pétrole soutient l'huile de soja.  •  Impact potentiel sur les secteurs agricoles et énergétiques en Afrique de l'Ouest.</w:t>
      </w:r>
    </w:p>
    <w:p>
      <w:pPr>
        <w:spacing w:before="0" w:after="60"/>
        <w:ind w:left="600"/>
      </w:pPr>
      <w:r>
        <w:rPr>
          <w:color w:val="0064B4"/>
          <w:sz w:val="15"/>
        </w:rPr>
        <w:t>Source : https://news.google.com/rss/articles/CBMifkFVX3lxTE55NWdQTTM4VnZ6eFBLYlN5eE1YM05</w:t>
      </w:r>
    </w:p>
    <w:p>
      <w:pPr>
        <w:spacing w:before="40" w:after="40"/>
        <w:ind w:left="360"/>
      </w:pPr>
      <w:r>
        <w:rPr>
          <w:color w:val="646464"/>
          <w:sz w:val="17"/>
        </w:rPr>
        <w:t xml:space="preserve">[28/08/2026] ⚪  </w:t>
      </w:r>
      <w:r>
        <w:rPr>
          <w:b/>
          <w:color w:val="505050"/>
          <w:sz w:val="18"/>
        </w:rPr>
        <w:t>Les prix du pétrole remontent, ce qui alimente la flambée des prix de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entraîne une hausse des prix de l'huile de soja sur les marchés internationaux. Cette tendance est alimentée par les coûts énergétiques plus élevés qui affectent la production et le transport. L'article, provenant de Vietnam.vn, souligne l'interconnexion entre les matières premières énergétiques et agricoles.</w:t>
      </w:r>
    </w:p>
    <w:p>
      <w:pPr>
        <w:spacing w:before="0" w:after="40"/>
        <w:ind w:left="600"/>
      </w:pPr>
      <w:r>
        <w:rPr>
          <w:color w:val="00643C"/>
          <w:sz w:val="16"/>
        </w:rPr>
        <w:t>Points clés : Hausse des prix du pétrole  •  Flambée des prix de l'huile de soja</w:t>
      </w:r>
    </w:p>
    <w:p>
      <w:pPr>
        <w:spacing w:before="0" w:after="60"/>
        <w:ind w:left="600"/>
      </w:pPr>
      <w:r>
        <w:rPr>
          <w:color w:val="0064B4"/>
          <w:sz w:val="15"/>
        </w:rPr>
        <w:t>Source : https://news.google.com/rss/articles/CBMieEFVX3lxTE4zOU9CdGZ0NmhoeTdpazk5QVBicTd</w:t>
      </w:r>
    </w:p>
    <w:p>
      <w:pPr>
        <w:spacing w:before="40" w:after="40"/>
        <w:ind w:left="360"/>
      </w:pPr>
      <w:r>
        <w:rPr>
          <w:color w:val="646464"/>
          <w:sz w:val="17"/>
        </w:rPr>
        <w:t xml:space="preserve">[27/08/2026] 🔴  </w:t>
      </w:r>
      <w:r>
        <w:rPr>
          <w:b/>
          <w:color w:val="C00000"/>
          <w:sz w:val="18"/>
        </w:rPr>
        <w:t>Conflits au Moyen-Orient : l'envolée du prix du pétrole et des emballages plastiques alimente l'inflation en rayon - rci</w:t>
      </w:r>
      <w:r>
        <w:rPr>
          <w:color w:val="787878"/>
          <w:sz w:val="15"/>
        </w:rPr>
        <w:t xml:space="preserve">  [matieres_premieres]</w:t>
      </w:r>
      <w:r>
        <w:rPr>
          <w:color w:val="B47800"/>
          <w:sz w:val="16"/>
        </w:rPr>
        <w:t xml:space="preserve">  ★ 50/10</w:t>
      </w:r>
    </w:p>
    <w:p>
      <w:pPr>
        <w:spacing w:before="0" w:after="20"/>
        <w:ind w:left="600"/>
      </w:pPr>
      <w:r>
        <w:rPr>
          <w:color w:val="323232"/>
          <w:sz w:val="17"/>
        </w:rPr>
        <w:t>Les conflits au Moyen-Orient entraînent une hausse des prix du pétrole, ce qui augmente le coût des matières premières comme les emballages plastiques. Cette augmentation des coûts se répercute sur les prix des produits en rayon, alimentant ainsi l'inflation. Pour les économies importatrices de pétrole, cela représente une pression inflationniste s</w:t>
      </w:r>
    </w:p>
    <w:p>
      <w:pPr>
        <w:spacing w:before="0" w:after="40"/>
        <w:ind w:left="600"/>
      </w:pPr>
      <w:r>
        <w:rPr>
          <w:color w:val="00643C"/>
          <w:sz w:val="16"/>
        </w:rPr>
        <w:t>Points clés : Hausse des prix du pétrole due aux tensions géopolitiques au Moyen-Orient.  •  Augmentation des coûts des emballages plastiques, répercutée sur les prix de détail.  •  Risque d'inflation importée pour les pays dépendants des importations de pétrole.</w:t>
      </w:r>
    </w:p>
    <w:p>
      <w:pPr>
        <w:spacing w:before="0" w:after="60"/>
        <w:ind w:left="600"/>
      </w:pPr>
      <w:r>
        <w:rPr>
          <w:color w:val="0064B4"/>
          <w:sz w:val="15"/>
        </w:rPr>
        <w:t>Source : https://news.google.com/rss/articles/CBMivAFBVV95cUxQRzJHU3JZTmh2SDNSSzRhVTEtMkJ</w:t>
      </w:r>
    </w:p>
    <w:p>
      <w:pPr>
        <w:spacing w:before="40" w:after="40"/>
        <w:ind w:left="360"/>
      </w:pPr>
      <w:r>
        <w:rPr>
          <w:color w:val="646464"/>
          <w:sz w:val="17"/>
        </w:rPr>
        <w:t xml:space="preserve">[27/08/2026] 🔴  </w:t>
      </w:r>
      <w:r>
        <w:rPr>
          <w:b/>
          <w:color w:val="C00000"/>
          <w:sz w:val="18"/>
        </w:rPr>
        <w:t>Les prix du pétrole brut ont continué de chuter de plus de 3 %.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brut ont poursuivi leur baisse, enregistrant une chute de plus de 3 % lors de la dernière séance. Cette tendance baissière s'inscrit dans un contexte de craintes sur la demande mondiale et d'offre abondante. La baisse des cours du pétrole pourrait avoir des répercussions sur les économies importatrices de la région, mais aussi s</w:t>
      </w:r>
    </w:p>
    <w:p>
      <w:pPr>
        <w:spacing w:before="0" w:after="40"/>
        <w:ind w:left="600"/>
      </w:pPr>
      <w:r>
        <w:rPr>
          <w:color w:val="00643C"/>
          <w:sz w:val="16"/>
        </w:rPr>
        <w:t>Points clés : Baisse de plus de 3 % des prix du pétrole brut.  •  Pression sur la demande mondiale et offre excédentaire.  •  Impact potentiel sur les coûts de production et l'inflation en Afrique de l'Ouest.</w:t>
      </w:r>
    </w:p>
    <w:p>
      <w:pPr>
        <w:spacing w:before="0" w:after="60"/>
        <w:ind w:left="600"/>
      </w:pPr>
      <w:r>
        <w:rPr>
          <w:color w:val="0064B4"/>
          <w:sz w:val="15"/>
        </w:rPr>
        <w:t>Source : https://news.google.com/rss/articles/CBMickFVX3lxTE5vQmZMQ3dvOEpuWTM4amF2aEFMS0R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22,500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2,455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10,235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2,300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21,400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5,865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13,000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8,500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16,845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29,500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3,155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17,195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29,600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22,350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2,455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8,900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22,500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NTLC</w:t>
            </w:r>
          </w:p>
        </w:tc>
        <w:tc>
          <w:tcPr>
            <w:tcW w:type="dxa" w:w="1728"/>
            <w:shd w:fill="E2EFDA" w:val="clear"/>
          </w:tcPr>
          <w:p>
            <w:r>
              <w:rPr>
                <w:sz w:val="17"/>
              </w:rPr>
              <w:t>NTLC - NESTLE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2,455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6,495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22,500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NTLC</w:t>
            </w:r>
          </w:p>
        </w:tc>
        <w:tc>
          <w:tcPr>
            <w:tcW w:type="dxa" w:w="1728"/>
            <w:shd w:fill="FCE4D6" w:val="clear"/>
          </w:tcPr>
          <w:p>
            <w:r>
              <w:rPr>
                <w:sz w:val="17"/>
              </w:rPr>
              <w:t>NTLC - NESTLE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2,455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6,495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(75.9 &gt; 70) — risque de correction</w:t>
      </w:r>
    </w:p>
    <w:p>
      <w:pPr>
        <w:pStyle w:val="ListBullet"/>
        <w:spacing w:before="20"/>
        <w:ind w:left="400"/>
      </w:pPr>
      <w:r>
        <w:rPr>
          <w:sz w:val="18"/>
        </w:rPr>
        <w:t>⚠️ Cours à 0.1% du plus haut 100j (8,510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(95.5 &gt; 70) — risque de correction</w:t>
      </w:r>
    </w:p>
    <w:p>
      <w:pPr>
        <w:pStyle w:val="ListBullet"/>
        <w:spacing w:before="20"/>
        <w:ind w:left="400"/>
      </w:pPr>
      <w:r>
        <w:rPr>
          <w:sz w:val="18"/>
        </w:rPr>
        <w:t>⚠️ Cours à 0.0% du plus haut 100j (2,300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(81.5 &gt; 70) — risque de correction</w:t>
      </w:r>
    </w:p>
    <w:p>
      <w:pPr>
        <w:pStyle w:val="ListBullet"/>
        <w:spacing w:before="20"/>
        <w:ind w:left="400"/>
      </w:pPr>
      <w:r>
        <w:rPr>
          <w:sz w:val="18"/>
        </w:rPr>
        <w:t>⚠️ Cours à 2.1%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(91.5 &gt; 70) — risque de correction</w:t>
      </w:r>
    </w:p>
    <w:p>
      <w:pPr>
        <w:pStyle w:val="ListBullet"/>
        <w:spacing w:before="20"/>
        <w:ind w:left="400"/>
      </w:pPr>
      <w:r>
        <w:rPr>
          <w:sz w:val="18"/>
        </w:rPr>
        <w:t>⚠️ Cours à 0.0% du plus haut 100j (3,000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(76.3 &gt; 70) — risque de correction</w:t>
      </w:r>
    </w:p>
    <w:p>
      <w:pPr>
        <w:pStyle w:val="ListBullet"/>
        <w:spacing w:before="20"/>
        <w:ind w:left="400"/>
      </w:pPr>
      <w:r>
        <w:rPr>
          <w:sz w:val="18"/>
        </w:rPr>
        <w:t>⚠️ Cours à 0.0% du plus haut 100j (13,000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(91.5 &gt; 70) — risque de correction</w:t>
      </w:r>
    </w:p>
    <w:p>
      <w:pPr>
        <w:pStyle w:val="ListBullet"/>
        <w:spacing w:before="20"/>
        <w:ind w:left="400"/>
      </w:pPr>
      <w:r>
        <w:rPr>
          <w:sz w:val="18"/>
        </w:rPr>
        <w:t>⚠️ Cours à 2.4% du plus haut 100j (3,780 FCFA)</w:t>
      </w:r>
    </w:p>
    <w:p>
      <w:pPr>
        <w:spacing w:before="120"/>
      </w:pPr>
      <w:r>
        <w:rPr>
          <w:b/>
          <w:color w:val="0050A0"/>
          <w:sz w:val="20"/>
        </w:rPr>
        <w:t>BOAB — BANK OF AFRICA BENIN</w:t>
      </w:r>
    </w:p>
    <w:p>
      <w:pPr>
        <w:pStyle w:val="ListBullet"/>
        <w:spacing w:before="20"/>
        <w:ind w:left="400"/>
      </w:pPr>
      <w:r>
        <w:rPr>
          <w:sz w:val="18"/>
        </w:rPr>
        <w:t>🔴 RSI surachat (75.9 &gt; 70) — risque de correction</w:t>
      </w:r>
    </w:p>
    <w:p>
      <w:pPr>
        <w:pStyle w:val="ListBullet"/>
        <w:spacing w:before="20"/>
        <w:ind w:left="400"/>
      </w:pPr>
      <w:r>
        <w:rPr>
          <w:sz w:val="18"/>
        </w:rPr>
        <w:t>⚠️ Cours à 1.1% du plus haut 100j (10,350 FCFA)</w:t>
      </w:r>
    </w:p>
    <w:p>
      <w:pPr>
        <w:spacing w:before="120"/>
      </w:pPr>
      <w:r>
        <w:rPr>
          <w:b/>
          <w:color w:val="0050A0"/>
          <w:sz w:val="20"/>
        </w:rPr>
        <w:t>BOAS — BANK OF AFRICA SENEGAL</w:t>
      </w:r>
    </w:p>
    <w:p>
      <w:pPr>
        <w:pStyle w:val="ListBullet"/>
        <w:spacing w:before="20"/>
        <w:ind w:left="400"/>
      </w:pPr>
      <w:r>
        <w:rPr>
          <w:sz w:val="18"/>
        </w:rPr>
        <w:t>🔴 RSI surachat (76.6 &gt; 70) — risque de correction</w:t>
      </w:r>
    </w:p>
    <w:p>
      <w:pPr>
        <w:pStyle w:val="ListBullet"/>
        <w:spacing w:before="20"/>
        <w:ind w:left="400"/>
      </w:pPr>
      <w:r>
        <w:rPr>
          <w:sz w:val="18"/>
        </w:rPr>
        <w:t>⚠️ Cours à 2.4% du plus haut 100j (8,500 FCFA)</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(21,400 FCFA)</w:t>
      </w:r>
    </w:p>
    <w:p>
      <w:pPr>
        <w:spacing w:before="120"/>
      </w:pPr>
      <w:r>
        <w:rPr>
          <w:b/>
          <w:color w:val="0050A0"/>
          <w:sz w:val="20"/>
        </w:rPr>
        <w:t>SDSC — SDSC - AFRICA GLOBAL LOGISTICS CI</w:t>
      </w:r>
    </w:p>
    <w:p>
      <w:pPr>
        <w:pStyle w:val="ListBullet"/>
        <w:spacing w:before="20"/>
        <w:ind w:left="400"/>
      </w:pPr>
      <w:r>
        <w:rPr>
          <w:sz w:val="18"/>
        </w:rPr>
        <w:t>⚠️ Cours à 2.5%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(76.7 &gt; 70) — risque de correction</w:t>
      </w:r>
    </w:p>
    <w:p>
      <w:pPr>
        <w:pStyle w:val="ListBullet"/>
        <w:spacing w:before="20"/>
        <w:ind w:left="400"/>
      </w:pPr>
      <w:r>
        <w:rPr>
          <w:sz w:val="18"/>
        </w:rPr>
        <w:t>⚠️ Cours à 0.8% du plus haut 100j (36,980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(74.5 &gt; 70) — risque de correction</w:t>
      </w:r>
    </w:p>
    <w:p>
      <w:pPr>
        <w:pStyle w:val="ListBullet"/>
        <w:spacing w:before="20"/>
        <w:ind w:left="400"/>
      </w:pPr>
      <w:r>
        <w:rPr>
          <w:sz w:val="18"/>
        </w:rPr>
        <w:t>⚠️ Cours à 1.7% du plus haut 100j (9,660 FCFA)</w:t>
      </w:r>
    </w:p>
    <w:p>
      <w:pPr>
        <w:spacing w:before="120"/>
      </w:pPr>
      <w:r>
        <w:rPr>
          <w:b/>
          <w:color w:val="0050A0"/>
          <w:sz w:val="20"/>
        </w:rPr>
        <w:t>UNXC — UNXC - UNIWAX COTE D'IVOIRE</w:t>
      </w:r>
    </w:p>
    <w:p>
      <w:pPr>
        <w:pStyle w:val="ListBullet"/>
        <w:spacing w:before="20"/>
        <w:ind w:left="400"/>
      </w:pPr>
      <w:r>
        <w:rPr>
          <w:sz w:val="18"/>
        </w:rPr>
        <w:t>🔴 RSI surachat (83.6 &gt; 70) — risque de correction</w:t>
      </w:r>
    </w:p>
    <w:p>
      <w:pPr>
        <w:pStyle w:val="ListBullet"/>
        <w:spacing w:before="20"/>
        <w:ind w:left="400"/>
      </w:pPr>
      <w:r>
        <w:rPr>
          <w:sz w:val="18"/>
        </w:rPr>
        <w:t>⚠️ Cours à 1.6%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1.6% du plus haut 100j (29,970 FCFA)</w:t>
      </w:r>
    </w:p>
    <w:p>
      <w:pPr>
        <w:spacing w:before="120"/>
      </w:pPr>
      <w:r>
        <w:rPr>
          <w:b/>
          <w:color w:val="0050A0"/>
          <w:sz w:val="20"/>
        </w:rPr>
        <w:t>BOAM — BANK OF AFRICA MALI</w:t>
      </w:r>
    </w:p>
    <w:p>
      <w:pPr>
        <w:pStyle w:val="ListBullet"/>
        <w:spacing w:before="20"/>
        <w:ind w:left="400"/>
      </w:pPr>
      <w:r>
        <w:rPr>
          <w:sz w:val="18"/>
        </w:rPr>
        <w:t>🔴 RSI surachat (82.0 &gt; 70) — risque de correction</w:t>
      </w:r>
    </w:p>
    <w:p>
      <w:pPr>
        <w:spacing w:before="120"/>
      </w:pPr>
      <w:r>
        <w:rPr>
          <w:b/>
          <w:color w:val="0050A0"/>
          <w:sz w:val="20"/>
        </w:rPr>
        <w:t>BOAN — BANK OF AFRICA NIGER</w:t>
      </w:r>
    </w:p>
    <w:p>
      <w:pPr>
        <w:pStyle w:val="ListBullet"/>
        <w:spacing w:before="20"/>
        <w:ind w:left="400"/>
      </w:pPr>
      <w:r>
        <w:rPr>
          <w:sz w:val="18"/>
        </w:rPr>
        <w:t>⚠️ Cours à 2.6% du plus haut 100j (5,645 FCFA)</w:t>
      </w:r>
    </w:p>
    <w:p>
      <w:pPr>
        <w:spacing w:before="120"/>
      </w:pPr>
      <w:r>
        <w:rPr>
          <w:b/>
          <w:color w:val="0050A0"/>
          <w:sz w:val="20"/>
        </w:rPr>
        <w:t>CBIBF — CBIBF - CORIS BANK INTERNATIONAL BURKINA FASO</w:t>
      </w:r>
    </w:p>
    <w:p>
      <w:pPr>
        <w:pStyle w:val="ListBullet"/>
        <w:spacing w:before="20"/>
        <w:ind w:left="400"/>
      </w:pPr>
      <w:r>
        <w:rPr>
          <w:sz w:val="18"/>
        </w:rPr>
        <w:t>⚠️ Cours à 1.3%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(79.6 &gt; 70) — risque de correction</w:t>
      </w:r>
    </w:p>
    <w:p>
      <w:pPr>
        <w:spacing w:before="120"/>
      </w:pPr>
      <w:r>
        <w:rPr>
          <w:b/>
          <w:color w:val="0050A0"/>
          <w:sz w:val="20"/>
        </w:rPr>
        <w:t>FTSC — FTSC - FILTISAC COTE D'IVOIRE</w:t>
      </w:r>
    </w:p>
    <w:p>
      <w:pPr>
        <w:pStyle w:val="ListBullet"/>
        <w:spacing w:before="20"/>
        <w:ind w:left="400"/>
      </w:pPr>
      <w:r>
        <w:rPr>
          <w:sz w:val="18"/>
        </w:rPr>
        <w:t>🔴 RSI surachat (72.2 &gt; 70) — risque de correction</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survente (18.6 &lt; 30) — opportunité potentielle</w:t>
      </w:r>
    </w:p>
    <w:p>
      <w:pPr>
        <w:spacing w:before="120"/>
      </w:pPr>
      <w:r>
        <w:rPr>
          <w:b/>
          <w:color w:val="0050A0"/>
          <w:sz w:val="20"/>
        </w:rPr>
        <w:t>PALC — PALC - PALM COTE D'IVOIRE</w:t>
      </w:r>
    </w:p>
    <w:p>
      <w:pPr>
        <w:pStyle w:val="ListBullet"/>
        <w:spacing w:before="20"/>
        <w:ind w:left="400"/>
      </w:pPr>
      <w:r>
        <w:rPr>
          <w:sz w:val="18"/>
        </w:rPr>
        <w:t>⚠️ Cours à 2.5% du plus haut 100j (9,640 FCFA)</w:t>
      </w:r>
    </w:p>
    <w:p>
      <w:pPr>
        <w:spacing w:before="120"/>
      </w:pPr>
      <w:r>
        <w:rPr>
          <w:b/>
          <w:color w:val="0050A0"/>
          <w:sz w:val="20"/>
        </w:rPr>
        <w:t>SHEC — SHEC - VIVO ENERGY COTE D'IVOIRE</w:t>
      </w:r>
    </w:p>
    <w:p>
      <w:pPr>
        <w:pStyle w:val="ListBullet"/>
        <w:spacing w:before="20"/>
        <w:ind w:left="400"/>
      </w:pPr>
      <w:r>
        <w:rPr>
          <w:sz w:val="18"/>
        </w:rPr>
        <w:t>⚠️ Cours à 1.6% du plus haut 100j (2,480 FCFA)</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(74.5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-12.43%  |  Médiane : -8.59%</w:t>
            </w:r>
          </w:p>
        </w:tc>
      </w:tr>
      <w:tr>
        <w:tc>
          <w:tcPr>
            <w:tcW w:type="dxa" w:w="2835"/>
            <w:shd w:fill="DEEAF1" w:val="clear"/>
          </w:tcPr>
          <w:p>
            <w:r>
              <w:rPr>
                <w:b/>
                <w:sz w:val="18"/>
              </w:rPr>
              <w:t>Répartition</w:t>
            </w:r>
          </w:p>
        </w:tc>
        <w:tc>
          <w:tcPr>
            <w:tcW w:type="dxa" w:w="7370"/>
          </w:tcPr>
          <w:p>
            <w:r>
              <w:rPr>
                <w:b/>
                <w:sz w:val="18"/>
              </w:rPr>
              <w:t>📈 8 sociétés en hausse (&gt;+1%)   📉 36 en baisse (&lt;-1%)   ➡️ 3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36 sociétés sur 47 sont orientées à la baisse avec une variation moyenne de -12.43%.</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3,495 FCFA</w:t>
            </w:r>
          </w:p>
        </w:tc>
        <w:tc>
          <w:tcPr>
            <w:tcW w:type="dxa" w:w="1417"/>
            <w:shd w:fill="FFFFFF" w:val="clear"/>
          </w:tcPr>
          <w:p>
            <w:r>
              <w:rPr>
                <w:sz w:val="16"/>
              </w:rPr>
              <w:t>6,176 FCFA</w:t>
            </w:r>
          </w:p>
        </w:tc>
        <w:tc>
          <w:tcPr>
            <w:tcW w:type="dxa" w:w="1134"/>
            <w:shd w:fill="C6EFCE" w:val="clear"/>
          </w:tcPr>
          <w:p>
            <w:r>
              <w:rPr>
                <w:b/>
                <w:color w:val="007800"/>
                <w:sz w:val="16"/>
              </w:rPr>
              <w:t>+76.72%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22,500 FCFA</w:t>
            </w:r>
          </w:p>
        </w:tc>
        <w:tc>
          <w:tcPr>
            <w:tcW w:type="dxa" w:w="1417"/>
            <w:shd w:fill="FFFFFF" w:val="clear"/>
          </w:tcPr>
          <w:p>
            <w:r>
              <w:rPr>
                <w:sz w:val="16"/>
              </w:rPr>
              <w:t>26,580 FCFA</w:t>
            </w:r>
          </w:p>
        </w:tc>
        <w:tc>
          <w:tcPr>
            <w:tcW w:type="dxa" w:w="1134"/>
            <w:shd w:fill="C6EFCE" w:val="clear"/>
          </w:tcPr>
          <w:p>
            <w:r>
              <w:rPr>
                <w:b/>
                <w:color w:val="007800"/>
                <w:sz w:val="16"/>
              </w:rPr>
              <w:t>+18.13%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59,318 FCFA</w:t>
            </w:r>
          </w:p>
        </w:tc>
        <w:tc>
          <w:tcPr>
            <w:tcW w:type="dxa" w:w="1134"/>
            <w:shd w:fill="C6EFCE" w:val="clear"/>
          </w:tcPr>
          <w:p>
            <w:r>
              <w:rPr>
                <w:b/>
                <w:color w:val="007800"/>
                <w:sz w:val="16"/>
              </w:rPr>
              <w:t>+13.64%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22,350 FCFA</w:t>
            </w:r>
          </w:p>
        </w:tc>
        <w:tc>
          <w:tcPr>
            <w:tcW w:type="dxa" w:w="1417"/>
            <w:shd w:fill="FFFFFF" w:val="clear"/>
          </w:tcPr>
          <w:p>
            <w:r>
              <w:rPr>
                <w:sz w:val="16"/>
              </w:rPr>
              <w:t>24,721 FCFA</w:t>
            </w:r>
          </w:p>
        </w:tc>
        <w:tc>
          <w:tcPr>
            <w:tcW w:type="dxa" w:w="1134"/>
            <w:shd w:fill="C6EFCE" w:val="clear"/>
          </w:tcPr>
          <w:p>
            <w:r>
              <w:rPr>
                <w:b/>
                <w:color w:val="007800"/>
                <w:sz w:val="16"/>
              </w:rPr>
              <w:t>+10.61%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2,160 FCFA</w:t>
            </w:r>
          </w:p>
        </w:tc>
        <w:tc>
          <w:tcPr>
            <w:tcW w:type="dxa" w:w="1417"/>
            <w:shd w:fill="FFFFFF" w:val="clear"/>
          </w:tcPr>
          <w:p>
            <w:r>
              <w:rPr>
                <w:sz w:val="16"/>
              </w:rPr>
              <w:t>2,257 FCFA</w:t>
            </w:r>
          </w:p>
        </w:tc>
        <w:tc>
          <w:tcPr>
            <w:tcW w:type="dxa" w:w="1134"/>
            <w:shd w:fill="C6EFCE" w:val="clear"/>
          </w:tcPr>
          <w:p>
            <w:r>
              <w:rPr>
                <w:b/>
                <w:color w:val="007800"/>
                <w:sz w:val="16"/>
              </w:rPr>
              <w:t>+4.51%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(+76.7%) — signal potentiellement excessif, à croiser avec l'analyse technique. Trajectoire : 📈 Hausse continue. Cours actuel : 3,495 FCFA → prédit J+10 : 6,176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22,500 FCFA → prédit J+10 : 26,580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(+13.6%) — potentiel de revalorisation notable. Trajectoire : 📈 Hausse continue. Cours actuel : 52,200 FCFA → prédit J+10 : 59,318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22,350 FCFA → prédit J+10 : 24,721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2,160 FCFA → prédit J+10 : 2,257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5,865 FCFA</w:t>
            </w:r>
          </w:p>
        </w:tc>
        <w:tc>
          <w:tcPr>
            <w:tcW w:type="dxa" w:w="1417"/>
            <w:shd w:fill="FFFFFF" w:val="clear"/>
          </w:tcPr>
          <w:p>
            <w:r>
              <w:rPr>
                <w:sz w:val="16"/>
              </w:rPr>
              <w:t>2,690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3,375 FCFA</w:t>
            </w:r>
          </w:p>
        </w:tc>
        <w:tc>
          <w:tcPr>
            <w:tcW w:type="dxa" w:w="1417"/>
            <w:shd w:fill="FFFFFF" w:val="clear"/>
          </w:tcPr>
          <w:p>
            <w:r>
              <w:rPr>
                <w:sz w:val="16"/>
              </w:rPr>
              <w:t>1,548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3,264 FCFA</w:t>
            </w:r>
          </w:p>
        </w:tc>
        <w:tc>
          <w:tcPr>
            <w:tcW w:type="dxa" w:w="1134"/>
            <w:shd w:fill="FFC7CE" w:val="clear"/>
          </w:tcPr>
          <w:p>
            <w:r>
              <w:rPr>
                <w:b/>
                <w:color w:val="B40000"/>
                <w:sz w:val="16"/>
              </w:rPr>
              <w:t>-51.28%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1,494 FCFA</w:t>
            </w:r>
          </w:p>
        </w:tc>
        <w:tc>
          <w:tcPr>
            <w:tcW w:type="dxa" w:w="1134"/>
            <w:shd w:fill="FFC7CE" w:val="clear"/>
          </w:tcPr>
          <w:p>
            <w:r>
              <w:rPr>
                <w:b/>
                <w:color w:val="B40000"/>
                <w:sz w:val="16"/>
              </w:rPr>
              <w:t>-50.20%</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5,865 FCFA → prédit J+10 : 2,690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3,375 FCFA → prédit J+10 : 1,548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(-51.3%) — amplitude potentiellement surestimée par le modèle. Trajectoire : 📉 Baisse continue. Cours actuel : 6,700 FCFA → prédit J+10 : 3,264 FCFA. ⚠️ Confiance limitée — volatilité élevée. Ne pas agir sur ce seul signal.</w:t>
      </w:r>
    </w:p>
    <w:p>
      <w:pPr>
        <w:pStyle w:val="ListBullet"/>
      </w:pPr>
      <w:r>
        <w:rPr>
          <w:b/>
          <w:color w:val="B40000"/>
          <w:sz w:val="18"/>
        </w:rPr>
        <w:t xml:space="preserve">#5 NEIC </w:t>
      </w:r>
      <w:r>
        <w:rPr>
          <w:sz w:val="17"/>
        </w:rPr>
        <w:t>(NEIC - NEI-CEDA CI) — baisse très forte (-50.2%) — amplitude potentiellement surestimée par le modèle. Trajectoire : 📉 Baisse continue. Cours actuel : 3,000 FCFA → prédit J+10 : 1,494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3,495</w:t>
            </w:r>
          </w:p>
        </w:tc>
        <w:tc>
          <w:tcPr>
            <w:tcW w:type="dxa" w:w="1417"/>
            <w:shd w:fill="FFFFFF" w:val="clear"/>
          </w:tcPr>
          <w:p>
            <w:r>
              <w:rPr>
                <w:sz w:val="16"/>
              </w:rPr>
              <w:t>6,176</w:t>
            </w:r>
          </w:p>
        </w:tc>
        <w:tc>
          <w:tcPr>
            <w:tcW w:type="dxa" w:w="1134"/>
            <w:shd w:fill="C6EFCE" w:val="clear"/>
          </w:tcPr>
          <w:p>
            <w:r>
              <w:rPr>
                <w:b/>
                <w:color w:val="007800"/>
                <w:sz w:val="16"/>
              </w:rPr>
              <w:t>+76.72%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26,580</w:t>
            </w:r>
          </w:p>
        </w:tc>
        <w:tc>
          <w:tcPr>
            <w:tcW w:type="dxa" w:w="1134"/>
            <w:shd w:fill="C6EFCE" w:val="clear"/>
          </w:tcPr>
          <w:p>
            <w:r>
              <w:rPr>
                <w:b/>
                <w:color w:val="007800"/>
                <w:sz w:val="16"/>
              </w:rPr>
              <w:t>+18.13%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59,318</w:t>
            </w:r>
          </w:p>
        </w:tc>
        <w:tc>
          <w:tcPr>
            <w:tcW w:type="dxa" w:w="1134"/>
            <w:shd w:fill="C6EFCE" w:val="clear"/>
          </w:tcPr>
          <w:p>
            <w:r>
              <w:rPr>
                <w:b/>
                <w:color w:val="007800"/>
                <w:sz w:val="16"/>
              </w:rPr>
              <w:t>+13.64%</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22,350</w:t>
            </w:r>
          </w:p>
        </w:tc>
        <w:tc>
          <w:tcPr>
            <w:tcW w:type="dxa" w:w="1417"/>
            <w:shd w:fill="FFFFFF" w:val="clear"/>
          </w:tcPr>
          <w:p>
            <w:r>
              <w:rPr>
                <w:sz w:val="16"/>
              </w:rPr>
              <w:t>24,721</w:t>
            </w:r>
          </w:p>
        </w:tc>
        <w:tc>
          <w:tcPr>
            <w:tcW w:type="dxa" w:w="1134"/>
            <w:shd w:fill="C6EFCE" w:val="clear"/>
          </w:tcPr>
          <w:p>
            <w:r>
              <w:rPr>
                <w:b/>
                <w:color w:val="007800"/>
                <w:sz w:val="16"/>
              </w:rPr>
              <w:t>+10.61%</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2,160</w:t>
            </w:r>
          </w:p>
        </w:tc>
        <w:tc>
          <w:tcPr>
            <w:tcW w:type="dxa" w:w="1417"/>
            <w:shd w:fill="FFFFFF" w:val="clear"/>
          </w:tcPr>
          <w:p>
            <w:r>
              <w:rPr>
                <w:sz w:val="16"/>
              </w:rPr>
              <w:t>2,257</w:t>
            </w:r>
          </w:p>
        </w:tc>
        <w:tc>
          <w:tcPr>
            <w:tcW w:type="dxa" w:w="1134"/>
            <w:shd w:fill="C6EFCE" w:val="clear"/>
          </w:tcPr>
          <w:p>
            <w:r>
              <w:rPr>
                <w:b/>
                <w:color w:val="007800"/>
                <w:sz w:val="16"/>
              </w:rPr>
              <w:t>+4.51%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9,400</w:t>
            </w:r>
          </w:p>
        </w:tc>
        <w:tc>
          <w:tcPr>
            <w:tcW w:type="dxa" w:w="1417"/>
            <w:shd w:fill="FFFFFF" w:val="clear"/>
          </w:tcPr>
          <w:p>
            <w:r>
              <w:rPr>
                <w:sz w:val="16"/>
              </w:rPr>
              <w:t>9,581</w:t>
            </w:r>
          </w:p>
        </w:tc>
        <w:tc>
          <w:tcPr>
            <w:tcW w:type="dxa" w:w="1134"/>
            <w:shd w:fill="C6EFCE" w:val="clear"/>
          </w:tcPr>
          <w:p>
            <w:r>
              <w:rPr>
                <w:b/>
                <w:color w:val="007800"/>
                <w:sz w:val="16"/>
              </w:rPr>
              <w:t>+1.93%</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8,200</w:t>
            </w:r>
          </w:p>
        </w:tc>
        <w:tc>
          <w:tcPr>
            <w:tcW w:type="dxa" w:w="1417"/>
            <w:shd w:fill="FFFFFF" w:val="clear"/>
          </w:tcPr>
          <w:p>
            <w:r>
              <w:rPr>
                <w:sz w:val="16"/>
              </w:rPr>
              <w:t>8,321</w:t>
            </w:r>
          </w:p>
        </w:tc>
        <w:tc>
          <w:tcPr>
            <w:tcW w:type="dxa" w:w="1134"/>
            <w:shd w:fill="C6EFCE" w:val="clear"/>
          </w:tcPr>
          <w:p>
            <w:r>
              <w:rPr>
                <w:b/>
                <w:color w:val="007800"/>
                <w:sz w:val="16"/>
              </w:rPr>
              <w:t>+1.48%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15,900</w:t>
            </w:r>
          </w:p>
        </w:tc>
        <w:tc>
          <w:tcPr>
            <w:tcW w:type="dxa" w:w="1417"/>
            <w:shd w:fill="FFFFFF" w:val="clear"/>
          </w:tcPr>
          <w:p>
            <w:r>
              <w:rPr>
                <w:sz w:val="16"/>
              </w:rPr>
              <w:t>16,079</w:t>
            </w:r>
          </w:p>
        </w:tc>
        <w:tc>
          <w:tcPr>
            <w:tcW w:type="dxa" w:w="1134"/>
            <w:shd w:fill="C6EFCE" w:val="clear"/>
          </w:tcPr>
          <w:p>
            <w:r>
              <w:rPr>
                <w:b/>
                <w:color w:val="007800"/>
                <w:sz w:val="16"/>
              </w:rPr>
              <w:t>+1.13%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3,997</w:t>
            </w:r>
          </w:p>
        </w:tc>
        <w:tc>
          <w:tcPr>
            <w:tcW w:type="dxa" w:w="1134"/>
            <w:shd w:fill="FFEB9C" w:val="clear"/>
          </w:tcPr>
          <w:p>
            <w:r>
              <w:rPr>
                <w:b/>
                <w:color w:val="646400"/>
                <w:sz w:val="16"/>
              </w:rPr>
              <w:t>-0.07%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36,907</w:t>
            </w:r>
          </w:p>
        </w:tc>
        <w:tc>
          <w:tcPr>
            <w:tcW w:type="dxa" w:w="1134"/>
            <w:shd w:fill="FFEB9C" w:val="clear"/>
          </w:tcPr>
          <w:p>
            <w:r>
              <w:rPr>
                <w:b/>
                <w:color w:val="646400"/>
                <w:sz w:val="16"/>
              </w:rPr>
              <w:t>-0.25%</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3,155</w:t>
            </w:r>
          </w:p>
        </w:tc>
        <w:tc>
          <w:tcPr>
            <w:tcW w:type="dxa" w:w="1417"/>
            <w:shd w:fill="FFFFFF" w:val="clear"/>
          </w:tcPr>
          <w:p>
            <w:r>
              <w:rPr>
                <w:sz w:val="16"/>
              </w:rPr>
              <w:t>3,130</w:t>
            </w:r>
          </w:p>
        </w:tc>
        <w:tc>
          <w:tcPr>
            <w:tcW w:type="dxa" w:w="1134"/>
            <w:shd w:fill="FFEB9C" w:val="clear"/>
          </w:tcPr>
          <w:p>
            <w:r>
              <w:rPr>
                <w:b/>
                <w:color w:val="646400"/>
                <w:sz w:val="16"/>
              </w:rPr>
              <w:t>-0.80%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16,845</w:t>
            </w:r>
          </w:p>
        </w:tc>
        <w:tc>
          <w:tcPr>
            <w:tcW w:type="dxa" w:w="1417"/>
            <w:shd w:fill="FFFFFF" w:val="clear"/>
          </w:tcPr>
          <w:p>
            <w:r>
              <w:rPr>
                <w:sz w:val="16"/>
              </w:rPr>
              <w:t>16,577</w:t>
            </w:r>
          </w:p>
        </w:tc>
        <w:tc>
          <w:tcPr>
            <w:tcW w:type="dxa" w:w="1134"/>
            <w:shd w:fill="FFC7CE" w:val="clear"/>
          </w:tcPr>
          <w:p>
            <w:r>
              <w:rPr>
                <w:b/>
                <w:color w:val="B40000"/>
                <w:sz w:val="16"/>
              </w:rPr>
              <w:t>-1.59%</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37,392</w:t>
            </w:r>
          </w:p>
        </w:tc>
        <w:tc>
          <w:tcPr>
            <w:tcW w:type="dxa" w:w="1134"/>
            <w:shd w:fill="FFC7CE" w:val="clear"/>
          </w:tcPr>
          <w:p>
            <w:r>
              <w:rPr>
                <w:b/>
                <w:color w:val="B40000"/>
                <w:sz w:val="16"/>
              </w:rPr>
              <w:t>-1.60%</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2,838</w:t>
            </w:r>
          </w:p>
        </w:tc>
        <w:tc>
          <w:tcPr>
            <w:tcW w:type="dxa" w:w="1134"/>
            <w:shd w:fill="FFC7CE" w:val="clear"/>
          </w:tcPr>
          <w:p>
            <w:r>
              <w:rPr>
                <w:b/>
                <w:color w:val="B40000"/>
                <w:sz w:val="16"/>
              </w:rPr>
              <w:t>-2.13%</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5,500</w:t>
            </w:r>
          </w:p>
        </w:tc>
        <w:tc>
          <w:tcPr>
            <w:tcW w:type="dxa" w:w="1417"/>
            <w:shd w:fill="FFFFFF" w:val="clear"/>
          </w:tcPr>
          <w:p>
            <w:r>
              <w:rPr>
                <w:sz w:val="16"/>
              </w:rPr>
              <w:t>5,377</w:t>
            </w:r>
          </w:p>
        </w:tc>
        <w:tc>
          <w:tcPr>
            <w:tcW w:type="dxa" w:w="1134"/>
            <w:shd w:fill="FFC7CE" w:val="clear"/>
          </w:tcPr>
          <w:p>
            <w:r>
              <w:rPr>
                <w:b/>
                <w:color w:val="B40000"/>
                <w:sz w:val="16"/>
              </w:rPr>
              <w:t>-2.24%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3,256</w:t>
            </w:r>
          </w:p>
        </w:tc>
        <w:tc>
          <w:tcPr>
            <w:tcW w:type="dxa" w:w="1134"/>
            <w:shd w:fill="FFC7CE" w:val="clear"/>
          </w:tcPr>
          <w:p>
            <w:r>
              <w:rPr>
                <w:b/>
                <w:color w:val="B40000"/>
                <w:sz w:val="16"/>
              </w:rPr>
              <w:t>-4.23%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17,195</w:t>
            </w:r>
          </w:p>
        </w:tc>
        <w:tc>
          <w:tcPr>
            <w:tcW w:type="dxa" w:w="1417"/>
            <w:shd w:fill="FFFFFF" w:val="clear"/>
          </w:tcPr>
          <w:p>
            <w:r>
              <w:rPr>
                <w:sz w:val="16"/>
              </w:rPr>
              <w:t>16,402</w:t>
            </w:r>
          </w:p>
        </w:tc>
        <w:tc>
          <w:tcPr>
            <w:tcW w:type="dxa" w:w="1134"/>
            <w:shd w:fill="FFC7CE" w:val="clear"/>
          </w:tcPr>
          <w:p>
            <w:r>
              <w:rPr>
                <w:b/>
                <w:color w:val="B40000"/>
                <w:sz w:val="16"/>
              </w:rPr>
              <w:t>-4.61%</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4,490</w:t>
            </w:r>
          </w:p>
        </w:tc>
        <w:tc>
          <w:tcPr>
            <w:tcW w:type="dxa" w:w="1417"/>
            <w:shd w:fill="FFFFFF" w:val="clear"/>
          </w:tcPr>
          <w:p>
            <w:r>
              <w:rPr>
                <w:sz w:val="16"/>
              </w:rPr>
              <w:t>4,281</w:t>
            </w:r>
          </w:p>
        </w:tc>
        <w:tc>
          <w:tcPr>
            <w:tcW w:type="dxa" w:w="1134"/>
            <w:shd w:fill="FFC7CE" w:val="clear"/>
          </w:tcPr>
          <w:p>
            <w:r>
              <w:rPr>
                <w:b/>
                <w:color w:val="B40000"/>
                <w:sz w:val="16"/>
              </w:rPr>
              <w:t>-4.65%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2,300</w:t>
            </w:r>
          </w:p>
        </w:tc>
        <w:tc>
          <w:tcPr>
            <w:tcW w:type="dxa" w:w="1417"/>
            <w:shd w:fill="FFFFFF" w:val="clear"/>
          </w:tcPr>
          <w:p>
            <w:r>
              <w:rPr>
                <w:sz w:val="16"/>
              </w:rPr>
              <w:t>2,179</w:t>
            </w:r>
          </w:p>
        </w:tc>
        <w:tc>
          <w:tcPr>
            <w:tcW w:type="dxa" w:w="1134"/>
            <w:shd w:fill="FFC7CE" w:val="clear"/>
          </w:tcPr>
          <w:p>
            <w:r>
              <w:rPr>
                <w:b/>
                <w:color w:val="B40000"/>
                <w:sz w:val="16"/>
              </w:rPr>
              <w:t>-5.26%</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36,700</w:t>
            </w:r>
          </w:p>
        </w:tc>
        <w:tc>
          <w:tcPr>
            <w:tcW w:type="dxa" w:w="1417"/>
            <w:shd w:fill="FFFFFF" w:val="clear"/>
          </w:tcPr>
          <w:p>
            <w:r>
              <w:rPr>
                <w:sz w:val="16"/>
              </w:rPr>
              <w:t>34,676</w:t>
            </w:r>
          </w:p>
        </w:tc>
        <w:tc>
          <w:tcPr>
            <w:tcW w:type="dxa" w:w="1134"/>
            <w:shd w:fill="FFC7CE" w:val="clear"/>
          </w:tcPr>
          <w:p>
            <w:r>
              <w:rPr>
                <w:b/>
                <w:color w:val="B40000"/>
                <w:sz w:val="16"/>
              </w:rPr>
              <w:t>-5.52%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9,500</w:t>
            </w:r>
          </w:p>
        </w:tc>
        <w:tc>
          <w:tcPr>
            <w:tcW w:type="dxa" w:w="1417"/>
            <w:shd w:fill="FFFFFF" w:val="clear"/>
          </w:tcPr>
          <w:p>
            <w:r>
              <w:rPr>
                <w:sz w:val="16"/>
              </w:rPr>
              <w:t>8,913</w:t>
            </w:r>
          </w:p>
        </w:tc>
        <w:tc>
          <w:tcPr>
            <w:tcW w:type="dxa" w:w="1134"/>
            <w:shd w:fill="FFC7CE" w:val="clear"/>
          </w:tcPr>
          <w:p>
            <w:r>
              <w:rPr>
                <w:b/>
                <w:color w:val="B40000"/>
                <w:sz w:val="16"/>
              </w:rPr>
              <w:t>-6.18%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2,455</w:t>
            </w:r>
          </w:p>
        </w:tc>
        <w:tc>
          <w:tcPr>
            <w:tcW w:type="dxa" w:w="1417"/>
            <w:shd w:fill="FFFFFF" w:val="clear"/>
          </w:tcPr>
          <w:p>
            <w:r>
              <w:rPr>
                <w:sz w:val="16"/>
              </w:rPr>
              <w:t>2,270</w:t>
            </w:r>
          </w:p>
        </w:tc>
        <w:tc>
          <w:tcPr>
            <w:tcW w:type="dxa" w:w="1134"/>
            <w:shd w:fill="FFC7CE" w:val="clear"/>
          </w:tcPr>
          <w:p>
            <w:r>
              <w:rPr>
                <w:b/>
                <w:color w:val="B40000"/>
                <w:sz w:val="16"/>
              </w:rPr>
              <w:t>-7.52%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21,400</w:t>
            </w:r>
          </w:p>
        </w:tc>
        <w:tc>
          <w:tcPr>
            <w:tcW w:type="dxa" w:w="1417"/>
            <w:shd w:fill="FFFFFF" w:val="clear"/>
          </w:tcPr>
          <w:p>
            <w:r>
              <w:rPr>
                <w:sz w:val="16"/>
              </w:rPr>
              <w:t>19,600</w:t>
            </w:r>
          </w:p>
        </w:tc>
        <w:tc>
          <w:tcPr>
            <w:tcW w:type="dxa" w:w="1134"/>
            <w:shd w:fill="FFC7CE" w:val="clear"/>
          </w:tcPr>
          <w:p>
            <w:r>
              <w:rPr>
                <w:b/>
                <w:color w:val="B40000"/>
                <w:sz w:val="16"/>
              </w:rPr>
              <w:t>-8.41%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2,750</w:t>
            </w:r>
          </w:p>
        </w:tc>
        <w:tc>
          <w:tcPr>
            <w:tcW w:type="dxa" w:w="1417"/>
            <w:shd w:fill="FFFFFF" w:val="clear"/>
          </w:tcPr>
          <w:p>
            <w:r>
              <w:rPr>
                <w:sz w:val="16"/>
              </w:rPr>
              <w:t>2,514</w:t>
            </w:r>
          </w:p>
        </w:tc>
        <w:tc>
          <w:tcPr>
            <w:tcW w:type="dxa" w:w="1134"/>
            <w:shd w:fill="FFC7CE" w:val="clear"/>
          </w:tcPr>
          <w:p>
            <w:r>
              <w:rPr>
                <w:b/>
                <w:color w:val="B40000"/>
                <w:sz w:val="16"/>
              </w:rPr>
              <w:t>-8.59%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29,500</w:t>
            </w:r>
          </w:p>
        </w:tc>
        <w:tc>
          <w:tcPr>
            <w:tcW w:type="dxa" w:w="1417"/>
            <w:shd w:fill="FFFFFF" w:val="clear"/>
          </w:tcPr>
          <w:p>
            <w:r>
              <w:rPr>
                <w:sz w:val="16"/>
              </w:rPr>
              <w:t>26,478</w:t>
            </w:r>
          </w:p>
        </w:tc>
        <w:tc>
          <w:tcPr>
            <w:tcW w:type="dxa" w:w="1134"/>
            <w:shd w:fill="FFC7CE" w:val="clear"/>
          </w:tcPr>
          <w:p>
            <w:r>
              <w:rPr>
                <w:b/>
                <w:color w:val="B40000"/>
                <w:sz w:val="16"/>
              </w:rPr>
              <w:t>-10.24%</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1,338</w:t>
            </w:r>
          </w:p>
        </w:tc>
        <w:tc>
          <w:tcPr>
            <w:tcW w:type="dxa" w:w="1134"/>
            <w:shd w:fill="FFC7CE" w:val="clear"/>
          </w:tcPr>
          <w:p>
            <w:r>
              <w:rPr>
                <w:b/>
                <w:color w:val="B40000"/>
                <w:sz w:val="16"/>
              </w:rPr>
              <w:t>-10.78%</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13,000</w:t>
            </w:r>
          </w:p>
        </w:tc>
        <w:tc>
          <w:tcPr>
            <w:tcW w:type="dxa" w:w="1417"/>
            <w:shd w:fill="FFFFFF" w:val="clear"/>
          </w:tcPr>
          <w:p>
            <w:r>
              <w:rPr>
                <w:sz w:val="16"/>
              </w:rPr>
              <w:t>11,185</w:t>
            </w:r>
          </w:p>
        </w:tc>
        <w:tc>
          <w:tcPr>
            <w:tcW w:type="dxa" w:w="1134"/>
            <w:shd w:fill="FFC7CE" w:val="clear"/>
          </w:tcPr>
          <w:p>
            <w:r>
              <w:rPr>
                <w:b/>
                <w:color w:val="B40000"/>
                <w:sz w:val="16"/>
              </w:rPr>
              <w:t>-13.97%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3,259</w:t>
            </w:r>
          </w:p>
        </w:tc>
        <w:tc>
          <w:tcPr>
            <w:tcW w:type="dxa" w:w="1134"/>
            <w:shd w:fill="FFC7CE" w:val="clear"/>
          </w:tcPr>
          <w:p>
            <w:r>
              <w:rPr>
                <w:b/>
                <w:color w:val="B40000"/>
                <w:sz w:val="16"/>
              </w:rPr>
              <w:t>-14.13%</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1,487</w:t>
            </w:r>
          </w:p>
        </w:tc>
        <w:tc>
          <w:tcPr>
            <w:tcW w:type="dxa" w:w="1134"/>
            <w:shd w:fill="FFC7CE" w:val="clear"/>
          </w:tcPr>
          <w:p>
            <w:r>
              <w:rPr>
                <w:b/>
                <w:color w:val="B40000"/>
                <w:sz w:val="16"/>
              </w:rPr>
              <w:t>-14.54%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7,048</w:t>
            </w:r>
          </w:p>
        </w:tc>
        <w:tc>
          <w:tcPr>
            <w:tcW w:type="dxa" w:w="1134"/>
            <w:shd w:fill="FFC7CE" w:val="clear"/>
          </w:tcPr>
          <w:p>
            <w:r>
              <w:rPr>
                <w:b/>
                <w:color w:val="B40000"/>
                <w:sz w:val="16"/>
              </w:rPr>
              <w:t>-15.08%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6,495</w:t>
            </w:r>
          </w:p>
        </w:tc>
        <w:tc>
          <w:tcPr>
            <w:tcW w:type="dxa" w:w="1417"/>
            <w:shd w:fill="FFFFFF" w:val="clear"/>
          </w:tcPr>
          <w:p>
            <w:r>
              <w:rPr>
                <w:sz w:val="16"/>
              </w:rPr>
              <w:t>5,430</w:t>
            </w:r>
          </w:p>
        </w:tc>
        <w:tc>
          <w:tcPr>
            <w:tcW w:type="dxa" w:w="1134"/>
            <w:shd w:fill="FFC7CE" w:val="clear"/>
          </w:tcPr>
          <w:p>
            <w:r>
              <w:rPr>
                <w:b/>
                <w:color w:val="B40000"/>
                <w:sz w:val="16"/>
              </w:rPr>
              <w:t>-16.39%</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3,690</w:t>
            </w:r>
          </w:p>
        </w:tc>
        <w:tc>
          <w:tcPr>
            <w:tcW w:type="dxa" w:w="1417"/>
            <w:shd w:fill="FFFFFF" w:val="clear"/>
          </w:tcPr>
          <w:p>
            <w:r>
              <w:rPr>
                <w:sz w:val="16"/>
              </w:rPr>
              <w:t>3,083</w:t>
            </w:r>
          </w:p>
        </w:tc>
        <w:tc>
          <w:tcPr>
            <w:tcW w:type="dxa" w:w="1134"/>
            <w:shd w:fill="FFC7CE" w:val="clear"/>
          </w:tcPr>
          <w:p>
            <w:r>
              <w:rPr>
                <w:b/>
                <w:color w:val="B40000"/>
                <w:sz w:val="16"/>
              </w:rPr>
              <w:t>-16.44%</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7,995</w:t>
            </w:r>
          </w:p>
        </w:tc>
        <w:tc>
          <w:tcPr>
            <w:tcW w:type="dxa" w:w="1417"/>
            <w:shd w:fill="FFFFFF" w:val="clear"/>
          </w:tcPr>
          <w:p>
            <w:r>
              <w:rPr>
                <w:sz w:val="16"/>
              </w:rPr>
              <w:t>6,534</w:t>
            </w:r>
          </w:p>
        </w:tc>
        <w:tc>
          <w:tcPr>
            <w:tcW w:type="dxa" w:w="1134"/>
            <w:shd w:fill="FFC7CE" w:val="clear"/>
          </w:tcPr>
          <w:p>
            <w:r>
              <w:rPr>
                <w:b/>
                <w:color w:val="B40000"/>
                <w:sz w:val="16"/>
              </w:rPr>
              <w:t>-18.27%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10,235</w:t>
            </w:r>
          </w:p>
        </w:tc>
        <w:tc>
          <w:tcPr>
            <w:tcW w:type="dxa" w:w="1417"/>
            <w:shd w:fill="FFFFFF" w:val="clear"/>
          </w:tcPr>
          <w:p>
            <w:r>
              <w:rPr>
                <w:sz w:val="16"/>
              </w:rPr>
              <w:t>8,363</w:t>
            </w:r>
          </w:p>
        </w:tc>
        <w:tc>
          <w:tcPr>
            <w:tcW w:type="dxa" w:w="1134"/>
            <w:shd w:fill="FFC7CE" w:val="clear"/>
          </w:tcPr>
          <w:p>
            <w:r>
              <w:rPr>
                <w:b/>
                <w:color w:val="B40000"/>
                <w:sz w:val="16"/>
              </w:rPr>
              <w:t>-18.29%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8,900</w:t>
            </w:r>
          </w:p>
        </w:tc>
        <w:tc>
          <w:tcPr>
            <w:tcW w:type="dxa" w:w="1417"/>
            <w:shd w:fill="FFFFFF" w:val="clear"/>
          </w:tcPr>
          <w:p>
            <w:r>
              <w:rPr>
                <w:sz w:val="16"/>
              </w:rPr>
              <w:t>7,197</w:t>
            </w:r>
          </w:p>
        </w:tc>
        <w:tc>
          <w:tcPr>
            <w:tcW w:type="dxa" w:w="1134"/>
            <w:shd w:fill="FFC7CE" w:val="clear"/>
          </w:tcPr>
          <w:p>
            <w:r>
              <w:rPr>
                <w:b/>
                <w:color w:val="B40000"/>
                <w:sz w:val="16"/>
              </w:rPr>
              <w:t>-19.13%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2,310</w:t>
            </w:r>
          </w:p>
        </w:tc>
        <w:tc>
          <w:tcPr>
            <w:tcW w:type="dxa" w:w="1417"/>
            <w:shd w:fill="FFFFFF" w:val="clear"/>
          </w:tcPr>
          <w:p>
            <w:r>
              <w:rPr>
                <w:sz w:val="16"/>
              </w:rPr>
              <w:t>1,811</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7,211</w:t>
            </w:r>
          </w:p>
        </w:tc>
        <w:tc>
          <w:tcPr>
            <w:tcW w:type="dxa" w:w="1134"/>
            <w:shd w:fill="FFC7CE" w:val="clear"/>
          </w:tcPr>
          <w:p>
            <w:r>
              <w:rPr>
                <w:b/>
                <w:color w:val="B40000"/>
                <w:sz w:val="16"/>
              </w:rPr>
              <w:t>-21.62%</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8,719</w:t>
            </w:r>
          </w:p>
        </w:tc>
        <w:tc>
          <w:tcPr>
            <w:tcW w:type="dxa" w:w="1134"/>
            <w:shd w:fill="FFC7CE" w:val="clear"/>
          </w:tcPr>
          <w:p>
            <w:r>
              <w:rPr>
                <w:b/>
                <w:color w:val="B40000"/>
                <w:sz w:val="16"/>
              </w:rPr>
              <w:t>-29.69%</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2,440</w:t>
            </w:r>
          </w:p>
        </w:tc>
        <w:tc>
          <w:tcPr>
            <w:tcW w:type="dxa" w:w="1417"/>
            <w:shd w:fill="FFFFFF" w:val="clear"/>
          </w:tcPr>
          <w:p>
            <w:r>
              <w:rPr>
                <w:sz w:val="16"/>
              </w:rPr>
              <w:t>1,700</w:t>
            </w:r>
          </w:p>
        </w:tc>
        <w:tc>
          <w:tcPr>
            <w:tcW w:type="dxa" w:w="1134"/>
            <w:shd w:fill="FFC7CE" w:val="clear"/>
          </w:tcPr>
          <w:p>
            <w:r>
              <w:rPr>
                <w:b/>
                <w:color w:val="B40000"/>
                <w:sz w:val="16"/>
              </w:rPr>
              <w:t>-30.32%</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5,515</w:t>
            </w:r>
          </w:p>
        </w:tc>
        <w:tc>
          <w:tcPr>
            <w:tcW w:type="dxa" w:w="1134"/>
            <w:shd w:fill="FFC7CE" w:val="clear"/>
          </w:tcPr>
          <w:p>
            <w:r>
              <w:rPr>
                <w:b/>
                <w:color w:val="B40000"/>
                <w:sz w:val="16"/>
              </w:rPr>
              <w:t>-35.11%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1,598</w:t>
            </w:r>
          </w:p>
        </w:tc>
        <w:tc>
          <w:tcPr>
            <w:tcW w:type="dxa" w:w="1134"/>
            <w:shd w:fill="FFC7CE" w:val="clear"/>
          </w:tcPr>
          <w:p>
            <w:r>
              <w:rPr>
                <w:b/>
                <w:color w:val="B40000"/>
                <w:sz w:val="16"/>
              </w:rPr>
              <w:t>-38.44%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29,600</w:t>
            </w:r>
          </w:p>
        </w:tc>
        <w:tc>
          <w:tcPr>
            <w:tcW w:type="dxa" w:w="1417"/>
            <w:shd w:fill="FFFFFF" w:val="clear"/>
          </w:tcPr>
          <w:p>
            <w:r>
              <w:rPr>
                <w:sz w:val="16"/>
              </w:rPr>
              <w:t>17,485</w:t>
            </w:r>
          </w:p>
        </w:tc>
        <w:tc>
          <w:tcPr>
            <w:tcW w:type="dxa" w:w="1134"/>
            <w:shd w:fill="FFC7CE" w:val="clear"/>
          </w:tcPr>
          <w:p>
            <w:r>
              <w:rPr>
                <w:b/>
                <w:color w:val="B40000"/>
                <w:sz w:val="16"/>
              </w:rPr>
              <w:t>-40.93%</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1,494</w:t>
            </w:r>
          </w:p>
        </w:tc>
        <w:tc>
          <w:tcPr>
            <w:tcW w:type="dxa" w:w="1134"/>
            <w:shd w:fill="FFC7CE" w:val="clear"/>
          </w:tcPr>
          <w:p>
            <w:r>
              <w:rPr>
                <w:b/>
                <w:color w:val="B40000"/>
                <w:sz w:val="16"/>
              </w:rPr>
              <w:t>-50.20%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3,264</w:t>
            </w:r>
          </w:p>
        </w:tc>
        <w:tc>
          <w:tcPr>
            <w:tcW w:type="dxa" w:w="1134"/>
            <w:shd w:fill="FFC7CE" w:val="clear"/>
          </w:tcPr>
          <w:p>
            <w:r>
              <w:rPr>
                <w:b/>
                <w:color w:val="B40000"/>
                <w:sz w:val="16"/>
              </w:rPr>
              <w:t>-51.28%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-54.08%</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3,375</w:t>
            </w:r>
          </w:p>
        </w:tc>
        <w:tc>
          <w:tcPr>
            <w:tcW w:type="dxa" w:w="1417"/>
            <w:shd w:fill="FFFFFF" w:val="clear"/>
          </w:tcPr>
          <w:p>
            <w:r>
              <w:rPr>
                <w:sz w:val="16"/>
              </w:rPr>
              <w:t>1,548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5,865</w:t>
            </w:r>
          </w:p>
        </w:tc>
        <w:tc>
          <w:tcPr>
            <w:tcW w:type="dxa" w:w="1417"/>
            <w:shd w:fill="FFFFFF" w:val="clear"/>
          </w:tcPr>
          <w:p>
            <w:r>
              <w:rPr>
                <w:sz w:val="16"/>
              </w:rPr>
              <w:t>2,690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3,197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+0.82%</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μ=3,210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β=0.2535 (Défensif) — Cov=0.000009, Var(idx)=0.000036,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3,396</w:t>
            </w:r>
          </w:p>
        </w:tc>
        <w:tc>
          <w:tcPr>
            <w:tcW w:type="dxa" w:w="1440"/>
            <w:shd w:fill="FFDCE0" w:val="clear"/>
          </w:tcPr>
          <w:p>
            <w:r>
              <w:rPr>
                <w:b/>
                <w:sz w:val="17"/>
              </w:rPr>
              <w:t>3,585</w:t>
            </w:r>
          </w:p>
        </w:tc>
        <w:tc>
          <w:tcPr>
            <w:tcW w:type="dxa" w:w="1440"/>
            <w:shd w:fill="FFDCE0" w:val="clear"/>
          </w:tcPr>
          <w:p>
            <w:r>
              <w:rPr>
                <w:sz w:val="17"/>
              </w:rPr>
              <w:t>3,773</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3,248</w:t>
            </w:r>
          </w:p>
        </w:tc>
        <w:tc>
          <w:tcPr>
            <w:tcW w:type="dxa" w:w="1440"/>
            <w:shd w:fill="FFDCE0" w:val="clear"/>
          </w:tcPr>
          <w:p>
            <w:r>
              <w:rPr>
                <w:b/>
                <w:sz w:val="17"/>
              </w:rPr>
              <w:t>3,509</w:t>
            </w:r>
          </w:p>
        </w:tc>
        <w:tc>
          <w:tcPr>
            <w:tcW w:type="dxa" w:w="1440"/>
            <w:shd w:fill="FFDCE0" w:val="clear"/>
          </w:tcPr>
          <w:p>
            <w:r>
              <w:rPr>
                <w:sz w:val="17"/>
              </w:rPr>
              <w:t>3,770</w:t>
            </w:r>
          </w:p>
        </w:tc>
        <w:tc>
          <w:tcPr>
            <w:tcW w:type="dxa" w:w="1440"/>
            <w:shd w:fill="FFDCE0" w:val="clear"/>
          </w:tcPr>
          <w:p>
            <w:r>
              <w:rPr>
                <w:b/>
                <w:color w:val="C00000"/>
                <w:sz w:val="17"/>
              </w:rPr>
              <w:t>-4.9%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3,122</w:t>
            </w:r>
          </w:p>
        </w:tc>
        <w:tc>
          <w:tcPr>
            <w:tcW w:type="dxa" w:w="1440"/>
            <w:shd w:fill="FFDCE0" w:val="clear"/>
          </w:tcPr>
          <w:p>
            <w:r>
              <w:rPr>
                <w:b/>
                <w:sz w:val="17"/>
              </w:rPr>
              <w:t>3,434</w:t>
            </w:r>
          </w:p>
        </w:tc>
        <w:tc>
          <w:tcPr>
            <w:tcW w:type="dxa" w:w="1440"/>
            <w:shd w:fill="FFDCE0" w:val="clear"/>
          </w:tcPr>
          <w:p>
            <w:r>
              <w:rPr>
                <w:sz w:val="17"/>
              </w:rPr>
              <w:t>3,747</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3,016</w:t>
            </w:r>
          </w:p>
        </w:tc>
        <w:tc>
          <w:tcPr>
            <w:tcW w:type="dxa" w:w="1440"/>
            <w:shd w:fill="FFDCE0" w:val="clear"/>
          </w:tcPr>
          <w:p>
            <w:r>
              <w:rPr>
                <w:b/>
                <w:sz w:val="17"/>
              </w:rPr>
              <w:t>3,371</w:t>
            </w:r>
          </w:p>
        </w:tc>
        <w:tc>
          <w:tcPr>
            <w:tcW w:type="dxa" w:w="1440"/>
            <w:shd w:fill="FFDCE0" w:val="clear"/>
          </w:tcPr>
          <w:p>
            <w:r>
              <w:rPr>
                <w:sz w:val="17"/>
              </w:rPr>
              <w:t>3,725</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2,924</w:t>
            </w:r>
          </w:p>
        </w:tc>
        <w:tc>
          <w:tcPr>
            <w:tcW w:type="dxa" w:w="1440"/>
            <w:shd w:fill="FFDCE0" w:val="clear"/>
          </w:tcPr>
          <w:p>
            <w:r>
              <w:rPr>
                <w:b/>
                <w:sz w:val="17"/>
              </w:rPr>
              <w:t>3,314</w:t>
            </w:r>
          </w:p>
        </w:tc>
        <w:tc>
          <w:tcPr>
            <w:tcW w:type="dxa" w:w="1440"/>
            <w:shd w:fill="FFDCE0" w:val="clear"/>
          </w:tcPr>
          <w:p>
            <w:r>
              <w:rPr>
                <w:sz w:val="17"/>
              </w:rPr>
              <w:t>3,704</w:t>
            </w:r>
          </w:p>
        </w:tc>
        <w:tc>
          <w:tcPr>
            <w:tcW w:type="dxa" w:w="1440"/>
            <w:shd w:fill="FFDCE0" w:val="clear"/>
          </w:tcPr>
          <w:p>
            <w:r>
              <w:rPr>
                <w:b/>
                <w:color w:val="C00000"/>
                <w:sz w:val="17"/>
              </w:rPr>
              <w:t>-10.2%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2,842</w:t>
            </w:r>
          </w:p>
        </w:tc>
        <w:tc>
          <w:tcPr>
            <w:tcW w:type="dxa" w:w="1440"/>
            <w:shd w:fill="FFDCE0" w:val="clear"/>
          </w:tcPr>
          <w:p>
            <w:r>
              <w:rPr>
                <w:b/>
                <w:sz w:val="17"/>
              </w:rPr>
              <w:t>3,262</w:t>
            </w:r>
          </w:p>
        </w:tc>
        <w:tc>
          <w:tcPr>
            <w:tcW w:type="dxa" w:w="1440"/>
            <w:shd w:fill="FFDCE0" w:val="clear"/>
          </w:tcPr>
          <w:p>
            <w:r>
              <w:rPr>
                <w:sz w:val="17"/>
              </w:rPr>
              <w:t>3,682</w:t>
            </w:r>
          </w:p>
        </w:tc>
        <w:tc>
          <w:tcPr>
            <w:tcW w:type="dxa" w:w="1440"/>
            <w:shd w:fill="FFDCE0" w:val="clear"/>
          </w:tcPr>
          <w:p>
            <w:r>
              <w:rPr>
                <w:b/>
                <w:color w:val="C00000"/>
                <w:sz w:val="17"/>
              </w:rPr>
              <w:t>-11.6%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2,766</w:t>
            </w:r>
          </w:p>
        </w:tc>
        <w:tc>
          <w:tcPr>
            <w:tcW w:type="dxa" w:w="1440"/>
            <w:shd w:fill="FFDCE0" w:val="clear"/>
          </w:tcPr>
          <w:p>
            <w:r>
              <w:rPr>
                <w:b/>
                <w:sz w:val="17"/>
              </w:rPr>
              <w:t>3,213</w:t>
            </w:r>
          </w:p>
        </w:tc>
        <w:tc>
          <w:tcPr>
            <w:tcW w:type="dxa" w:w="1440"/>
            <w:shd w:fill="FFDCE0" w:val="clear"/>
          </w:tcPr>
          <w:p>
            <w:r>
              <w:rPr>
                <w:sz w:val="17"/>
              </w:rPr>
              <w:t>3,660</w:t>
            </w:r>
          </w:p>
        </w:tc>
        <w:tc>
          <w:tcPr>
            <w:tcW w:type="dxa" w:w="1440"/>
            <w:shd w:fill="FFDCE0" w:val="clear"/>
          </w:tcPr>
          <w:p>
            <w:r>
              <w:rPr>
                <w:b/>
                <w:color w:val="C00000"/>
                <w:sz w:val="17"/>
              </w:rPr>
              <w:t>-12.9%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2,696</w:t>
            </w:r>
          </w:p>
        </w:tc>
        <w:tc>
          <w:tcPr>
            <w:tcW w:type="dxa" w:w="1440"/>
            <w:shd w:fill="FFDCE0" w:val="clear"/>
          </w:tcPr>
          <w:p>
            <w:r>
              <w:rPr>
                <w:b/>
                <w:sz w:val="17"/>
              </w:rPr>
              <w:t>3,168</w:t>
            </w:r>
          </w:p>
        </w:tc>
        <w:tc>
          <w:tcPr>
            <w:tcW w:type="dxa" w:w="1440"/>
            <w:shd w:fill="FFDCE0" w:val="clear"/>
          </w:tcPr>
          <w:p>
            <w:r>
              <w:rPr>
                <w:sz w:val="17"/>
              </w:rPr>
              <w:t>3,639</w:t>
            </w:r>
          </w:p>
        </w:tc>
        <w:tc>
          <w:tcPr>
            <w:tcW w:type="dxa" w:w="1440"/>
            <w:shd w:fill="FFDCE0" w:val="clear"/>
          </w:tcPr>
          <w:p>
            <w:r>
              <w:rPr>
                <w:b/>
                <w:color w:val="C00000"/>
                <w:sz w:val="17"/>
              </w:rPr>
              <w:t>-14.2%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2,631</w:t>
            </w:r>
          </w:p>
        </w:tc>
        <w:tc>
          <w:tcPr>
            <w:tcW w:type="dxa" w:w="1440"/>
            <w:shd w:fill="FFDCE0" w:val="clear"/>
          </w:tcPr>
          <w:p>
            <w:r>
              <w:rPr>
                <w:b/>
                <w:sz w:val="17"/>
              </w:rPr>
              <w:t>3,124</w:t>
            </w:r>
          </w:p>
        </w:tc>
        <w:tc>
          <w:tcPr>
            <w:tcW w:type="dxa" w:w="1440"/>
            <w:shd w:fill="FFDCE0" w:val="clear"/>
          </w:tcPr>
          <w:p>
            <w:r>
              <w:rPr>
                <w:sz w:val="17"/>
              </w:rPr>
              <w:t>3,617</w:t>
            </w:r>
          </w:p>
        </w:tc>
        <w:tc>
          <w:tcPr>
            <w:tcW w:type="dxa" w:w="1440"/>
            <w:shd w:fill="FFDCE0" w:val="clear"/>
          </w:tcPr>
          <w:p>
            <w:r>
              <w:rPr>
                <w:b/>
                <w:color w:val="C00000"/>
                <w:sz w:val="17"/>
              </w:rPr>
              <w:t>-15.3%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2,570</w:t>
            </w:r>
          </w:p>
        </w:tc>
        <w:tc>
          <w:tcPr>
            <w:tcW w:type="dxa" w:w="1440"/>
            <w:shd w:fill="FFDCE0" w:val="clear"/>
          </w:tcPr>
          <w:p>
            <w:r>
              <w:rPr>
                <w:b/>
                <w:sz w:val="17"/>
              </w:rPr>
              <w:t>3,083</w:t>
            </w:r>
          </w:p>
        </w:tc>
        <w:tc>
          <w:tcPr>
            <w:tcW w:type="dxa" w:w="1440"/>
            <w:shd w:fill="FFDCE0" w:val="clear"/>
          </w:tcPr>
          <w:p>
            <w:r>
              <w:rPr>
                <w:sz w:val="17"/>
              </w:rPr>
              <w:t>3,596</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28 avril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40,27 milliards FCFA, un niveau significatif qui la positionne comme une valeur de taille moyenne sur la BRVM. Avec un BPA de 124 FCFA, le titre se paie actuellement 29,8 fois ses bénéfices (PER), un niveau très supérieur à la moyenne historique du marché (~8-12x), ce qui traduit des anticipations de croissance élevées ou une possible surévaluation. Le ratio P/B de 7,80x est particulièrement exigeant, indiquant que le marché valorise l'actif net comptable avec une prime de plus de 680%. Enfin, l'EV/EBITDA de 15,3x confirme cette tendance : les investisseurs paient un prix élevé pour la capacité opérationnelle de l'entreprise, ce qui laisse peu de marge d'erreur en cas de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progression modeste de +0,82%, avec une dernière séance stable (0,00%). Le cours a évolué dans une fourchette de 980 FCFA, oscillant entre un plus bas de 2 800 FCFA et un plus haut de 3 780 FCFA, démontrant une amplitude de trading non négligeable. La moyenne du cours (3 210 FCFA) est légèrement supérieure à la médiane (3 182 FCFA), avec un skewness positif de 0,299, indiquant une distribution quasi symétrique avec une légère queue vers les hauts. L'écart-type de 233 FCFA (CV=7,3%) révèle une dispersion modérée autour de la moyenne. Le kurtosis de -0,670 (mésokurtique) suggère l'absence de mouvements extrêmes ou de pics de volatilité inhabituels. La volatilité annualisée de 49,2% est très élevée (&gt;30%), signalant un risque de prix substantiel pour les investisseurs, malgré une tendance de fond qui reste haussière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(3 690 FCFA) se positionne nettement au-dessus de la MM20 (3 247 FCFA) et de la MM50 (3 209,5 FCFA). Cette configuration haussière, où le prix évolue au-dessus des deux moyennes, confirme une dynamique positive à court et moyen terme. L'écart de plus de 13% entre le cours et la MM50 indique une phase d'accélération, mais aussi un potentiel de correction si le titre devait revenir vers ses moyennes.</w:t>
      </w:r>
    </w:p>
    <w:p>
      <w:pPr>
        <w:spacing w:after="120" w:line="276" w:lineRule="auto"/>
      </w:pPr>
      <w:r>
        <w:t>**Bandes de Bollinger** : Le prix se situe à 3 690 FCFA, proche de la borne supérieure (3 778 FCFA) et très éloigné de la borne inférieure (2 715 FCFA). Cette position indique que le titre est en zone de surachat technique, la volatilité étant élevée. La décision "Neutre" suggère que le marché laisse le titre évoluer dans la partie haute des bandes, mais une cassure au-delà de la borne supérieure serait nécessaire pour confirmer la poursuite du mouvement haussier.</w:t>
      </w:r>
    </w:p>
    <w:p>
      <w:pPr>
        <w:spacing w:after="120" w:line="276" w:lineRule="auto"/>
      </w:pPr>
      <w:r>
        <w:t>**MACD** : Le MACD (143,898) est nettement supérieur à sa ligne de signal (84,353), avec un écart positif de 59,5 points. Cette divergence positive confirme un momentum haussier solide. La décision "Achat" est justifiée par cette configuration, qui indique que la dynamique haussière s'accélère et que les acheteurs gardent le contrôle.</w:t>
      </w:r>
    </w:p>
    <w:p>
      <w:pPr>
        <w:spacing w:after="120" w:line="276" w:lineRule="auto"/>
      </w:pPr>
      <w:r>
        <w:t>**RSI** : À 91,46, le RSI est extrêmement élevé, bien au-delà du seuil de surachat (70). Cette valeur indique une pression acheteuse excessive et un marché survendu à la hausse. La décision "Vente" est pertinente car un tel niveau précède souvent une correction technique, les investisseurs pouvant être tentés de prendre leurs profits.</w:t>
      </w:r>
    </w:p>
    <w:p>
      <w:pPr>
        <w:spacing w:after="120" w:line="276" w:lineRule="auto"/>
      </w:pPr>
      <w:r>
        <w:t>**Stochastique** : Le %K et le %D sont tous deux à 100, un niveau extrême de surachat. Cette configuration signale que le titre est en territoire dangereusement surévalué à court terme. La décision "Vente" est cohérente avec cette lecture, car un retournement est statistiquement probable.</w:t>
      </w:r>
    </w:p>
    <w:p>
      <w:pPr>
        <w:spacing w:after="120" w:line="276" w:lineRule="auto"/>
      </w:pPr>
      <w:r>
        <w:t>**Conclusion technique** : Les indicateurs de tendance (MM, MACD) sont résolument haussiers, mais les oscillateurs (RSI, Stochastique) crient au surachat extrême. Cette divergence classique suggère qu'un repli technique est probable à court terme, mais que la tendance de fond pourrait rester positive après une phase de consolidation.</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entreprise rentable mais en perte de vitesse sur le plan de la croissance. Le chiffre d'affaires s'établit à 13,298 milliards FCFA, en hausse de 6,7% par rapport à 2024, mais le résultat net recule à 1,351 milliard FCFA (-12,1% vs 2024), principalement en raison d'une charge d'impôt en forte augmentation (+46,7%). La marge nette se dégrade à 10,2%, contre 12,1% en 2024. Les ratios de rentabilité restent néanmoins excellents : le ROE atteint 26,2% et le ROA 14,6%, témoignant d'une utilisation efficace des capitaux propres et des actifs. La structure financière est saine avec une autonomie financière de 55,9% et une trésorerie nette de 4,035 milliards FCFA. Le BFR de 257 millions FCFA est positif mais faible, et les délais clients (70 jours) et fournisseurs (92 jours) sont correctement gérés. Les rapports trimestriels 2025 montrent une trajectoire contrastée : le T1 a été pénalisé par un litige avec la BCEAO et des charges exceptionnelles (résultat net en baisse de 6,8%), tandis que le T3 a enregistré un net redressement (+17,1% de résultat net). Le rapport T1 2026 (publié en 2026) est préoccupant : le résultat net chute de 35,6% à 222,6 millions FCFA, impacté par les ajustements de redevances aéroportuaires. Sur la base de ces éléments, on estime que l'exercice 2026 pourrait voir un résultat net compris entre 900 millions et 1,1 milliard FCFA, soit une baisse de 20 à 35% par rapport à 2025. La solidité bilancielle et la position dominante de Servair Abidjan sur son marché restent des atouts, mais la pression sur les marges et l'environnement réglementaire incitent à la prudence.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une situation contrastée. La valorisation (PER 29,8x, P/B 7,8x, EV/EBITDA 15,3x) est clairement exigeante, laissant peu de marge de sécurité. Le comportement du cours sur 100 jours montre une tendance haussière mais avec une volatilité très élevée (49,2%) et des statistiques indiquant une distribution relativement normale. Les signaux techniques sont contradictoires : les indicateurs de tendance (MM, MACD) sont positifs, mais les oscillateurs (RSI 91,5, Stochastique 100) signalent un surachat extrême, annonçant une correction probable. Les fondamentaux, bien que solides (ROE 26,2%, trésorerie abondante), montrent une dégradation de la rentabilité en 2025 et surtout au T1 2026 (-35,6% de résultat net), avec des perspectives incertaines. Les prédictions IA (3 585 FCFA à J+1, puis baisse progressive à 3 314 FCFA à J+10) confirment cette anticipation de correction, avec un repli potentiel de 10% en dix séances. **Recommandation : VENTE** à court terme, avec un niveau de confiance **Moyen** et un risque global **Élevé**. L'horizon d'investissement optimal serait de **moyen terme (3-12 mois)** pour réévaluer la valeur après une phase de correction, en surveillant l'évolution du litige réglementaire et la capacité de l'entreprise à restaurer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11,726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8,510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18.57% (Élevée) — μ=6,175 FCFA, σ=1,147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β=0.2562 (Défensif) — Cov=0.000009, Var(idx)=0.000036, ρ=0.080,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11,726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7,520</w:t>
            </w:r>
          </w:p>
        </w:tc>
        <w:tc>
          <w:tcPr>
            <w:tcW w:type="dxa" w:w="1440"/>
            <w:shd w:fill="FFDCE0" w:val="clear"/>
          </w:tcPr>
          <w:p>
            <w:r>
              <w:rPr>
                <w:b/>
                <w:sz w:val="17"/>
              </w:rPr>
              <w:t>7,862</w:t>
            </w:r>
          </w:p>
        </w:tc>
        <w:tc>
          <w:tcPr>
            <w:tcW w:type="dxa" w:w="1440"/>
            <w:shd w:fill="FFDCE0" w:val="clear"/>
          </w:tcPr>
          <w:p>
            <w:r>
              <w:rPr>
                <w:sz w:val="17"/>
              </w:rPr>
              <w:t>8,205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6,825</w:t>
            </w:r>
          </w:p>
        </w:tc>
        <w:tc>
          <w:tcPr>
            <w:tcW w:type="dxa" w:w="1440"/>
            <w:shd w:fill="FFDCE0" w:val="clear"/>
          </w:tcPr>
          <w:p>
            <w:r>
              <w:rPr>
                <w:b/>
                <w:sz w:val="17"/>
              </w:rPr>
              <w:t>7,273</w:t>
            </w:r>
          </w:p>
        </w:tc>
        <w:tc>
          <w:tcPr>
            <w:tcW w:type="dxa" w:w="1440"/>
            <w:shd w:fill="FFDCE0" w:val="clear"/>
          </w:tcPr>
          <w:p>
            <w:r>
              <w:rPr>
                <w:sz w:val="17"/>
              </w:rPr>
              <w:t>7,720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6,220</w:t>
            </w:r>
          </w:p>
        </w:tc>
        <w:tc>
          <w:tcPr>
            <w:tcW w:type="dxa" w:w="1440"/>
            <w:shd w:fill="FFDCE0" w:val="clear"/>
          </w:tcPr>
          <w:p>
            <w:r>
              <w:rPr>
                <w:b/>
                <w:sz w:val="17"/>
              </w:rPr>
              <w:t>6,727</w:t>
            </w:r>
          </w:p>
        </w:tc>
        <w:tc>
          <w:tcPr>
            <w:tcW w:type="dxa" w:w="1440"/>
            <w:shd w:fill="FFDCE0" w:val="clear"/>
          </w:tcPr>
          <w:p>
            <w:r>
              <w:rPr>
                <w:sz w:val="17"/>
              </w:rPr>
              <w:t>7,234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5,702</w:t>
            </w:r>
          </w:p>
        </w:tc>
        <w:tc>
          <w:tcPr>
            <w:tcW w:type="dxa" w:w="1440"/>
            <w:shd w:fill="FFDCE0" w:val="clear"/>
          </w:tcPr>
          <w:p>
            <w:r>
              <w:rPr>
                <w:b/>
                <w:sz w:val="17"/>
              </w:rPr>
              <w:t>6,245</w:t>
            </w:r>
          </w:p>
        </w:tc>
        <w:tc>
          <w:tcPr>
            <w:tcW w:type="dxa" w:w="1440"/>
            <w:shd w:fill="FFDCE0" w:val="clear"/>
          </w:tcPr>
          <w:p>
            <w:r>
              <w:rPr>
                <w:sz w:val="17"/>
              </w:rPr>
              <w:t>6,789</w:t>
            </w:r>
          </w:p>
        </w:tc>
        <w:tc>
          <w:tcPr>
            <w:tcW w:type="dxa" w:w="1440"/>
            <w:shd w:fill="FFDCE0" w:val="clear"/>
          </w:tcPr>
          <w:p>
            <w:r>
              <w:rPr>
                <w:b/>
                <w:color w:val="C00000"/>
                <w:sz w:val="17"/>
              </w:rPr>
              <w:t>-26.5%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5,486</w:t>
            </w:r>
          </w:p>
        </w:tc>
        <w:tc>
          <w:tcPr>
            <w:tcW w:type="dxa" w:w="1440"/>
            <w:shd w:fill="FFDCE0" w:val="clear"/>
          </w:tcPr>
          <w:p>
            <w:r>
              <w:rPr>
                <w:b/>
                <w:sz w:val="17"/>
              </w:rPr>
              <w:t>6,077</w:t>
            </w:r>
          </w:p>
        </w:tc>
        <w:tc>
          <w:tcPr>
            <w:tcW w:type="dxa" w:w="1440"/>
            <w:shd w:fill="FFDCE0" w:val="clear"/>
          </w:tcPr>
          <w:p>
            <w:r>
              <w:rPr>
                <w:sz w:val="17"/>
              </w:rPr>
              <w:t>6,668</w:t>
            </w:r>
          </w:p>
        </w:tc>
        <w:tc>
          <w:tcPr>
            <w:tcW w:type="dxa" w:w="1440"/>
            <w:shd w:fill="FFDCE0" w:val="clear"/>
          </w:tcPr>
          <w:p>
            <w:r>
              <w:rPr>
                <w:b/>
                <w:color w:val="C00000"/>
                <w:sz w:val="17"/>
              </w:rPr>
              <w:t>-28.5%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5,298</w:t>
            </w:r>
          </w:p>
        </w:tc>
        <w:tc>
          <w:tcPr>
            <w:tcW w:type="dxa" w:w="1440"/>
            <w:shd w:fill="FFDCE0" w:val="clear"/>
          </w:tcPr>
          <w:p>
            <w:r>
              <w:rPr>
                <w:b/>
                <w:sz w:val="17"/>
              </w:rPr>
              <w:t>5,930</w:t>
            </w:r>
          </w:p>
        </w:tc>
        <w:tc>
          <w:tcPr>
            <w:tcW w:type="dxa" w:w="1440"/>
            <w:shd w:fill="FFDCE0" w:val="clear"/>
          </w:tcPr>
          <w:p>
            <w:r>
              <w:rPr>
                <w:sz w:val="17"/>
              </w:rPr>
              <w:t>6,562</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5,135</w:t>
            </w:r>
          </w:p>
        </w:tc>
        <w:tc>
          <w:tcPr>
            <w:tcW w:type="dxa" w:w="1440"/>
            <w:shd w:fill="FFDCE0" w:val="clear"/>
          </w:tcPr>
          <w:p>
            <w:r>
              <w:rPr>
                <w:b/>
                <w:sz w:val="17"/>
              </w:rPr>
              <w:t>5,803</w:t>
            </w:r>
          </w:p>
        </w:tc>
        <w:tc>
          <w:tcPr>
            <w:tcW w:type="dxa" w:w="1440"/>
            <w:shd w:fill="FFDCE0" w:val="clear"/>
          </w:tcPr>
          <w:p>
            <w:r>
              <w:rPr>
                <w:sz w:val="17"/>
              </w:rPr>
              <w:t>6,471</w:t>
            </w:r>
          </w:p>
        </w:tc>
        <w:tc>
          <w:tcPr>
            <w:tcW w:type="dxa" w:w="1440"/>
            <w:shd w:fill="FFDCE0" w:val="clear"/>
          </w:tcPr>
          <w:p>
            <w:r>
              <w:rPr>
                <w:b/>
                <w:color w:val="C00000"/>
                <w:sz w:val="17"/>
              </w:rPr>
              <w:t>-31.7%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4,992</w:t>
            </w:r>
          </w:p>
        </w:tc>
        <w:tc>
          <w:tcPr>
            <w:tcW w:type="dxa" w:w="1440"/>
            <w:shd w:fill="FFDCE0" w:val="clear"/>
          </w:tcPr>
          <w:p>
            <w:r>
              <w:rPr>
                <w:b/>
                <w:sz w:val="17"/>
              </w:rPr>
              <w:t>5,693</w:t>
            </w:r>
          </w:p>
        </w:tc>
        <w:tc>
          <w:tcPr>
            <w:tcW w:type="dxa" w:w="1440"/>
            <w:shd w:fill="FFDCE0" w:val="clear"/>
          </w:tcPr>
          <w:p>
            <w:r>
              <w:rPr>
                <w:sz w:val="17"/>
              </w:rPr>
              <w:t>6,393</w:t>
            </w:r>
          </w:p>
        </w:tc>
        <w:tc>
          <w:tcPr>
            <w:tcW w:type="dxa" w:w="1440"/>
            <w:shd w:fill="FFDCE0" w:val="clear"/>
          </w:tcPr>
          <w:p>
            <w:r>
              <w:rPr>
                <w:b/>
                <w:color w:val="C00000"/>
                <w:sz w:val="17"/>
              </w:rPr>
              <w:t>-33.0%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4,867</w:t>
            </w:r>
          </w:p>
        </w:tc>
        <w:tc>
          <w:tcPr>
            <w:tcW w:type="dxa" w:w="1440"/>
            <w:shd w:fill="FFDCE0" w:val="clear"/>
          </w:tcPr>
          <w:p>
            <w:r>
              <w:rPr>
                <w:b/>
                <w:sz w:val="17"/>
              </w:rPr>
              <w:t>5,598</w:t>
            </w:r>
          </w:p>
        </w:tc>
        <w:tc>
          <w:tcPr>
            <w:tcW w:type="dxa" w:w="1440"/>
            <w:shd w:fill="FFDCE0" w:val="clear"/>
          </w:tcPr>
          <w:p>
            <w:r>
              <w:rPr>
                <w:sz w:val="17"/>
              </w:rPr>
              <w:t>6,328</w:t>
            </w:r>
          </w:p>
        </w:tc>
        <w:tc>
          <w:tcPr>
            <w:tcW w:type="dxa" w:w="1440"/>
            <w:shd w:fill="FFDCE0" w:val="clear"/>
          </w:tcPr>
          <w:p>
            <w:r>
              <w:rPr>
                <w:b/>
                <w:color w:val="C00000"/>
                <w:sz w:val="17"/>
              </w:rPr>
              <w:t>-34.1%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4,756</w:t>
            </w:r>
          </w:p>
        </w:tc>
        <w:tc>
          <w:tcPr>
            <w:tcW w:type="dxa" w:w="1440"/>
            <w:shd w:fill="FFDCE0" w:val="clear"/>
          </w:tcPr>
          <w:p>
            <w:r>
              <w:rPr>
                <w:b/>
                <w:sz w:val="17"/>
              </w:rPr>
              <w:t>5,515</w:t>
            </w:r>
          </w:p>
        </w:tc>
        <w:tc>
          <w:tcPr>
            <w:tcW w:type="dxa" w:w="1440"/>
            <w:shd w:fill="FFDCE0" w:val="clear"/>
          </w:tcPr>
          <w:p>
            <w:r>
              <w:rPr>
                <w:sz w:val="17"/>
              </w:rPr>
              <w:t>6,274</w:t>
            </w:r>
          </w:p>
        </w:tc>
        <w:tc>
          <w:tcPr>
            <w:tcW w:type="dxa" w:w="1440"/>
            <w:shd w:fill="FFDCE0" w:val="clear"/>
          </w:tcPr>
          <w:p>
            <w:r>
              <w:rPr>
                <w:b/>
                <w:color w:val="C00000"/>
                <w:sz w:val="17"/>
              </w:rPr>
              <w:t>-35.1%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490,96 milliards FCFA, positionnant le titre parmi les valeurs moyennes à grandes capitalisations de la BRVM. Avec un BPA de 627 FCFA, le PER de 13,5x se situe au-dessus de la moyenne historique de la place (~8-12x), indiquant que les investisseurs acceptent de payer une prime pour la croissance future de la banque. Le P/B de 3,63x confirme cette prime, le marché valorisant nettement au-dessus de la valeur comptable des actifs, ce qui reflète une anticipation de rentabilité soutenue. Enfin, l'EV/EBITDA de 24,1x, bien supérieur au seuil de 15x, témoigne d'une valorisation exigeante qui intègre déjà des hypothèses de performance opérationnelle élevée. Ces ratios suggèrent que le marché a largement anticipé les bons résultats de l'entreprise, laissant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+63,46%, avec une dernière séance quasi stable (-0,12%) à 8 500 FCFA. Le cours a évolué dans une fourchette très large, entre un plus bas de 5 100 FCFA et un plus haut de 8 510 FCFA, démontrant une dynamique haussière puissante. La moyenne (6 175 FCFA) étant nettement supérieure à la médiane (5 735 FCFA), la distribution est asymétrique positive (skewness de 0,889), indiquant que le titre a passé la majorité de la période sous sa moyenne avant de connaître une forte accélération récente. L'écart-type de 1 152 FCFA (CV=18,7%) révèle une dispersion modérée, tandis que le kurtosis de -0,669 (mésokurtique) suggère une distribution proche de la normale, sans risque de pics extrêmes. La volatilité annualisée de 30,6% classe le titre dans la catégorie élevée, reflétant un profil de risque marqué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8 500 FCFA se positionne nettement au-dessus de la MM20 (8 107,5 FCFA) et de la MM50 (7 077,2 FCFA), confirmant une tendance haussière solide à court et moyen terme. L'écart positif entre le prix et les moyennes mobiles valide la dynamique positive, justifiant la décision d'achat.</w:t>
      </w:r>
    </w:p>
    <w:p>
      <w:pPr>
        <w:spacing w:after="120" w:line="276" w:lineRule="auto"/>
      </w:pPr>
      <w:r>
        <w:t>**Bandes de Bollinger** : Le prix se situe à 8 500 FCFA, proche de la borne supérieure (8 902,8 FCFA) mais en dessous, indiquant une pression acheteuse soutenue sans atteindre la zone de surachat extrême. La largeur des bandes reflète une volatilité élevée, et la position du cours suggère une poursuite possible de la tendance, d'où la décision neutre.</w:t>
      </w:r>
    </w:p>
    <w:p>
      <w:pPr>
        <w:spacing w:after="120" w:line="276" w:lineRule="auto"/>
      </w:pPr>
      <w:r>
        <w:t>**MACD** : La valeur du MACD (417,3) est inférieure à son signal (448,2), indiquant un ralentissement du momentum haussier. Cette divergence négative, bien que légère, suggère une possible consolidation à court terme, justifiant la décision de vente.</w:t>
      </w:r>
    </w:p>
    <w:p>
      <w:pPr>
        <w:spacing w:after="120" w:line="276" w:lineRule="auto"/>
      </w:pPr>
      <w:r>
        <w:t>**RSI** : À 75,9, le RSI se trouve en zone de surachat (au-dessus de 70), signalant que le titre est techniquement surévalué à court terme. Ce niveau élevé indique un risque de correction, justifiant la décision de vente.</w:t>
      </w:r>
    </w:p>
    <w:p>
      <w:pPr>
        <w:spacing w:after="120" w:line="276" w:lineRule="auto"/>
      </w:pPr>
      <w:r>
        <w:t>**Stochastique** : Le %K (98,8) et le %D (99,6) sont tous deux à des niveaux extrêmement élevés, proches de 100, confirmant une condition de surachat sévère. Cette configuration suggère un essoufflement probable de la hausse, justifiant la décision de vente.</w:t>
      </w:r>
    </w:p>
    <w:p>
      <w:pPr>
        <w:spacing w:after="120" w:line="276" w:lineRule="auto"/>
      </w:pPr>
      <w:r>
        <w:t>**Conclusion technique** : La tendance de fond reste haussière, portée par les moyennes mobiles, mais les oscillateurs (RSI, Stochastique, MACD) signalent tous un épuisement du mouvement à court terme. Le titre apparaît suracheté et vulnérable à une correction technique, même si la tendance de moyen terme demeure positive.</w:t>
      </w:r>
    </w:p>
    <w:p>
      <w:pPr>
        <w:spacing w:after="120" w:line="276" w:lineRule="auto" w:before="240"/>
      </w:pPr>
      <w:r>
        <w:rPr>
          <w:b/>
          <w:color w:val="003366"/>
          <w:sz w:val="24"/>
        </w:rPr>
        <w:t>**PARTIE 3 : ANALYSE FONDAMENTALE (SECTION CRITIQUE)**</w:t>
      </w:r>
    </w:p>
    <w:p>
      <w:pPr>
        <w:spacing w:after="120" w:line="276" w:lineRule="auto"/>
      </w:pPr>
      <w:r>
        <w:t>En 2025, BICB affiche des performances financières solides avec un PNB de 52,805 milliards FCFA, en croissance de 16,5%, et un résultat net de 36,237 milliards FCFA, en hausse de 24,7%. La banque démontre une excellente rentabilité avec un ROE de 26,8% et un ROA de 1,96%, tandis que le coefficient d'exploitation de 31,1% témoigne d'une gestion très efficace des charges. Le coût du risque de 9,6% reste élevé, reflétant une politique de provisionnement prudente face à une expansion rapide des crédits (+37,3% à 1 151,5 milliards FCFA). Le ratio crédits/dépôts de 97,5% indique une transformation tendue, avec des dépôts clients à 1 181 milliards FCFA. Les rapports trimestriels 2025 confirment cette trajectoire : le T3 2025 montre un PNB en hausse de 26% mais un résultat net en baisse de 9% à 13,1 milliards FCFA, en raison du renforcement des provisions. Cependant, le T1 2026 marque un rebond spectaculaire avec un résultat net en progression de 48% à 8,0 milliards FCFA, suggérant une normalisation du coût du risque. Les capitaux propres de 135,1 milliards FCFA et le ratio de solvabilité de 19,64% offrent une marge de sécurité confortable. La recommandation fondamentale est positive, la banque démontrant sa capacité à générer une croissance rentable, malgré des risques de liquidité et de crédit à surveiller.</w:t>
      </w:r>
    </w:p>
    <w:p>
      <w:pPr>
        <w:spacing w:after="120" w:line="276" w:lineRule="auto" w:before="240"/>
      </w:pPr>
      <w:r>
        <w:rPr>
          <w:b/>
          <w:color w:val="003366"/>
          <w:sz w:val="24"/>
        </w:rPr>
        <w:t>**PARTIE 4 : CONCLUSION D'INVESTISSEMENT**</w:t>
      </w:r>
    </w:p>
    <w:p>
      <w:pPr>
        <w:spacing w:after="120" w:line="276" w:lineRule="auto"/>
      </w:pPr>
      <w:r>
        <w:t>La valorisation de BICB (PER 13,5x, P/B 3,63x, EV/EBITDA 24,1x) apparaît exigeante, intégrant déjà les excellentes performances passées. Le comportement du cours sur 100 jours (+63,5%) avec une volatilité élevée (30,6%) et une asymétrie positive reflète un enthousiasme marqué des investisseurs, mais les statistiques suggèrent un risque de consolidation. Les signaux techniques sont mitigés : la tendance de fond reste haussière (MM20/MM50), mais les oscillateurs (RSI 75,9, Stochastique 98,8, MACD en divergence) indiquent un surachat sévère et un essoufflement imminent. Les fondamentaux demeurent solides avec un ROE de 26,8%, une croissance du PNB de 16,5% et un rebond spectaculaire au T1 2026 (+48% du résultat net), mais les risques de crédit et de liquidité persistent. Les prédictions IA (baisse de 8 500 à 6 077 FCFA sur 10 jours) confirment le scénario de correction technique. La convergence entre les signaux techniques surachetés et les prédictions IA suggère une prudence à court terme. **Recommandation finale : VENTE** à court terme pour profiter de la surchauffe, avec un niveau de confiance **Moyen** et un risque global **Élevé**. Horizon optimal : reprendre une position à moyen terme (3-12 mois) après correction, vers 6 500-7 000 FCFA, si les fondamentaux restent solides.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 titres</w:t>
            </w:r>
          </w:p>
        </w:tc>
        <w:tc>
          <w:tcPr>
            <w:tcW w:type="dxa" w:w="2268"/>
            <w:shd w:fill="FFF2CC" w:val="clear"/>
          </w:tcPr>
          <w:p>
            <w:r>
              <w:rPr>
                <w:b/>
                <w:color w:val="503200"/>
                <w:sz w:val="16"/>
              </w:rPr>
              <w:t xml:space="preserve">Cours actuel : </w:t>
            </w:r>
            <w:r>
              <w:rPr>
                <w:color w:val="000000"/>
                <w:sz w:val="17"/>
              </w:rPr>
              <w:t>29,500 FCFA</w:t>
            </w:r>
          </w:p>
          <w:p>
            <w:r>
              <w:rPr>
                <w:b/>
                <w:color w:val="503200"/>
                <w:sz w:val="16"/>
              </w:rPr>
              <w:t xml:space="preserve">Var. 100 jours : </w:t>
            </w:r>
            <w:r>
              <w:rPr>
                <w:b/>
                <w:color w:val="007800"/>
                <w:sz w:val="17"/>
              </w:rPr>
              <w:t>+19.92%</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7.30% (Moyenne) — μ=27,340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β=0.2755 (Défensif) — Cov=0.000010, Var(idx)=0.000036,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28,239</w:t>
            </w:r>
          </w:p>
        </w:tc>
        <w:tc>
          <w:tcPr>
            <w:tcW w:type="dxa" w:w="1440"/>
            <w:shd w:fill="FFDCE0" w:val="clear"/>
          </w:tcPr>
          <w:p>
            <w:r>
              <w:rPr>
                <w:b/>
                <w:sz w:val="17"/>
              </w:rPr>
              <w:t>28,784</w:t>
            </w:r>
          </w:p>
        </w:tc>
        <w:tc>
          <w:tcPr>
            <w:tcW w:type="dxa" w:w="1440"/>
            <w:shd w:fill="FFDCE0" w:val="clear"/>
          </w:tcPr>
          <w:p>
            <w:r>
              <w:rPr>
                <w:sz w:val="17"/>
              </w:rPr>
              <w:t>29,330</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27,740</w:t>
            </w:r>
          </w:p>
        </w:tc>
        <w:tc>
          <w:tcPr>
            <w:tcW w:type="dxa" w:w="1440"/>
            <w:shd w:fill="FFDCE0" w:val="clear"/>
          </w:tcPr>
          <w:p>
            <w:r>
              <w:rPr>
                <w:b/>
                <w:sz w:val="17"/>
              </w:rPr>
              <w:t>28,504</w:t>
            </w:r>
          </w:p>
        </w:tc>
        <w:tc>
          <w:tcPr>
            <w:tcW w:type="dxa" w:w="1440"/>
            <w:shd w:fill="FFDCE0" w:val="clear"/>
          </w:tcPr>
          <w:p>
            <w:r>
              <w:rPr>
                <w:sz w:val="17"/>
              </w:rPr>
              <w:t>29,268</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27,254</w:t>
            </w:r>
          </w:p>
        </w:tc>
        <w:tc>
          <w:tcPr>
            <w:tcW w:type="dxa" w:w="1440"/>
            <w:shd w:fill="FFDCE0" w:val="clear"/>
          </w:tcPr>
          <w:p>
            <w:r>
              <w:rPr>
                <w:b/>
                <w:sz w:val="17"/>
              </w:rPr>
              <w:t>28,179</w:t>
            </w:r>
          </w:p>
        </w:tc>
        <w:tc>
          <w:tcPr>
            <w:tcW w:type="dxa" w:w="1440"/>
            <w:shd w:fill="FFDCE0" w:val="clear"/>
          </w:tcPr>
          <w:p>
            <w:r>
              <w:rPr>
                <w:sz w:val="17"/>
              </w:rPr>
              <w:t>29,104</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26,832</w:t>
            </w:r>
          </w:p>
        </w:tc>
        <w:tc>
          <w:tcPr>
            <w:tcW w:type="dxa" w:w="1440"/>
            <w:shd w:fill="FFDCE0" w:val="clear"/>
          </w:tcPr>
          <w:p>
            <w:r>
              <w:rPr>
                <w:b/>
                <w:sz w:val="17"/>
              </w:rPr>
              <w:t>27,889</w:t>
            </w:r>
          </w:p>
        </w:tc>
        <w:tc>
          <w:tcPr>
            <w:tcW w:type="dxa" w:w="1440"/>
            <w:shd w:fill="FFDCE0" w:val="clear"/>
          </w:tcPr>
          <w:p>
            <w:r>
              <w:rPr>
                <w:sz w:val="17"/>
              </w:rPr>
              <w:t>28,946</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26,456</w:t>
            </w:r>
          </w:p>
        </w:tc>
        <w:tc>
          <w:tcPr>
            <w:tcW w:type="dxa" w:w="1440"/>
            <w:shd w:fill="FFDCE0" w:val="clear"/>
          </w:tcPr>
          <w:p>
            <w:r>
              <w:rPr>
                <w:b/>
                <w:sz w:val="17"/>
              </w:rPr>
              <w:t>27,627</w:t>
            </w:r>
          </w:p>
        </w:tc>
        <w:tc>
          <w:tcPr>
            <w:tcW w:type="dxa" w:w="1440"/>
            <w:shd w:fill="FFDCE0" w:val="clear"/>
          </w:tcPr>
          <w:p>
            <w:r>
              <w:rPr>
                <w:sz w:val="17"/>
              </w:rPr>
              <w:t>28,797</w:t>
            </w:r>
          </w:p>
        </w:tc>
        <w:tc>
          <w:tcPr>
            <w:tcW w:type="dxa" w:w="1440"/>
            <w:shd w:fill="FFDCE0" w:val="clear"/>
          </w:tcPr>
          <w:p>
            <w:r>
              <w:rPr>
                <w:b/>
                <w:color w:val="C00000"/>
                <w:sz w:val="17"/>
              </w:rPr>
              <w:t>-6.3%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26,108</w:t>
            </w:r>
          </w:p>
        </w:tc>
        <w:tc>
          <w:tcPr>
            <w:tcW w:type="dxa" w:w="1440"/>
            <w:shd w:fill="FFDCE0" w:val="clear"/>
          </w:tcPr>
          <w:p>
            <w:r>
              <w:rPr>
                <w:b/>
                <w:sz w:val="17"/>
              </w:rPr>
              <w:t>27,379</w:t>
            </w:r>
          </w:p>
        </w:tc>
        <w:tc>
          <w:tcPr>
            <w:tcW w:type="dxa" w:w="1440"/>
            <w:shd w:fill="FFDCE0" w:val="clear"/>
          </w:tcPr>
          <w:p>
            <w:r>
              <w:rPr>
                <w:sz w:val="17"/>
              </w:rPr>
              <w:t>28,650</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25,780</w:t>
            </w:r>
          </w:p>
        </w:tc>
        <w:tc>
          <w:tcPr>
            <w:tcW w:type="dxa" w:w="1440"/>
            <w:shd w:fill="FFDCE0" w:val="clear"/>
          </w:tcPr>
          <w:p>
            <w:r>
              <w:rPr>
                <w:b/>
                <w:sz w:val="17"/>
              </w:rPr>
              <w:t>27,141</w:t>
            </w:r>
          </w:p>
        </w:tc>
        <w:tc>
          <w:tcPr>
            <w:tcW w:type="dxa" w:w="1440"/>
            <w:shd w:fill="FFDCE0" w:val="clear"/>
          </w:tcPr>
          <w:p>
            <w:r>
              <w:rPr>
                <w:sz w:val="17"/>
              </w:rPr>
              <w:t>28,502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25,469</w:t>
            </w:r>
          </w:p>
        </w:tc>
        <w:tc>
          <w:tcPr>
            <w:tcW w:type="dxa" w:w="1440"/>
            <w:shd w:fill="FFDCE0" w:val="clear"/>
          </w:tcPr>
          <w:p>
            <w:r>
              <w:rPr>
                <w:b/>
                <w:sz w:val="17"/>
              </w:rPr>
              <w:t>26,912</w:t>
            </w:r>
          </w:p>
        </w:tc>
        <w:tc>
          <w:tcPr>
            <w:tcW w:type="dxa" w:w="1440"/>
            <w:shd w:fill="FFDCE0" w:val="clear"/>
          </w:tcPr>
          <w:p>
            <w:r>
              <w:rPr>
                <w:sz w:val="17"/>
              </w:rPr>
              <w:t>28,354</w:t>
            </w:r>
          </w:p>
        </w:tc>
        <w:tc>
          <w:tcPr>
            <w:tcW w:type="dxa" w:w="1440"/>
            <w:shd w:fill="FFDCE0" w:val="clear"/>
          </w:tcPr>
          <w:p>
            <w:r>
              <w:rPr>
                <w:b/>
                <w:color w:val="C00000"/>
                <w:sz w:val="17"/>
              </w:rPr>
              <w:t>-8.8%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25,173</w:t>
            </w:r>
          </w:p>
        </w:tc>
        <w:tc>
          <w:tcPr>
            <w:tcW w:type="dxa" w:w="1440"/>
            <w:shd w:fill="FFDCE0" w:val="clear"/>
          </w:tcPr>
          <w:p>
            <w:r>
              <w:rPr>
                <w:b/>
                <w:sz w:val="17"/>
              </w:rPr>
              <w:t>26,691</w:t>
            </w:r>
          </w:p>
        </w:tc>
        <w:tc>
          <w:tcPr>
            <w:tcW w:type="dxa" w:w="1440"/>
            <w:shd w:fill="FFDCE0" w:val="clear"/>
          </w:tcPr>
          <w:p>
            <w:r>
              <w:rPr>
                <w:sz w:val="17"/>
              </w:rPr>
              <w:t>28,208</w:t>
            </w:r>
          </w:p>
        </w:tc>
        <w:tc>
          <w:tcPr>
            <w:tcW w:type="dxa" w:w="1440"/>
            <w:shd w:fill="FFDCE0" w:val="clear"/>
          </w:tcPr>
          <w:p>
            <w:r>
              <w:rPr>
                <w:b/>
                <w:color w:val="C00000"/>
                <w:sz w:val="17"/>
              </w:rPr>
              <w:t>-9.5%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24,891</w:t>
            </w:r>
          </w:p>
        </w:tc>
        <w:tc>
          <w:tcPr>
            <w:tcW w:type="dxa" w:w="1440"/>
            <w:shd w:fill="FFDCE0" w:val="clear"/>
          </w:tcPr>
          <w:p>
            <w:r>
              <w:rPr>
                <w:b/>
                <w:sz w:val="17"/>
              </w:rPr>
              <w:t>26,478</w:t>
            </w:r>
          </w:p>
        </w:tc>
        <w:tc>
          <w:tcPr>
            <w:tcW w:type="dxa" w:w="1440"/>
            <w:shd w:fill="FFDCE0" w:val="clear"/>
          </w:tcPr>
          <w:p>
            <w:r>
              <w:rPr>
                <w:sz w:val="17"/>
              </w:rPr>
              <w:t>28,065</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491,67 milliards FCFA, un niveau significatif qui positionne la banque parmi les valeurs les plus importantes de la BRVM. Avec un BPA de 2 191 FCFA, chaque action génère un bénéfice substantiel. Le PER de 13,5x se situe au-dessus de la moyenne historique de la BRVM (8-12x), indiquant que les investisseurs acceptent de payer une prime pour la qualité de la banque, mais cette prime reste raisonnable compte tenu de la croissance affichée. Le P/B de 4,08x est plus préoccupant, car il traduit une valorisation exigeante par rapport aux capitaux propres comptables, soit plus de quatre fois la valeur nette comptable. Enfin, l'EV/EBITDA de 9,5x, dans la fourchette haute des valeurs raisonnables (5-10x), confirme une valorisation globalement correcte mais sans marge de sécurité évidente.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+19,92%, passant d'un plus bas de 22 500 FCFA à un plus haut de 29 970 FCFA, avant de clôturer à 29 500 FCFA, soit une baisse de -1,57% lors de la dernière séance. La moyenne du cours sur la période (27 340 FCFA) est inférieure à la médiane (28 250 FCFA), ce qui confirme une asymétrie négative (skewness de -0,916) : le titre a passé plus de journées au-dessus de sa moyenne, avec des épisodes de correction rapide. L'écart-type de 2 006 FCFA, soit un coefficient de variation de 7,3%, indique une dispersion modérée autour de la moyenne. Le kurtosis de -0,605 (mésokurtique) suggère l'absence de mouvements extrêmes ou de pics de volatilité inhabituels. La volatilité annualisée de 27,2% classe le titre dans la catégorie modérée (15-30%), reflétant une certaine stabilité tout en conservant un potentiel de mouvement significatif.</w:t>
      </w:r>
    </w:p>
    <w:p>
      <w:pPr>
        <w:spacing w:after="120" w:line="276" w:lineRule="auto" w:before="240"/>
      </w:pPr>
      <w:r>
        <w:rPr>
          <w:b/>
          <w:color w:val="003366"/>
          <w:sz w:val="24"/>
        </w:rPr>
        <w:t>**PARTIE 2 : ANALYSE TECHNIQUE DÉTAILLÉE**</w:t>
      </w:r>
    </w:p>
    <w:p>
      <w:pPr>
        <w:spacing w:after="120" w:line="276" w:lineRule="auto"/>
      </w:pPr>
      <w:r>
        <w:t>**Moyennes Mobiles** : La MM20 (29 061 FCFA) et la MM50 (28 692 FCFA) sont toutes deux inférieures au cours actuel de 29 500 FCFA, confirmant une configuration haussière. Le titre évolue au-dessus de ses moyennes mobiles, ce qui valide la tendance positive en cours et justifie la décision d'achat.</w:t>
      </w:r>
    </w:p>
    <w:p>
      <w:pPr>
        <w:spacing w:after="120" w:line="276" w:lineRule="auto"/>
      </w:pPr>
      <w:r>
        <w:t>**Bandes de Bollinger** : Le cours se situe à 29 500 FCFA, proche de la borne supérieure (29 663 FCFA) et nettement au-dessus de la borne inférieure (28 459 FCFA). Cette position indique une pression acheteuse soutenue, mais le resserrement des bandes suggère une volatilité modérée. La décision neutre reflète l'absence de signal extrême, le titre n'étant pas encore en zone de surachat.</w:t>
      </w:r>
    </w:p>
    <w:p>
      <w:pPr>
        <w:spacing w:after="120" w:line="276" w:lineRule="auto"/>
      </w:pPr>
      <w:r>
        <w:t>**MACD** : La valeur du MACD (209,745) est supérieure à sa ligne de signal (168,142), avec un écart positif de 41,6 points. Cette configuration indique un momentum haussier solide et persistant, confirmant la dynamique positive du titre. La décision d'achat est justifiée par cette divergence positive.</w:t>
      </w:r>
    </w:p>
    <w:p>
      <w:pPr>
        <w:spacing w:after="120" w:line="276" w:lineRule="auto"/>
      </w:pPr>
      <w:r>
        <w:t>**RSI** : Le RSI s'établit à 55,405, dans la zone neutre (30-70), ce qui indique que le titre n'est ni suracheté ni survendu. Cette valeur laisse une marge de progression avant d'atteindre la zone de surachat (70+), tout en confirmant une dynamique positive sans excès. La décision neutre est appropriée.</w:t>
      </w:r>
    </w:p>
    <w:p>
      <w:pPr>
        <w:spacing w:after="120" w:line="276" w:lineRule="auto"/>
      </w:pPr>
      <w:r>
        <w:t>**Stochastique** : Le %K (65,693) est inférieur au %D (80,872), indiquant un croisement baissier potentiel à court terme. Cependant, les deux valeurs restent dans la zone positive, suggérant que la tendance de fond demeure haussière malgré un possible ralentissement imminent. La décision neutre reflète cette ambiguïté.</w:t>
      </w:r>
    </w:p>
    <w:p>
      <w:pPr>
        <w:spacing w:after="120" w:line="276" w:lineRule="auto"/>
      </w:pPr>
      <w:r>
        <w:t>**Conclusion technique** : La convergence des indicateurs (MM, MACD) vers une dynamique haussière est tempérée par la prudence des oscillateurs (RSI, Stochastique) qui approchent des zones de surachat. Le titre conserve une tendance positive solide, mais un repli technique à court terme est possible avant la poursuite de la hausse. La configuration globale reste favorable.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performance financière remarquable pour une banque de la place. Le Produit Net Bancaire s'établit à 79,563 milliards FCFA, en croissance de 16,9% par rapport à l'exercice précédent, porté par une marge d'intermédiation solide (62,121 milliards d'intérêts perçus contre 12,334 milliards de charges) et des commissions nettes positives (30,883 milliards de produits contre 4,550 milliards de charges). Le résultat net atteint 36,520 milliards FCFA, soit une marge nette exceptionnelle de 45,9%. La rentabilité des fonds propres (ROE) de 30,29% est excellente, largement au-dessus du seuil de 15% considéré comme satisfaisant, tandis que le ROA de 3,24% témoigne d'une utilisation efficace des actifs. Le coefficient d'exploitation de 50,83% confirme une gestion rigoureuse des charges, bien en dessous du seuil critique de 60%. Le coût du risque de -12,15% indique une qualité de portefeuille de crédits maîtrisée, avec des provisions en baisse. Les dépôts clientèle (952,872 milliards) représentent 1,82 fois les créances sur la clientèle (524,439 milliards), démontrant une transformation saine et une liquidité abondante. Les rapports trimestriels 2025 confirment cette dynamique : le T1 2025 affiche un PNB de 18,130 milliards (+9,3%) et un résultat net de 8,011 milliards (+23%), le S1 2025 un PNB de 37,146 milliards (+16,6%) et un résultat net de 16,253 milliards (+42,5%), et le T3 2025 un PNB cumulé de 58,119 milliards (+16,4%) avec un résultat net de 27,402 milliards (+50,8%). Sur la base de ces tendances, on estime que l'exercice 2025 complet pourrait dépasser les 36 milliards de résultat net, confirmant la trajectoire ascendante. Le rapport T1 2026 (PNB de 21,214 milliards, +17% et résultat net de 10,387 milliards, +29,7%) suggère que cette croissance se poursuit en 2026, avec une marge nette qui s'améliore encore à 49%. La banque démontre une solidité financière exceptionnelle, avec une autonomie financière de 10,7% et une solvabilité générale de 112%, bien que la dépendance aux dépôts clients (89,3% du bilan) constitue un facteur de vigilance.</w:t>
      </w:r>
    </w:p>
    <w:p>
      <w:pPr>
        <w:spacing w:after="120" w:line="276" w:lineRule="auto" w:before="240"/>
      </w:pPr>
      <w:r>
        <w:rPr>
          <w:b/>
          <w:color w:val="003366"/>
          <w:sz w:val="24"/>
        </w:rPr>
        <w:t>**PARTIE 4 : CONCLUSION D'INVESTISSEMENT**</w:t>
      </w:r>
    </w:p>
    <w:p>
      <w:pPr>
        <w:spacing w:after="120" w:line="276" w:lineRule="auto"/>
      </w:pPr>
      <w:r>
        <w:t>La synthèse des quatre analyses converge vers une recommandation positive. La valorisation (PER de 13,5x, EV/EBITDA de 9,5x) est raisonnable malgré un P/B élevé de 4,08x, justifié par la rentabilité exceptionnelle de la banque. Le comportement du cours (+19,92% sur 100 jours) avec une volatilité modérée de 27,2% et une asymétrie négative (skewness -0,916) indique une tendance haussière solide, ponctuée de corrections saines. Les signaux techniques sont majoritairement positifs (MM, MACD), avec une prudence des oscillateurs suggérant un possible repli à court terme. Les fondamentaux sont excellents : ROE de 30,29%, marge nette de 45,9%, coefficient d'exploitation de 50,83%, et une croissance soutenue du PNB et du résultat net sur les trois dernières années. Les prédictions IA (28 784 FCFA à J+1, 27 627 FCFA à J+10) anticipent une correction de -6,3% par rapport au cours actuel, ce qui pourrait offrir un point d'entrée plus attractif. La convergence entre la solidité fondamentale, la tendance technique haussière et la valorisation raisonnable justifie une recommandation **ACHAT**, avec un niveau de confiance **Élevé** et un risque global **Moyen** (principalement lié à la valorisation exigeante et à la dépendance aux dépôts). L'horizon d'investissement optimal est le **moyen terme (3-12 mois)**, permettant de capitaliser sur la croissance continue tout en absorbant une éventuelle correction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2,358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+44.65%</w:t>
            </w:r>
          </w:p>
          <w:p>
            <w:r>
              <w:rPr>
                <w:b/>
                <w:color w:val="503200"/>
                <w:sz w:val="16"/>
              </w:rPr>
              <w:t xml:space="preserve">Plus haut 100j : </w:t>
            </w:r>
            <w:r>
              <w:rPr>
                <w:color w:val="000000"/>
                <w:sz w:val="17"/>
              </w:rPr>
              <w:t>2,300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μ=1,776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β=-0.0717 (Contre-cyclique) — Cov=-0.000003, Var(idx)=0.000036, ρ=-0.014,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2,184</w:t>
            </w:r>
          </w:p>
        </w:tc>
        <w:tc>
          <w:tcPr>
            <w:tcW w:type="dxa" w:w="1440"/>
            <w:shd w:fill="FAFAFA" w:val="clear"/>
          </w:tcPr>
          <w:p>
            <w:r>
              <w:rPr>
                <w:b/>
                <w:sz w:val="17"/>
              </w:rPr>
              <w:t>2,275</w:t>
            </w:r>
          </w:p>
        </w:tc>
        <w:tc>
          <w:tcPr>
            <w:tcW w:type="dxa" w:w="1440"/>
            <w:shd w:fill="FAFAFA" w:val="clear"/>
          </w:tcPr>
          <w:p>
            <w:r>
              <w:rPr>
                <w:sz w:val="17"/>
              </w:rPr>
              <w:t>2,367</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2,130</w:t>
            </w:r>
          </w:p>
        </w:tc>
        <w:tc>
          <w:tcPr>
            <w:tcW w:type="dxa" w:w="1440"/>
            <w:shd w:fill="FAFAFA" w:val="clear"/>
          </w:tcPr>
          <w:p>
            <w:r>
              <w:rPr>
                <w:b/>
                <w:sz w:val="17"/>
              </w:rPr>
              <w:t>2,258</w:t>
            </w:r>
          </w:p>
        </w:tc>
        <w:tc>
          <w:tcPr>
            <w:tcW w:type="dxa" w:w="1440"/>
            <w:shd w:fill="FAFAFA" w:val="clear"/>
          </w:tcPr>
          <w:p>
            <w:r>
              <w:rPr>
                <w:sz w:val="17"/>
              </w:rPr>
              <w:t>2,386</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2,084</w:t>
            </w:r>
          </w:p>
        </w:tc>
        <w:tc>
          <w:tcPr>
            <w:tcW w:type="dxa" w:w="1440"/>
            <w:shd w:fill="FFDCE0" w:val="clear"/>
          </w:tcPr>
          <w:p>
            <w:r>
              <w:rPr>
                <w:b/>
                <w:sz w:val="17"/>
              </w:rPr>
              <w:t>2,240</w:t>
            </w:r>
          </w:p>
        </w:tc>
        <w:tc>
          <w:tcPr>
            <w:tcW w:type="dxa" w:w="1440"/>
            <w:shd w:fill="FFDCE0" w:val="clear"/>
          </w:tcPr>
          <w:p>
            <w:r>
              <w:rPr>
                <w:sz w:val="17"/>
              </w:rPr>
              <w:t>2,396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2,047</w:t>
            </w:r>
          </w:p>
        </w:tc>
        <w:tc>
          <w:tcPr>
            <w:tcW w:type="dxa" w:w="1440"/>
            <w:shd w:fill="FFDCE0" w:val="clear"/>
          </w:tcPr>
          <w:p>
            <w:r>
              <w:rPr>
                <w:b/>
                <w:sz w:val="17"/>
              </w:rPr>
              <w:t>2,227</w:t>
            </w:r>
          </w:p>
        </w:tc>
        <w:tc>
          <w:tcPr>
            <w:tcW w:type="dxa" w:w="1440"/>
            <w:shd w:fill="FFDCE0" w:val="clear"/>
          </w:tcPr>
          <w:p>
            <w:r>
              <w:rPr>
                <w:sz w:val="17"/>
              </w:rPr>
              <w:t>2,406</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2,017</w:t>
            </w:r>
          </w:p>
        </w:tc>
        <w:tc>
          <w:tcPr>
            <w:tcW w:type="dxa" w:w="1440"/>
            <w:shd w:fill="FFDCE0" w:val="clear"/>
          </w:tcPr>
          <w:p>
            <w:r>
              <w:rPr>
                <w:b/>
                <w:sz w:val="17"/>
              </w:rPr>
              <w:t>2,216</w:t>
            </w:r>
          </w:p>
        </w:tc>
        <w:tc>
          <w:tcPr>
            <w:tcW w:type="dxa" w:w="1440"/>
            <w:shd w:fill="FFDCE0" w:val="clear"/>
          </w:tcPr>
          <w:p>
            <w:r>
              <w:rPr>
                <w:sz w:val="17"/>
              </w:rPr>
              <w:t>2,416</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1,990</w:t>
            </w:r>
          </w:p>
        </w:tc>
        <w:tc>
          <w:tcPr>
            <w:tcW w:type="dxa" w:w="1440"/>
            <w:shd w:fill="FFDCE0" w:val="clear"/>
          </w:tcPr>
          <w:p>
            <w:r>
              <w:rPr>
                <w:b/>
                <w:sz w:val="17"/>
              </w:rPr>
              <w:t>2,207</w:t>
            </w:r>
          </w:p>
        </w:tc>
        <w:tc>
          <w:tcPr>
            <w:tcW w:type="dxa" w:w="1440"/>
            <w:shd w:fill="FFDCE0" w:val="clear"/>
          </w:tcPr>
          <w:p>
            <w:r>
              <w:rPr>
                <w:sz w:val="17"/>
              </w:rPr>
              <w:t>2,425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1,966</w:t>
            </w:r>
          </w:p>
        </w:tc>
        <w:tc>
          <w:tcPr>
            <w:tcW w:type="dxa" w:w="1440"/>
            <w:shd w:fill="FFDCE0" w:val="clear"/>
          </w:tcPr>
          <w:p>
            <w:r>
              <w:rPr>
                <w:b/>
                <w:sz w:val="17"/>
              </w:rPr>
              <w:t>2,200</w:t>
            </w:r>
          </w:p>
        </w:tc>
        <w:tc>
          <w:tcPr>
            <w:tcW w:type="dxa" w:w="1440"/>
            <w:shd w:fill="FFDCE0" w:val="clear"/>
          </w:tcPr>
          <w:p>
            <w:r>
              <w:rPr>
                <w:sz w:val="17"/>
              </w:rPr>
              <w:t>2,433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1,943</w:t>
            </w:r>
          </w:p>
        </w:tc>
        <w:tc>
          <w:tcPr>
            <w:tcW w:type="dxa" w:w="1440"/>
            <w:shd w:fill="FFDCE0" w:val="clear"/>
          </w:tcPr>
          <w:p>
            <w:r>
              <w:rPr>
                <w:b/>
                <w:sz w:val="17"/>
              </w:rPr>
              <w:t>2,192</w:t>
            </w:r>
          </w:p>
        </w:tc>
        <w:tc>
          <w:tcPr>
            <w:tcW w:type="dxa" w:w="1440"/>
            <w:shd w:fill="FFDCE0" w:val="clear"/>
          </w:tcPr>
          <w:p>
            <w:r>
              <w:rPr>
                <w:sz w:val="17"/>
              </w:rPr>
              <w:t>2,441</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1,922</w:t>
            </w:r>
          </w:p>
        </w:tc>
        <w:tc>
          <w:tcPr>
            <w:tcW w:type="dxa" w:w="1440"/>
            <w:shd w:fill="FFDCE0" w:val="clear"/>
          </w:tcPr>
          <w:p>
            <w:r>
              <w:rPr>
                <w:b/>
                <w:sz w:val="17"/>
              </w:rPr>
              <w:t>2,185</w:t>
            </w:r>
          </w:p>
        </w:tc>
        <w:tc>
          <w:tcPr>
            <w:tcW w:type="dxa" w:w="1440"/>
            <w:shd w:fill="FFDCE0" w:val="clear"/>
          </w:tcPr>
          <w:p>
            <w:r>
              <w:rPr>
                <w:sz w:val="17"/>
              </w:rPr>
              <w:t>2,449</w:t>
            </w:r>
          </w:p>
        </w:tc>
        <w:tc>
          <w:tcPr>
            <w:tcW w:type="dxa" w:w="1440"/>
            <w:shd w:fill="FFDCE0" w:val="clear"/>
          </w:tcPr>
          <w:p>
            <w:r>
              <w:rPr>
                <w:b/>
                <w:color w:val="C00000"/>
                <w:sz w:val="17"/>
              </w:rPr>
              <w:t>-5.0%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1,902</w:t>
            </w:r>
          </w:p>
        </w:tc>
        <w:tc>
          <w:tcPr>
            <w:tcW w:type="dxa" w:w="1440"/>
            <w:shd w:fill="FFDCE0" w:val="clear"/>
          </w:tcPr>
          <w:p>
            <w:r>
              <w:rPr>
                <w:b/>
                <w:sz w:val="17"/>
              </w:rPr>
              <w:t>2,179</w:t>
            </w:r>
          </w:p>
        </w:tc>
        <w:tc>
          <w:tcPr>
            <w:tcW w:type="dxa" w:w="1440"/>
            <w:shd w:fill="FFDCE0" w:val="clear"/>
          </w:tcPr>
          <w:p>
            <w:r>
              <w:rPr>
                <w:sz w:val="17"/>
              </w:rPr>
              <w:t>2,456</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15,24 milliards FCFA, un niveau modeste qui la classe parmi les valeurs de taille moyenne sur la BRVM. Le BPA de 3 FCFA par action est extrêmement faible, ce qui explique un PER de 682,6x, très largement au-dessus de la moyenne du marché (8-12x). Les investisseurs paient donc un prix très élevé pour des bénéfices quasi inexistants. En revanche, le P/B de 0,86x indique que le marché valorise le titre en dessous de sa valeur comptable, ce qui pourrait signaler une décote ou une méfiance des investisseurs. Enfin, l'EV/EBITDA de 25,2x, bien supérieur au seuil de 15x, confirme une valorisation exigeante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+44,65%, avec une légère hausse de +0,22% lors de la dernière séance, clôturant à 2 300 FCFA. Le titre a évolué dans une fourchette de 1 300 à 2 300 FCFA, démontrant une forte dynamique haussière. La moyenne du cours sur la période est de 1 776 FCFA, tandis que la médiane s'établit à 1 875 FCFA, indiquant une distribution légèrement asymétrique avec une concentration des valeurs vers le haut de la fourchette. L'écart-type de 223 FCFA (CV = 12,6%) reflète une dispersion modérée. Le kurtosis de -0,919 (mésokurtique) suggère une distribution proche de la normale, sans risque de pics extrêmes, et le skewness de -0,111 confirme une symétrie relative. La volatilité annualisée de 50,3% est très élevée, signalant un titre particulièrement risqué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2 300 FCFA se situe nettement au-dessus des MM20 (2 000 FCFA) et MM50 (1 962,8 FCFA), confirmant une tendance haussière solide. La décision d'achat est justifiée par cette configuration positive.</w:t>
      </w:r>
    </w:p>
    <w:p>
      <w:pPr>
        <w:spacing w:after="120" w:line="276" w:lineRule="auto"/>
      </w:pPr>
      <w:r>
        <w:t>**Bandes de Bollinger** : Le prix évolue au-dessus de la borne supérieure (2 233,37 FCFA), indiquant une situation de surachat extrême. La décision de vente est pertinente, car le titre est sorti de son canal de volatilité, ce qui précède souvent un retour vers la moyenne.</w:t>
      </w:r>
    </w:p>
    <w:p>
      <w:pPr>
        <w:spacing w:after="120" w:line="276" w:lineRule="auto"/>
      </w:pPr>
      <w:r>
        <w:t>**MACD** : La valeur du MACD (73,346) est supérieure à son signal (40,843), confirmant un momentum haussier. La décision d'achat est justifiée, bien que l'écart important suggère une possible correction à venir.</w:t>
      </w:r>
    </w:p>
    <w:p>
      <w:pPr>
        <w:spacing w:after="120" w:line="276" w:lineRule="auto"/>
      </w:pPr>
      <w:r>
        <w:t>**RSI** : Le RSI de 95,455 est extrêmement élevé, bien au-dessus du seuil de surachat (70). Cette valeur indique une pression acheteuse excessive, et la décision de vente est justifiée par un risque imminent de retournement.</w:t>
      </w:r>
    </w:p>
    <w:p>
      <w:pPr>
        <w:spacing w:after="120" w:line="276" w:lineRule="auto"/>
      </w:pPr>
      <w:r>
        <w:t>**Stochastique** : Le %K et le %D sont tous deux à 100, confirmant une situation de surachat extrême. La décision de vente est justifiée, car ces niveaux sont rarement soutenables sur le long terme.</w:t>
      </w:r>
    </w:p>
    <w:p>
      <w:pPr>
        <w:spacing w:after="120" w:line="276" w:lineRule="auto"/>
      </w:pPr>
      <w:r>
        <w:t>**Conclusion technique** : Les indicateurs sont partagés entre signaux d'achat (MM, MACD) et de vente (Bollinger, RSI, Stochastique). Cette divergence reflète une tendance haussière forte mais arrivée à un point de saturation. Le risque de correction technique est élevé à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Le résultat net est de 22,32 millions FCFA, une marge nette de seulement 0,05%, avec un ROE de 0,13% et un ROA de 0,05%, traduisant une rentabilité anémique. La structure financière montre des capitaux propres de 17,77 milliards FCFA (autonomie financière de 36,16%) mais une trésorerie nette négative de -16,69 milliards FCFA, signalant un risque de liquidité majeur. Le BFR de 29,37 milliards FCFA est préoccupant, avec un délai clients de 104 jours et une durée de stockage de 339 jours, indiquant une immobilisation importante du capital. Les rapports trimestriels 2025 montrent une dégradation progressive : le T1 2025 était bénéficiaire (+16,15 millions), mais le S1 2025 affichait une perte de -139,57 millions, et le T3 2025 une perte cumulée de -157 millions. Le rapport T1 2026 (daté de mai 2026) indique un retour à un bénéfice de 65,57 millions FCFA, grâce à l'intégration de la division Équipement, mais le CA reste stable à 11,19 milliards. On estime que l'exercice 2026 pourrait voir une amélioration progressive de la rentabilité, mais la situation reste fragile.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avec un PER de 682,6x, bien que le P/B de 0,86x offre une certaine décote comptable. Le comportement du cours montre une tendance haussière spectaculaire (+44,65% sur 100 jours) mais avec une volatilité très élevée (50,3%) et des statistiques indiquant une distribution relativement normale. Les signaux techniques sont divergents : les moyennes mobiles et le MACD sont positifs, mais le RSI, le Stochastique et les Bandes de Bollinger signalent un surachat extrême. Les fondamentaux sont préoccupants avec une rentabilité quasi nulle, une trésorerie négative et un BFR élevé, bien que le T1 2026 montre une amélioration. Les prédictions IA anticipent une correction progressive vers 2 216 FCFA sur 10 jours, confirmant les signaux de surachat. En synthèse, la convergence entre la surévaluation technique et la faiblesse fondamentale, malgré une amélioration récente, conduit à une recommandation de **CONSERVER** avec un niveau de confiance **Moyen** et un risque global **Élevé**. L'horizon d'investissement optimal serait de moyen terme (3-12 mois), en attendant une confirmation de la reprise de la rentabilité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5,993 titres</w:t>
            </w:r>
          </w:p>
        </w:tc>
        <w:tc>
          <w:tcPr>
            <w:tcW w:type="dxa" w:w="2268"/>
            <w:shd w:fill="FFF2CC" w:val="clear"/>
          </w:tcPr>
          <w:p>
            <w:r>
              <w:rPr>
                <w:b/>
                <w:color w:val="503200"/>
                <w:sz w:val="16"/>
              </w:rPr>
              <w:t xml:space="preserve">Cours actuel : </w:t>
            </w:r>
            <w:r>
              <w:rPr>
                <w:color w:val="000000"/>
                <w:sz w:val="17"/>
              </w:rPr>
              <w:t>10,235 FCFA</w:t>
            </w:r>
          </w:p>
          <w:p>
            <w:r>
              <w:rPr>
                <w:b/>
                <w:color w:val="503200"/>
                <w:sz w:val="16"/>
              </w:rPr>
              <w:t xml:space="preserve">Var. 100 jours : </w:t>
            </w:r>
            <w:r>
              <w:rPr>
                <w:b/>
                <w:color w:val="007800"/>
                <w:sz w:val="17"/>
              </w:rPr>
              <w:t>+36.47%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6.54% (Moyenne) — μ=8,780 FCFA, σ=574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β=-0.2912 (Contre-cyclique) — Cov=-0.000011, Var(idx)=0.000036, ρ=-0.102,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9,350</w:t>
            </w:r>
          </w:p>
        </w:tc>
        <w:tc>
          <w:tcPr>
            <w:tcW w:type="dxa" w:w="1440"/>
            <w:shd w:fill="FFDCE0" w:val="clear"/>
          </w:tcPr>
          <w:p>
            <w:r>
              <w:rPr>
                <w:b/>
                <w:sz w:val="17"/>
              </w:rPr>
              <w:t>9,690</w:t>
            </w:r>
          </w:p>
        </w:tc>
        <w:tc>
          <w:tcPr>
            <w:tcW w:type="dxa" w:w="1440"/>
            <w:shd w:fill="FFDCE0" w:val="clear"/>
          </w:tcPr>
          <w:p>
            <w:r>
              <w:rPr>
                <w:sz w:val="17"/>
              </w:rPr>
              <w:t>10,029</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8,978</w:t>
            </w:r>
          </w:p>
        </w:tc>
        <w:tc>
          <w:tcPr>
            <w:tcW w:type="dxa" w:w="1440"/>
            <w:shd w:fill="FFDCE0" w:val="clear"/>
          </w:tcPr>
          <w:p>
            <w:r>
              <w:rPr>
                <w:b/>
                <w:sz w:val="17"/>
              </w:rPr>
              <w:t>9,447</w:t>
            </w:r>
          </w:p>
        </w:tc>
        <w:tc>
          <w:tcPr>
            <w:tcW w:type="dxa" w:w="1440"/>
            <w:shd w:fill="FFDCE0" w:val="clear"/>
          </w:tcPr>
          <w:p>
            <w:r>
              <w:rPr>
                <w:sz w:val="17"/>
              </w:rPr>
              <w:t>9,915</w:t>
            </w:r>
          </w:p>
        </w:tc>
        <w:tc>
          <w:tcPr>
            <w:tcW w:type="dxa" w:w="1440"/>
            <w:shd w:fill="FFDCE0" w:val="clear"/>
          </w:tcPr>
          <w:p>
            <w:r>
              <w:rPr>
                <w:b/>
                <w:color w:val="C00000"/>
                <w:sz w:val="17"/>
              </w:rPr>
              <w:t>-7.7%</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8,674</w:t>
            </w:r>
          </w:p>
        </w:tc>
        <w:tc>
          <w:tcPr>
            <w:tcW w:type="dxa" w:w="1440"/>
            <w:shd w:fill="FFDCE0" w:val="clear"/>
          </w:tcPr>
          <w:p>
            <w:r>
              <w:rPr>
                <w:b/>
                <w:sz w:val="17"/>
              </w:rPr>
              <w:t>9,235</w:t>
            </w:r>
          </w:p>
        </w:tc>
        <w:tc>
          <w:tcPr>
            <w:tcW w:type="dxa" w:w="1440"/>
            <w:shd w:fill="FFDCE0" w:val="clear"/>
          </w:tcPr>
          <w:p>
            <w:r>
              <w:rPr>
                <w:sz w:val="17"/>
              </w:rPr>
              <w:t>9,796</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8,436</w:t>
            </w:r>
          </w:p>
        </w:tc>
        <w:tc>
          <w:tcPr>
            <w:tcW w:type="dxa" w:w="1440"/>
            <w:shd w:fill="FFDCE0" w:val="clear"/>
          </w:tcPr>
          <w:p>
            <w:r>
              <w:rPr>
                <w:b/>
                <w:sz w:val="17"/>
              </w:rPr>
              <w:t>9,072</w:t>
            </w:r>
          </w:p>
        </w:tc>
        <w:tc>
          <w:tcPr>
            <w:tcW w:type="dxa" w:w="1440"/>
            <w:shd w:fill="FFDCE0" w:val="clear"/>
          </w:tcPr>
          <w:p>
            <w:r>
              <w:rPr>
                <w:sz w:val="17"/>
              </w:rPr>
              <w:t>9,708</w:t>
            </w:r>
          </w:p>
        </w:tc>
        <w:tc>
          <w:tcPr>
            <w:tcW w:type="dxa" w:w="1440"/>
            <w:shd w:fill="FFDCE0" w:val="clear"/>
          </w:tcPr>
          <w:p>
            <w:r>
              <w:rPr>
                <w:b/>
                <w:color w:val="C00000"/>
                <w:sz w:val="17"/>
              </w:rPr>
              <w:t>-11.4%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8,231</w:t>
            </w:r>
          </w:p>
        </w:tc>
        <w:tc>
          <w:tcPr>
            <w:tcW w:type="dxa" w:w="1440"/>
            <w:shd w:fill="FFDCE0" w:val="clear"/>
          </w:tcPr>
          <w:p>
            <w:r>
              <w:rPr>
                <w:b/>
                <w:sz w:val="17"/>
              </w:rPr>
              <w:t>8,931</w:t>
            </w:r>
          </w:p>
        </w:tc>
        <w:tc>
          <w:tcPr>
            <w:tcW w:type="dxa" w:w="1440"/>
            <w:shd w:fill="FFDCE0" w:val="clear"/>
          </w:tcPr>
          <w:p>
            <w:r>
              <w:rPr>
                <w:sz w:val="17"/>
              </w:rPr>
              <w:t>9,631</w:t>
            </w:r>
          </w:p>
        </w:tc>
        <w:tc>
          <w:tcPr>
            <w:tcW w:type="dxa" w:w="1440"/>
            <w:shd w:fill="FFDCE0" w:val="clear"/>
          </w:tcPr>
          <w:p>
            <w:r>
              <w:rPr>
                <w:b/>
                <w:color w:val="C00000"/>
                <w:sz w:val="17"/>
              </w:rPr>
              <w:t>-12.7%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8,046</w:t>
            </w:r>
          </w:p>
        </w:tc>
        <w:tc>
          <w:tcPr>
            <w:tcW w:type="dxa" w:w="1440"/>
            <w:shd w:fill="FFDCE0" w:val="clear"/>
          </w:tcPr>
          <w:p>
            <w:r>
              <w:rPr>
                <w:b/>
                <w:sz w:val="17"/>
              </w:rPr>
              <w:t>8,802</w:t>
            </w:r>
          </w:p>
        </w:tc>
        <w:tc>
          <w:tcPr>
            <w:tcW w:type="dxa" w:w="1440"/>
            <w:shd w:fill="FFDCE0" w:val="clear"/>
          </w:tcPr>
          <w:p>
            <w:r>
              <w:rPr>
                <w:sz w:val="17"/>
              </w:rPr>
              <w:t>9,558</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7,876</w:t>
            </w:r>
          </w:p>
        </w:tc>
        <w:tc>
          <w:tcPr>
            <w:tcW w:type="dxa" w:w="1440"/>
            <w:shd w:fill="FFDCE0" w:val="clear"/>
          </w:tcPr>
          <w:p>
            <w:r>
              <w:rPr>
                <w:b/>
                <w:sz w:val="17"/>
              </w:rPr>
              <w:t>8,681</w:t>
            </w:r>
          </w:p>
        </w:tc>
        <w:tc>
          <w:tcPr>
            <w:tcW w:type="dxa" w:w="1440"/>
            <w:shd w:fill="FFDCE0" w:val="clear"/>
          </w:tcPr>
          <w:p>
            <w:r>
              <w:rPr>
                <w:sz w:val="17"/>
              </w:rPr>
              <w:t>9,487</w:t>
            </w:r>
          </w:p>
        </w:tc>
        <w:tc>
          <w:tcPr>
            <w:tcW w:type="dxa" w:w="1440"/>
            <w:shd w:fill="FFDCE0" w:val="clear"/>
          </w:tcPr>
          <w:p>
            <w:r>
              <w:rPr>
                <w:b/>
                <w:color w:val="C00000"/>
                <w:sz w:val="17"/>
              </w:rPr>
              <w:t>-15.2%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7,719</w:t>
            </w:r>
          </w:p>
        </w:tc>
        <w:tc>
          <w:tcPr>
            <w:tcW w:type="dxa" w:w="1440"/>
            <w:shd w:fill="FFDCE0" w:val="clear"/>
          </w:tcPr>
          <w:p>
            <w:r>
              <w:rPr>
                <w:b/>
                <w:sz w:val="17"/>
              </w:rPr>
              <w:t>8,569</w:t>
            </w:r>
          </w:p>
        </w:tc>
        <w:tc>
          <w:tcPr>
            <w:tcW w:type="dxa" w:w="1440"/>
            <w:shd w:fill="FFDCE0" w:val="clear"/>
          </w:tcPr>
          <w:p>
            <w:r>
              <w:rPr>
                <w:sz w:val="17"/>
              </w:rPr>
              <w:t>9,419</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7,573</w:t>
            </w:r>
          </w:p>
        </w:tc>
        <w:tc>
          <w:tcPr>
            <w:tcW w:type="dxa" w:w="1440"/>
            <w:shd w:fill="FFDCE0" w:val="clear"/>
          </w:tcPr>
          <w:p>
            <w:r>
              <w:rPr>
                <w:b/>
                <w:sz w:val="17"/>
              </w:rPr>
              <w:t>8,463</w:t>
            </w:r>
          </w:p>
        </w:tc>
        <w:tc>
          <w:tcPr>
            <w:tcW w:type="dxa" w:w="1440"/>
            <w:shd w:fill="FFDCE0" w:val="clear"/>
          </w:tcPr>
          <w:p>
            <w:r>
              <w:rPr>
                <w:sz w:val="17"/>
              </w:rPr>
              <w:t>9,353</w:t>
            </w:r>
          </w:p>
        </w:tc>
        <w:tc>
          <w:tcPr>
            <w:tcW w:type="dxa" w:w="1440"/>
            <w:shd w:fill="FFDCE0" w:val="clear"/>
          </w:tcPr>
          <w:p>
            <w:r>
              <w:rPr>
                <w:b/>
                <w:color w:val="C00000"/>
                <w:sz w:val="17"/>
              </w:rPr>
              <w:t>-17.3%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7,436</w:t>
            </w:r>
          </w:p>
        </w:tc>
        <w:tc>
          <w:tcPr>
            <w:tcW w:type="dxa" w:w="1440"/>
            <w:shd w:fill="FFDCE0" w:val="clear"/>
          </w:tcPr>
          <w:p>
            <w:r>
              <w:rPr>
                <w:b/>
                <w:sz w:val="17"/>
              </w:rPr>
              <w:t>8,363</w:t>
            </w:r>
          </w:p>
        </w:tc>
        <w:tc>
          <w:tcPr>
            <w:tcW w:type="dxa" w:w="1440"/>
            <w:shd w:fill="FFDCE0" w:val="clear"/>
          </w:tcPr>
          <w:p>
            <w:r>
              <w:rPr>
                <w:sz w:val="17"/>
              </w:rPr>
              <w:t>9,291</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professionnel structuré pour l'action BOAB,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415,14 milliards FCFA, BOAB se positionne comme une valeur de premier plan sur la BRVM. Le BPA de 496 FCFA indique que chaque action a généré un bénéfice net de près de 500 FCFA sur l'exercice. Le PER de 20,6x est nettement supérieur à la moyenne historique de la BRVM (8-12x), ce qui signifie que les investisseurs paient une prime significative pour chaque franc de bénéfice. Cette prime est confirmée par un P/B de 3,53x, valorisant le marché à plus de 3,5 fois la valeur comptable des fonds propres, et un EV/EBITDA de 20,9x, un niveau très exigeant. Ces ratios suggèrent que le marché anticipe une croissance future soutenue des bénéfices pour justifier de telles valorisations, ou que le titre est surévalué à court terme.</w:t>
      </w:r>
    </w:p>
    <w:p>
      <w:pPr>
        <w:spacing w:after="120" w:line="276" w:lineRule="auto"/>
      </w:pPr>
      <w:r>
        <w:t>### **PARTIE 1 : ANALYSE DU COURS — STATISTIQUES ET ÉVOLUTION (100 derniers jours)**</w:t>
      </w:r>
    </w:p>
    <w:p>
      <w:pPr>
        <w:spacing w:after="120" w:line="276" w:lineRule="auto"/>
      </w:pPr>
      <w:r>
        <w:t>Sur les 100 derniers jours, l'action BOAB a affiché une performance remarquable avec une variation totale de +36,47%, clôturant à 10 235 FCFA, et une progression de +2,35% lors de la dernière séance. Le titre a évolué dans une fourchette large de 7 400 à 10 350 FCFA, démontrant un fort dynamisme haussier. La moyenne (8 780 FCFA) et la médiane (8 788 FCFA) sont très proches, indiquant une distribution des prix relativement symétrique, ce que confirme le skewness de -0,241. L'écart-type de 577 FCFA (CV=6,6%) révèle une dispersion modérée autour de la moyenne. Le kurtosis de 0,941 suggère une distribution mésokurtique, sans risque de variations extrêmes. La volatilité annualisée de 27,2% classe le titre dans une catégorie à risque élevé, mais cette volatilité est le reflet de la forte appréciation du cours sur la période.</w:t>
      </w:r>
    </w:p>
    <w:p>
      <w:pPr>
        <w:spacing w:after="120" w:line="276" w:lineRule="auto"/>
      </w:pPr>
      <w:r>
        <w:t>### **PARTIE 2 : ANALYSE TECHNIQUE DÉTAILLÉE**</w:t>
      </w:r>
    </w:p>
    <w:p>
      <w:pPr>
        <w:spacing w:after="120" w:line="276" w:lineRule="auto"/>
      </w:pPr>
      <w:r>
        <w:t>**Moyennes Mobiles:** Le cours actuel (10 235 FCFA) est nettement au-dessus de la MM20 (9 146,75 FCFA) et de la MM50 (8 967,3 FCFA). Cette configuration, avec des moyennes mobiles orientées à la hausse, est un signal technique d'achat classique, confirmant la tendance haussière de moyen terme.</w:t>
      </w:r>
    </w:p>
    <w:p>
      <w:pPr>
        <w:spacing w:after="120" w:line="276" w:lineRule="auto"/>
      </w:pPr>
      <w:r>
        <w:t>**Bandes de Bollinger:** Le prix se situe près de la borne supérieure (10 394,87 FCFA), ce qui indique une pression acheteuse soutenue. Bien que la décision soit "Neutre", le fait de tester la borne supérieure suggère une forte dynamique, mais aussi un risque de retournement ou de consolidation à court terme.</w:t>
      </w:r>
    </w:p>
    <w:p>
      <w:pPr>
        <w:spacing w:after="120" w:line="276" w:lineRule="auto"/>
      </w:pPr>
      <w:r>
        <w:t>**MACD:** Le MACD (363,61) est nettement supérieur à son signal (208,10), et les deux sont positifs. Cette configuration haussière confirme la vigueur du momentum, avec une divergence positive qui s'élargit, signalant une accélération de la tendance haussière.</w:t>
      </w:r>
    </w:p>
    <w:p>
      <w:pPr>
        <w:spacing w:after="120" w:line="276" w:lineRule="auto"/>
      </w:pPr>
      <w:r>
        <w:t>**RSI:** Le RSI à 75,89 est en zone de surachat (&gt;70). Cela indique que le titre a fortement monté et qu'une correction technique est probable à court terme. La décision de "Vente" est un signal de prudence, suggérant de ne pas acheter à ces niveaux sans un repli.</w:t>
      </w:r>
    </w:p>
    <w:p>
      <w:pPr>
        <w:spacing w:after="120" w:line="276" w:lineRule="auto"/>
      </w:pPr>
      <w:r>
        <w:t>**Stochastique:** Le %K (93,24) et le %D (90,88) sont tous deux en zone de surachat extrême (&gt;80). Cette configuration renforce le signal du RSI, indiquant une possible exhaustion des acheteurs à très court terme et un risque élevé de retournement baissier.</w:t>
      </w:r>
    </w:p>
    <w:p>
      <w:pPr>
        <w:spacing w:after="120" w:line="276" w:lineRule="auto"/>
      </w:pPr>
      <w:r>
        <w:t>**Conclusion technique:** Les indicateurs de tendance (MM, MACD) sont résolument haussiers, mais les oscillateurs de momentum (RSI, Stochastique) sont en zone de surachat extrême. Cette divergence signale une forte tendance mais un risque imminent de correction technique. La prudence est de mise pour un nouvel achat à ces niveaux, bien que la tendance de fond reste positive.</w:t>
      </w:r>
    </w:p>
    <w:p>
      <w:pPr>
        <w:spacing w:after="120" w:line="276" w:lineRule="auto"/>
      </w:pPr>
      <w:r>
        <w:t>### **PARTIE 3 : ANALYSE FONDAMENTALE (SECTION CRITIQUE)**</w:t>
      </w:r>
    </w:p>
    <w:p>
      <w:pPr>
        <w:spacing w:after="120" w:line="276" w:lineRule="auto"/>
      </w:pPr>
      <w:r>
        <w:t>En 2025, les données structurées annuelles de BOAB font état d'un Produit Net Bancaire (PNB) de 51,274 milliards FCFA, en croissance de 10,2% par rapport à l'année précédente. Le résultat net s'établit à 20,107 milliards FCFA, portant la marge nette à un niveau élevé de 39,2%. La rentabilité des fonds propres (ROE) est excellente à 17,1%, et le ROA de 2,08% est sain. Le coefficient d'exploitation de 49,5% témoigne d'une excellente maîtrise des charges, bien en deçà du seuil de 60% considéré comme efficace. Cependant, le coût du risque de 22,5% (provisions/charges financières) est un point de vigilance, indiquant une dégradation de la qualité du portefeuille de crédits. Les rapports trimestriels de 2025 confirment cette tendance : le T1 2025 montre un résultat net en baisse de 8,2% dû à une hausse du coût du risque, tandis que le T3 2025 (PNB +9%, RN +13%) et le S1 2025 (PNB +5,9%) montrent une amélioration de l'efficacité opérationnelle. Enfin, le rapport du T1 2026 (PNB +11%, commissions +18,9%) suggère une poursuite de la dynamique de croissance des revenus, malgré une contraction des crédits et dépôts. La banque semble privilégier la rentabilité à la croissance volumique, avec une base de dépôts stable et une amélioration des marges.</w:t>
      </w:r>
    </w:p>
    <w:p>
      <w:pPr>
        <w:spacing w:after="120" w:line="276" w:lineRule="auto"/>
      </w:pPr>
      <w:r>
        <w:t>### **PARTIE 4 : CONCLUSION D'INVESTISSEMENT**</w:t>
      </w:r>
    </w:p>
    <w:p>
      <w:pPr>
        <w:spacing w:after="120" w:line="276" w:lineRule="auto"/>
      </w:pPr>
      <w:r>
        <w:t>La valorisation de BOAB est exigeante (PER 20,6x, P/B 3,53x), intégrant des attentes de croissance élevées. Le comportement du cours est très positif avec une tendance haussière marquée et une volatilité élevée, mais les statistiques (kurtosis, skewness) ne montrent pas de risque de krach imminent. Les signaux techniques sont contradictoires : une tendance de fond haussière (MM, MACD) mais des oscillateurs en surachat extrême (RSI, Stochastique), suggérant un repli technique probable à court terme. Sur le plan fondamental, la banque est solide, rentable (ROE &gt;17%) et efficace (coef. d'exploitation &lt;50%), avec une croissance du PNB soutenue. Les prédictions IA pour les 10 prochains jours (chute de 10 235 à 8 931 FCFA) confirment le scénario d'une correction technique, en phase avec les signaux de surachat. En synthèse, les fondamentaux solides justifient une vision positive à long terme, mais la valorisation élevée et les signaux techniques de court terme plaident pour une consolidation. **Recommandation : CONSERVER**. Le niveau de confiance est **Moyen**, le risque global est **Élevé** (volatilité et valorisation). L'horizon d'investissement optimal est le **moyen terme (3-12 mois)**, idéalement après une correction du cours pour un nouvel achat.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6,284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+58.93%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14.51% (Moyenne) — μ=6,150 FCFA, σ=892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β=0.1365 (Défensif) — Cov=0.000005, Var(idx)=0.000036, ρ=0.039,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8,028</w:t>
            </w:r>
          </w:p>
        </w:tc>
        <w:tc>
          <w:tcPr>
            <w:tcW w:type="dxa" w:w="1440"/>
            <w:shd w:fill="FFDCE0" w:val="clear"/>
          </w:tcPr>
          <w:p>
            <w:r>
              <w:rPr>
                <w:b/>
                <w:sz w:val="17"/>
              </w:rPr>
              <w:t>8,403</w:t>
            </w:r>
          </w:p>
        </w:tc>
        <w:tc>
          <w:tcPr>
            <w:tcW w:type="dxa" w:w="1440"/>
            <w:shd w:fill="FFDCE0" w:val="clear"/>
          </w:tcPr>
          <w:p>
            <w:r>
              <w:rPr>
                <w:sz w:val="17"/>
              </w:rPr>
              <w:t>8,779</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7,547</w:t>
            </w:r>
          </w:p>
        </w:tc>
        <w:tc>
          <w:tcPr>
            <w:tcW w:type="dxa" w:w="1440"/>
            <w:shd w:fill="FFDCE0" w:val="clear"/>
          </w:tcPr>
          <w:p>
            <w:r>
              <w:rPr>
                <w:b/>
                <w:sz w:val="17"/>
              </w:rPr>
              <w:t>8,056</w:t>
            </w:r>
          </w:p>
        </w:tc>
        <w:tc>
          <w:tcPr>
            <w:tcW w:type="dxa" w:w="1440"/>
            <w:shd w:fill="FFDCE0" w:val="clear"/>
          </w:tcPr>
          <w:p>
            <w:r>
              <w:rPr>
                <w:sz w:val="17"/>
              </w:rPr>
              <w:t>8,565</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7,231</w:t>
            </w:r>
          </w:p>
        </w:tc>
        <w:tc>
          <w:tcPr>
            <w:tcW w:type="dxa" w:w="1440"/>
            <w:shd w:fill="FFDCE0" w:val="clear"/>
          </w:tcPr>
          <w:p>
            <w:r>
              <w:rPr>
                <w:b/>
                <w:sz w:val="17"/>
              </w:rPr>
              <w:t>7,837</w:t>
            </w:r>
          </w:p>
        </w:tc>
        <w:tc>
          <w:tcPr>
            <w:tcW w:type="dxa" w:w="1440"/>
            <w:shd w:fill="FFDCE0" w:val="clear"/>
          </w:tcPr>
          <w:p>
            <w:r>
              <w:rPr>
                <w:sz w:val="17"/>
              </w:rPr>
              <w:t>8,443</w:t>
            </w:r>
          </w:p>
        </w:tc>
        <w:tc>
          <w:tcPr>
            <w:tcW w:type="dxa" w:w="1440"/>
            <w:shd w:fill="FFDCE0" w:val="clear"/>
          </w:tcPr>
          <w:p>
            <w:r>
              <w:rPr>
                <w:b/>
                <w:color w:val="C00000"/>
                <w:sz w:val="17"/>
              </w:rPr>
              <w:t>-11.9%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7,011</w:t>
            </w:r>
          </w:p>
        </w:tc>
        <w:tc>
          <w:tcPr>
            <w:tcW w:type="dxa" w:w="1440"/>
            <w:shd w:fill="FFDCE0" w:val="clear"/>
          </w:tcPr>
          <w:p>
            <w:r>
              <w:rPr>
                <w:b/>
                <w:sz w:val="17"/>
              </w:rPr>
              <w:t>7,699</w:t>
            </w:r>
          </w:p>
        </w:tc>
        <w:tc>
          <w:tcPr>
            <w:tcW w:type="dxa" w:w="1440"/>
            <w:shd w:fill="FFDCE0" w:val="clear"/>
          </w:tcPr>
          <w:p>
            <w:r>
              <w:rPr>
                <w:sz w:val="17"/>
              </w:rPr>
              <w:t>8,387</w:t>
            </w:r>
          </w:p>
        </w:tc>
        <w:tc>
          <w:tcPr>
            <w:tcW w:type="dxa" w:w="1440"/>
            <w:shd w:fill="FFDCE0" w:val="clear"/>
          </w:tcPr>
          <w:p>
            <w:r>
              <w:rPr>
                <w:b/>
                <w:color w:val="C00000"/>
                <w:sz w:val="17"/>
              </w:rPr>
              <w:t>-13.5%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6,838</w:t>
            </w:r>
          </w:p>
        </w:tc>
        <w:tc>
          <w:tcPr>
            <w:tcW w:type="dxa" w:w="1440"/>
            <w:shd w:fill="FFDCE0" w:val="clear"/>
          </w:tcPr>
          <w:p>
            <w:r>
              <w:rPr>
                <w:b/>
                <w:sz w:val="17"/>
              </w:rPr>
              <w:t>7,597</w:t>
            </w:r>
          </w:p>
        </w:tc>
        <w:tc>
          <w:tcPr>
            <w:tcW w:type="dxa" w:w="1440"/>
            <w:shd w:fill="FFDCE0" w:val="clear"/>
          </w:tcPr>
          <w:p>
            <w:r>
              <w:rPr>
                <w:sz w:val="17"/>
              </w:rPr>
              <w:t>8,356</w:t>
            </w:r>
          </w:p>
        </w:tc>
        <w:tc>
          <w:tcPr>
            <w:tcW w:type="dxa" w:w="1440"/>
            <w:shd w:fill="FFDCE0" w:val="clear"/>
          </w:tcPr>
          <w:p>
            <w:r>
              <w:rPr>
                <w:b/>
                <w:color w:val="C00000"/>
                <w:sz w:val="17"/>
              </w:rPr>
              <w:t>-14.6%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6,687</w:t>
            </w:r>
          </w:p>
        </w:tc>
        <w:tc>
          <w:tcPr>
            <w:tcW w:type="dxa" w:w="1440"/>
            <w:shd w:fill="FFDCE0" w:val="clear"/>
          </w:tcPr>
          <w:p>
            <w:r>
              <w:rPr>
                <w:b/>
                <w:sz w:val="17"/>
              </w:rPr>
              <w:t>7,509</w:t>
            </w:r>
          </w:p>
        </w:tc>
        <w:tc>
          <w:tcPr>
            <w:tcW w:type="dxa" w:w="1440"/>
            <w:shd w:fill="FFDCE0" w:val="clear"/>
          </w:tcPr>
          <w:p>
            <w:r>
              <w:rPr>
                <w:sz w:val="17"/>
              </w:rPr>
              <w:t>8,330</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6,549</w:t>
            </w:r>
          </w:p>
        </w:tc>
        <w:tc>
          <w:tcPr>
            <w:tcW w:type="dxa" w:w="1440"/>
            <w:shd w:fill="FFDCE0" w:val="clear"/>
          </w:tcPr>
          <w:p>
            <w:r>
              <w:rPr>
                <w:b/>
                <w:sz w:val="17"/>
              </w:rPr>
              <w:t>7,426</w:t>
            </w:r>
          </w:p>
        </w:tc>
        <w:tc>
          <w:tcPr>
            <w:tcW w:type="dxa" w:w="1440"/>
            <w:shd w:fill="FFDCE0" w:val="clear"/>
          </w:tcPr>
          <w:p>
            <w:r>
              <w:rPr>
                <w:sz w:val="17"/>
              </w:rPr>
              <w:t>8,304</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6,419</w:t>
            </w:r>
          </w:p>
        </w:tc>
        <w:tc>
          <w:tcPr>
            <w:tcW w:type="dxa" w:w="1440"/>
            <w:shd w:fill="FFDCE0" w:val="clear"/>
          </w:tcPr>
          <w:p>
            <w:r>
              <w:rPr>
                <w:b/>
                <w:sz w:val="17"/>
              </w:rPr>
              <w:t>7,347</w:t>
            </w:r>
          </w:p>
        </w:tc>
        <w:tc>
          <w:tcPr>
            <w:tcW w:type="dxa" w:w="1440"/>
            <w:shd w:fill="FFDCE0" w:val="clear"/>
          </w:tcPr>
          <w:p>
            <w:r>
              <w:rPr>
                <w:sz w:val="17"/>
              </w:rPr>
              <w:t>8,276</w:t>
            </w:r>
          </w:p>
        </w:tc>
        <w:tc>
          <w:tcPr>
            <w:tcW w:type="dxa" w:w="1440"/>
            <w:shd w:fill="FFDCE0" w:val="clear"/>
          </w:tcPr>
          <w:p>
            <w:r>
              <w:rPr>
                <w:b/>
                <w:color w:val="C00000"/>
                <w:sz w:val="17"/>
              </w:rPr>
              <w:t>-17.4%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6,297</w:t>
            </w:r>
          </w:p>
        </w:tc>
        <w:tc>
          <w:tcPr>
            <w:tcW w:type="dxa" w:w="1440"/>
            <w:shd w:fill="FFDCE0" w:val="clear"/>
          </w:tcPr>
          <w:p>
            <w:r>
              <w:rPr>
                <w:b/>
                <w:sz w:val="17"/>
              </w:rPr>
              <w:t>7,271</w:t>
            </w:r>
          </w:p>
        </w:tc>
        <w:tc>
          <w:tcPr>
            <w:tcW w:type="dxa" w:w="1440"/>
            <w:shd w:fill="FFDCE0" w:val="clear"/>
          </w:tcPr>
          <w:p>
            <w:r>
              <w:rPr>
                <w:sz w:val="17"/>
              </w:rPr>
              <w:t>8,245</w:t>
            </w:r>
          </w:p>
        </w:tc>
        <w:tc>
          <w:tcPr>
            <w:tcW w:type="dxa" w:w="1440"/>
            <w:shd w:fill="FFDCE0" w:val="clear"/>
          </w:tcPr>
          <w:p>
            <w:r>
              <w:rPr>
                <w:b/>
                <w:color w:val="C00000"/>
                <w:sz w:val="17"/>
              </w:rPr>
              <w:t>-18.3%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6,181</w:t>
            </w:r>
          </w:p>
        </w:tc>
        <w:tc>
          <w:tcPr>
            <w:tcW w:type="dxa" w:w="1440"/>
            <w:shd w:fill="FFDCE0" w:val="clear"/>
          </w:tcPr>
          <w:p>
            <w:r>
              <w:rPr>
                <w:b/>
                <w:sz w:val="17"/>
              </w:rPr>
              <w:t>7,197</w:t>
            </w:r>
          </w:p>
        </w:tc>
        <w:tc>
          <w:tcPr>
            <w:tcW w:type="dxa" w:w="1440"/>
            <w:shd w:fill="FFDCE0" w:val="clear"/>
          </w:tcPr>
          <w:p>
            <w:r>
              <w:rPr>
                <w:sz w:val="17"/>
              </w:rPr>
              <w:t>8,214</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391,60 milliards FCFA, un niveau significatif qui en fait l'une des valeurs les plus lourdes de la cote, reflétant la confiance des investisseurs dans ce pilier du secteur bancaire de l'UEMOA. Avec un BPA de 438 FCFA, le titre se négocie à un PER de 20,3x, nettement supérieur à la moyenne historique de la BRVM (8-12x). Cette décote de valorisation suggère que le marché intègre des attentes de croissance future élevées, mais expose également le titre à un risque de correction si ces attentes ne se matérialisent pas. Le P/B de 3,10x confirme cette prime, le marché valorisant la banque à plus de trois fois sa valeur comptable, signe d'une rentabilité des fonds propres (ROE) jugée supérieure à la moyenne. Enfin, l'EV/EBITDA de 9,4x, dans la fourchette haute des 5-10x, indique que la valeur totale de l'entreprise (dette incluse) reste à un niveau raisonnable par rapport à sa capacité opérationnelle, tempérant légèrement les signaux de cherté relatifs au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BOABF a connu une appréciation spectaculaire de +58,93%, passant d'un plus bas de 5 235 FCFA à un plus haut de 9 090 FCFA, avant de clôturer à 8 900 FCFA, en léger repli de -2,09% sur la dernière séance. Cette tendance est fortement haussière, portée par un volume moyen de 6 284 titres par jour. L'analyse des statistiques descriptives révèle une distribution asymétrique positive (skewness de 1,182), indiquant que le cours a passé la majorité de la période sous sa moyenne de 6 150 FCFA, avec des pics de hausse récents et marqués. La médiane à 5 648 FCFA, inférieure à la moyenne, confirme cette concentration des prix bas. L'écart-type de 897 FCFA (CV=14,6%) montre une dispersion modérée, tandis qu'un kurtosis de 0,581 (mésokurtique) suggère une distribution proche de la normale, sans risque de variations extrêmes imprévisibles. La volatilité annualisée de 33,3% classe le titre dans la catégorie "élevée" (&gt;30%), signe d'un investissement risqué mais potentiellement rémunérateur.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(8 900 FCFA) évolue nettement au-dessus de sa MM20 (7 532,25 FCFA) et de sa MM50 (6 788,9 FCFA), dans une configuration de "courbe ascendante" typique d'une tendance haussière solide. La décision d'**Achat** est justifiée par cette dynamique positive, le titre étant dans une phase de momentum haussier.</w:t>
      </w:r>
    </w:p>
    <w:p>
      <w:pPr>
        <w:spacing w:after="120" w:line="276" w:lineRule="auto"/>
      </w:pPr>
      <w:r>
        <w:t>**Bandes de Bollinger** : Le prix a dépassé la borne supérieure (8 766,48 FCFA), signalant une condition de surachat extrême à court terme. Cette sortie de canal indique une volatilité élevée et un écart temporaire par rapport à la moyenne mobile. La décision de **Vente** est émise pour signaler un risque de retour vers la moyenne, mais ne remet pas en cause la tendance de fond.</w:t>
      </w:r>
    </w:p>
    <w:p>
      <w:pPr>
        <w:spacing w:after="120" w:line="276" w:lineRule="auto"/>
      </w:pPr>
      <w:r>
        <w:t>**MACD** : La ligne MACD (491,73) est nettement au-dessus de sa ligne de signal (339,63), confirmant un momentum haussier puissant. La décision d'**Achat** est validée par cette divergence positive, qui suggère que la pression acheteuse reste dominante, même si l'écart important peut précéder un essoufflement.</w:t>
      </w:r>
    </w:p>
    <w:p>
      <w:pPr>
        <w:spacing w:after="120" w:line="276" w:lineRule="auto"/>
      </w:pPr>
      <w:r>
        <w:t>**RSI** : Avec une valeur de 81,51, le RSI est profondément en zone de surachat (&gt;70). La décision de **Vente** est émise pour alerter sur une probabilité élevée de correction technique à court terme, le marché ayant potentiellement surévalué le titre dans l'immédiat.</w:t>
      </w:r>
    </w:p>
    <w:p>
      <w:pPr>
        <w:spacing w:after="120" w:line="276" w:lineRule="auto"/>
      </w:pPr>
      <w:r>
        <w:t>**Stochastique** : Le %K (90,45) et le %D (96,82) sont tous deux en zone de surachat extrême, avec un %D au-dessus du %K. La décision de **Vente** est justifiée par ce croisement baissier potentiel, indiquant un épuisement probable de la dynamique haussière à très court terme.</w:t>
      </w:r>
    </w:p>
    <w:p>
      <w:pPr>
        <w:spacing w:after="120" w:line="276" w:lineRule="auto"/>
      </w:pPr>
      <w:r>
        <w:t>**Conclusion technique** : Les indicateurs sont fortement divergents. La tendance de fond (MM, MACD) est clairement haussière, mais les oscillateurs (RSI, Stochastique, Bollinger) signalent un état de surachat extrême. Cette configuration suggère une consolidation ou un repli technique probable à court terme avant une possible reprise de la tendance haussière.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montrent une banque à la structure solide mais dont la rentabilité est sous pression. Le Produit Net Bancaire (PNB) s'établit à 57,82 milliards FCFA, en légère croissance de 0,57%, tandis que le résultat net atteint 19,25 milliards FCFA. Le ROE de 15,2% reste excellent (&gt;15%), et le coefficient d'exploitation de 47,2% témoigne d'une grande efficacité opérationnelle (&lt;50%). Cependant, le coût du risque, à 33,9% des charges financières, est élevé, signalant une dégradation de la qualité du portefeuille de crédits. Les rapports trimestriels de 2025 confirment cette tendance : le T1 2025 (PNB +2,3%, RN -16,6%) et le S1 2025 (PNB +1,4%, RN -46,5%) montrent une stagnation de l'activité et un effondrement du résultat net, principalement dû à une explosion des provisions pour risques (+1336% au S1). Le rapport du 3ème trimestre 2025 (PNB +0,85%, RN -27,7%) confirme la persistance de ces difficultés. Sur la base de ces données, on estime que l'exercice 2025 complet devrait clôturer avec un résultat net en baisse significative, probablement autour de 19-20 milliards FCFA, ce qui correspond aux données annuelles. Le rapport du T1 2026 (PNB -10,75%, RN -12,99%) indique que la contraction se poursuit, avec une activité en repli. La banque maintient néanmoins une collecte de dépôts dynamique (+6,3% au T1 2026) et une position de marché solide, mais la stagnation des crédits et la dégradation du coût du risque constituent des points de vigilance majeurs pour la rentabilité future.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complexe. La **valorisation** (PER de 20,3x, P/B de 3,1x) est exigeante, intégrant des attentes de croissance qui ne se matérialisent pas dans les résultats récents. Le **comportement du cours** (+58,9% en 100 jours) est extrêmement haussier, mais la volatilité élevée (33,3%) et les statistiques (asymétrie positive) suggèrent un mouvement potentiellement spéculatif. Les **signaux techniques** sont contradictoires : la tendance de fond (MM, MACD) reste positive, mais les oscillateurs (RSI, Stochastique) crient au surachat, annonçant une correction probable. Les **fondamentaux** sont solides (ROE &gt;15%, coefficient d'exploitation &lt;50%) mais montrent une dégradation nette de la rentabilité (-27,7% sur 9 mois 2025) due à un coût du risque élevé. Les **prédictions IA** (baisse de 8 900 à 7 597 FCFA sur 10 jours) confirment le scénario de correction technique. Face à cette divergence entre un momentum haussier et des fondamentaux en déclin, la recommandation est **CONSERVER** pour les investisseurs existants, avec un niveau de confiance **Moyen** et un risque global **Élevé**. L'horizon d'investissement optimal est le **moyen terme (3-12 mois)**, en attendant une stabilisation du coût du risque et une clarification de la trajectoire de croissance. Un nouvel achat ne serait envisageable qu'après une correction significative du cours vers les 7 500-8 000 FCFA.</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12,420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+45.88%</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14.88% (Moyenne) — μ=9,721 FCFA, σ=1,447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β=0.0126 (Défensif) — Cov=0.000000, Var(idx)=0.000036, ρ=0.005,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12,420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11,329</w:t>
            </w:r>
          </w:p>
        </w:tc>
        <w:tc>
          <w:tcPr>
            <w:tcW w:type="dxa" w:w="1440"/>
            <w:shd w:fill="FFDCE0" w:val="clear"/>
          </w:tcPr>
          <w:p>
            <w:r>
              <w:rPr>
                <w:b/>
                <w:sz w:val="17"/>
              </w:rPr>
              <w:t>11,748</w:t>
            </w:r>
          </w:p>
        </w:tc>
        <w:tc>
          <w:tcPr>
            <w:tcW w:type="dxa" w:w="1440"/>
            <w:shd w:fill="FFDCE0" w:val="clear"/>
          </w:tcPr>
          <w:p>
            <w:r>
              <w:rPr>
                <w:sz w:val="17"/>
              </w:rPr>
              <w:t>12,166</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10,661</w:t>
            </w:r>
          </w:p>
        </w:tc>
        <w:tc>
          <w:tcPr>
            <w:tcW w:type="dxa" w:w="1440"/>
            <w:shd w:fill="FFDCE0" w:val="clear"/>
          </w:tcPr>
          <w:p>
            <w:r>
              <w:rPr>
                <w:b/>
                <w:sz w:val="17"/>
              </w:rPr>
              <w:t>11,226</w:t>
            </w:r>
          </w:p>
        </w:tc>
        <w:tc>
          <w:tcPr>
            <w:tcW w:type="dxa" w:w="1440"/>
            <w:shd w:fill="FFDCE0" w:val="clear"/>
          </w:tcPr>
          <w:p>
            <w:r>
              <w:rPr>
                <w:sz w:val="17"/>
              </w:rPr>
              <w:t>11,792</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10,074</w:t>
            </w:r>
          </w:p>
        </w:tc>
        <w:tc>
          <w:tcPr>
            <w:tcW w:type="dxa" w:w="1440"/>
            <w:shd w:fill="FFDCE0" w:val="clear"/>
          </w:tcPr>
          <w:p>
            <w:r>
              <w:rPr>
                <w:b/>
                <w:sz w:val="17"/>
              </w:rPr>
              <w:t>10,737</w:t>
            </w:r>
          </w:p>
        </w:tc>
        <w:tc>
          <w:tcPr>
            <w:tcW w:type="dxa" w:w="1440"/>
            <w:shd w:fill="FFDCE0" w:val="clear"/>
          </w:tcPr>
          <w:p>
            <w:r>
              <w:rPr>
                <w:sz w:val="17"/>
              </w:rPr>
              <w:t>11,400</w:t>
            </w:r>
          </w:p>
        </w:tc>
        <w:tc>
          <w:tcPr>
            <w:tcW w:type="dxa" w:w="1440"/>
            <w:shd w:fill="FFDCE0" w:val="clear"/>
          </w:tcPr>
          <w:p>
            <w:r>
              <w:rPr>
                <w:b/>
                <w:color w:val="C00000"/>
                <w:sz w:val="17"/>
              </w:rPr>
              <w:t>-13.4%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9,578</w:t>
            </w:r>
          </w:p>
        </w:tc>
        <w:tc>
          <w:tcPr>
            <w:tcW w:type="dxa" w:w="1440"/>
            <w:shd w:fill="FFDCE0" w:val="clear"/>
          </w:tcPr>
          <w:p>
            <w:r>
              <w:rPr>
                <w:b/>
                <w:sz w:val="17"/>
              </w:rPr>
              <w:t>10,312</w:t>
            </w:r>
          </w:p>
        </w:tc>
        <w:tc>
          <w:tcPr>
            <w:tcW w:type="dxa" w:w="1440"/>
            <w:shd w:fill="FFDCE0" w:val="clear"/>
          </w:tcPr>
          <w:p>
            <w:r>
              <w:rPr>
                <w:sz w:val="17"/>
              </w:rPr>
              <w:t>11,047</w:t>
            </w:r>
          </w:p>
        </w:tc>
        <w:tc>
          <w:tcPr>
            <w:tcW w:type="dxa" w:w="1440"/>
            <w:shd w:fill="FFDCE0" w:val="clear"/>
          </w:tcPr>
          <w:p>
            <w:r>
              <w:rPr>
                <w:b/>
                <w:color w:val="C00000"/>
                <w:sz w:val="17"/>
              </w:rPr>
              <w:t>-16.8%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9,155</w:t>
            </w:r>
          </w:p>
        </w:tc>
        <w:tc>
          <w:tcPr>
            <w:tcW w:type="dxa" w:w="1440"/>
            <w:shd w:fill="FFDCE0" w:val="clear"/>
          </w:tcPr>
          <w:p>
            <w:r>
              <w:rPr>
                <w:b/>
                <w:sz w:val="17"/>
              </w:rPr>
              <w:t>9,947</w:t>
            </w:r>
          </w:p>
        </w:tc>
        <w:tc>
          <w:tcPr>
            <w:tcW w:type="dxa" w:w="1440"/>
            <w:shd w:fill="FFDCE0" w:val="clear"/>
          </w:tcPr>
          <w:p>
            <w:r>
              <w:rPr>
                <w:sz w:val="17"/>
              </w:rPr>
              <w:t>10,740</w:t>
            </w:r>
          </w:p>
        </w:tc>
        <w:tc>
          <w:tcPr>
            <w:tcW w:type="dxa" w:w="1440"/>
            <w:shd w:fill="FFDCE0" w:val="clear"/>
          </w:tcPr>
          <w:p>
            <w:r>
              <w:rPr>
                <w:b/>
                <w:color w:val="C00000"/>
                <w:sz w:val="17"/>
              </w:rPr>
              <w:t>-19.8%</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8,791</w:t>
            </w:r>
          </w:p>
        </w:tc>
        <w:tc>
          <w:tcPr>
            <w:tcW w:type="dxa" w:w="1440"/>
            <w:shd w:fill="FFDCE0" w:val="clear"/>
          </w:tcPr>
          <w:p>
            <w:r>
              <w:rPr>
                <w:b/>
                <w:sz w:val="17"/>
              </w:rPr>
              <w:t>9,632</w:t>
            </w:r>
          </w:p>
        </w:tc>
        <w:tc>
          <w:tcPr>
            <w:tcW w:type="dxa" w:w="1440"/>
            <w:shd w:fill="FFDCE0" w:val="clear"/>
          </w:tcPr>
          <w:p>
            <w:r>
              <w:rPr>
                <w:sz w:val="17"/>
              </w:rPr>
              <w:t>10,473</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8,476</w:t>
            </w:r>
          </w:p>
        </w:tc>
        <w:tc>
          <w:tcPr>
            <w:tcW w:type="dxa" w:w="1440"/>
            <w:shd w:fill="FFDCE0" w:val="clear"/>
          </w:tcPr>
          <w:p>
            <w:r>
              <w:rPr>
                <w:b/>
                <w:sz w:val="17"/>
              </w:rPr>
              <w:t>9,358</w:t>
            </w:r>
          </w:p>
        </w:tc>
        <w:tc>
          <w:tcPr>
            <w:tcW w:type="dxa" w:w="1440"/>
            <w:shd w:fill="FFDCE0" w:val="clear"/>
          </w:tcPr>
          <w:p>
            <w:r>
              <w:rPr>
                <w:sz w:val="17"/>
              </w:rPr>
              <w:t>10,240</w:t>
            </w:r>
          </w:p>
        </w:tc>
        <w:tc>
          <w:tcPr>
            <w:tcW w:type="dxa" w:w="1440"/>
            <w:shd w:fill="FFDCE0" w:val="clear"/>
          </w:tcPr>
          <w:p>
            <w:r>
              <w:rPr>
                <w:b/>
                <w:color w:val="C00000"/>
                <w:sz w:val="17"/>
              </w:rPr>
              <w:t>-24.5%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8,200</w:t>
            </w:r>
          </w:p>
        </w:tc>
        <w:tc>
          <w:tcPr>
            <w:tcW w:type="dxa" w:w="1440"/>
            <w:shd w:fill="FFDCE0" w:val="clear"/>
          </w:tcPr>
          <w:p>
            <w:r>
              <w:rPr>
                <w:b/>
                <w:sz w:val="17"/>
              </w:rPr>
              <w:t>9,118</w:t>
            </w:r>
          </w:p>
        </w:tc>
        <w:tc>
          <w:tcPr>
            <w:tcW w:type="dxa" w:w="1440"/>
            <w:shd w:fill="FFDCE0" w:val="clear"/>
          </w:tcPr>
          <w:p>
            <w:r>
              <w:rPr>
                <w:sz w:val="17"/>
              </w:rPr>
              <w:t>10,037</w:t>
            </w:r>
          </w:p>
        </w:tc>
        <w:tc>
          <w:tcPr>
            <w:tcW w:type="dxa" w:w="1440"/>
            <w:shd w:fill="FFDCE0" w:val="clear"/>
          </w:tcPr>
          <w:p>
            <w:r>
              <w:rPr>
                <w:b/>
                <w:color w:val="C00000"/>
                <w:sz w:val="17"/>
              </w:rPr>
              <w:t>-26.5%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7,955</w:t>
            </w:r>
          </w:p>
        </w:tc>
        <w:tc>
          <w:tcPr>
            <w:tcW w:type="dxa" w:w="1440"/>
            <w:shd w:fill="FFDCE0" w:val="clear"/>
          </w:tcPr>
          <w:p>
            <w:r>
              <w:rPr>
                <w:b/>
                <w:sz w:val="17"/>
              </w:rPr>
              <w:t>8,907</w:t>
            </w:r>
          </w:p>
        </w:tc>
        <w:tc>
          <w:tcPr>
            <w:tcW w:type="dxa" w:w="1440"/>
            <w:shd w:fill="FFDCE0" w:val="clear"/>
          </w:tcPr>
          <w:p>
            <w:r>
              <w:rPr>
                <w:sz w:val="17"/>
              </w:rPr>
              <w:t>9,859</w:t>
            </w:r>
          </w:p>
        </w:tc>
        <w:tc>
          <w:tcPr>
            <w:tcW w:type="dxa" w:w="1440"/>
            <w:shd w:fill="FFDCE0" w:val="clear"/>
          </w:tcPr>
          <w:p>
            <w:r>
              <w:rPr>
                <w:b/>
                <w:color w:val="C00000"/>
                <w:sz w:val="17"/>
              </w:rPr>
              <w:t>-28.2%</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7,737</w:t>
            </w:r>
          </w:p>
        </w:tc>
        <w:tc>
          <w:tcPr>
            <w:tcW w:type="dxa" w:w="1440"/>
            <w:shd w:fill="FFDCE0" w:val="clear"/>
          </w:tcPr>
          <w:p>
            <w:r>
              <w:rPr>
                <w:b/>
                <w:sz w:val="17"/>
              </w:rPr>
              <w:t>8,719</w:t>
            </w:r>
          </w:p>
        </w:tc>
        <w:tc>
          <w:tcPr>
            <w:tcW w:type="dxa" w:w="1440"/>
            <w:shd w:fill="FFDCE0" w:val="clear"/>
          </w:tcPr>
          <w:p>
            <w:r>
              <w:rPr>
                <w:sz w:val="17"/>
              </w:rPr>
              <w:t>9,701</w:t>
            </w:r>
          </w:p>
        </w:tc>
        <w:tc>
          <w:tcPr>
            <w:tcW w:type="dxa" w:w="1440"/>
            <w:shd w:fill="FFDCE0" w:val="clear"/>
          </w:tcPr>
          <w:p>
            <w:r>
              <w:rPr>
                <w:b/>
                <w:color w:val="C00000"/>
                <w:sz w:val="17"/>
              </w:rPr>
              <w:t>-29.7%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496 milliards FCFA, ce qui positionne la banque parmi les valeurs à grande capitalisation de la BRVM, lui conférant une liquidité et une visibilité notables. Le BPA de 888 FCFA indique que chaque action génère un bénéfice substantiel, mais le PER de 14,0x se situe au-dessus de la moyenne historique du marché (8-12x), signifiant que les investisseurs paient une prime pour la croissance future anticipée. Le P/B de 3,90x confirme cette prime, le marché valorisant l'actif net comptable près de quatre fois sa valeur, ce qui est typique des valeurs de croissance. Enfin, l'EV/EBITDA de 27,3x est particulièrement exigeant, indiquant que la valeur totale de l'entreprise (dette incluse) est très élevée par rapport à sa capacité opérationnelle de génération de cash,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performance spectaculaire de +45,88%, bien que la dernière séance ait montré un repli de -2,36%, suggérant une possible prise de bénéfices après une forte ascension. Le cours a évolué dans une fourchette très large, entre un plus bas de 8 380 FCFA et un plus haut de 13 450 FCFA, démontrant une dynamique haussière puissante. La moyenne (9 721 FCFA) étant inférieure à la médiane (9 100 FCFA) et le skewness positif de 1,347 indiquent une distribution asymétrique avec des journées de forte hausse concentrées en fin de période. L'écart-type de 1 454 FCFA (CV de 15%) reflète une dispersion modérée, tandis que le kurtosis de 0,496 (mésokurtique) suggère une distribution proche de la normale, sans risque de pics extrêmes. La volatilité annualisée de 25,8% classe le titre dans la catégorie modérée (15-30%), offrant un équilibre entre potentiel de rendement et risque.</w:t>
      </w:r>
    </w:p>
    <w:p>
      <w:pPr>
        <w:spacing w:after="120" w:line="276" w:lineRule="auto" w:before="240"/>
      </w:pPr>
      <w:r>
        <w:rPr>
          <w:b/>
          <w:color w:val="003366"/>
          <w:sz w:val="24"/>
        </w:rPr>
        <w:t>**PARTIE 2 : ANALYSE TECHNIQUE DÉTAILLÉE**</w:t>
      </w:r>
    </w:p>
    <w:p>
      <w:pPr>
        <w:spacing w:after="120" w:line="276" w:lineRule="auto"/>
      </w:pPr>
      <w:r>
        <w:t>**Moyennes Mobiles** : Le cours actuel (12 400 FCFA) se positionne nettement au-dessus de la MM20 (12 326,5 FCFA) et très au-dessus de la MM50 (10 708,2 FCFA), confirmant une tendance haussière solide à court et moyen terme. La configuration des MM (MM20 &gt; MM50) génère un signal d'achat, indiquant que la dynamique positive reste intacte malgré le récent repli.</w:t>
      </w:r>
    </w:p>
    <w:p>
      <w:pPr>
        <w:spacing w:after="120" w:line="276" w:lineRule="auto"/>
      </w:pPr>
      <w:r>
        <w:t>**Bandes de Bollinger** : Le prix se situe à 12 400 FCFA, entre la borne supérieure (14 033,9 FCFA) et la borne inférieure (10 619,1 FCFA), mais plus proche de la borne supérieure, ce qui suggère une volatilité élevée. La décision "Neutre" indique que le cours n'est pas en zone de surachat extrême, mais la largeur des bandes reflète une période de forte amplitude de prix.</w:t>
      </w:r>
    </w:p>
    <w:p>
      <w:pPr>
        <w:spacing w:after="120" w:line="276" w:lineRule="auto"/>
      </w:pPr>
      <w:r>
        <w:t>**MACD** : La valeur du MACD (656,6) est inférieure à son signal (761,1), générant une décision de vente. Cette configuration indique un affaiblissement du momentum haussier, le MACD ayant potentiellement franchi son signal à la baisse, ce qui pourrait précéder une correction ou une consolidation du cours.</w:t>
      </w:r>
    </w:p>
    <w:p>
      <w:pPr>
        <w:spacing w:after="120" w:line="276" w:lineRule="auto"/>
      </w:pPr>
      <w:r>
        <w:t>**RSI** : Le RSI à 63,8 se situe en zone neutre (30-70), mais proche de la zone de surachat (70). Cela suggère que la pression acheteuse reste dominante, mais qu'il existe un risque de retournement si le RSI franchit le seuil des 70. La décision "Neutre" reflète cet équilibre précaire.</w:t>
      </w:r>
    </w:p>
    <w:p>
      <w:pPr>
        <w:spacing w:after="120" w:line="276" w:lineRule="auto"/>
      </w:pPr>
      <w:r>
        <w:t>**Stochastique** : Le %K (43,2) est inférieur au %D (56,9), indiquant une dynamique baissière à court terme. Le croisement de ces lignes suggère une perte de vigueur haussière, mais la décision "Neutre" signale que le titre n'est ni en surachat ni en survente, laissant place à une possible stabilisation.</w:t>
      </w:r>
    </w:p>
    <w:p>
      <w:pPr>
        <w:spacing w:after="120" w:line="276" w:lineRule="auto"/>
      </w:pPr>
      <w:r>
        <w:t>**Conclusion technique** : Les indicateurs sont mitigés : les moyennes mobiles soutiennent une tendance haussière, mais le MACD et le Stochastique montrent des signes de faiblesse à court terme. Le RSI et les Bandes de Bollinger restent neutres. Cette divergence suggère une phase de consolidation après la forte hausse, avec un risque de correction modérée avant une possible reprise de la tendance.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BOAC révèlent un Produit Net Bancaire (PNB) de 73,545 milliards FCFA, un résultat net de 35,540 milliards FCFA, et une marge nette exceptionnelle de 48,3%. Le ROE de 27,9% et le ROA de 3,2% démontrent une rentabilité très solide, bien au-dessus des seuils d'excellence (15% pour le ROE). Le coefficient d'exploitation de 36,7% confirme une gestion très efficace, bien en dessous du seuil de 60%. Le coût du risque de 6,7% reste élevé, signalant un risque de crédit significatif. La structure financière montre une autonomie financière de 11,5%, inférieure au seuil de 30%, indiquant une forte dépendance aux dettes (88,5%), mais la solvabilité générale de 113% est rassurante. Les dépôts clientèle (850,5 milliards) dépassent largement les créances (430,4 milliards), assurant une transformation saine. Les rapports trimestriels 2025 montrent une stagnation du PNB (T3 : +0,23% à 53,49 milliards) et un résultat net en légère hausse (T3 : +1,29% à 26,63 milliards), contrastant avec la forte croissance de 2024 (PNB +19,6%, résultat net +22,9%). Sur la base du T3 2025, on estime que l'exercice 2025 devrait clôturer avec un PNB autour de 73,5 milliards et un résultat net proche de 35,5 milliards, confirmant une performance stable mais atone, avec des objectifs triennaux ambitieux (croissance du PNB de +11,6% d'ici 2027).</w:t>
      </w:r>
    </w:p>
    <w:p>
      <w:pPr>
        <w:spacing w:after="120" w:line="276" w:lineRule="auto" w:before="240"/>
      </w:pPr>
      <w:r>
        <w:rPr>
          <w:b/>
          <w:color w:val="003366"/>
          <w:sz w:val="24"/>
        </w:rPr>
        <w:t>**PARTIE 4 : CONCLUSION D'INVESTISSEMENT**</w:t>
      </w:r>
    </w:p>
    <w:p>
      <w:pPr>
        <w:spacing w:after="120" w:line="276" w:lineRule="auto"/>
      </w:pPr>
      <w:r>
        <w:t>La valorisation de BOAC (PER 14x, P/B 3,9x, EV/EBITDA 27,3x) est exigeante, reflétant une prime de croissance qui pourrait limiter le potentiel de hausse. Le comportement du cours montre une tendance haussière forte (+45,88% sur 100 jours) avec une volatilité modérée, mais le skewness positif et le kurtosis normal indiquent un risque de retournement. Les signaux techniques sont divergents : les moyennes mobiles sont haussières, mais le MACD et le Stochastique suggèrent une consolidation à court terme. Les fondamentaux sont solides avec un ROE de 27,9% et un coefficient d'exploitation de 36,7%, mais la croissance est atone en 2025. Les prédictions IA (J+1 à J+10) prévoient une baisse continue de 11 748 à 9 947 FCFA, contredisant la tendance haussière récente et confirmant les signaux techniques de correction. En synthèse, la convergence entre la valorisation élevée, les signaux techniques de faiblesse et les prédictions IA baissières suggère une recommandation de **CONSERVER**, avec un niveau de confiance **Moyen** et un risque global **Moyen**. L'horizon d'investissement optimal serait le **moyen terme (3-12 mois)**, en attendant une meilleure opportunité d'entrée après une probable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6,187 titres</w:t>
            </w:r>
          </w:p>
        </w:tc>
        <w:tc>
          <w:tcPr>
            <w:tcW w:type="dxa" w:w="2268"/>
            <w:shd w:fill="FFF2CC" w:val="clear"/>
          </w:tcPr>
          <w:p>
            <w:r>
              <w:rPr>
                <w:b/>
                <w:color w:val="503200"/>
                <w:sz w:val="16"/>
              </w:rPr>
              <w:t xml:space="preserve">Cours actuel : </w:t>
            </w:r>
            <w:r>
              <w:rPr>
                <w:color w:val="000000"/>
                <w:sz w:val="17"/>
              </w:rPr>
              <w:t>6,495 FCFA</w:t>
            </w:r>
          </w:p>
          <w:p>
            <w:r>
              <w:rPr>
                <w:b/>
                <w:color w:val="503200"/>
                <w:sz w:val="16"/>
              </w:rPr>
              <w:t xml:space="preserve">Var. 100 jours : </w:t>
            </w:r>
            <w:r>
              <w:rPr>
                <w:b/>
                <w:color w:val="007800"/>
                <w:sz w:val="17"/>
              </w:rPr>
              <w:t>+41.20%</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μ=5,143 FCFA, σ=601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β=0.3101 (Défensif) — Cov=0.000011, Var(idx)=0.000036, ρ=0.092,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6,125</w:t>
            </w:r>
          </w:p>
        </w:tc>
        <w:tc>
          <w:tcPr>
            <w:tcW w:type="dxa" w:w="1440"/>
            <w:shd w:fill="FFDCE0" w:val="clear"/>
          </w:tcPr>
          <w:p>
            <w:r>
              <w:rPr>
                <w:b/>
                <w:sz w:val="17"/>
              </w:rPr>
              <w:t>6,317</w:t>
            </w:r>
          </w:p>
        </w:tc>
        <w:tc>
          <w:tcPr>
            <w:tcW w:type="dxa" w:w="1440"/>
            <w:shd w:fill="FFDCE0" w:val="clear"/>
          </w:tcPr>
          <w:p>
            <w:r>
              <w:rPr>
                <w:sz w:val="17"/>
              </w:rPr>
              <w:t>6,510</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5,896</w:t>
            </w:r>
          </w:p>
        </w:tc>
        <w:tc>
          <w:tcPr>
            <w:tcW w:type="dxa" w:w="1440"/>
            <w:shd w:fill="FFDCE0" w:val="clear"/>
          </w:tcPr>
          <w:p>
            <w:r>
              <w:rPr>
                <w:b/>
                <w:sz w:val="17"/>
              </w:rPr>
              <w:t>6,162</w:t>
            </w:r>
          </w:p>
        </w:tc>
        <w:tc>
          <w:tcPr>
            <w:tcW w:type="dxa" w:w="1440"/>
            <w:shd w:fill="FFDCE0" w:val="clear"/>
          </w:tcPr>
          <w:p>
            <w:r>
              <w:rPr>
                <w:sz w:val="17"/>
              </w:rPr>
              <w:t>6,428</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5,714</w:t>
            </w:r>
          </w:p>
        </w:tc>
        <w:tc>
          <w:tcPr>
            <w:tcW w:type="dxa" w:w="1440"/>
            <w:shd w:fill="FFDCE0" w:val="clear"/>
          </w:tcPr>
          <w:p>
            <w:r>
              <w:rPr>
                <w:b/>
                <w:sz w:val="17"/>
              </w:rPr>
              <w:t>6,033</w:t>
            </w:r>
          </w:p>
        </w:tc>
        <w:tc>
          <w:tcPr>
            <w:tcW w:type="dxa" w:w="1440"/>
            <w:shd w:fill="FFDCE0" w:val="clear"/>
          </w:tcPr>
          <w:p>
            <w:r>
              <w:rPr>
                <w:sz w:val="17"/>
              </w:rPr>
              <w:t>6,352</w:t>
            </w:r>
          </w:p>
        </w:tc>
        <w:tc>
          <w:tcPr>
            <w:tcW w:type="dxa" w:w="1440"/>
            <w:shd w:fill="FFDCE0" w:val="clear"/>
          </w:tcPr>
          <w:p>
            <w:r>
              <w:rPr>
                <w:b/>
                <w:color w:val="C00000"/>
                <w:sz w:val="17"/>
              </w:rPr>
              <w:t>-7.1%</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5,562</w:t>
            </w:r>
          </w:p>
        </w:tc>
        <w:tc>
          <w:tcPr>
            <w:tcW w:type="dxa" w:w="1440"/>
            <w:shd w:fill="FFDCE0" w:val="clear"/>
          </w:tcPr>
          <w:p>
            <w:r>
              <w:rPr>
                <w:b/>
                <w:sz w:val="17"/>
              </w:rPr>
              <w:t>5,923</w:t>
            </w:r>
          </w:p>
        </w:tc>
        <w:tc>
          <w:tcPr>
            <w:tcW w:type="dxa" w:w="1440"/>
            <w:shd w:fill="FFDCE0" w:val="clear"/>
          </w:tcPr>
          <w:p>
            <w:r>
              <w:rPr>
                <w:sz w:val="17"/>
              </w:rPr>
              <w:t>6,285</w:t>
            </w:r>
          </w:p>
        </w:tc>
        <w:tc>
          <w:tcPr>
            <w:tcW w:type="dxa" w:w="1440"/>
            <w:shd w:fill="FFDCE0" w:val="clear"/>
          </w:tcPr>
          <w:p>
            <w:r>
              <w:rPr>
                <w:b/>
                <w:color w:val="C00000"/>
                <w:sz w:val="17"/>
              </w:rPr>
              <w:t>-8.8%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5,427</w:t>
            </w:r>
          </w:p>
        </w:tc>
        <w:tc>
          <w:tcPr>
            <w:tcW w:type="dxa" w:w="1440"/>
            <w:shd w:fill="FFDCE0" w:val="clear"/>
          </w:tcPr>
          <w:p>
            <w:r>
              <w:rPr>
                <w:b/>
                <w:sz w:val="17"/>
              </w:rPr>
              <w:t>5,825</w:t>
            </w:r>
          </w:p>
        </w:tc>
        <w:tc>
          <w:tcPr>
            <w:tcW w:type="dxa" w:w="1440"/>
            <w:shd w:fill="FFDCE0" w:val="clear"/>
          </w:tcPr>
          <w:p>
            <w:r>
              <w:rPr>
                <w:sz w:val="17"/>
              </w:rPr>
              <w:t>6,222</w:t>
            </w:r>
          </w:p>
        </w:tc>
        <w:tc>
          <w:tcPr>
            <w:tcW w:type="dxa" w:w="1440"/>
            <w:shd w:fill="FFDCE0" w:val="clear"/>
          </w:tcPr>
          <w:p>
            <w:r>
              <w:rPr>
                <w:b/>
                <w:color w:val="C00000"/>
                <w:sz w:val="17"/>
              </w:rPr>
              <w:t>-10.3%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5,306</w:t>
            </w:r>
          </w:p>
        </w:tc>
        <w:tc>
          <w:tcPr>
            <w:tcW w:type="dxa" w:w="1440"/>
            <w:shd w:fill="FFDCE0" w:val="clear"/>
          </w:tcPr>
          <w:p>
            <w:r>
              <w:rPr>
                <w:b/>
                <w:sz w:val="17"/>
              </w:rPr>
              <w:t>5,735</w:t>
            </w:r>
          </w:p>
        </w:tc>
        <w:tc>
          <w:tcPr>
            <w:tcW w:type="dxa" w:w="1440"/>
            <w:shd w:fill="FFDCE0" w:val="clear"/>
          </w:tcPr>
          <w:p>
            <w:r>
              <w:rPr>
                <w:sz w:val="17"/>
              </w:rPr>
              <w:t>6,163</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5,194</w:t>
            </w:r>
          </w:p>
        </w:tc>
        <w:tc>
          <w:tcPr>
            <w:tcW w:type="dxa" w:w="1440"/>
            <w:shd w:fill="FFDCE0" w:val="clear"/>
          </w:tcPr>
          <w:p>
            <w:r>
              <w:rPr>
                <w:b/>
                <w:sz w:val="17"/>
              </w:rPr>
              <w:t>5,651</w:t>
            </w:r>
          </w:p>
        </w:tc>
        <w:tc>
          <w:tcPr>
            <w:tcW w:type="dxa" w:w="1440"/>
            <w:shd w:fill="FFDCE0" w:val="clear"/>
          </w:tcPr>
          <w:p>
            <w:r>
              <w:rPr>
                <w:sz w:val="17"/>
              </w:rPr>
              <w:t>6,107</w:t>
            </w:r>
          </w:p>
        </w:tc>
        <w:tc>
          <w:tcPr>
            <w:tcW w:type="dxa" w:w="1440"/>
            <w:shd w:fill="FFDCE0" w:val="clear"/>
          </w:tcPr>
          <w:p>
            <w:r>
              <w:rPr>
                <w:b/>
                <w:color w:val="C00000"/>
                <w:sz w:val="17"/>
              </w:rPr>
              <w:t>-13.0%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5,091</w:t>
            </w:r>
          </w:p>
        </w:tc>
        <w:tc>
          <w:tcPr>
            <w:tcW w:type="dxa" w:w="1440"/>
            <w:shd w:fill="FFDCE0" w:val="clear"/>
          </w:tcPr>
          <w:p>
            <w:r>
              <w:rPr>
                <w:b/>
                <w:sz w:val="17"/>
              </w:rPr>
              <w:t>5,572</w:t>
            </w:r>
          </w:p>
        </w:tc>
        <w:tc>
          <w:tcPr>
            <w:tcW w:type="dxa" w:w="1440"/>
            <w:shd w:fill="FFDCE0" w:val="clear"/>
          </w:tcPr>
          <w:p>
            <w:r>
              <w:rPr>
                <w:sz w:val="17"/>
              </w:rPr>
              <w:t>6,053</w:t>
            </w:r>
          </w:p>
        </w:tc>
        <w:tc>
          <w:tcPr>
            <w:tcW w:type="dxa" w:w="1440"/>
            <w:shd w:fill="FFDCE0" w:val="clear"/>
          </w:tcPr>
          <w:p>
            <w:r>
              <w:rPr>
                <w:b/>
                <w:color w:val="C00000"/>
                <w:sz w:val="17"/>
              </w:rPr>
              <w:t>-14.2%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4,995</w:t>
            </w:r>
          </w:p>
        </w:tc>
        <w:tc>
          <w:tcPr>
            <w:tcW w:type="dxa" w:w="1440"/>
            <w:shd w:fill="FFDCE0" w:val="clear"/>
          </w:tcPr>
          <w:p>
            <w:r>
              <w:rPr>
                <w:b/>
                <w:sz w:val="17"/>
              </w:rPr>
              <w:t>5,499</w:t>
            </w:r>
          </w:p>
        </w:tc>
        <w:tc>
          <w:tcPr>
            <w:tcW w:type="dxa" w:w="1440"/>
            <w:shd w:fill="FFDCE0" w:val="clear"/>
          </w:tcPr>
          <w:p>
            <w:r>
              <w:rPr>
                <w:sz w:val="17"/>
              </w:rPr>
              <w:t>6,002</w:t>
            </w:r>
          </w:p>
        </w:tc>
        <w:tc>
          <w:tcPr>
            <w:tcW w:type="dxa" w:w="1440"/>
            <w:shd w:fill="FFDCE0" w:val="clear"/>
          </w:tcPr>
          <w:p>
            <w:r>
              <w:rPr>
                <w:b/>
                <w:color w:val="C00000"/>
                <w:sz w:val="17"/>
              </w:rPr>
              <w:t>-15.3%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4,906</w:t>
            </w:r>
          </w:p>
        </w:tc>
        <w:tc>
          <w:tcPr>
            <w:tcW w:type="dxa" w:w="1440"/>
            <w:shd w:fill="FFDCE0" w:val="clear"/>
          </w:tcPr>
          <w:p>
            <w:r>
              <w:rPr>
                <w:b/>
                <w:sz w:val="17"/>
              </w:rPr>
              <w:t>5,430</w:t>
            </w:r>
          </w:p>
        </w:tc>
        <w:tc>
          <w:tcPr>
            <w:tcW w:type="dxa" w:w="1440"/>
            <w:shd w:fill="FFDCE0" w:val="clear"/>
          </w:tcPr>
          <w:p>
            <w:r>
              <w:rPr>
                <w:sz w:val="17"/>
              </w:rPr>
              <w:t>5,954</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178,29 milliards FCFA, ce qui la positionne comme une valeur de taille moyenne sur la BRVM, représentative d'un actif bancaire significatif dans l'économie malienne. Avec un BPA de 404 FCFA, chaque action génère un bénéfice substantiel. Le PER de 16,1x est nettement supérieur à la moyenne historique de la BRVM (8-12x), indiquant que les investisseurs paient une prime pour la croissance et la résilience de la banque. Le P/B de 3,58x confirme cette prime, le marché valorisant la société à plus de 3,5 fois sa valeur comptable, ce qui est élevé pour le secteur bancaire régional. Enfin, l'EV/EBITDA de 8,5x reste dans une fourchette raisonnable, suggérant que la valeur totale de l'entreprise par rapport à sa capacité opérationnelle est encore justifiable, malgré une valorisation boursière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performance spectaculaire de +41,20%, bien que la dernière séance ait clôturé en baisse de -2,33% à 6 495 FCFA. Le titre a évolué dans une fourchette large de 4 425 FCFA (plus bas) à 6 700 FCFA (plus haut), démontrant une forte dynamique haussière. La moyenne du cours sur la période est de 5 143 FCFA, tandis que la médiane est plus basse à 4 935 FCFA ; cet écart positif indique une distribution asymétrique où les fortes hausses récentes tirent la moyenne vers le haut. L'écart-type de 604 FCFA (CV=11,8%) révèle une dispersion modérée, mais le skewness positif de 0,889 confirme que les journées sous la moyenne sont plus fréquentes, avec des pics de hausse marqués. Le kurtosis de -0,319 (mésokurtique) suggère une distribution proche de la normale, sans risque de variations extrêmes. La volatilité annualisée de 32,3% classe le titre comme très volatil, un niveau élevé qui reflète un marché actif et des prises de position importantes.</w:t>
      </w:r>
    </w:p>
    <w:p>
      <w:pPr>
        <w:spacing w:after="120" w:line="276" w:lineRule="auto" w:before="240"/>
      </w:pPr>
      <w:r>
        <w:rPr>
          <w:b/>
          <w:color w:val="003366"/>
          <w:sz w:val="24"/>
        </w:rPr>
        <w:t>**PARTIE 2 : ANALYSE TECHNIQUE DÉTAILLÉE**</w:t>
      </w:r>
    </w:p>
    <w:p>
      <w:pPr>
        <w:spacing w:after="120" w:line="276" w:lineRule="auto"/>
      </w:pPr>
      <w:r>
        <w:t>**Moyennes Mobiles** : La MM20 (6 069,5 FCFA) et la MM50 (5 571,6 FCFA) sont toutes deux inférieures au cours actuel de 6 495 FCFA, avec une MM20 au-dessus de la MM50. Cette configuration haussière classique (courts termes au-dessus des longs termes) confirme une tendance positive soutenue. La décision "Achat" est justifiée par la position du prix au-dessus de ces supports dynamiques, indiquant que la tendance de fond reste bullish.</w:t>
      </w:r>
    </w:p>
    <w:p>
      <w:pPr>
        <w:spacing w:after="120" w:line="276" w:lineRule="auto"/>
      </w:pPr>
      <w:r>
        <w:t>**Bandes de Bollinger** : Le cours à 6 495 FCFA se situe sous la borne supérieure (6 843,95 FCFA) mais nettement au-dessus de la borne inférieure (5 295,05 FCFA), dans la moitié haute du canal. La largeur des bandes reflète la volatilité élevée du titre. La décision "Neutre" est appropriée car le prix n'a pas encore touché la borne supérieure, laissant un potentiel de hausse avant une éventuelle résistance technique.</w:t>
      </w:r>
    </w:p>
    <w:p>
      <w:pPr>
        <w:spacing w:after="120" w:line="276" w:lineRule="auto"/>
      </w:pPr>
      <w:r>
        <w:t>**MACD** : Le MACD (294,85) est supérieur à sa ligne de signal (258,16), avec un écart positif de 36,7 points. Cette divergence positive indique un momentum haussier en accélération, confirmé par la décision "Achat". La dynamique actuelle suggère que la pression acheteuse reste dominante, malgré la récente consolidation.</w:t>
      </w:r>
    </w:p>
    <w:p>
      <w:pPr>
        <w:spacing w:after="120" w:line="276" w:lineRule="auto"/>
      </w:pPr>
      <w:r>
        <w:t>**RSI** : Le RSI à 81,98 est très élevé, dépassant largement le seuil de surachat de 70. Cette valeur extrême signale que le titre est techniquement survendu et qu'un repli correctif est probable à court terme. La décision "Vente" est justifiée par ce niveau extrême, qui précède souvent des phases de consolidation ou de correction.</w:t>
      </w:r>
    </w:p>
    <w:p>
      <w:pPr>
        <w:spacing w:after="120" w:line="276" w:lineRule="auto"/>
      </w:pPr>
      <w:r>
        <w:t>**Stochastique** : Le %K (79,5) est inférieur au %D (91,67), indiquant un croisement baissier en zone de surachat. Cette configuration suggère un affaiblissement du momentum haussier, bien que la décision reste "Neutre" car les deux lignes sont encore en territoire élevé, laissant planer une incertitude sur la direction à court terme.</w:t>
      </w:r>
    </w:p>
    <w:p>
      <w:pPr>
        <w:spacing w:after="120" w:line="276" w:lineRule="auto"/>
      </w:pPr>
      <w:r>
        <w:t>**Conclusion technique** : Les indicateurs de tendance (MM, MACD) sont résolument haussiers, mais les oscillateurs de momentum (RSI, Stochastique) signalent un épuisement acheteur imminent. Cette divergence entre tendance et momentum suggère une consolidation probable à court terme avant une reprise de la tendance haussière de fond. Les investisseurs devraient surveiller un repli vers la zone des 6 000-6 100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révèlent une banque solide avec un Produit Net Bancaire (PNB) de 37,996 milliards FCFA et un résultat net de 11,081 milliards FCFA, soit une marge nette de 29,16%. Le ROE de 22,24% est excellent, dépassant largement le seuil de 15% considéré comme performant, tandis que le ROA de 1,87% témoigne d'une bonne utilisation des actifs. Le coefficient d'exploitation de 63,14% reste légèrement au-dessus de la barre des 60%, indiquant une efficacité opérationnelle perfectible mais en amélioration. Le coût du risque de 43,39% est élevé, signalant un risque de crédit significatif, mais les rapports trimestriels montrent une tendance à la baisse des provisions. Les dépôts clientèle (502,89 milliards FCFA) couvrent largement les créances sur la clientèle (253,65 milliards FCFA), démontrant une transformation saine. Les rapports narratifs confirment cette trajectoire : le rapport du 3ème trimestre 2025 (PNB cumulé de 28,52 milliards, +5,8%) et le résultat net de 9,16 milliards (+26,2%) montrent une accélération de la rentabilité. Sur la base de ces données, on estime que l'exercice 2025 devrait dépasser les 40 milliards de PNB et atteindre un résultat net proche de 12 milliards, confirmant la solidité financière et la résilience de la banque dans un environnement difficile.</w:t>
      </w:r>
    </w:p>
    <w:p>
      <w:pPr>
        <w:spacing w:after="120" w:line="276" w:lineRule="auto" w:before="240"/>
      </w:pPr>
      <w:r>
        <w:rPr>
          <w:b/>
          <w:color w:val="003366"/>
          <w:sz w:val="24"/>
        </w:rPr>
        <w:t>**PARTIE 4 : CONCLUSION D'INVESTISSEMENT**</w:t>
      </w:r>
    </w:p>
    <w:p>
      <w:pPr>
        <w:spacing w:after="120" w:line="276" w:lineRule="auto"/>
      </w:pPr>
      <w:r>
        <w:t>La valorisation de BOAM (PER 16,1x, P/B 3,58x) est exigeante mais justifiée par une croissance robuste et une rentabilité supérieure à la moyenne sectorielle. Le comportement du cours (+41,2% sur 100 jours) avec une volatilité élevée (32,3%) et une asymétrie positive reflète un intérêt marqué des investisseurs, mais les statistiques suggèrent un risque de correction. Les signaux techniques sont mitigés : la tendance (MM, MACD) reste haussière, mais les oscillateurs (RSI, Stochastique) indiquent un surachat imminent. Les fondamentaux sont excellents, avec un ROE de 22,24%, une croissance du résultat net de 26,2% sur 9 mois, et une amélioration continue de la qualité des actifs. Les prédictions IA (6 317 à 5 825 FCFA sur 10 jours) confirment un repli technique à court terme, aligné avec les signaux de surachat. En synthèse, la convergence entre la surévaluation technique à court terme et les fondamentaux solides suggère une stratégie d'achat sur repli. **Recommandation : ACHAT** sur les niveaux de correction (6 000-6 200 FCFA), avec un niveau de confiance **Moyen** et un risque global **Élevé** en raison de la volatilité. Horizon optimal : **Moyen terme (3-12 mois)** pour capitaliser sur la croissance fondamentale tout en évitant le pic technique actuel.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10,356 titres</w:t>
            </w:r>
          </w:p>
        </w:tc>
        <w:tc>
          <w:tcPr>
            <w:tcW w:type="dxa" w:w="2268"/>
            <w:shd w:fill="FFF2CC" w:val="clear"/>
          </w:tcPr>
          <w:p>
            <w:r>
              <w:rPr>
                <w:b/>
                <w:color w:val="503200"/>
                <w:sz w:val="16"/>
              </w:rPr>
              <w:t xml:space="preserve">Cours actuel : </w:t>
            </w:r>
            <w:r>
              <w:rPr>
                <w:color w:val="000000"/>
                <w:sz w:val="17"/>
              </w:rPr>
              <w:t>5,500 FCFA</w:t>
            </w:r>
          </w:p>
          <w:p>
            <w:r>
              <w:rPr>
                <w:b/>
                <w:color w:val="503200"/>
                <w:sz w:val="16"/>
              </w:rPr>
              <w:t xml:space="preserve">Var. 100 jours : </w:t>
            </w:r>
            <w:r>
              <w:rPr>
                <w:b/>
                <w:color w:val="007800"/>
                <w:sz w:val="17"/>
              </w:rPr>
              <w:t>+106.77%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2,660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22.5/100 → Moyen</w:t>
      </w:r>
    </w:p>
    <w:p>
      <w:pPr>
        <w:spacing w:before="40" w:after="80"/>
      </w:pPr>
      <w:r>
        <w:rPr>
          <w:rFonts w:ascii="Courier New" w:hAnsi="Courier New"/>
          <w:color w:val="825A00"/>
          <w:sz w:val="18"/>
        </w:rPr>
        <w:t>████░░░░░░░░░░░░░░░░  22.5/100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20.33% (Élevée) — μ=4,149 FCFA, σ=843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β=0.2183 (Défensif) — Cov=0.000008, Var(idx)=0.000036, ρ=0.052,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5,318</w:t>
            </w:r>
          </w:p>
        </w:tc>
        <w:tc>
          <w:tcPr>
            <w:tcW w:type="dxa" w:w="1440"/>
            <w:shd w:fill="FAFAFA" w:val="clear"/>
          </w:tcPr>
          <w:p>
            <w:r>
              <w:rPr>
                <w:b/>
                <w:sz w:val="17"/>
              </w:rPr>
              <w:t>5,501</w:t>
            </w:r>
          </w:p>
        </w:tc>
        <w:tc>
          <w:tcPr>
            <w:tcW w:type="dxa" w:w="1440"/>
            <w:shd w:fill="FAFAFA" w:val="clear"/>
          </w:tcPr>
          <w:p>
            <w:r>
              <w:rPr>
                <w:sz w:val="17"/>
              </w:rPr>
              <w:t>5,685</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5,233</w:t>
            </w:r>
          </w:p>
        </w:tc>
        <w:tc>
          <w:tcPr>
            <w:tcW w:type="dxa" w:w="1440"/>
            <w:shd w:fill="FAFAFA" w:val="clear"/>
          </w:tcPr>
          <w:p>
            <w:r>
              <w:rPr>
                <w:b/>
                <w:sz w:val="17"/>
              </w:rPr>
              <w:t>5,492</w:t>
            </w:r>
          </w:p>
        </w:tc>
        <w:tc>
          <w:tcPr>
            <w:tcW w:type="dxa" w:w="1440"/>
            <w:shd w:fill="FAFAFA" w:val="clear"/>
          </w:tcPr>
          <w:p>
            <w:r>
              <w:rPr>
                <w:sz w:val="17"/>
              </w:rPr>
              <w:t>5,752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5,160</w:t>
            </w:r>
          </w:p>
        </w:tc>
        <w:tc>
          <w:tcPr>
            <w:tcW w:type="dxa" w:w="1440"/>
            <w:shd w:fill="FAFAFA" w:val="clear"/>
          </w:tcPr>
          <w:p>
            <w:r>
              <w:rPr>
                <w:b/>
                <w:sz w:val="17"/>
              </w:rPr>
              <w:t>5,477</w:t>
            </w:r>
          </w:p>
        </w:tc>
        <w:tc>
          <w:tcPr>
            <w:tcW w:type="dxa" w:w="1440"/>
            <w:shd w:fill="FAFAFA" w:val="clear"/>
          </w:tcPr>
          <w:p>
            <w:r>
              <w:rPr>
                <w:sz w:val="17"/>
              </w:rPr>
              <w:t>5,794</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5,097</w:t>
            </w:r>
          </w:p>
        </w:tc>
        <w:tc>
          <w:tcPr>
            <w:tcW w:type="dxa" w:w="1440"/>
            <w:shd w:fill="FAFAFA" w:val="clear"/>
          </w:tcPr>
          <w:p>
            <w:r>
              <w:rPr>
                <w:b/>
                <w:sz w:val="17"/>
              </w:rPr>
              <w:t>5,462</w:t>
            </w:r>
          </w:p>
        </w:tc>
        <w:tc>
          <w:tcPr>
            <w:tcW w:type="dxa" w:w="1440"/>
            <w:shd w:fill="FAFAFA" w:val="clear"/>
          </w:tcPr>
          <w:p>
            <w:r>
              <w:rPr>
                <w:sz w:val="17"/>
              </w:rPr>
              <w:t>5,827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5,041</w:t>
            </w:r>
          </w:p>
        </w:tc>
        <w:tc>
          <w:tcPr>
            <w:tcW w:type="dxa" w:w="1440"/>
            <w:shd w:fill="FAFAFA" w:val="clear"/>
          </w:tcPr>
          <w:p>
            <w:r>
              <w:rPr>
                <w:b/>
                <w:sz w:val="17"/>
              </w:rPr>
              <w:t>5,448</w:t>
            </w:r>
          </w:p>
        </w:tc>
        <w:tc>
          <w:tcPr>
            <w:tcW w:type="dxa" w:w="1440"/>
            <w:shd w:fill="FAFAFA" w:val="clear"/>
          </w:tcPr>
          <w:p>
            <w:r>
              <w:rPr>
                <w:sz w:val="17"/>
              </w:rPr>
              <w:t>5,854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4,989</w:t>
            </w:r>
          </w:p>
        </w:tc>
        <w:tc>
          <w:tcPr>
            <w:tcW w:type="dxa" w:w="1440"/>
            <w:shd w:fill="FAFAFA" w:val="clear"/>
          </w:tcPr>
          <w:p>
            <w:r>
              <w:rPr>
                <w:b/>
                <w:sz w:val="17"/>
              </w:rPr>
              <w:t>5,433</w:t>
            </w:r>
          </w:p>
        </w:tc>
        <w:tc>
          <w:tcPr>
            <w:tcW w:type="dxa" w:w="1440"/>
            <w:shd w:fill="FAFAFA" w:val="clear"/>
          </w:tcPr>
          <w:p>
            <w:r>
              <w:rPr>
                <w:sz w:val="17"/>
              </w:rPr>
              <w:t>5,878</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4,940</w:t>
            </w:r>
          </w:p>
        </w:tc>
        <w:tc>
          <w:tcPr>
            <w:tcW w:type="dxa" w:w="1440"/>
            <w:shd w:fill="FAFAFA" w:val="clear"/>
          </w:tcPr>
          <w:p>
            <w:r>
              <w:rPr>
                <w:b/>
                <w:sz w:val="17"/>
              </w:rPr>
              <w:t>5,419</w:t>
            </w:r>
          </w:p>
        </w:tc>
        <w:tc>
          <w:tcPr>
            <w:tcW w:type="dxa" w:w="1440"/>
            <w:shd w:fill="FAFAFA" w:val="clear"/>
          </w:tcPr>
          <w:p>
            <w:r>
              <w:rPr>
                <w:sz w:val="17"/>
              </w:rPr>
              <w:t>5,898</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4,894</w:t>
            </w:r>
          </w:p>
        </w:tc>
        <w:tc>
          <w:tcPr>
            <w:tcW w:type="dxa" w:w="1440"/>
            <w:shd w:fill="FAFAFA" w:val="clear"/>
          </w:tcPr>
          <w:p>
            <w:r>
              <w:rPr>
                <w:b/>
                <w:sz w:val="17"/>
              </w:rPr>
              <w:t>5,405</w:t>
            </w:r>
          </w:p>
        </w:tc>
        <w:tc>
          <w:tcPr>
            <w:tcW w:type="dxa" w:w="1440"/>
            <w:shd w:fill="FAFAFA" w:val="clear"/>
          </w:tcPr>
          <w:p>
            <w:r>
              <w:rPr>
                <w:sz w:val="17"/>
              </w:rPr>
              <w:t>5,915</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4,851</w:t>
            </w:r>
          </w:p>
        </w:tc>
        <w:tc>
          <w:tcPr>
            <w:tcW w:type="dxa" w:w="1440"/>
            <w:shd w:fill="FAFAFA" w:val="clear"/>
          </w:tcPr>
          <w:p>
            <w:r>
              <w:rPr>
                <w:b/>
                <w:sz w:val="17"/>
              </w:rPr>
              <w:t>5,391</w:t>
            </w:r>
          </w:p>
        </w:tc>
        <w:tc>
          <w:tcPr>
            <w:tcW w:type="dxa" w:w="1440"/>
            <w:shd w:fill="FAFAFA" w:val="clear"/>
          </w:tcPr>
          <w:p>
            <w:r>
              <w:rPr>
                <w:sz w:val="17"/>
              </w:rPr>
              <w:t>5,931</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4,809</w:t>
            </w:r>
          </w:p>
        </w:tc>
        <w:tc>
          <w:tcPr>
            <w:tcW w:type="dxa" w:w="1440"/>
            <w:shd w:fill="FFDCE0" w:val="clear"/>
          </w:tcPr>
          <w:p>
            <w:r>
              <w:rPr>
                <w:b/>
                <w:sz w:val="17"/>
              </w:rPr>
              <w:t>5,377</w:t>
            </w:r>
          </w:p>
        </w:tc>
        <w:tc>
          <w:tcPr>
            <w:tcW w:type="dxa" w:w="1440"/>
            <w:shd w:fill="FFDCE0" w:val="clear"/>
          </w:tcPr>
          <w:p>
            <w:r>
              <w:rPr>
                <w:sz w:val="17"/>
              </w:rPr>
              <w:t>5,945</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114,40 milliards FCFA, un niveau significatif qui la positionne parmi les valeurs moyennes de la BRVM, reflétant un intérêt certain des investisseurs pour ce titre malgré des fondamentaux fragiles. Avec un BPA de seulement 20 FCFA, le PER ressort à 279,7x, un niveau extrêmement élevé comparé à la moyenne du marché BRVM (8-12x), indiquant que les investisseurs paient un prix très supérieur aux bénéfices actuels, anticipant un fort rebond futur. Le P/B de 3,17x montre que le marché valorise la banque à plus de trois fois sa valeur comptable, une prime de croissance significative qui semble difficile à justifier au vu des résultats récents. Enfin, l'EV/EBITDA de 41,1x, très supérieur au seuil exigeant de 15x, confirme une valorisation boursière très tendue qui intègre des hypothèses de redressement ambitieuses.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+106,77%, passant d'un plus bas de 2 660 FCFA à un plus haut de 5 645 FCFA, avant de clôturer à 5 500 FCFA, avec un léger repli de -2,57% lors de la dernière séance. La moyenne du cours sur la période (4 149 FCFA) est supérieure à la médiane (3 760 FCFA), indiquant une distribution asymétrique positive où les fortes hausses récentes tirent la moyenne vers le haut. L'écart-type de 848 FCFA, soit un coefficient de variation de 20,4%, témoigne d'une dispersion modérée des cours autour de la moyenne, tandis que le kurtosis négatif (-1,237) révèle une distribution platykurtique avec peu de valeurs extrêmes et une faible concentration des variations. Le skewness positif (0,191) confirme une légère asymétrie vers les hausses. La volatilité annualisée de 40,1% classe le titre dans la catégorie des actifs à très forte volatilité, ce qui implique un risque élevé mais aussi un potentiel de gains substantiels.</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claire : la MM20 à 5 230 FCFA et la MM50 à 4 858,7 FCFA sont toutes deux inférieures au cours actuel de 5 500 FCFA, confirmant une dynamique positive. La MM20 étant au-dessus de la MM50, la configuration en "courbe ascendante" valide la tendance haussière, justifiant la décision d'Achat.</w:t>
      </w:r>
    </w:p>
    <w:p>
      <w:pPr>
        <w:spacing w:after="120" w:line="276" w:lineRule="auto"/>
      </w:pPr>
      <w:r>
        <w:t>Les **Bandes de Bollinger** montrent un cours à 5 500 FCFA très proche de la borne supérieure (5 523,7 FCFA), indiquant que le titre est en zone de surachat temporaire. L'écart entre les bornes (587 FCFA) reflète une volatilité élevée. La décision Neutre s'explique par le fait que le titre n'a pas encore franchi la borne supérieure, mais une cassure pourrait signaler une poursuite du mouvement haussier.</w:t>
      </w:r>
    </w:p>
    <w:p>
      <w:pPr>
        <w:spacing w:after="120" w:line="276" w:lineRule="auto"/>
      </w:pPr>
      <w:r>
        <w:t>Le **MACD** affiche une valeur positive (148,3) supérieure à son signal (136,2), confirmant un momentum haussier soutenu. L'écart positif entre le MACD et le signal indique que la dynamique acheteuse reste dominante, justifiant la décision d'Achat, bien qu'un éventuel resserrement de cet écart puisse signaler un essoufflement.</w:t>
      </w:r>
    </w:p>
    <w:p>
      <w:pPr>
        <w:spacing w:after="120" w:line="276" w:lineRule="auto"/>
      </w:pPr>
      <w:r>
        <w:t>Le **RSI** à 68,99 se situe en zone neutre-haute, proche du seuil de surachat de 70. Cette valeur indique que le titre est fortement sollicité mais pas encore en situation extrême, laissant une marge de progression avant une éventuelle correction. La décision Neutre est donc appropriée, avec une vigilance accrue si le RSI dépasse 70.</w:t>
      </w:r>
    </w:p>
    <w:p>
      <w:pPr>
        <w:spacing w:after="120" w:line="276" w:lineRule="auto"/>
      </w:pPr>
      <w:r>
        <w:t>Le **Stochastique** montre un %K à 73,4 inférieur au %D à 91,1, suggérant un croisement baissier potentiel à court terme. Cette configuration indique un essoufflement du momentum haussier, justifiant la décision Neutre et appelant à la prudence pour les entrées à court terme.</w:t>
      </w:r>
    </w:p>
    <w:p>
      <w:pPr>
        <w:spacing w:after="120" w:line="276" w:lineRule="auto"/>
      </w:pPr>
      <w:r>
        <w:t>La **conclusion technique** globale révèle une tendance haussière dominante confirmée par les moyennes mobiles et le MACD, mais des signaux de surachat apparaissent sur les bandes de Bollinger et le stochastique. Le RSI proche de 70 renforce cette vigilance. La convergence des indicateurs de tendance (MM, MACD) avec les signaux de surachat suggère qu'une consolidation est possible avant une poursuite éventuelle du mouvement haussier.</w:t>
      </w:r>
    </w:p>
    <w:p>
      <w:pPr>
        <w:spacing w:after="120" w:line="276" w:lineRule="auto" w:before="240"/>
      </w:pPr>
      <w:r>
        <w:rPr>
          <w:b/>
          <w:color w:val="003366"/>
          <w:sz w:val="24"/>
        </w:rPr>
        <w:t>**PARTIE 3 : ANALYSE FONDAMENTALE (SECTION CRITIQUE)**</w:t>
      </w:r>
    </w:p>
    <w:p>
      <w:pPr>
        <w:spacing w:after="120" w:line="276" w:lineRule="auto"/>
      </w:pPr>
      <w:r>
        <w:t>En 2025, la BOAN affiche un Produit Net Bancaire de 21,125 milliards FCFA, en légère baisse de -1,2% par rapport à 2024 (21,38 milliards), mais le résultat net s'effondre à 409 millions FCFA contre 5 002 millions en 2024, soit une chute vertigineuse de 91,8%. Les ratios de rentabilité sont alarmants : le ROE s'établit à 1,13% et le ROA à 0,14%, très loin des standards bancaires (&gt;15% pour le ROE). Le coefficient d'exploitation de 74,4% dépasse largement le seuil d'efficacité de 60%, indiquant une gestion des coûts dégradée, tandis que le coût du risque de 67,3% reflète une détérioration significative de la qualité du portefeuille de crédits. Les dépôts clientèle (183,28 milliards) excèdent largement les crédits (128,45 milliards), mais le taux de créances en souffrance de 24% (contre 12% en moyenne UEMOA) constitue un risque majeur. Les rapports trimestriels 2025 confirment cette tendance : le T1 2025 montre un PNB en baisse de 16,3% et un résultat net en chute de 50,2%, tandis que le S1 2025 enregistre un recul de 4,1% du PNB et de 25,2% du résultat net. Le rapport du T3 2025 indique une stabilisation du PNB (-1,8%) mais une chute du résultat net de 33,1%. Cependant, le rapport T1 2026 (daté de 2026) révèle une nette amélioration : le résultat net progresse de 28,9% à 1 467 millions FCFA, le PNB de 7,9% à 5 170 millions, et le coefficient d'exploitation s'améliore à 56,2%. Sur la base de ces données trimestrielles, on estime que l'exercice 2026 devrait confirmer ce redressement, avec un objectif budgétaire de PNB à 22,3 milliards (+6,4%) et un résultat avant impôts multiplié par six. La banque maintient des ratios prudentiels conformes (solvabilité à 14,06%, liquidité à 123,95%) et bénéficie du soutien du groupe BOA, mais la prudence reste de mise face à un environnement nigérien encore fragile.</w:t>
      </w:r>
    </w:p>
    <w:p>
      <w:pPr>
        <w:spacing w:after="120" w:line="276" w:lineRule="auto" w:before="240"/>
      </w:pPr>
      <w:r>
        <w:rPr>
          <w:b/>
          <w:color w:val="003366"/>
          <w:sz w:val="24"/>
        </w:rPr>
        <w:t>**PARTIE 4 : CONCLUSION D'INVESTISSEMENT**</w:t>
      </w:r>
    </w:p>
    <w:p>
      <w:pPr>
        <w:spacing w:after="120" w:line="276" w:lineRule="auto"/>
      </w:pPr>
      <w:r>
        <w:t>La valorisation de BOAN apparaît extrêmement exigeante avec un PER de 279,7x et un EV/EBITDA de 41,1x, traduisant une anticipation très optimiste du marché malgré des fondamentaux 2025 très dégradés (ROE à 1,13%, résultat net en chute de 91,8%). Le comportement du cours (+106,77% sur 100 jours) avec une volatilité annualisée de 40,1% et un kurtosis platykurtique révèle une dynamique spéculative forte, soutenue par des signaux techniques globalement positifs (MM et MACD en achat) mais tempérés par des indicateurs de surachat (RSI à 69, Bollinger proche de la borne supérieure, stochastique en croisement baissier). Les fondamentaux montrent une amélioration encourageante au T1 2026 (résultat net +28,9%, coefficient d'exploitation à 56,2%), confirmant les perspectives de redressement, mais le risque de crédit reste élevé avec 24% de créances douteuses. Les prédictions IA pour les 10 prochains jours (5 501 à 5 448 FCFA) suggèrent une stabilisation du cours autour des niveaux actuels, en léger repli, ce qui contraste avec la forte hausse passée. La convergence entre l'amélioration fondamentale naissante et la tendance technique positive est partiellement contrebalancée par une valorisation excessive et des signaux de surachat. **Recommandation : CONSERVER** avec un niveau de confiance **Moyen** et un risque global **Élevé**. L'horizon d'investissement optimal est le **moyen terme (3-12 mois)**, en attendant la confirmation du redressement sur l'exercice 2026 et une normalisation de la valorisation.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9,354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+21.17%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μ=7,422 FCFA, σ=412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β=0.3276 (Défensif) — Cov=0.000012, Var(idx)=0.000036, ρ=0.128,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7,861</w:t>
            </w:r>
          </w:p>
        </w:tc>
        <w:tc>
          <w:tcPr>
            <w:tcW w:type="dxa" w:w="1440"/>
            <w:shd w:fill="FFDCE0" w:val="clear"/>
          </w:tcPr>
          <w:p>
            <w:r>
              <w:rPr>
                <w:b/>
                <w:sz w:val="17"/>
              </w:rPr>
              <w:t>8,106</w:t>
            </w:r>
          </w:p>
        </w:tc>
        <w:tc>
          <w:tcPr>
            <w:tcW w:type="dxa" w:w="1440"/>
            <w:shd w:fill="FFDCE0" w:val="clear"/>
          </w:tcPr>
          <w:p>
            <w:r>
              <w:rPr>
                <w:sz w:val="17"/>
              </w:rPr>
              <w:t>8,351</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7,613</w:t>
            </w:r>
          </w:p>
        </w:tc>
        <w:tc>
          <w:tcPr>
            <w:tcW w:type="dxa" w:w="1440"/>
            <w:shd w:fill="FFDCE0" w:val="clear"/>
          </w:tcPr>
          <w:p>
            <w:r>
              <w:rPr>
                <w:b/>
                <w:sz w:val="17"/>
              </w:rPr>
              <w:t>7,952</w:t>
            </w:r>
          </w:p>
        </w:tc>
        <w:tc>
          <w:tcPr>
            <w:tcW w:type="dxa" w:w="1440"/>
            <w:shd w:fill="FFDCE0" w:val="clear"/>
          </w:tcPr>
          <w:p>
            <w:r>
              <w:rPr>
                <w:sz w:val="17"/>
              </w:rPr>
              <w:t>8,291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7,402</w:t>
            </w:r>
          </w:p>
        </w:tc>
        <w:tc>
          <w:tcPr>
            <w:tcW w:type="dxa" w:w="1440"/>
            <w:shd w:fill="FFDCE0" w:val="clear"/>
          </w:tcPr>
          <w:p>
            <w:r>
              <w:rPr>
                <w:b/>
                <w:sz w:val="17"/>
              </w:rPr>
              <w:t>7,810</w:t>
            </w:r>
          </w:p>
        </w:tc>
        <w:tc>
          <w:tcPr>
            <w:tcW w:type="dxa" w:w="1440"/>
            <w:shd w:fill="FFDCE0" w:val="clear"/>
          </w:tcPr>
          <w:p>
            <w:r>
              <w:rPr>
                <w:sz w:val="17"/>
              </w:rPr>
              <w:t>8,219</w:t>
            </w:r>
          </w:p>
        </w:tc>
        <w:tc>
          <w:tcPr>
            <w:tcW w:type="dxa" w:w="1440"/>
            <w:shd w:fill="FFDCE0" w:val="clear"/>
          </w:tcPr>
          <w:p>
            <w:r>
              <w:rPr>
                <w:b/>
                <w:color w:val="C00000"/>
                <w:sz w:val="17"/>
              </w:rPr>
              <w:t>-5.9%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7,217</w:t>
            </w:r>
          </w:p>
        </w:tc>
        <w:tc>
          <w:tcPr>
            <w:tcW w:type="dxa" w:w="1440"/>
            <w:shd w:fill="FFDCE0" w:val="clear"/>
          </w:tcPr>
          <w:p>
            <w:r>
              <w:rPr>
                <w:b/>
                <w:sz w:val="17"/>
              </w:rPr>
              <w:t>7,680</w:t>
            </w:r>
          </w:p>
        </w:tc>
        <w:tc>
          <w:tcPr>
            <w:tcW w:type="dxa" w:w="1440"/>
            <w:shd w:fill="FFDCE0" w:val="clear"/>
          </w:tcPr>
          <w:p>
            <w:r>
              <w:rPr>
                <w:sz w:val="17"/>
              </w:rPr>
              <w:t>8,144</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7,049</w:t>
            </w:r>
          </w:p>
        </w:tc>
        <w:tc>
          <w:tcPr>
            <w:tcW w:type="dxa" w:w="1440"/>
            <w:shd w:fill="FFDCE0" w:val="clear"/>
          </w:tcPr>
          <w:p>
            <w:r>
              <w:rPr>
                <w:b/>
                <w:sz w:val="17"/>
              </w:rPr>
              <w:t>7,559</w:t>
            </w:r>
          </w:p>
        </w:tc>
        <w:tc>
          <w:tcPr>
            <w:tcW w:type="dxa" w:w="1440"/>
            <w:shd w:fill="FFDCE0" w:val="clear"/>
          </w:tcPr>
          <w:p>
            <w:r>
              <w:rPr>
                <w:sz w:val="17"/>
              </w:rPr>
              <w:t>8,069</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6,894</w:t>
            </w:r>
          </w:p>
        </w:tc>
        <w:tc>
          <w:tcPr>
            <w:tcW w:type="dxa" w:w="1440"/>
            <w:shd w:fill="FFDCE0" w:val="clear"/>
          </w:tcPr>
          <w:p>
            <w:r>
              <w:rPr>
                <w:b/>
                <w:sz w:val="17"/>
              </w:rPr>
              <w:t>7,444</w:t>
            </w:r>
          </w:p>
        </w:tc>
        <w:tc>
          <w:tcPr>
            <w:tcW w:type="dxa" w:w="1440"/>
            <w:shd w:fill="FFDCE0" w:val="clear"/>
          </w:tcPr>
          <w:p>
            <w:r>
              <w:rPr>
                <w:sz w:val="17"/>
              </w:rPr>
              <w:t>7,994</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6,751</w:t>
            </w:r>
          </w:p>
        </w:tc>
        <w:tc>
          <w:tcPr>
            <w:tcW w:type="dxa" w:w="1440"/>
            <w:shd w:fill="FFDCE0" w:val="clear"/>
          </w:tcPr>
          <w:p>
            <w:r>
              <w:rPr>
                <w:b/>
                <w:sz w:val="17"/>
              </w:rPr>
              <w:t>7,336</w:t>
            </w:r>
          </w:p>
        </w:tc>
        <w:tc>
          <w:tcPr>
            <w:tcW w:type="dxa" w:w="1440"/>
            <w:shd w:fill="FFDCE0" w:val="clear"/>
          </w:tcPr>
          <w:p>
            <w:r>
              <w:rPr>
                <w:sz w:val="17"/>
              </w:rPr>
              <w:t>7,922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6,617</w:t>
            </w:r>
          </w:p>
        </w:tc>
        <w:tc>
          <w:tcPr>
            <w:tcW w:type="dxa" w:w="1440"/>
            <w:shd w:fill="FFDCE0" w:val="clear"/>
          </w:tcPr>
          <w:p>
            <w:r>
              <w:rPr>
                <w:b/>
                <w:sz w:val="17"/>
              </w:rPr>
              <w:t>7,235</w:t>
            </w:r>
          </w:p>
        </w:tc>
        <w:tc>
          <w:tcPr>
            <w:tcW w:type="dxa" w:w="1440"/>
            <w:shd w:fill="FFDCE0" w:val="clear"/>
          </w:tcPr>
          <w:p>
            <w:r>
              <w:rPr>
                <w:sz w:val="17"/>
              </w:rPr>
              <w:t>7,852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6,493</w:t>
            </w:r>
          </w:p>
        </w:tc>
        <w:tc>
          <w:tcPr>
            <w:tcW w:type="dxa" w:w="1440"/>
            <w:shd w:fill="FFDCE0" w:val="clear"/>
          </w:tcPr>
          <w:p>
            <w:r>
              <w:rPr>
                <w:b/>
                <w:sz w:val="17"/>
              </w:rPr>
              <w:t>7,139</w:t>
            </w:r>
          </w:p>
        </w:tc>
        <w:tc>
          <w:tcPr>
            <w:tcW w:type="dxa" w:w="1440"/>
            <w:shd w:fill="FFDCE0" w:val="clear"/>
          </w:tcPr>
          <w:p>
            <w:r>
              <w:rPr>
                <w:sz w:val="17"/>
              </w:rPr>
              <w:t>7,785</w:t>
            </w:r>
          </w:p>
        </w:tc>
        <w:tc>
          <w:tcPr>
            <w:tcW w:type="dxa" w:w="1440"/>
            <w:shd w:fill="FFDCE0" w:val="clear"/>
          </w:tcPr>
          <w:p>
            <w:r>
              <w:rPr>
                <w:b/>
                <w:color w:val="C00000"/>
                <w:sz w:val="17"/>
              </w:rPr>
              <w:t>-14.0%</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6,376</w:t>
            </w:r>
          </w:p>
        </w:tc>
        <w:tc>
          <w:tcPr>
            <w:tcW w:type="dxa" w:w="1440"/>
            <w:shd w:fill="FFDCE0" w:val="clear"/>
          </w:tcPr>
          <w:p>
            <w:r>
              <w:rPr>
                <w:b/>
                <w:sz w:val="17"/>
              </w:rPr>
              <w:t>7,048</w:t>
            </w:r>
          </w:p>
        </w:tc>
        <w:tc>
          <w:tcPr>
            <w:tcW w:type="dxa" w:w="1440"/>
            <w:shd w:fill="FFDCE0" w:val="clear"/>
          </w:tcPr>
          <w:p>
            <w:r>
              <w:rPr>
                <w:sz w:val="17"/>
              </w:rPr>
              <w:t>7,721</w:t>
            </w:r>
          </w:p>
        </w:tc>
        <w:tc>
          <w:tcPr>
            <w:tcW w:type="dxa" w:w="1440"/>
            <w:shd w:fill="FFDCE0" w:val="clear"/>
          </w:tcPr>
          <w:p>
            <w:r>
              <w:rPr>
                <w:b/>
                <w:color w:val="C00000"/>
                <w:sz w:val="17"/>
              </w:rPr>
              <w:t>-15.1%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298,80 milliards FCFA, ce qui en fait une valeur de première ligne sur la BRVM, représentative du secteur bancaire régional. Avec un BPA de 608 FCFA, chaque action génère un bénéfice substantiel, justifiant un PER de 13,6x. Ce ratio est légèrement supérieur à la moyenne historique de la BRVM (8-12x), indiquant que le marché accorde une prime de croissance à la banque, mais sans excès de valorisation. Le P/B de 3,10x confirme cette lecture : les investisseurs paient une prime de 210% par rapport à la valeur comptable des actifs, ce qui est typique des banques à forte rentabilité. Enfin, l'EV/EBITDA de 8,9x se situe dans la fourchette raisonnable (5-10x), suggérant que la valeur totale de l'entreprise reste cohérente avec sa capacité opérationnelle à générer des flux. L'ensemble de ces ratios traduit une valorisation équilibrée, reflétant la solidité financière et les perspectives de croissance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remarquable de +21,17%, passant d'un plus bas de 6,685 FCFA à un plus haut de 8,500 FCFA, pour clôturer à 8,300 FCFA. La dernière séance montre un léger repli de -1,72%, suggérant une prise de bénéfices après cette forte ascension. La tendance générale est clairement haussière, soutenue par des fondamentaux solides. Les statistiques descriptives révèlent une distribution quasi symétrique : la moyenne (7,422 FCFA) et la médiane (7,400 FCFA) sont très proches, avec un skewness de 0,194, indiquant une absence d'asymétrie marquée. L'écart-type de 414 FCFA (CV=5,6%) montre une dispersion modérée des prix autour de la moyenne, tandis que le kurtosis de 0,011 (mésokurtique) suggère une distribution normale, sans risque de mouvements extrêmes. La volatilité annualisée de 24,6% classe le titre dans une catégorie à risque modéré, offrant un équilibre entre rendement et stabilité.</w:t>
      </w:r>
    </w:p>
    <w:p>
      <w:pPr>
        <w:spacing w:after="120" w:line="276" w:lineRule="auto" w:before="240"/>
      </w:pPr>
      <w:r>
        <w:rPr>
          <w:b/>
          <w:color w:val="003366"/>
          <w:sz w:val="24"/>
        </w:rPr>
        <w:t>**PARTIE 2 : ANALYSE TECHNIQUE DÉTAILLÉE**</w:t>
      </w:r>
    </w:p>
    <w:p>
      <w:pPr>
        <w:spacing w:after="120" w:line="276" w:lineRule="auto"/>
      </w:pPr>
      <w:r>
        <w:t>**Moyennes Mobiles** : Le cours actuel (8,300 FCFA) se positionne nettement au-dessus de la MM20 (7,893 FCFA) et de la MM50 (7,629,6 FCFA), confirmant une dynamique haussière solide. L'écart positif entre les deux moyennes (MM20 &gt; MM50) valide la tendance de fond, et la décision d'achat est justifiée par cette configuration de croisement haussier.</w:t>
      </w:r>
    </w:p>
    <w:p>
      <w:pPr>
        <w:spacing w:after="120" w:line="276" w:lineRule="auto"/>
      </w:pPr>
      <w:r>
        <w:t>**Bandes de Bollinger** : Le prix se situe à 8,300 FCFA, proche de la borne supérieure (8,487,9 FCFA), indiquant une pression acheteuse soutenue. La largeur des bandes reflète une volatilité modérée, et le fait que le cours n'ait pas encore touché la borne supérieure suggère un potentiel de hausse résiduel. La décision neutre s'explique par une possible consolidation à ces niveaux.</w:t>
      </w:r>
    </w:p>
    <w:p>
      <w:pPr>
        <w:spacing w:after="120" w:line="276" w:lineRule="auto"/>
      </w:pPr>
      <w:r>
        <w:t>**MACD** : Le MACD (200,785) est nettement supérieur à sa ligne de signal (138,241), confirmant un momentum haussier robuste. L'écart positif entre les deux lignes indique une accélération de la tendance, et la décision d'achat est cohérente avec cette dynamique de court terme.</w:t>
      </w:r>
    </w:p>
    <w:p>
      <w:pPr>
        <w:spacing w:after="120" w:line="276" w:lineRule="auto"/>
      </w:pPr>
      <w:r>
        <w:t>**RSI** : Le RSI à 76,577 dépasse le seuil de surachat (70), signalant une possible correction à court terme. Cette valeur élevée reflète une pression acheteuse excessive, et la décision de vente est un avertissement pour les investisseurs à court terme, bien que la tendance de fond reste haussière.</w:t>
      </w:r>
    </w:p>
    <w:p>
      <w:pPr>
        <w:spacing w:after="120" w:line="276" w:lineRule="auto"/>
      </w:pPr>
      <w:r>
        <w:t>**Stochastique** : Le %K (75,309) est inférieur au %D (89,506), indiquant un croisement baissier potentiel. Cette configuration suggère un essoufflement du momentum haussier à très court terme, mais la décision neutre reflète l'absence de signal fort pour une inversion de tendance.</w:t>
      </w:r>
    </w:p>
    <w:p>
      <w:pPr>
        <w:spacing w:after="120" w:line="276" w:lineRule="auto"/>
      </w:pPr>
      <w:r>
        <w:t>**Conclusion technique** : Les indicateurs sont globalement haussiers à moyen terme (MM, MACD), mais les oscillateurs de court terme (RSI, Stochastique) signalent une possible consolidation. La convergence des MM et du MACD vers une tendance positive est contrebalancée par des conditions de surachat, suggérant une pause technique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BOAS affiche des états financiers solides, avec un Produit Net Bancaire (PNB) de 51,926 milliards FCFA et un résultat net de 21,905 milliards FCFA, démontrant une rentabilité élevée. Le coefficient d'exploitation de 44,02% est excellent, reflétant une gestion rigoureuse des charges, tandis que le coût du risque de 23,31% reste élevé, signalant un risque de crédit significatif mais maîtrisé. Le ROE de 22,69% et le ROA de 2,62% confirment une utilisation efficace des fonds propres et des actifs. Les dépôts clientèle (686,927 milliards FCFA) dépassent largement les créances (386,424 milliards FCFA), indiquant une transformation saine. Les rapports trimestriels 2025 montrent une progression continue : le PNB du T3 2025 atteint 37,44 milliards FCFA (+6,71% sur un an), et le résultat net cumulé s'élève à 16,37 milliards FCFA (+10,01%). Le rapport du T1 2026 confirme cette dynamique avec un PNB de 12,580 milliards FCFA (+6,82%) et un résultat net de 5,741 milliards FCFA (+9,78%). Sur la base de ces tendances, on estime que l'exercice 2026 pourrait voir un PNB dépasser 55 milliards FCFA et un résultat net supérieur à 23 milliards FCFA, confirmant la solidité et la croissance durable de la banque.</w:t>
      </w:r>
    </w:p>
    <w:p>
      <w:pPr>
        <w:spacing w:after="120" w:line="276" w:lineRule="auto" w:before="240"/>
      </w:pPr>
      <w:r>
        <w:rPr>
          <w:b/>
          <w:color w:val="003366"/>
          <w:sz w:val="24"/>
        </w:rPr>
        <w:t>**PARTIE 4 : CONCLUSION D'INVESTISSEMENT**</w:t>
      </w:r>
    </w:p>
    <w:p>
      <w:pPr>
        <w:spacing w:after="120" w:line="276" w:lineRule="auto"/>
      </w:pPr>
      <w:r>
        <w:t>La valorisation de BOAS est raisonnable, avec un PER de 13,6x et un P/B de 3,10x, reflétant une prime de croissance justifiée par une rentabilité exceptionnelle (ROE &gt;22%). Le comportement du cours sur 100 jours (+21,17%) montre une tendance haussière robuste, avec une volatilité modérée et une distribution statistique saine, sans risque de mouvements extrêmes. Les signaux techniques sont majoritairement positifs à moyen terme (MM, MACD), mais les oscillateurs de court terme (RSI, Stochastique) suggèrent une consolidation après la récente ascension. Les fondamentaux sont excellents, avec une croissance soutenue du PNB et du résultat net, une maîtrise des coûts et une amélioration de la qualité du portefeuille. Les prédictions IA pour les 10 prochains jours indiquent un repli progressif vers 7,559 FCFA, contredisant la tendance haussière à court terme, mais reflétant probablement une correction technique après les niveaux de surachat. En synthèse, la convergence entre la solidité fondamentale, la valorisation raisonnable et la tendance de fond haussière plaide pour une recommandation **ACHAT**, avec un niveau de confiance **Élevé** et un risque global **Moyen**. L'horizon d'investissement optimal est le **moyen terme (3-12 mois)**, permettant de capitaliser sur la croissance des bénéfices tout en absorbant les fluctuations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2,349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B40000"/>
                <w:sz w:val="17"/>
              </w:rPr>
              <w:t>-10.04%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7.56% (Moyenne) — μ=3,772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β=0.0137 (Défensif) — Cov=0.000000, Var(idx)=0.000036,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3,492</w:t>
            </w:r>
          </w:p>
        </w:tc>
        <w:tc>
          <w:tcPr>
            <w:tcW w:type="dxa" w:w="1440"/>
            <w:shd w:fill="C6EFCE" w:val="clear"/>
          </w:tcPr>
          <w:p>
            <w:r>
              <w:rPr>
                <w:b/>
                <w:sz w:val="17"/>
              </w:rPr>
              <w:t>3,641</w:t>
            </w:r>
          </w:p>
        </w:tc>
        <w:tc>
          <w:tcPr>
            <w:tcW w:type="dxa" w:w="1440"/>
            <w:shd w:fill="C6EFCE" w:val="clear"/>
          </w:tcPr>
          <w:p>
            <w:r>
              <w:rPr>
                <w:sz w:val="17"/>
              </w:rPr>
              <w:t>3,789</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3,572</w:t>
            </w:r>
          </w:p>
        </w:tc>
        <w:tc>
          <w:tcPr>
            <w:tcW w:type="dxa" w:w="1440"/>
            <w:shd w:fill="C6EFCE" w:val="clear"/>
          </w:tcPr>
          <w:p>
            <w:r>
              <w:rPr>
                <w:b/>
                <w:sz w:val="17"/>
              </w:rPr>
              <w:t>3,791</w:t>
            </w:r>
          </w:p>
        </w:tc>
        <w:tc>
          <w:tcPr>
            <w:tcW w:type="dxa" w:w="1440"/>
            <w:shd w:fill="C6EFCE" w:val="clear"/>
          </w:tcPr>
          <w:p>
            <w:r>
              <w:rPr>
                <w:sz w:val="17"/>
              </w:rPr>
              <w:t>4,010</w:t>
            </w:r>
          </w:p>
        </w:tc>
        <w:tc>
          <w:tcPr>
            <w:tcW w:type="dxa" w:w="1440"/>
            <w:shd w:fill="C6EFCE" w:val="clear"/>
          </w:tcPr>
          <w:p>
            <w:r>
              <w:rPr>
                <w:b/>
                <w:color w:val="008000"/>
                <w:sz w:val="17"/>
              </w:rPr>
              <w:t>+8.5%</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3,693</w:t>
            </w:r>
          </w:p>
        </w:tc>
        <w:tc>
          <w:tcPr>
            <w:tcW w:type="dxa" w:w="1440"/>
            <w:shd w:fill="C6EFCE" w:val="clear"/>
          </w:tcPr>
          <w:p>
            <w:r>
              <w:rPr>
                <w:b/>
                <w:sz w:val="17"/>
              </w:rPr>
              <w:t>3,974</w:t>
            </w:r>
          </w:p>
        </w:tc>
        <w:tc>
          <w:tcPr>
            <w:tcW w:type="dxa" w:w="1440"/>
            <w:shd w:fill="C6EFCE" w:val="clear"/>
          </w:tcPr>
          <w:p>
            <w:r>
              <w:rPr>
                <w:sz w:val="17"/>
              </w:rPr>
              <w:t>4,255</w:t>
            </w:r>
          </w:p>
        </w:tc>
        <w:tc>
          <w:tcPr>
            <w:tcW w:type="dxa" w:w="1440"/>
            <w:shd w:fill="C6EFCE" w:val="clear"/>
          </w:tcPr>
          <w:p>
            <w:r>
              <w:rPr>
                <w:b/>
                <w:color w:val="008000"/>
                <w:sz w:val="17"/>
              </w:rPr>
              <w:t>+13.7%</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3,841</w:t>
            </w:r>
          </w:p>
        </w:tc>
        <w:tc>
          <w:tcPr>
            <w:tcW w:type="dxa" w:w="1440"/>
            <w:shd w:fill="C6EFCE" w:val="clear"/>
          </w:tcPr>
          <w:p>
            <w:r>
              <w:rPr>
                <w:b/>
                <w:sz w:val="17"/>
              </w:rPr>
              <w:t>4,182</w:t>
            </w:r>
          </w:p>
        </w:tc>
        <w:tc>
          <w:tcPr>
            <w:tcW w:type="dxa" w:w="1440"/>
            <w:shd w:fill="C6EFCE" w:val="clear"/>
          </w:tcPr>
          <w:p>
            <w:r>
              <w:rPr>
                <w:sz w:val="17"/>
              </w:rPr>
              <w:t>4,524</w:t>
            </w:r>
          </w:p>
        </w:tc>
        <w:tc>
          <w:tcPr>
            <w:tcW w:type="dxa" w:w="1440"/>
            <w:shd w:fill="C6EFCE" w:val="clear"/>
          </w:tcPr>
          <w:p>
            <w:r>
              <w:rPr>
                <w:b/>
                <w:color w:val="008000"/>
                <w:sz w:val="17"/>
              </w:rPr>
              <w:t>+19.7%</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4,014</w:t>
            </w:r>
          </w:p>
        </w:tc>
        <w:tc>
          <w:tcPr>
            <w:tcW w:type="dxa" w:w="1440"/>
            <w:shd w:fill="C6EFCE" w:val="clear"/>
          </w:tcPr>
          <w:p>
            <w:r>
              <w:rPr>
                <w:b/>
                <w:sz w:val="17"/>
              </w:rPr>
              <w:t>4,417</w:t>
            </w:r>
          </w:p>
        </w:tc>
        <w:tc>
          <w:tcPr>
            <w:tcW w:type="dxa" w:w="1440"/>
            <w:shd w:fill="C6EFCE" w:val="clear"/>
          </w:tcPr>
          <w:p>
            <w:r>
              <w:rPr>
                <w:sz w:val="17"/>
              </w:rPr>
              <w:t>4,820</w:t>
            </w:r>
          </w:p>
        </w:tc>
        <w:tc>
          <w:tcPr>
            <w:tcW w:type="dxa" w:w="1440"/>
            <w:shd w:fill="C6EFCE" w:val="clear"/>
          </w:tcPr>
          <w:p>
            <w:r>
              <w:rPr>
                <w:b/>
                <w:color w:val="008000"/>
                <w:sz w:val="17"/>
              </w:rPr>
              <w:t>+26.4%</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4,214</w:t>
            </w:r>
          </w:p>
        </w:tc>
        <w:tc>
          <w:tcPr>
            <w:tcW w:type="dxa" w:w="1440"/>
            <w:shd w:fill="C6EFCE" w:val="clear"/>
          </w:tcPr>
          <w:p>
            <w:r>
              <w:rPr>
                <w:b/>
                <w:sz w:val="17"/>
              </w:rPr>
              <w:t>4,682</w:t>
            </w:r>
          </w:p>
        </w:tc>
        <w:tc>
          <w:tcPr>
            <w:tcW w:type="dxa" w:w="1440"/>
            <w:shd w:fill="C6EFCE" w:val="clear"/>
          </w:tcPr>
          <w:p>
            <w:r>
              <w:rPr>
                <w:sz w:val="17"/>
              </w:rPr>
              <w:t>5,150</w:t>
            </w:r>
          </w:p>
        </w:tc>
        <w:tc>
          <w:tcPr>
            <w:tcW w:type="dxa" w:w="1440"/>
            <w:shd w:fill="C6EFCE" w:val="clear"/>
          </w:tcPr>
          <w:p>
            <w:r>
              <w:rPr>
                <w:b/>
                <w:color w:val="008000"/>
                <w:sz w:val="17"/>
              </w:rPr>
              <w:t>+34.0%</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4,448</w:t>
            </w:r>
          </w:p>
        </w:tc>
        <w:tc>
          <w:tcPr>
            <w:tcW w:type="dxa" w:w="1440"/>
            <w:shd w:fill="C6EFCE" w:val="clear"/>
          </w:tcPr>
          <w:p>
            <w:r>
              <w:rPr>
                <w:b/>
                <w:sz w:val="17"/>
              </w:rPr>
              <w:t>4,987</w:t>
            </w:r>
          </w:p>
        </w:tc>
        <w:tc>
          <w:tcPr>
            <w:tcW w:type="dxa" w:w="1440"/>
            <w:shd w:fill="C6EFCE" w:val="clear"/>
          </w:tcPr>
          <w:p>
            <w:r>
              <w:rPr>
                <w:sz w:val="17"/>
              </w:rPr>
              <w:t>5,525</w:t>
            </w:r>
          </w:p>
        </w:tc>
        <w:tc>
          <w:tcPr>
            <w:tcW w:type="dxa" w:w="1440"/>
            <w:shd w:fill="C6EFCE" w:val="clear"/>
          </w:tcPr>
          <w:p>
            <w:r>
              <w:rPr>
                <w:b/>
                <w:color w:val="008000"/>
                <w:sz w:val="17"/>
              </w:rPr>
              <w:t>+42.7%</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4,728</w:t>
            </w:r>
          </w:p>
        </w:tc>
        <w:tc>
          <w:tcPr>
            <w:tcW w:type="dxa" w:w="1440"/>
            <w:shd w:fill="C6EFCE" w:val="clear"/>
          </w:tcPr>
          <w:p>
            <w:r>
              <w:rPr>
                <w:b/>
                <w:sz w:val="17"/>
              </w:rPr>
              <w:t>5,345</w:t>
            </w:r>
          </w:p>
        </w:tc>
        <w:tc>
          <w:tcPr>
            <w:tcW w:type="dxa" w:w="1440"/>
            <w:shd w:fill="C6EFCE" w:val="clear"/>
          </w:tcPr>
          <w:p>
            <w:r>
              <w:rPr>
                <w:sz w:val="17"/>
              </w:rPr>
              <w:t>5,962</w:t>
            </w:r>
          </w:p>
        </w:tc>
        <w:tc>
          <w:tcPr>
            <w:tcW w:type="dxa" w:w="1440"/>
            <w:shd w:fill="C6EFCE" w:val="clear"/>
          </w:tcPr>
          <w:p>
            <w:r>
              <w:rPr>
                <w:b/>
                <w:color w:val="008000"/>
                <w:sz w:val="17"/>
              </w:rPr>
              <w:t>+52.9%</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5,042</w:t>
            </w:r>
          </w:p>
        </w:tc>
        <w:tc>
          <w:tcPr>
            <w:tcW w:type="dxa" w:w="1440"/>
            <w:shd w:fill="C6EFCE" w:val="clear"/>
          </w:tcPr>
          <w:p>
            <w:r>
              <w:rPr>
                <w:b/>
                <w:sz w:val="17"/>
              </w:rPr>
              <w:t>5,746</w:t>
            </w:r>
          </w:p>
        </w:tc>
        <w:tc>
          <w:tcPr>
            <w:tcW w:type="dxa" w:w="1440"/>
            <w:shd w:fill="C6EFCE" w:val="clear"/>
          </w:tcPr>
          <w:p>
            <w:r>
              <w:rPr>
                <w:sz w:val="17"/>
              </w:rPr>
              <w:t>6,449</w:t>
            </w:r>
          </w:p>
        </w:tc>
        <w:tc>
          <w:tcPr>
            <w:tcW w:type="dxa" w:w="1440"/>
            <w:shd w:fill="C6EFCE" w:val="clear"/>
          </w:tcPr>
          <w:p>
            <w:r>
              <w:rPr>
                <w:b/>
                <w:color w:val="008000"/>
                <w:sz w:val="17"/>
              </w:rPr>
              <w:t>+64.4%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5,379</w:t>
            </w:r>
          </w:p>
        </w:tc>
        <w:tc>
          <w:tcPr>
            <w:tcW w:type="dxa" w:w="1440"/>
            <w:shd w:fill="C6EFCE" w:val="clear"/>
          </w:tcPr>
          <w:p>
            <w:r>
              <w:rPr>
                <w:b/>
                <w:sz w:val="17"/>
              </w:rPr>
              <w:t>6,176</w:t>
            </w:r>
          </w:p>
        </w:tc>
        <w:tc>
          <w:tcPr>
            <w:tcW w:type="dxa" w:w="1440"/>
            <w:shd w:fill="C6EFCE" w:val="clear"/>
          </w:tcPr>
          <w:p>
            <w:r>
              <w:rPr>
                <w:sz w:val="17"/>
              </w:rPr>
              <w:t>6,974</w:t>
            </w:r>
          </w:p>
        </w:tc>
        <w:tc>
          <w:tcPr>
            <w:tcW w:type="dxa" w:w="1440"/>
            <w:shd w:fill="C6EFCE" w:val="clear"/>
          </w:tcPr>
          <w:p>
            <w:r>
              <w:rPr>
                <w:b/>
                <w:color w:val="008000"/>
                <w:sz w:val="17"/>
              </w:rPr>
              <w:t>+76.7%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20,69 milliards FCFA, un niveau modeste qui la classe parmi les valeurs de taille moyenne sur la BRVM. Avec un BPA de 243 FCFA, le titre se négocie à un PER de 14,4x, légèrement au-dessus de la moyenne historique du marché (8-12x), ce qui suggère que les investisseurs intègrent déjà une trajectoire de croissance future. Le P/B de 2,21x indique que le marché valorise la société à plus du double de sa valeur comptable, traduisant une prime de croissance accordée par les investisseurs. Enfin, un EV/EBITDA de 7,3x, dans la fourchette raisonnable de 5-10x, confirme que la valorisation de l'entreprise reste cohérente avec sa capacité opérationnelle à générer de la richesse.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-10,04%, avec une légère contraction de -0,14% lors de la dernière séance, portant le cours à 3 495 FCFA. Le titre a évolué dans une fourchette de 3 350 à 4 500 FCFA, démontrant une amplitude de trading considérable. La moyenne du cours sur la période (3 772 FCFA) est supérieure à la médiane (3 700 FCFA), et le mode se situe à 3 500 FCFA, indiquant une distribution légèrement asymétrique positive (skewness de 0,741) où les journées sous la moyenne sont plus fréquentes. L'écart-type de 287 FCFA (CV=7,6%) révèle une dispersion modérée, tandis que le kurtosis de -0,129 (mésokurtique) suggère une distribution proche de la normale, sans risque de pics extrêmes. La volatilité annualisée de 53,3% classe le titre comme très volatil, un niveau élevé qui reflète une incertitude marquée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3 495 FCFA se situe sous la MM20 (3 550,5 FCFA) et nettement sous la MM50 (3 801,9 FCFA), confirmant une tendance baissière de moyen terme. La configuration des moyennes mobiles, avec le prix sous les deux moyennes, génère un signal de vente, indiquant que la pression vendeuse reste dominante.</w:t>
      </w:r>
    </w:p>
    <w:p>
      <w:pPr>
        <w:spacing w:after="120" w:line="276" w:lineRule="auto"/>
      </w:pPr>
      <w:r>
        <w:t>**Bandes de Bollinger** : Le prix évolue à l'intérieur des bandes, entre la borne inférieure (3 401,5 FCFA) et la borne supérieure (3 699,5 FCFA), avec une position plus proche de la borne inférieure. Cette configuration suggère une volatilité modérée et un marché en phase de consolidation, d'où une décision neutre. Un rebond sur la borne inférieure pourrait toutefois offrir un point d'entrée intéressant.</w:t>
      </w:r>
    </w:p>
    <w:p>
      <w:pPr>
        <w:spacing w:after="120" w:line="276" w:lineRule="auto"/>
      </w:pPr>
      <w:r>
        <w:t>**MACD** : Le MACD (-56,06) est légèrement au-dessus de sa ligne de signal (-63,01), indiquant un début de retournement haussier du momentum. Bien que les deux lignes restent en territoire négatif, ce croisement naissant génère un signal d'achat précoce, suggérant une possible décrue de la pression baissière.</w:t>
      </w:r>
    </w:p>
    <w:p>
      <w:pPr>
        <w:spacing w:after="120" w:line="276" w:lineRule="auto"/>
      </w:pPr>
      <w:r>
        <w:t>**RSI** : Avec une valeur de 44,33, le RSI se situe en zone neutre, entre 30 et 70, indiquant un marché sans excès majeur. Le titre n'est ni suracheté ni survendu, laissant une marge de manœuvre dans les deux sens. Cette neutralité suggère une absence de signal directionnel fort à court terme.</w:t>
      </w:r>
    </w:p>
    <w:p>
      <w:pPr>
        <w:spacing w:after="120" w:line="276" w:lineRule="auto"/>
      </w:pPr>
      <w:r>
        <w:t>**Stochastique** : Le %K (2,33) et le %D (3,88) sont tous deux en zone de survente profonde (&lt;20), avec un %K sous le %D. Cette configuration extrême indique que le titre est fortement survendu, ce qui pourrait précéder un rebond technique. La décision d'achat se justifie par cette situation de survente excessive.</w:t>
      </w:r>
    </w:p>
    <w:p>
      <w:pPr>
        <w:spacing w:after="120" w:line="276" w:lineRule="auto"/>
      </w:pPr>
      <w:r>
        <w:t>**Conclusion technique** : La convergence des signaux est mitigée. Les moyennes mobiles et le RSI plaident pour une prudence, tandis que le MACD et le stochastique suggèrent un potentiel de rebond technique. Le titre semble en phase de stabilisation après une période baissière, avec des signaux contradictoires qui incitent à la prudence mais ne permettent pas d'exclure un rebond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CABC affiche un chiffre d'affaires de 21,263 milliards FCFA, en croissance de +11,2% par rapport à 2024, avec un résultat net de 1,439 milliard FCFA, confirmant un retour à la profitabilité après les pertes de 2023-2024. Le ROE s'établit à 15,4%, un niveau excellent, tandis que le ROA atteint 6,1%, démontrant une bonne efficacité dans l'utilisation des actifs. La marge nette de 6,8% reste inférieure à la moyenne sectorielle (8-10%), mais s'améliore nettement. Les délais clients (144,7 jours) et de stockage (152,1 jours) demeurent élevés, créant un BFR important de 7,186 milliards FCFA et un flux opérationnel négatif de -819,66 millions FCFA. L'endettement reste maîtrisé avec un ratio de dépendance financière de 4,5%. Les rapports trimestriels 2025 confirment cette dynamique positive : le S1 2025 affichait un résultat net de 851,5 millions FCFA (+55,3%), et le T3 2025 un résultat cumulé de 1 329,5 millions FCFA (+26%). Cependant, le T1 2026 (rapport daté de 2026) montre une dégradation brutale avec un CA en baisse de -26,5% et une perte nette de -221,7 millions FCFA, liée à une maintenance planifiée et à l'inflation des cours des métaux. La direction anticipe une normalisation dès le T2 2026, mais cette contre-performance récente tempère l'optimisme.</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2,21x) apparaît légèrement élevée pour une société dont la rentabilité reste fragile, mais elle intègre un potentiel de croissance. Le comportement du cours sur 100 jours (-10%) avec une volatilité élevée (53,3%) reflète une incertitude persistante, bien que les statistiques (kurtosis mésokurtique, skewness positif) indiquent une distribution relativement normale. Les signaux techniques sont contradictoires : les moyennes mobiles baissières s'opposent aux indicateurs de momentum (MACD, stochastique) qui suggèrent un rebond imminent. Fondamentalement, la société a démontré sa capacité à générer des bénéfices en 2025 (ROE 15,4%), mais le T1 2026 décevant et la pression sur les marges constituent des signaux d'alerte. Les prédictions IA (3 641 à 4 417 FCFA sur 10 jours) anticipent un rebond de +4% à +26%, ce qui contredit la tendance baissière récente mais confirme les signaux techniques de survente. La convergence entre les prédictions IA et les indicateurs de momentum suggère un potentiel de rebond à court terme, mais la prudence reste de mise. **Recommandation : CONSERVER** avec un niveau de confiance **Moyen** et un risque global **Élevé**. Horizon d'investissement optimal : **moyen terme (3-12 mois)**, en attendant la confirmation d'une stabilisation durable des performances opérationnelles.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947.20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 titres</w:t>
            </w:r>
          </w:p>
        </w:tc>
        <w:tc>
          <w:tcPr>
            <w:tcW w:type="dxa" w:w="2268"/>
            <w:shd w:fill="FFF2CC" w:val="clear"/>
          </w:tcPr>
          <w:p>
            <w:r>
              <w:rPr>
                <w:b/>
                <w:color w:val="503200"/>
                <w:sz w:val="16"/>
              </w:rPr>
              <w:t xml:space="preserve">Cours actuel : </w:t>
            </w:r>
            <w:r>
              <w:rPr>
                <w:color w:val="000000"/>
                <w:sz w:val="17"/>
              </w:rPr>
              <w:t>29,600 FCFA</w:t>
            </w:r>
          </w:p>
          <w:p>
            <w:r>
              <w:rPr>
                <w:b/>
                <w:color w:val="503200"/>
                <w:sz w:val="16"/>
              </w:rPr>
              <w:t xml:space="preserve">Var. 100 jours : </w:t>
            </w:r>
            <w:r>
              <w:rPr>
                <w:b/>
                <w:color w:val="007800"/>
                <w:sz w:val="17"/>
              </w:rPr>
              <w:t>+98.86%</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14,885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22.16% (Élevée) — μ=22,671 FCFA, σ=5,024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β=0.7685 (Défensif) — Cov=0.000028, Var(idx)=0.000036, ρ=0.177,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26,505</w:t>
            </w:r>
          </w:p>
        </w:tc>
        <w:tc>
          <w:tcPr>
            <w:tcW w:type="dxa" w:w="1440"/>
            <w:shd w:fill="FFDCE0" w:val="clear"/>
          </w:tcPr>
          <w:p>
            <w:r>
              <w:rPr>
                <w:b/>
                <w:sz w:val="17"/>
              </w:rPr>
              <w:t>27,380</w:t>
            </w:r>
          </w:p>
        </w:tc>
        <w:tc>
          <w:tcPr>
            <w:tcW w:type="dxa" w:w="1440"/>
            <w:shd w:fill="FFDCE0" w:val="clear"/>
          </w:tcPr>
          <w:p>
            <w:r>
              <w:rPr>
                <w:sz w:val="17"/>
              </w:rPr>
              <w:t>28,255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24,182</w:t>
            </w:r>
          </w:p>
        </w:tc>
        <w:tc>
          <w:tcPr>
            <w:tcW w:type="dxa" w:w="1440"/>
            <w:shd w:fill="FFDCE0" w:val="clear"/>
          </w:tcPr>
          <w:p>
            <w:r>
              <w:rPr>
                <w:b/>
                <w:sz w:val="17"/>
              </w:rPr>
              <w:t>25,326</w:t>
            </w:r>
          </w:p>
        </w:tc>
        <w:tc>
          <w:tcPr>
            <w:tcW w:type="dxa" w:w="1440"/>
            <w:shd w:fill="FFDCE0" w:val="clear"/>
          </w:tcPr>
          <w:p>
            <w:r>
              <w:rPr>
                <w:sz w:val="17"/>
              </w:rPr>
              <w:t>26,471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22,130</w:t>
            </w:r>
          </w:p>
        </w:tc>
        <w:tc>
          <w:tcPr>
            <w:tcW w:type="dxa" w:w="1440"/>
            <w:shd w:fill="FFDCE0" w:val="clear"/>
          </w:tcPr>
          <w:p>
            <w:r>
              <w:rPr>
                <w:b/>
                <w:sz w:val="17"/>
              </w:rPr>
              <w:t>23,427</w:t>
            </w:r>
          </w:p>
        </w:tc>
        <w:tc>
          <w:tcPr>
            <w:tcW w:type="dxa" w:w="1440"/>
            <w:shd w:fill="FFDCE0" w:val="clear"/>
          </w:tcPr>
          <w:p>
            <w:r>
              <w:rPr>
                <w:sz w:val="17"/>
              </w:rPr>
              <w:t>24,724</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20,285</w:t>
            </w:r>
          </w:p>
        </w:tc>
        <w:tc>
          <w:tcPr>
            <w:tcW w:type="dxa" w:w="1440"/>
            <w:shd w:fill="FFDCE0" w:val="clear"/>
          </w:tcPr>
          <w:p>
            <w:r>
              <w:rPr>
                <w:b/>
                <w:sz w:val="17"/>
              </w:rPr>
              <w:t>21,670</w:t>
            </w:r>
          </w:p>
        </w:tc>
        <w:tc>
          <w:tcPr>
            <w:tcW w:type="dxa" w:w="1440"/>
            <w:shd w:fill="FFDCE0" w:val="clear"/>
          </w:tcPr>
          <w:p>
            <w:r>
              <w:rPr>
                <w:sz w:val="17"/>
              </w:rPr>
              <w:t>23,055</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18,612</w:t>
            </w:r>
          </w:p>
        </w:tc>
        <w:tc>
          <w:tcPr>
            <w:tcW w:type="dxa" w:w="1440"/>
            <w:shd w:fill="FFDCE0" w:val="clear"/>
          </w:tcPr>
          <w:p>
            <w:r>
              <w:rPr>
                <w:b/>
                <w:sz w:val="17"/>
              </w:rPr>
              <w:t>20,045</w:t>
            </w:r>
          </w:p>
        </w:tc>
        <w:tc>
          <w:tcPr>
            <w:tcW w:type="dxa" w:w="1440"/>
            <w:shd w:fill="FFDCE0" w:val="clear"/>
          </w:tcPr>
          <w:p>
            <w:r>
              <w:rPr>
                <w:sz w:val="17"/>
              </w:rPr>
              <w:t>21,477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17,680</w:t>
            </w:r>
          </w:p>
        </w:tc>
        <w:tc>
          <w:tcPr>
            <w:tcW w:type="dxa" w:w="1440"/>
            <w:shd w:fill="FFDCE0" w:val="clear"/>
          </w:tcPr>
          <w:p>
            <w:r>
              <w:rPr>
                <w:b/>
                <w:sz w:val="17"/>
              </w:rPr>
              <w:t>19,182</w:t>
            </w:r>
          </w:p>
        </w:tc>
        <w:tc>
          <w:tcPr>
            <w:tcW w:type="dxa" w:w="1440"/>
            <w:shd w:fill="FFDCE0" w:val="clear"/>
          </w:tcPr>
          <w:p>
            <w:r>
              <w:rPr>
                <w:sz w:val="17"/>
              </w:rPr>
              <w:t>20,684</w:t>
            </w:r>
          </w:p>
        </w:tc>
        <w:tc>
          <w:tcPr>
            <w:tcW w:type="dxa" w:w="1440"/>
            <w:shd w:fill="FFDCE0" w:val="clear"/>
          </w:tcPr>
          <w:p>
            <w:r>
              <w:rPr>
                <w:b/>
                <w:color w:val="C00000"/>
                <w:sz w:val="17"/>
              </w:rPr>
              <w:t>-35.2%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17,106</w:t>
            </w:r>
          </w:p>
        </w:tc>
        <w:tc>
          <w:tcPr>
            <w:tcW w:type="dxa" w:w="1440"/>
            <w:shd w:fill="FFDCE0" w:val="clear"/>
          </w:tcPr>
          <w:p>
            <w:r>
              <w:rPr>
                <w:b/>
                <w:sz w:val="17"/>
              </w:rPr>
              <w:t>18,686</w:t>
            </w:r>
          </w:p>
        </w:tc>
        <w:tc>
          <w:tcPr>
            <w:tcW w:type="dxa" w:w="1440"/>
            <w:shd w:fill="FFDCE0" w:val="clear"/>
          </w:tcPr>
          <w:p>
            <w:r>
              <w:rPr>
                <w:sz w:val="17"/>
              </w:rPr>
              <w:t>20,266</w:t>
            </w:r>
          </w:p>
        </w:tc>
        <w:tc>
          <w:tcPr>
            <w:tcW w:type="dxa" w:w="1440"/>
            <w:shd w:fill="FFDCE0" w:val="clear"/>
          </w:tcPr>
          <w:p>
            <w:r>
              <w:rPr>
                <w:b/>
                <w:color w:val="C00000"/>
                <w:sz w:val="17"/>
              </w:rPr>
              <w:t>-36.9%</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16,595</w:t>
            </w:r>
          </w:p>
        </w:tc>
        <w:tc>
          <w:tcPr>
            <w:tcW w:type="dxa" w:w="1440"/>
            <w:shd w:fill="FFDCE0" w:val="clear"/>
          </w:tcPr>
          <w:p>
            <w:r>
              <w:rPr>
                <w:b/>
                <w:sz w:val="17"/>
              </w:rPr>
              <w:t>18,244</w:t>
            </w:r>
          </w:p>
        </w:tc>
        <w:tc>
          <w:tcPr>
            <w:tcW w:type="dxa" w:w="1440"/>
            <w:shd w:fill="FFDCE0" w:val="clear"/>
          </w:tcPr>
          <w:p>
            <w:r>
              <w:rPr>
                <w:sz w:val="17"/>
              </w:rPr>
              <w:t>19,894</w:t>
            </w:r>
          </w:p>
        </w:tc>
        <w:tc>
          <w:tcPr>
            <w:tcW w:type="dxa" w:w="1440"/>
            <w:shd w:fill="FFDCE0" w:val="clear"/>
          </w:tcPr>
          <w:p>
            <w:r>
              <w:rPr>
                <w:b/>
                <w:color w:val="C00000"/>
                <w:sz w:val="17"/>
              </w:rPr>
              <w:t>-38.4%</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16,135</w:t>
            </w:r>
          </w:p>
        </w:tc>
        <w:tc>
          <w:tcPr>
            <w:tcW w:type="dxa" w:w="1440"/>
            <w:shd w:fill="FFDCE0" w:val="clear"/>
          </w:tcPr>
          <w:p>
            <w:r>
              <w:rPr>
                <w:b/>
                <w:sz w:val="17"/>
              </w:rPr>
              <w:t>17,846</w:t>
            </w:r>
          </w:p>
        </w:tc>
        <w:tc>
          <w:tcPr>
            <w:tcW w:type="dxa" w:w="1440"/>
            <w:shd w:fill="FFDCE0" w:val="clear"/>
          </w:tcPr>
          <w:p>
            <w:r>
              <w:rPr>
                <w:sz w:val="17"/>
              </w:rPr>
              <w:t>19,557</w:t>
            </w:r>
          </w:p>
        </w:tc>
        <w:tc>
          <w:tcPr>
            <w:tcW w:type="dxa" w:w="1440"/>
            <w:shd w:fill="FFDCE0" w:val="clear"/>
          </w:tcPr>
          <w:p>
            <w:r>
              <w:rPr>
                <w:b/>
                <w:color w:val="C00000"/>
                <w:sz w:val="17"/>
              </w:rPr>
              <w:t>-39.7%</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15,718</w:t>
            </w:r>
          </w:p>
        </w:tc>
        <w:tc>
          <w:tcPr>
            <w:tcW w:type="dxa" w:w="1440"/>
            <w:shd w:fill="FFDCE0" w:val="clear"/>
          </w:tcPr>
          <w:p>
            <w:r>
              <w:rPr>
                <w:b/>
                <w:sz w:val="17"/>
              </w:rPr>
              <w:t>17,485</w:t>
            </w:r>
          </w:p>
        </w:tc>
        <w:tc>
          <w:tcPr>
            <w:tcW w:type="dxa" w:w="1440"/>
            <w:shd w:fill="FFDCE0" w:val="clear"/>
          </w:tcPr>
          <w:p>
            <w:r>
              <w:rPr>
                <w:sz w:val="17"/>
              </w:rPr>
              <w:t>19,252</w:t>
            </w:r>
          </w:p>
        </w:tc>
        <w:tc>
          <w:tcPr>
            <w:tcW w:type="dxa" w:w="1440"/>
            <w:shd w:fill="FFDCE0" w:val="clear"/>
          </w:tcPr>
          <w:p>
            <w:r>
              <w:rPr>
                <w:b/>
                <w:color w:val="C00000"/>
                <w:sz w:val="17"/>
              </w:rPr>
              <w:t>-40.9%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31 août 2026**</w:t>
        <w:br/>
        <w:t>**Cours de référence : 29 600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947,20 milliards FCFA, ce qui positionne le titre parmi les poids lourds de la BRVM, lui conférant une liquidité et une visibilité institutionnelle significatives. Le BPA de 2 047 FCFA indique que chaque action génère un bénéfice substantiel, justifiant un PER de 14,5x. Ce ratio est supérieur à la moyenne historique de la BRVM (8-12x), signifiant que le marché valorise déjà une prime de croissance et de qualité sur le titre. L'EV/EBITDA de 10,7x, bien que dans la fourchette haute (10-15x), reste raisonnable pour une banque de cette envergure, indiquant que la valeur totale de l'entreprise (capitaux propres + dette) reste cohérente avec sa capacité opérationnelle. Aucun ratio P/B n'est disponible, mais les fondamentaux solides suggèrent une valorisation du marché au-dessus de la valeur comptable.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exceptionnelle de +98,86%, passant d'un plus bas de 14 885 FCFA à un plus haut de 30 005 FCFA, avec une légère progression de +0,71% lors de la dernière séance. Cette tendance est fortement haussière, soutenue par une moyenne (22 671 FCFA) et une médiane (22 000 FCFA) très proches, indiquant une distribution des prix relativement symétrique. L'écart-type de 5 050 FCFA (CV=22,3%) révèle une dispersion modérée des cours autour de la moyenne. Le kurtosis négatif (-1,367) suggère une distribution platykurtique, avec moins de valeurs extrêmes que la normale, tandis que le skewness quasi nul (-0,056) confirme la symétrie. La volatilité annualisée de 41,4% classe le titre comme très volatil (&gt;30%), ce qui implique un risque élevé mais aussi un fort potentiel de rendement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(29 600 FCFA) se situe nettement au-dessus de la MM20 (28 718,5 FCFA) et de la MM50 (26 906,9 FCFA), confirmant une dynamique haussière à court et moyen terme. La configuration des MM, avec la MM20 au-dessus de la MM50, est un signal classique d'achat, indiquant que la tendance de fond reste positive.</w:t>
      </w:r>
    </w:p>
    <w:p>
      <w:pPr>
        <w:spacing w:after="120" w:line="276" w:lineRule="auto"/>
      </w:pPr>
      <w:r>
        <w:t>**Bandes de Bollinger** : Le prix évolue près de la borne supérieure (29 849 FCFA), ce qui témoigne d'une pression acheteuse soutenue. La largeur des bandes (écart de 2 261 FCFA) reflète une volatilité élevée. La décision est neutre, car le titre n'est pas encore en situation de surachat extrême, mais une cassure au-dessus de la borne supérieure pourrait signaler une poursuite du mouvement.</w:t>
      </w:r>
    </w:p>
    <w:p>
      <w:pPr>
        <w:spacing w:after="120" w:line="276" w:lineRule="auto"/>
      </w:pPr>
      <w:r>
        <w:t>**MACD** : La valeur du MACD (685,26) est légèrement inférieure à son signal (714,84), indiquant un ralentissement du momentum haussier. Cette divergence négative suggère une possible consolidation ou correction à court terme, d'où la décision de vente. Cependant, les deux lignes restent au-dessus de zéro, ce qui maintient la tendance de fond positive.</w:t>
      </w:r>
    </w:p>
    <w:p>
      <w:pPr>
        <w:spacing w:after="120" w:line="276" w:lineRule="auto"/>
      </w:pPr>
      <w:r>
        <w:t>**RSI** : À 63,88, le RSI se situe en zone neutre (30-70), indiquant que le titre n'est ni suracheté ni survendu. Cela laisse une marge de progression avant d'atteindre la zone de surachat (&gt;70), mais l'élan haussier semble se modérer.</w:t>
      </w:r>
    </w:p>
    <w:p>
      <w:pPr>
        <w:spacing w:after="120" w:line="276" w:lineRule="auto"/>
      </w:pPr>
      <w:r>
        <w:t>**Stochastique** : Le %K (76,26) est supérieur au %D (68,13), et les deux sont en zone de surachat (&gt;70). Ce croisement haussier suggère que la dynamique acheteuse est toujours présente, mais la proximité de la zone de surachat appelle à la prudence.</w:t>
      </w:r>
    </w:p>
    <w:p>
      <w:pPr>
        <w:spacing w:after="120" w:line="276" w:lineRule="auto"/>
      </w:pPr>
      <w:r>
        <w:t>**Conclusion technique** : Les indicateurs sont mitigés. Les moyennes mobiles et le stochastique soutiennent la tendance haussière, tandis que le MACD et la position proche des bandes de Bollinger signalent un essoufflement potentiel. Le RSI neutre laisse planer une incertitude. Globalement, la tendance reste positive mais un risque de consolidation à court terme est à surveiller.</w:t>
      </w:r>
    </w:p>
    <w:p>
      <w:pPr>
        <w:spacing w:after="120" w:line="276" w:lineRule="auto"/>
      </w:pPr>
      <w:r>
        <w:t>---</w:t>
      </w:r>
    </w:p>
    <w:p>
      <w:pPr>
        <w:spacing w:after="120" w:line="276" w:lineRule="auto"/>
      </w:pPr>
      <w:r>
        <w:t>### PARTIE 3 : ANALYSE FONDAMENTALE (SECTION CRITIQUE)</w:t>
      </w:r>
    </w:p>
    <w:p>
      <w:pPr>
        <w:spacing w:after="120" w:line="276" w:lineRule="auto"/>
      </w:pPr>
      <w:r>
        <w:t>En 2025, CBIBF affiche des résultats financiers solides. Le Produit Net Bancaire (PNB) s'établit à 138,986 milliards FCFA, en croissance de 6,1%, avec un résultat net de 65,495 milliards FCFA, en forte progression de 36,6% par rapport à 2024. La marge nette est excellente à 47,12%, et le coefficient d'exploitation de 36,4% témoigne d'une gestion très efficace (&lt;50%). Le ROA de 2,18% est sain pour le secteur bancaire. Les dépôts clients (2 015,284 Mds FCFA) dépassent largement les créances (1 326,977 Mds FCFA), assurant une liquidité confortable. Le coût du risque, bien qu'élevé, s'est significativement amélioré de 59,3% en 2025. Les rapports trimestriels 2025 confirment cette dynamique : le T3 2025 (PNB de 101,3 Mds FCFA, +9,65%) et le T1 2026 (PNB de 36,8 Mds FCFA, +28,5%, résultat net de 21,5 Mds FCFA, +22,2%) montrent une accélération de la croissance. Sur la base de ces performances, on estime que l'exercice 2026 pourrait voir un PNB dépasser les 160 milliards FCFA et un résultat net supérieur à 75 milliards FCFA, confirmant la solidité et la trajectoire ascendante de la banque.</w:t>
      </w:r>
    </w:p>
    <w:p>
      <w:pPr>
        <w:spacing w:after="120" w:line="276" w:lineRule="auto"/>
      </w:pPr>
      <w:r>
        <w:t>---</w:t>
      </w:r>
    </w:p>
    <w:p>
      <w:pPr>
        <w:spacing w:after="120" w:line="276" w:lineRule="auto"/>
      </w:pPr>
      <w:r>
        <w:t>### PARTIE 4 : CONCLUSION D'INVESTISSEMENT</w:t>
      </w:r>
    </w:p>
    <w:p>
      <w:pPr>
        <w:spacing w:after="120" w:line="276" w:lineRule="auto"/>
      </w:pPr>
      <w:r>
        <w:t>La valorisation de CBIBF (PER 14,5x) est supérieure à la moyenne du marché, mais elle est justifiée par des fondamentaux exceptionnels et une croissance soutenue. Le comportement du cours (+98,86% sur 100 jours) démontre une forte confiance des investisseurs, bien que la volatilité élevée (41,4%) et les statistiques (kurtosis platykurtique) appellent à la vigilance. Les signaux techniques sont partagés : la tendance de fond (MM) est haussière, mais le MACD et la position en haut des bandes de Bollinger suggèrent un possible essoufflement à court terme. Les fondamentaux sont très solides, avec une amélioration de la rentabilité, une gestion efficace des coûts et une collecte de dépôts dynamique. Les prédictions IA pour les 10 prochains jours (baisse de 27 380 à 20 045 FCFA) contredisent fortement la tendance actuelle et suggèrent une correction brutale. En synthèse, malgré des fondamentaux excellents, la convergence des signaux techniques (MACD vente) et des prédictions IA (baisse) indique un risque de correction à court terme. **Recommandation : CONSERVER** avec un niveau de confiance **Moyen**. Le risque global est **Élevé** en raison de la volatilité. L'horizon d'investissement optimal serait à **moyen terme (3-12 mois)**, après une éventuelle phase de consolidation, pour profiter de la solidité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3,623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μ=1,609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β=1.0732 (Neutre (suit le marché)) — Cov=0.000039, Var(idx)=0.000036, ρ=0.209,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1,624</w:t>
            </w:r>
          </w:p>
        </w:tc>
        <w:tc>
          <w:tcPr>
            <w:tcW w:type="dxa" w:w="1440"/>
            <w:shd w:fill="FFDCE0" w:val="clear"/>
          </w:tcPr>
          <w:p>
            <w:r>
              <w:rPr>
                <w:b/>
                <w:sz w:val="17"/>
              </w:rPr>
              <w:t>1,696</w:t>
            </w:r>
          </w:p>
        </w:tc>
        <w:tc>
          <w:tcPr>
            <w:tcW w:type="dxa" w:w="1440"/>
            <w:shd w:fill="FFDCE0" w:val="clear"/>
          </w:tcPr>
          <w:p>
            <w:r>
              <w:rPr>
                <w:sz w:val="17"/>
              </w:rPr>
              <w:t>1,769</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1,572</w:t>
            </w:r>
          </w:p>
        </w:tc>
        <w:tc>
          <w:tcPr>
            <w:tcW w:type="dxa" w:w="1440"/>
            <w:shd w:fill="FFDCE0" w:val="clear"/>
          </w:tcPr>
          <w:p>
            <w:r>
              <w:rPr>
                <w:b/>
                <w:sz w:val="17"/>
              </w:rPr>
              <w:t>1,674</w:t>
            </w:r>
          </w:p>
        </w:tc>
        <w:tc>
          <w:tcPr>
            <w:tcW w:type="dxa" w:w="1440"/>
            <w:shd w:fill="FFDCE0" w:val="clear"/>
          </w:tcPr>
          <w:p>
            <w:r>
              <w:rPr>
                <w:sz w:val="17"/>
              </w:rPr>
              <w:t>1,775</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1,527</w:t>
            </w:r>
          </w:p>
        </w:tc>
        <w:tc>
          <w:tcPr>
            <w:tcW w:type="dxa" w:w="1440"/>
            <w:shd w:fill="FFDCE0" w:val="clear"/>
          </w:tcPr>
          <w:p>
            <w:r>
              <w:rPr>
                <w:b/>
                <w:sz w:val="17"/>
              </w:rPr>
              <w:t>1,649</w:t>
            </w:r>
          </w:p>
        </w:tc>
        <w:tc>
          <w:tcPr>
            <w:tcW w:type="dxa" w:w="1440"/>
            <w:shd w:fill="FFDCE0" w:val="clear"/>
          </w:tcPr>
          <w:p>
            <w:r>
              <w:rPr>
                <w:sz w:val="17"/>
              </w:rPr>
              <w:t>1,771</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1,485</w:t>
            </w:r>
          </w:p>
        </w:tc>
        <w:tc>
          <w:tcPr>
            <w:tcW w:type="dxa" w:w="1440"/>
            <w:shd w:fill="FFDCE0" w:val="clear"/>
          </w:tcPr>
          <w:p>
            <w:r>
              <w:rPr>
                <w:b/>
                <w:sz w:val="17"/>
              </w:rPr>
              <w:t>1,624</w:t>
            </w:r>
          </w:p>
        </w:tc>
        <w:tc>
          <w:tcPr>
            <w:tcW w:type="dxa" w:w="1440"/>
            <w:shd w:fill="FFDCE0" w:val="clear"/>
          </w:tcPr>
          <w:p>
            <w:r>
              <w:rPr>
                <w:sz w:val="17"/>
              </w:rPr>
              <w:t>1,763</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1,447</w:t>
            </w:r>
          </w:p>
        </w:tc>
        <w:tc>
          <w:tcPr>
            <w:tcW w:type="dxa" w:w="1440"/>
            <w:shd w:fill="FFDCE0" w:val="clear"/>
          </w:tcPr>
          <w:p>
            <w:r>
              <w:rPr>
                <w:b/>
                <w:sz w:val="17"/>
              </w:rPr>
              <w:t>1,600</w:t>
            </w:r>
          </w:p>
        </w:tc>
        <w:tc>
          <w:tcPr>
            <w:tcW w:type="dxa" w:w="1440"/>
            <w:shd w:fill="FFDCE0" w:val="clear"/>
          </w:tcPr>
          <w:p>
            <w:r>
              <w:rPr>
                <w:sz w:val="17"/>
              </w:rPr>
              <w:t>1,753</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1,411</w:t>
            </w:r>
          </w:p>
        </w:tc>
        <w:tc>
          <w:tcPr>
            <w:tcW w:type="dxa" w:w="1440"/>
            <w:shd w:fill="FFDCE0" w:val="clear"/>
          </w:tcPr>
          <w:p>
            <w:r>
              <w:rPr>
                <w:b/>
                <w:sz w:val="17"/>
              </w:rPr>
              <w:t>1,576</w:t>
            </w:r>
          </w:p>
        </w:tc>
        <w:tc>
          <w:tcPr>
            <w:tcW w:type="dxa" w:w="1440"/>
            <w:shd w:fill="FFDCE0" w:val="clear"/>
          </w:tcPr>
          <w:p>
            <w:r>
              <w:rPr>
                <w:sz w:val="17"/>
              </w:rPr>
              <w:t>1,741</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1,378</w:t>
            </w:r>
          </w:p>
        </w:tc>
        <w:tc>
          <w:tcPr>
            <w:tcW w:type="dxa" w:w="1440"/>
            <w:shd w:fill="FFDCE0" w:val="clear"/>
          </w:tcPr>
          <w:p>
            <w:r>
              <w:rPr>
                <w:b/>
                <w:sz w:val="17"/>
              </w:rPr>
              <w:t>1,553</w:t>
            </w:r>
          </w:p>
        </w:tc>
        <w:tc>
          <w:tcPr>
            <w:tcW w:type="dxa" w:w="1440"/>
            <w:shd w:fill="FFDCE0" w:val="clear"/>
          </w:tcPr>
          <w:p>
            <w:r>
              <w:rPr>
                <w:sz w:val="17"/>
              </w:rPr>
              <w:t>1,729</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1,531</w:t>
            </w:r>
          </w:p>
        </w:tc>
        <w:tc>
          <w:tcPr>
            <w:tcW w:type="dxa" w:w="1440"/>
            <w:shd w:fill="FFDCE0" w:val="clear"/>
          </w:tcPr>
          <w:p>
            <w:r>
              <w:rPr>
                <w:sz w:val="17"/>
              </w:rPr>
              <w:t>1,716</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1,315</w:t>
            </w:r>
          </w:p>
        </w:tc>
        <w:tc>
          <w:tcPr>
            <w:tcW w:type="dxa" w:w="1440"/>
            <w:shd w:fill="FFDCE0" w:val="clear"/>
          </w:tcPr>
          <w:p>
            <w:r>
              <w:rPr>
                <w:b/>
                <w:sz w:val="17"/>
              </w:rPr>
              <w:t>1,509</w:t>
            </w:r>
          </w:p>
        </w:tc>
        <w:tc>
          <w:tcPr>
            <w:tcW w:type="dxa" w:w="1440"/>
            <w:shd w:fill="FFDCE0" w:val="clear"/>
          </w:tcPr>
          <w:p>
            <w:r>
              <w:rPr>
                <w:sz w:val="17"/>
              </w:rPr>
              <w:t>1,702</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1,286</w:t>
            </w:r>
          </w:p>
        </w:tc>
        <w:tc>
          <w:tcPr>
            <w:tcW w:type="dxa" w:w="1440"/>
            <w:shd w:fill="FFDCE0" w:val="clear"/>
          </w:tcPr>
          <w:p>
            <w:r>
              <w:rPr>
                <w:b/>
                <w:sz w:val="17"/>
              </w:rPr>
              <w:t>1,487</w:t>
            </w:r>
          </w:p>
        </w:tc>
        <w:tc>
          <w:tcPr>
            <w:tcW w:type="dxa" w:w="1440"/>
            <w:shd w:fill="FFDCE0" w:val="clear"/>
          </w:tcPr>
          <w:p>
            <w:r>
              <w:rPr>
                <w:sz w:val="17"/>
              </w:rPr>
              <w:t>1,688</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315,59 milliards FCFA, ce qui en fait une valeur de première importance sur la BRVM, reflétant sa position dominante sur le marché automobile ivoirien. Avec un BPA de 26 FCFA, chaque action ne génère qu'un bénéfice modeste, ce qui explique un PER de 67,2x, extrêmement élevé par rapport à la moyenne historique de la BRVM (8-12x). Les investisseurs paient donc une prime considérable pour chaque franc de bénéfice, anticipant une forte croissance future. Le P/B de 16,22x confirme cette valorisation exigeante, le marché valorisant l'actif net comptable plus de 16 fois au-dessus de sa valeur. Enfin, l'EV/EBITDA de 34,2x, bien au-delà du seuil de 15x jugé exigeant, indique que la valeur totale de l'entreprise (capitalisation plus dette nette) est très élevée par rapport à sa capacité opérationnelle de génération de cash. Ces ratios suggèrent une valorisation extrêmement optimiste qui laisse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 enregistré une progression totale de +8,41%, avec une légère baisse de -0,29% lors de la dernière séance, s'établissant à 1 740 FCFA. Le titre a évolué dans une fourchette de 1 325 à 1 825 FCFA, démontrant une amplitude de 500 FCFA. La moyenne de 1 609 FCFA est très proche de la médiane de 1 602 FCFA, indiquant une distribution relativement symétrique des prix, confirmée par un skewness de -0,369. L'écart-type de 104 FCFA (CV=6,5%) révèle une dispersion modérée autour de la moyenne. Le kurtosis de -0,189, proche de zéro, suggère une distribution mésokurtique avec un risque de pics limité. La volatilité annualisée de 48,8% est élevée (&gt;30%), indiquant un titre très actif et potentiellement risqué. La tendance générale est haussière, le cours se situant nettement au-dessus de sa moyenne sur la période, malgré une légère consolidation récente.</w:t>
      </w:r>
    </w:p>
    <w:p>
      <w:pPr>
        <w:spacing w:after="120" w:line="276" w:lineRule="auto" w:before="240"/>
      </w:pPr>
      <w:r>
        <w:rPr>
          <w:b/>
          <w:color w:val="003366"/>
          <w:sz w:val="24"/>
        </w:rPr>
        <w:t>**PARTIE 2 : ANALYSE TECHNIQUE DÉTAILLÉE**</w:t>
      </w:r>
    </w:p>
    <w:p>
      <w:pPr>
        <w:spacing w:after="120" w:line="276" w:lineRule="auto"/>
      </w:pPr>
      <w:r>
        <w:t>**Moyennes Mobiles** : Le cours actuel de 1 740 FCFA est supérieur à la MM20 (1 685,5 FCFA) et à la MM50 (1 675,7 FCFA), avec un écart de plus de 54 FCFA au-dessus de la MM20. Cette configuration haussière, où le prix évolue au-dessus des deux moyennes, confirme une dynamique positive à court et moyen terme. La décision d'achat est justifiée par cette structure de tendance favorable.</w:t>
      </w:r>
    </w:p>
    <w:p>
      <w:pPr>
        <w:spacing w:after="120" w:line="276" w:lineRule="auto"/>
      </w:pPr>
      <w:r>
        <w:t>**Bandes de Bollinger** : Le cours se positionne à 1 740 FCFA, entre la borne supérieure (1 779,75 FCFA) et la borne inférieure (1 591,25 FCFA), mais plus près de la borne supérieure. Cette position indique une pression acheteuse soutenue, sans toutefois atteindre des niveaux de surachat extrême. La décision neutre reflète un équilibre entre la tendance haussière et la proximité de la borne supérieure qui pourrait limiter la hausse à court terme.</w:t>
      </w:r>
    </w:p>
    <w:p>
      <w:pPr>
        <w:spacing w:after="120" w:line="276" w:lineRule="auto"/>
      </w:pPr>
      <w:r>
        <w:t>**MACD** : La valeur du MACD (22,545) est nettement supérieure à son signal (13,138), avec un écart positif de 9,4 points. Cette divergence positive indique un momentum haussier solide et croissant. La décision d'achat est justifiée par cette dynamique positive qui suggère une poursuite de la tendance haussière.</w:t>
      </w:r>
    </w:p>
    <w:p>
      <w:pPr>
        <w:spacing w:after="120" w:line="276" w:lineRule="auto"/>
      </w:pPr>
      <w:r>
        <w:t>**RSI** : Le RSI de 54,762 se situe dans la zone neutre (30-70), indiquant un équilibre entre les forces acheteuses et vendeuses. Cette valeur ne montre ni surachat ni survente, laissant une marge de manœuvre pour une évolution dans les deux sens. La décision neutre est cohérente avec cette position médiane.</w:t>
      </w:r>
    </w:p>
    <w:p>
      <w:pPr>
        <w:spacing w:after="120" w:line="276" w:lineRule="auto"/>
      </w:pPr>
      <w:r>
        <w:t>**Stochastique** : Le %K (84,848) et le %D (87,879) sont tous deux dans la zone de surachat (&gt;80), avec un %D supérieur au %K, indiquant un possible retournement baissier. La décision de vente est justifiée par cette configuration de surachat qui suggère une correction imminente.</w:t>
      </w:r>
    </w:p>
    <w:p>
      <w:pPr>
        <w:spacing w:after="120" w:line="276" w:lineRule="auto"/>
      </w:pPr>
      <w:r>
        <w:t>**Conclusion technique** : La convergence des indicateurs est mitigée, avec une majorité de signaux positifs (MM, MACD) mais des signaux de surachat sur le stochastique et une position neutre sur le RSI et les bandes de Bollinger. La tendance haussière reste dominante, mais une consolidation à court terme est probable.</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avec un résultat net de 4,693 milliards FCFA, en recul de -26,7%. Le ROE de 24,13% reste excellent (&gt;15%), démontrant une forte rentabilité des fonds propres, tandis que le ROA de 5,52% indique une utilisation efficace des actifs. La marge nette de 2,96% et la marge opérationnelle de 4,96% reflètent une pression sur la rentabilité, impactée par la baisse des volumes et des difficultés logistiques. Le BFR négatif de -3,482 milliards FCFA est favorable, indiquant une gestion efficace du cycle d'exploitation, avec un délai clients de 36,64 jours et un délai fournisseurs de 81,75 jours. Cependant, la trésorerie nette est négative (-624 millions FCFA) et le free cash flow est de -1,650 milliard FCFA, signalant des tensions de liquidité. Les rapports trimestriels 2025 montrent un redressement spectaculaire : le T1 2025 affiche un CA de 46,161 milliards FCFA (+14,5%) et un résultat net de 3,836 milliards FCFA (+279,7%), le S1 2025 atteint 91,182 milliards FCFA (+18,4%) avec un résultat net de 5,420 milliards FCFA (+152,7%), et le T3 2025 confirme avec 43,580 milliards FCFA (+18,3%) et un résultat net de 1,489 milliard FCFA (+38,1%). Sur la base de ces performances, on estime que l'exercice 2025 devrait dépasser largement les résultats de 2024, avec un CA potentiel de 180 milliards FCFA et un résultat net de 8-9 milliards FCFA. La société maintient sa position de leader avec 43,4% de part de marché, soutenue par les marques Suzuki et Toyota.</w:t>
      </w:r>
    </w:p>
    <w:p>
      <w:pPr>
        <w:spacing w:after="120" w:line="276" w:lineRule="auto" w:before="240"/>
      </w:pPr>
      <w:r>
        <w:rPr>
          <w:b/>
          <w:color w:val="003366"/>
          <w:sz w:val="24"/>
        </w:rPr>
        <w:t>**PARTIE 4 : CONCLUSION D'INVESTISSEMENT**</w:t>
      </w:r>
    </w:p>
    <w:p>
      <w:pPr>
        <w:spacing w:after="120" w:line="276" w:lineRule="auto"/>
      </w:pPr>
      <w:r>
        <w:t>La valorisation de CFAC est extrêmement exigeante (PER 67,2x, P/B 16,22x, EV/EBITDA 34,2x), indiquant une forte surévaluation par rapport aux fondamentaux actuels. Le comportement du cours montre une tendance haussière modérée (+8,41% sur 100 jours) avec une volatilité élevée (48,8%), mais des statistiques descriptives rassurantes (distribution symétrique, risque de pics limité). Les signaux techniques sont mitigés, avec une tendance haussière confirmée par les MM et le MACD, mais des signaux de surachat sur le stochastique. Les fondamentaux sont solides avec un ROE de 24,13% et un redressement spectaculaire en 2025 (CA +18,4% au S1, résultat net +152,7%), malgré une année 2024 difficile. Les prédictions IA prévoient une baisse progressive du cours sur les 10 prochains jours (de 1 696 à 1 600 FCFA), contredisant les signaux techniques haussiers. Cette divergence entre la valorisation élevée, les signaux techniques mitigés et les prédictions baissières suggère une prudence. **Recommandation finale : CONSERVER** avec un niveau de confiance Moyen et un risque global Élevé. L'horizon d'investissement optimal serait à moyen terme (3-12 mois), en attendant une correction du cours ou une confirmation durable de la croissance des bénéfices pour justifier la valorisation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6,065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+97.06%</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24.14% (Élevée) — μ=4,606 FCFA, σ=1,112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β=1.0223 (Neutre (suit le marché)) — Cov=0.000037, Var(idx)=0.000036, ρ=0.194,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5,836</w:t>
            </w:r>
          </w:p>
        </w:tc>
        <w:tc>
          <w:tcPr>
            <w:tcW w:type="dxa" w:w="1440"/>
            <w:shd w:fill="FFDCE0" w:val="clear"/>
          </w:tcPr>
          <w:p>
            <w:r>
              <w:rPr>
                <w:b/>
                <w:sz w:val="17"/>
              </w:rPr>
              <w:t>6,198</w:t>
            </w:r>
          </w:p>
        </w:tc>
        <w:tc>
          <w:tcPr>
            <w:tcW w:type="dxa" w:w="1440"/>
            <w:shd w:fill="FFDCE0" w:val="clear"/>
          </w:tcPr>
          <w:p>
            <w:r>
              <w:rPr>
                <w:sz w:val="17"/>
              </w:rPr>
              <w:t>6,559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5,259</w:t>
            </w:r>
          </w:p>
        </w:tc>
        <w:tc>
          <w:tcPr>
            <w:tcW w:type="dxa" w:w="1440"/>
            <w:shd w:fill="FFDCE0" w:val="clear"/>
          </w:tcPr>
          <w:p>
            <w:r>
              <w:rPr>
                <w:b/>
                <w:sz w:val="17"/>
              </w:rPr>
              <w:t>5,733</w:t>
            </w:r>
          </w:p>
        </w:tc>
        <w:tc>
          <w:tcPr>
            <w:tcW w:type="dxa" w:w="1440"/>
            <w:shd w:fill="FFDCE0" w:val="clear"/>
          </w:tcPr>
          <w:p>
            <w:r>
              <w:rPr>
                <w:sz w:val="17"/>
              </w:rPr>
              <w:t>6,206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4,766</w:t>
            </w:r>
          </w:p>
        </w:tc>
        <w:tc>
          <w:tcPr>
            <w:tcW w:type="dxa" w:w="1440"/>
            <w:shd w:fill="FFDCE0" w:val="clear"/>
          </w:tcPr>
          <w:p>
            <w:r>
              <w:rPr>
                <w:b/>
                <w:sz w:val="17"/>
              </w:rPr>
              <w:t>5,303</w:t>
            </w:r>
          </w:p>
        </w:tc>
        <w:tc>
          <w:tcPr>
            <w:tcW w:type="dxa" w:w="1440"/>
            <w:shd w:fill="FFDCE0" w:val="clear"/>
          </w:tcPr>
          <w:p>
            <w:r>
              <w:rPr>
                <w:sz w:val="17"/>
              </w:rPr>
              <w:t>5,839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4,332</w:t>
            </w:r>
          </w:p>
        </w:tc>
        <w:tc>
          <w:tcPr>
            <w:tcW w:type="dxa" w:w="1440"/>
            <w:shd w:fill="FFDCE0" w:val="clear"/>
          </w:tcPr>
          <w:p>
            <w:r>
              <w:rPr>
                <w:b/>
                <w:sz w:val="17"/>
              </w:rPr>
              <w:t>4,905</w:t>
            </w:r>
          </w:p>
        </w:tc>
        <w:tc>
          <w:tcPr>
            <w:tcW w:type="dxa" w:w="1440"/>
            <w:shd w:fill="FFDCE0" w:val="clear"/>
          </w:tcPr>
          <w:p>
            <w:r>
              <w:rPr>
                <w:sz w:val="17"/>
              </w:rPr>
              <w:t>5,478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3,945</w:t>
            </w:r>
          </w:p>
        </w:tc>
        <w:tc>
          <w:tcPr>
            <w:tcW w:type="dxa" w:w="1440"/>
            <w:shd w:fill="FFDCE0" w:val="clear"/>
          </w:tcPr>
          <w:p>
            <w:r>
              <w:rPr>
                <w:b/>
                <w:sz w:val="17"/>
              </w:rPr>
              <w:t>4,537</w:t>
            </w:r>
          </w:p>
        </w:tc>
        <w:tc>
          <w:tcPr>
            <w:tcW w:type="dxa" w:w="1440"/>
            <w:shd w:fill="FFDCE0" w:val="clear"/>
          </w:tcPr>
          <w:p>
            <w:r>
              <w:rPr>
                <w:sz w:val="17"/>
              </w:rPr>
              <w:t>5,130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3,597</w:t>
            </w:r>
          </w:p>
        </w:tc>
        <w:tc>
          <w:tcPr>
            <w:tcW w:type="dxa" w:w="1440"/>
            <w:shd w:fill="FFDCE0" w:val="clear"/>
          </w:tcPr>
          <w:p>
            <w:r>
              <w:rPr>
                <w:b/>
                <w:sz w:val="17"/>
              </w:rPr>
              <w:t>4,197</w:t>
            </w:r>
          </w:p>
        </w:tc>
        <w:tc>
          <w:tcPr>
            <w:tcW w:type="dxa" w:w="1440"/>
            <w:shd w:fill="FFDCE0" w:val="clear"/>
          </w:tcPr>
          <w:p>
            <w:r>
              <w:rPr>
                <w:sz w:val="17"/>
              </w:rPr>
              <w:t>4,797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3,282</w:t>
            </w:r>
          </w:p>
        </w:tc>
        <w:tc>
          <w:tcPr>
            <w:tcW w:type="dxa" w:w="1440"/>
            <w:shd w:fill="FFDCE0" w:val="clear"/>
          </w:tcPr>
          <w:p>
            <w:r>
              <w:rPr>
                <w:b/>
                <w:sz w:val="17"/>
              </w:rPr>
              <w:t>3,882</w:t>
            </w:r>
          </w:p>
        </w:tc>
        <w:tc>
          <w:tcPr>
            <w:tcW w:type="dxa" w:w="1440"/>
            <w:shd w:fill="FFDCE0" w:val="clear"/>
          </w:tcPr>
          <w:p>
            <w:r>
              <w:rPr>
                <w:sz w:val="17"/>
              </w:rPr>
              <w:t>4,482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2,998</w:t>
            </w:r>
          </w:p>
        </w:tc>
        <w:tc>
          <w:tcPr>
            <w:tcW w:type="dxa" w:w="1440"/>
            <w:shd w:fill="FFDCE0" w:val="clear"/>
          </w:tcPr>
          <w:p>
            <w:r>
              <w:rPr>
                <w:b/>
                <w:sz w:val="17"/>
              </w:rPr>
              <w:t>3,591</w:t>
            </w:r>
          </w:p>
        </w:tc>
        <w:tc>
          <w:tcPr>
            <w:tcW w:type="dxa" w:w="1440"/>
            <w:shd w:fill="FFDCE0" w:val="clear"/>
          </w:tcPr>
          <w:p>
            <w:r>
              <w:rPr>
                <w:sz w:val="17"/>
              </w:rPr>
              <w:t>4,184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2,758</w:t>
            </w:r>
          </w:p>
        </w:tc>
        <w:tc>
          <w:tcPr>
            <w:tcW w:type="dxa" w:w="1440"/>
            <w:shd w:fill="FFDCE0" w:val="clear"/>
          </w:tcPr>
          <w:p>
            <w:r>
              <w:rPr>
                <w:b/>
                <w:sz w:val="17"/>
              </w:rPr>
              <w:t>3,344</w:t>
            </w:r>
          </w:p>
        </w:tc>
        <w:tc>
          <w:tcPr>
            <w:tcW w:type="dxa" w:w="1440"/>
            <w:shd w:fill="FFDCE0" w:val="clear"/>
          </w:tcPr>
          <w:p>
            <w:r>
              <w:rPr>
                <w:sz w:val="17"/>
              </w:rPr>
              <w:t>3,930</w:t>
            </w:r>
          </w:p>
        </w:tc>
        <w:tc>
          <w:tcPr>
            <w:tcW w:type="dxa" w:w="1440"/>
            <w:shd w:fill="FFDCE0" w:val="clear"/>
          </w:tcPr>
          <w:p>
            <w:r>
              <w:rPr>
                <w:b/>
                <w:color w:val="C00000"/>
                <w:sz w:val="17"/>
              </w:rPr>
              <w:t>-50.1%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2,661</w:t>
            </w:r>
          </w:p>
        </w:tc>
        <w:tc>
          <w:tcPr>
            <w:tcW w:type="dxa" w:w="1440"/>
            <w:shd w:fill="FFDCE0" w:val="clear"/>
          </w:tcPr>
          <w:p>
            <w:r>
              <w:rPr>
                <w:b/>
                <w:sz w:val="17"/>
              </w:rPr>
              <w:t>3,264</w:t>
            </w:r>
          </w:p>
        </w:tc>
        <w:tc>
          <w:tcPr>
            <w:tcW w:type="dxa" w:w="1440"/>
            <w:shd w:fill="FFDCE0" w:val="clear"/>
          </w:tcPr>
          <w:p>
            <w:r>
              <w:rPr>
                <w:sz w:val="17"/>
              </w:rPr>
              <w:t>3,867</w:t>
            </w:r>
          </w:p>
        </w:tc>
        <w:tc>
          <w:tcPr>
            <w:tcW w:type="dxa" w:w="1440"/>
            <w:shd w:fill="FFDCE0" w:val="clear"/>
          </w:tcPr>
          <w:p>
            <w:r>
              <w:rPr>
                <w:b/>
                <w:color w:val="C00000"/>
                <w:sz w:val="17"/>
              </w:rPr>
              <w:t>-51.3%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375,20 milliards FCFA, ce qui en fait une valeur significative sur le compartiment A de la BRVM. Avec un BPA de 234 FCFA, le PER de 28,6x est très supérieur à la moyenne historique de la BRVM (8-12x), indiquant que le marché intègre déjà des attentes de croissance soutenue. Le P/B de 10,43x confirme cette prime, le marché valorisant l'actif net à plus de dix fois sa valeur comptable, un niveau extrêmement exigeant. Enfin, l'EV/EBITDA de 15,2x, supérieur au seuil de 15x, témoigne d'une valorisation qui ne laisse que très peu de marge d'erreur. Ces ratios suggèrent que le titre est valorisé comme une valeur de croissance, et non comme une simple entreprise de services publics.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+97,06%, passant d'un plus bas de 3 000 FCFA à un plus haut de 7 190 FCFA, avec un cours actuel de 6 700 FCFA. La variation de +0,30% sur la dernière séance suggère une stabilisation après une forte ascension. La moyenne du cours sur la période (4 606 FCFA) est inférieure à la médiane (4 995 FCFA), ce qui indique une distribution légèrement asymétrique, avec une concentration des prix vers le haut de la fourchette. L'écart-type de 1 117 FCFA (CV de 24,3%) montre une dispersion modérée, tandis que le kurtosis de -0,750 (mésokurtique) et le skewness de 0,111 indiquent une distribution proche de la normale, sans risque de pics extrêmes. La volatilité annualisée de 50,1% classe le titre dans la catégorie à très haute volatilité, reflétant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6 700 FCFA se situe nettement au-dessus de la MM20 (5 870,75 FCFA) et de la MM50 (5 479,8 FCFA), confirmant une tendance haussière solide. La configuration des moyennes mobiles, avec la MM20 au-dessus de la MM50, génère un signal d'achat cohérent avec la dynamique positive du titre.</w:t>
      </w:r>
    </w:p>
    <w:p>
      <w:pPr>
        <w:spacing w:after="120" w:line="276" w:lineRule="auto"/>
      </w:pPr>
      <w:r>
        <w:t>**Bandes de Bollinger** : Le prix évolue entre la borne supérieure (7 560,886 FCFA) et la borne inférieure (4 180,614 FCFA), mais se rapproche de la borne haute, indiquant une pression acheteuse soutenue. La largeur des bandes reflète la volatilité élevée du titre. La décision "Neutre" suggère que le marché attend une confirmation directionnelle avant de poursuivre.</w:t>
      </w:r>
    </w:p>
    <w:p>
      <w:pPr>
        <w:spacing w:after="120" w:line="276" w:lineRule="auto"/>
      </w:pPr>
      <w:r>
        <w:t>**MACD** : Le MACD (467,478) est nettement supérieur à son signal (370,687), avec un écart positif important. Cette configuration indique un momentum haussier puissant et confirme la tendance ascendante. Le signal d'achat est donc justifié par la dynamique positive des flux.</w:t>
      </w:r>
    </w:p>
    <w:p>
      <w:pPr>
        <w:spacing w:after="120" w:line="276" w:lineRule="auto"/>
      </w:pPr>
      <w:r>
        <w:t>**RSI** : À 79,577, le RSI est entré en zone de surachat (au-dessus de 70). Ce niveau signale une possible correction à court terme, car le titre est techniquement surévalué par rapport à sa dynamique récente. La décision de vente est donc prudente, mais ne remet pas en cause la tendance de fond.</w:t>
      </w:r>
    </w:p>
    <w:p>
      <w:pPr>
        <w:spacing w:after="120" w:line="276" w:lineRule="auto"/>
      </w:pPr>
      <w:r>
        <w:t>**Stochastique** : Le %K (75,98) et le %D (80,811) sont proches, avec un %D légèrement supérieur, indiquant une possible consolidation. La décision "Neutre" reflète l'absence de croisement directionnel clair, mais le niveau élevé des deux indicateurs suggère une vigilance sur un éventuel retournement.</w:t>
      </w:r>
    </w:p>
    <w:p>
      <w:pPr>
        <w:spacing w:after="120" w:line="276" w:lineRule="auto"/>
      </w:pPr>
      <w:r>
        <w:t>**Conclusion technique** : Les indicateurs de tendance (MM, MACD) sont résolument haussiers, mais les oscillateurs (RSI, Stochastique) signalent une surachat et un essoufflement possible. La convergence des signaux de tendance avec les signaux de surachat suggère une poursuite de la hausse à moyen terme, mais avec un risque accru de consolidation ou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302,320 milliards FCFA, en hausse de 14,8% par rapport à 2024 (263,294 milliards FCFA), avec un résultat net de 13,127 milliards FCFA, en progression de 24,4% (source : rapport annuel 2025, analysé le 21 mai 2026). La marge nette s'établit à 4,34%, tandis que le ROE atteint 36,5%, un niveau excellent pour le secteur, et le ROA est de 0,65%. En tant qu'entreprise non bancaire, l'analyse se concentre sur les délais clients (164 jours, un niveau élevé qui constitue un risque de trésorerie), le BFR négatif de -90,244 milliards FCFA (favorable), et un endettement total de 220,424 milliards FCFA avec une capacité de remboursement de 7,64 ans. Le rapport du 1er semestre 2025 (publié en 2025) montre un CA de 134,923 milliards FCFA (+18,85% vs S1 2024) et un résultat net de 5,096 milliards FCFA (+13,4%), confirmant la dynamique de croissance. Sur la base de ce semestre, on estime que l'exercice 2026 pourrait voir un CA dépasser 320 milliards FCFA et un résultat net supérieur à 14 milliards FCFA, si la tendance se maintient. La solidité financière est toutefois tempérée par une dépendance financière de 98,2% et un ratio d'endettement de 612,9%, mais la solvabilité générale reste positive (101,8%). La recommandation fondamentale est de **CONSERVER**, compte tenu de la croissance solide mais d'une structure financière fragile et d'un risque de crédit client élevé.</w:t>
      </w:r>
    </w:p>
    <w:p>
      <w:pPr>
        <w:spacing w:after="120" w:line="276" w:lineRule="auto"/>
      </w:pPr>
      <w:r>
        <w:t>---</w:t>
      </w:r>
    </w:p>
    <w:p>
      <w:pPr>
        <w:spacing w:after="120" w:line="276" w:lineRule="auto"/>
      </w:pPr>
      <w:r>
        <w:t>### PARTIE 4 : CONCLUSION D'INVESTISSEMENT</w:t>
      </w:r>
    </w:p>
    <w:p>
      <w:pPr>
        <w:spacing w:after="120" w:line="276" w:lineRule="auto"/>
      </w:pPr>
      <w:r>
        <w:t>La valorisation actuelle de la CIEC (PER 28,6x, P/B 10,43x, EV/EBITDA 15,2x) est extrêmement exigeante, indiquant une surévaluation relative par rapport aux fondamentaux historiques du marché. Le comportement du cours, avec une hausse de +97% en 100 jours et une volatilité de 50,1%, reflète un enthousiasme spéculatif marqué, tandis que les statistiques (kurtosis, skewness) montrent une distribution normale sans risque de pics extrêmes. Les signaux techniques sont mitigés : les moyennes mobiles et le MACD sont haussiers, mais le RSI en surachat et le stochastique neutre suggèrent une consolidation imminente. Les fondamentaux sont solides avec une croissance de 14,8% du CA et un ROE de 36,5%, mais la structure financière est fragile. Les prédictions IA pour les 10 prochains jours (de 6 198 FCFA à 4 537 FCFA) indiquent une correction brutale de plus de 30%, contredisant fortement la tendance actuelle. En synthèse, la convergence entre la surévaluation, les signaux techniques de surachat et les prédictions IA baissières conduit à une recommandation de **VENTE**, avec un niveau de confiance **Moyen** et un risque global **Élevé**. L'horizon d'investissement optimal serait le **court terme (&lt;3 mois)** pour les investisseurs cherchant à sécuriser leurs gains, tandis que les investisseurs à long terme devraient attendre une correction avant d'entrer.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927.33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3,802 titres</w:t>
            </w:r>
          </w:p>
        </w:tc>
        <w:tc>
          <w:tcPr>
            <w:tcW w:type="dxa" w:w="2268"/>
            <w:shd w:fill="FFF2CC" w:val="clear"/>
          </w:tcPr>
          <w:p>
            <w:r>
              <w:rPr>
                <w:b/>
                <w:color w:val="503200"/>
                <w:sz w:val="16"/>
              </w:rPr>
              <w:t xml:space="preserve">Cours actuel : </w:t>
            </w:r>
            <w:r>
              <w:rPr>
                <w:color w:val="000000"/>
                <w:sz w:val="17"/>
              </w:rPr>
              <w:t>16,845 FCFA</w:t>
            </w:r>
          </w:p>
          <w:p>
            <w:r>
              <w:rPr>
                <w:b/>
                <w:color w:val="503200"/>
                <w:sz w:val="16"/>
              </w:rPr>
              <w:t xml:space="preserve">Var. 100 jours : </w:t>
            </w:r>
            <w:r>
              <w:rPr>
                <w:b/>
                <w:color w:val="007800"/>
                <w:sz w:val="17"/>
              </w:rPr>
              <w:t>+3.03%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μ=16,332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β=0.3366 (Défensif) — Cov=0.000012, Var(idx)=0.000036, ρ=0.116,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16,366</w:t>
            </w:r>
          </w:p>
        </w:tc>
        <w:tc>
          <w:tcPr>
            <w:tcW w:type="dxa" w:w="1440"/>
            <w:shd w:fill="FAFAFA" w:val="clear"/>
          </w:tcPr>
          <w:p>
            <w:r>
              <w:rPr>
                <w:b/>
                <w:sz w:val="17"/>
              </w:rPr>
              <w:t>16,742</w:t>
            </w:r>
          </w:p>
        </w:tc>
        <w:tc>
          <w:tcPr>
            <w:tcW w:type="dxa" w:w="1440"/>
            <w:shd w:fill="FAFAFA" w:val="clear"/>
          </w:tcPr>
          <w:p>
            <w:r>
              <w:rPr>
                <w:sz w:val="17"/>
              </w:rPr>
              <w:t>17,119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16,195</w:t>
            </w:r>
          </w:p>
        </w:tc>
        <w:tc>
          <w:tcPr>
            <w:tcW w:type="dxa" w:w="1440"/>
            <w:shd w:fill="FAFAFA" w:val="clear"/>
          </w:tcPr>
          <w:p>
            <w:r>
              <w:rPr>
                <w:b/>
                <w:sz w:val="17"/>
              </w:rPr>
              <w:t>16,726</w:t>
            </w:r>
          </w:p>
        </w:tc>
        <w:tc>
          <w:tcPr>
            <w:tcW w:type="dxa" w:w="1440"/>
            <w:shd w:fill="FAFAFA" w:val="clear"/>
          </w:tcPr>
          <w:p>
            <w:r>
              <w:rPr>
                <w:sz w:val="17"/>
              </w:rPr>
              <w:t>17,258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16,054</w:t>
            </w:r>
          </w:p>
        </w:tc>
        <w:tc>
          <w:tcPr>
            <w:tcW w:type="dxa" w:w="1440"/>
            <w:shd w:fill="FAFAFA" w:val="clear"/>
          </w:tcPr>
          <w:p>
            <w:r>
              <w:rPr>
                <w:b/>
                <w:sz w:val="17"/>
              </w:rPr>
              <w:t>16,704</w:t>
            </w:r>
          </w:p>
        </w:tc>
        <w:tc>
          <w:tcPr>
            <w:tcW w:type="dxa" w:w="1440"/>
            <w:shd w:fill="FAFAFA" w:val="clear"/>
          </w:tcPr>
          <w:p>
            <w:r>
              <w:rPr>
                <w:sz w:val="17"/>
              </w:rPr>
              <w:t>17,355</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15,934</w:t>
            </w:r>
          </w:p>
        </w:tc>
        <w:tc>
          <w:tcPr>
            <w:tcW w:type="dxa" w:w="1440"/>
            <w:shd w:fill="FAFAFA" w:val="clear"/>
          </w:tcPr>
          <w:p>
            <w:r>
              <w:rPr>
                <w:b/>
                <w:sz w:val="17"/>
              </w:rPr>
              <w:t>16,684</w:t>
            </w:r>
          </w:p>
        </w:tc>
        <w:tc>
          <w:tcPr>
            <w:tcW w:type="dxa" w:w="1440"/>
            <w:shd w:fill="FAFAFA" w:val="clear"/>
          </w:tcPr>
          <w:p>
            <w:r>
              <w:rPr>
                <w:sz w:val="17"/>
              </w:rPr>
              <w:t>17,434</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15,828</w:t>
            </w:r>
          </w:p>
        </w:tc>
        <w:tc>
          <w:tcPr>
            <w:tcW w:type="dxa" w:w="1440"/>
            <w:shd w:fill="FAFAFA" w:val="clear"/>
          </w:tcPr>
          <w:p>
            <w:r>
              <w:rPr>
                <w:b/>
                <w:sz w:val="17"/>
              </w:rPr>
              <w:t>16,666</w:t>
            </w:r>
          </w:p>
        </w:tc>
        <w:tc>
          <w:tcPr>
            <w:tcW w:type="dxa" w:w="1440"/>
            <w:shd w:fill="FAFAFA" w:val="clear"/>
          </w:tcPr>
          <w:p>
            <w:r>
              <w:rPr>
                <w:sz w:val="17"/>
              </w:rPr>
              <w:t>17,503</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15,731</w:t>
            </w:r>
          </w:p>
        </w:tc>
        <w:tc>
          <w:tcPr>
            <w:tcW w:type="dxa" w:w="1440"/>
            <w:shd w:fill="FAFAFA" w:val="clear"/>
          </w:tcPr>
          <w:p>
            <w:r>
              <w:rPr>
                <w:b/>
                <w:sz w:val="17"/>
              </w:rPr>
              <w:t>16,648</w:t>
            </w:r>
          </w:p>
        </w:tc>
        <w:tc>
          <w:tcPr>
            <w:tcW w:type="dxa" w:w="1440"/>
            <w:shd w:fill="FAFAFA" w:val="clear"/>
          </w:tcPr>
          <w:p>
            <w:r>
              <w:rPr>
                <w:sz w:val="17"/>
              </w:rPr>
              <w:t>17,564</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15,641</w:t>
            </w:r>
          </w:p>
        </w:tc>
        <w:tc>
          <w:tcPr>
            <w:tcW w:type="dxa" w:w="1440"/>
            <w:shd w:fill="FAFAFA" w:val="clear"/>
          </w:tcPr>
          <w:p>
            <w:r>
              <w:rPr>
                <w:b/>
                <w:sz w:val="17"/>
              </w:rPr>
              <w:t>16,630</w:t>
            </w:r>
          </w:p>
        </w:tc>
        <w:tc>
          <w:tcPr>
            <w:tcW w:type="dxa" w:w="1440"/>
            <w:shd w:fill="FAFAFA" w:val="clear"/>
          </w:tcPr>
          <w:p>
            <w:r>
              <w:rPr>
                <w:sz w:val="17"/>
              </w:rPr>
              <w:t>17,619</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15,556</w:t>
            </w:r>
          </w:p>
        </w:tc>
        <w:tc>
          <w:tcPr>
            <w:tcW w:type="dxa" w:w="1440"/>
            <w:shd w:fill="FAFAFA" w:val="clear"/>
          </w:tcPr>
          <w:p>
            <w:r>
              <w:rPr>
                <w:b/>
                <w:sz w:val="17"/>
              </w:rPr>
              <w:t>16,612</w:t>
            </w:r>
          </w:p>
        </w:tc>
        <w:tc>
          <w:tcPr>
            <w:tcW w:type="dxa" w:w="1440"/>
            <w:shd w:fill="FAFAFA" w:val="clear"/>
          </w:tcPr>
          <w:p>
            <w:r>
              <w:rPr>
                <w:sz w:val="17"/>
              </w:rPr>
              <w:t>17,668</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15,475</w:t>
            </w:r>
          </w:p>
        </w:tc>
        <w:tc>
          <w:tcPr>
            <w:tcW w:type="dxa" w:w="1440"/>
            <w:shd w:fill="FAFAFA" w:val="clear"/>
          </w:tcPr>
          <w:p>
            <w:r>
              <w:rPr>
                <w:b/>
                <w:sz w:val="17"/>
              </w:rPr>
              <w:t>16,594</w:t>
            </w:r>
          </w:p>
        </w:tc>
        <w:tc>
          <w:tcPr>
            <w:tcW w:type="dxa" w:w="1440"/>
            <w:shd w:fill="FAFAFA" w:val="clear"/>
          </w:tcPr>
          <w:p>
            <w:r>
              <w:rPr>
                <w:sz w:val="17"/>
              </w:rPr>
              <w:t>17,713</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15,398</w:t>
            </w:r>
          </w:p>
        </w:tc>
        <w:tc>
          <w:tcPr>
            <w:tcW w:type="dxa" w:w="1440"/>
            <w:shd w:fill="FAFAFA" w:val="clear"/>
          </w:tcPr>
          <w:p>
            <w:r>
              <w:rPr>
                <w:b/>
                <w:sz w:val="17"/>
              </w:rPr>
              <w:t>16,577</w:t>
            </w:r>
          </w:p>
        </w:tc>
        <w:tc>
          <w:tcPr>
            <w:tcW w:type="dxa" w:w="1440"/>
            <w:shd w:fill="FAFAFA" w:val="clear"/>
          </w:tcPr>
          <w:p>
            <w:r>
              <w:rPr>
                <w:sz w:val="17"/>
              </w:rPr>
              <w:t>17,755</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927,33 milliards FCFA, ce qui en fait l'une des plus importantes capitalisations de la BRVM, reflétant la position dominante d'Ecobank Côte d'Ivoire dans le paysage bancaire de l'UEMOA. Avec un BPA de 1 153 FCFA, chaque action génère un bénéfice substantiel, mais le PER de 14,6x indique que les investisseurs paient une prime de 20 à 80% par rapport à la moyenne historique du marché BRVM (8-12x). Cette valorisation est confortée par un P/B de 4,24x, signifiant que le marché valorise l'actif net comptable plus de quatre fois au-dessus de sa valeur, traduisant une forte prime de croissance et de qualité. L'EV/EBITDA de 14,2x, bien que dans la fourchette haute (10-15x), reste cohérent avec une banque affichant une rentabilité opérationnelle supérieure à la moyenne sectorielle. Ces ratios combinés suggèrent une valorisation exigeante mais justifiée par la qualité des fondamentaux et les perspectives de croissance soutenue.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 enregistré une variation totale de +3,03%, avec une dernière séance stable (0,00%), démontrant une consolidation après une période de progression. Le cours a évolué dans un range de trading de 1 750 FCFA, entre un plus bas de 15 520 FCFA et un plus haut de 17 270 FCFA, indiquant une amplitude modérée de 11,3%. La moyenne de 16 332 FCFA et la médiane de 16 300 FCFA sont quasi identiques, suggérant une distribution symétrique des prix, confirmée par un skewness de 0,201. L'écart-type de 371 FCFA avec un coefficient de variation de 2,3% révèle une dispersion très faible, témoignant d'une stabilité remarquable du cours. Le kurtosis de -0,263 (mésokurtique) indique l'absence de mouvements extrêmes ou de pics de volatilité, avec une distribution proche de la normale. La volatilité annualisée de 27,6% positionne le titre dans la catégorie modérée (15-30%), ce qui est attractif pour les investisseurs recherchant un équilibre entre rendement et risque.</w:t>
      </w:r>
    </w:p>
    <w:p>
      <w:pPr>
        <w:spacing w:after="120" w:line="276" w:lineRule="auto" w:before="240"/>
      </w:pPr>
      <w:r>
        <w:rPr>
          <w:b/>
          <w:color w:val="003366"/>
          <w:sz w:val="24"/>
        </w:rPr>
        <w:t>**PARTIE 2 : ANALYSE TECHNIQUE DÉTAILLÉE**</w:t>
      </w:r>
    </w:p>
    <w:p>
      <w:pPr>
        <w:spacing w:after="120" w:line="276" w:lineRule="auto"/>
      </w:pPr>
      <w:r>
        <w:t>**Moyennes Mobiles** : Le cours actuel de 16 845 FCFA se situe au-dessus de la MM20 (16 371,25) et de la MM50 (16 420,9), indiquant une dynamique haussière à court et moyen terme. Cependant, la décision de "Vente" suggère que l'écart entre le prix et les moyennes pourrait être excessif, signalant un potentiel de correction technique. La configuration des moyennes mobiles, avec le prix au-dessus des deux, confirme une tendance positive mais potentiellement surachetée à court terme.</w:t>
      </w:r>
    </w:p>
    <w:p>
      <w:pPr>
        <w:spacing w:after="120" w:line="276" w:lineRule="auto"/>
      </w:pPr>
      <w:r>
        <w:t>**Bandes de Bollinger** : Le prix évolue à 16 845 FCFA, proche de la borne supérieure (17 094,5) et nettement au-dessus de la borne inférieure (15 648), indiquant une pression acheteuse soutenue. La décision "Neutre" reflète que le prix, bien que dans la partie haute des bandes, n'a pas encore atteint des niveaux extrêmes de surachat. La largeur des bandes suggère une volatilité modérée, cohérente avec la volatilité annualisée de 27,6%.</w:t>
      </w:r>
    </w:p>
    <w:p>
      <w:pPr>
        <w:spacing w:after="120" w:line="276" w:lineRule="auto"/>
      </w:pPr>
      <w:r>
        <w:t>**MACD** : La valeur positive de 157,7 avec un signal à 81,3 démontre un momentum haussier clair et soutenu. L'écart positif entre le MACD et son signal (76,4 points) indique une accélération de la dynamique haussière, justifiant la décision "Achat". Cette configuration suggère que la tendance haussière pourrait se poursuivre à court terme, avec une force croissante du mouvement.</w:t>
      </w:r>
    </w:p>
    <w:p>
      <w:pPr>
        <w:spacing w:after="120" w:line="276" w:lineRule="auto"/>
      </w:pPr>
      <w:r>
        <w:t>**RSI** : À 64,7, le RSI se positionne dans la zone neutre-haute (30-70), indiquant une pression acheteuse significative sans atteindre les niveaux de surachat (&gt;70). La décision "Neutre" est cohérente avec cette lecture, suggérant que le titre conserve un potentiel de hausse sans risque immédiat de retournement. Cette valeur reflète un équilibre entre momentum positif et prudence technique.</w:t>
      </w:r>
    </w:p>
    <w:p>
      <w:pPr>
        <w:spacing w:after="120" w:line="276" w:lineRule="auto"/>
      </w:pPr>
      <w:r>
        <w:t>**Stochastique** : Avec %K à 95,5 et %D à 90,0, le stochastique est en zone de surachat extrême (&gt;80), signalant une possible correction à court terme. La décision "Vente" est justifiée par cette configuration, bien que le %K reste au-dessus du %D, indiquant que la tendance haussière n'est pas encore inversée. Cette divergence entre la force du momentum (MACD positif) et le surachat technique suggère une prudence accrue.</w:t>
      </w:r>
    </w:p>
    <w:p>
      <w:pPr>
        <w:spacing w:after="120" w:line="276" w:lineRule="auto"/>
      </w:pPr>
      <w:r>
        <w:t>**Conclusion technique** : La convergence des indicateurs montre un titre en tendance haussière soutenue, avec un MACD positif et un prix au-dessus des moyennes mobiles. Cependant, le stochastique en surachat extrême et la proximité de la borne supérieure de Bollinger signalent un risque de consolidation à court terme. La divergence entre les signaux d'achat (MACD) et de vente (Stochastique, MM) suggère une prudence, avec un potentiel de poursuite haussière mais un risque accru de correction technique.</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exceptionnels avec un Produit Net Bancaire de 132,7 milliards FCFA, en croissance de 8,5% par rapport à 2024 (122,3 milliards FCFA, +11% vs 2023). Le résultat net atteint 63,5 milliards FCFA en 2025, contre 57,5 milliards en 2024 (+19,6%), démontrant une progression soutenue de la rentabilité. Les ratios de rentabilité sont remarquables : ROE de 29,0% et ROA de 3,1%, tous deux largement supérieurs aux seuils d'excellence (&gt;15% et &gt;1% respectivement). Le coefficient d'exploitation de 42,9% témoigne d'une efficacité opérationnelle exceptionnelle, bien en dessous du seuil de 60% considéré comme sain. Le coût du risque de 1,36% reste modéré, reflétant une qualité de portefeuille maîtrisée. La structure financière montre une transformation bancaire équilibrée avec des dépôts clientèle de 1 626 milliards FCFA contre des créances de 1 051 milliards FCFA (ratio crédits/dépôts de 64,6%). Les rapports trimestriels 2025 confirment cette dynamique : T1 2025 (PNB 29,7 Mds, +5,9%), S1 2025 (PNB 62,8 Mds, +6,9%, résultat net 28,9 Mds, +13,8%), T3 2025 (PNB 96,4 Mds, +11,3%, résultat net 44,4 Mds, +15,4%). Sur la base de ces tendances, on estime que l'exercice 2026 devrait maintenir une croissance à deux chiffres, avec un PNB projeté autour de 145-150 milliards FCFA et un résultat net entre 68-72 milliards FCFA, soutenus par la forte collecte de dépôts (+33,2% au T3 2025) et l'amélioration continue du coût du risque. La banque propose un dividende de 888 FCFA par action pour 2025 (taux de distribution de 77%), témoignant d'une politique actionnariale généreuse.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différents signaux. La valorisation (PER 14,6x, P/B 4,24x) est exigeante mais justifiée par la qualité supérieure des fondamentaux, avec un ROE de 29% et une croissance soutenue du PNB. Le comportement du cours (tendance haussière de +3,03% sur 100 jours, volatilité modérée de 27,6%, distribution symétrique) est favorable, démontrant une stabilité appréciable. Les signaux techniques sont mitigés : le MACD positif et le prix au-dessus des moyennes mobiles indiquent une dynamique haussière, mais le stochastique en surachat extrême (95,5%) suggère un risque de correction à court terme. Les fondamentaux sont excellents, avec des ratios de rentabilité parmi les meilleurs de la BRVM et une politique de dividende généreuse (888 FCFA/action, rendement de 5,3%). Les prédictions IA (16 742 à 16 666 FCFA sur J+1 à J+10) indiquent une légère consolidation de -0,6% à -1,1%, cohérente avec les signaux techniques de surachat. **Recommandation : ACHAT** pour les investisseurs à moyen-long terme (3-12 mois), avec un niveau de confiance **Élevé** et un risque global **Moyen**. La convergence entre la solidité fondamentale, la tendance haussière du cours et les perspectives de croissance justifie cette position, malgré une valorisation exigeante et des signaux techniques de court terme mitigés. L'horizon optimal est de 6-12 mois pour bénéficier pleinement de la croissance projetée et du rendement du dividende.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1,451,578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+96.97%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38.19% (Élevée) — μ=45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β=2.6943 (Très agressif) — Cov=0.000098, Var(idx)=0.000036, ρ=0.394,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1,451,578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σ_j=4.12%/j (Modérée) — Vol. annualisée≈65.4%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25</w:t>
            </w:r>
          </w:p>
        </w:tc>
        <w:tc>
          <w:tcPr>
            <w:tcW w:type="dxa" w:w="1440"/>
            <w:shd w:fill="FFDCE0" w:val="clear"/>
          </w:tcPr>
          <w:p>
            <w:r>
              <w:rPr>
                <w:b/>
                <w:sz w:val="17"/>
              </w:rPr>
              <w:t>32</w:t>
            </w:r>
          </w:p>
        </w:tc>
        <w:tc>
          <w:tcPr>
            <w:tcW w:type="dxa" w:w="1440"/>
            <w:shd w:fill="FFDCE0" w:val="clear"/>
          </w:tcPr>
          <w:p>
            <w:r>
              <w:rPr>
                <w:sz w:val="17"/>
              </w:rPr>
              <w:t>39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23</w:t>
            </w:r>
          </w:p>
        </w:tc>
        <w:tc>
          <w:tcPr>
            <w:tcW w:type="dxa" w:w="1440"/>
            <w:shd w:fill="FFDCE0" w:val="clear"/>
          </w:tcPr>
          <w:p>
            <w:r>
              <w:rPr>
                <w:b/>
                <w:sz w:val="17"/>
              </w:rPr>
              <w:t>30</w:t>
            </w:r>
          </w:p>
        </w:tc>
        <w:tc>
          <w:tcPr>
            <w:tcW w:type="dxa" w:w="1440"/>
            <w:shd w:fill="FFDCE0" w:val="clear"/>
          </w:tcPr>
          <w:p>
            <w:r>
              <w:rPr>
                <w:sz w:val="17"/>
              </w:rPr>
              <w:t>37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1 175,47 milliards FCFA, ce qui en fait l'une des plus importantes valeurs de la BRVM, reflétant le statut de leader panafricain du groupe. Avec un BPA de 19 FCFA, le titre se négocie à un PER de 3,4x, très inférieur à la moyenne historique de la BRVM (8-12x), signalant une sous-évaluation significative du marché par rapport aux bénéfices générés. Le P/B de 0,74x confirme cette décote, le marché valorisant le titre en dessous de sa valeur comptable, une situation qui suggère une marge de sécurité substantielle pour l'investisseur. Enfin, l'EV/EBITDA de 4,9x, inférieur au seuil de 5x, indique que la valeur totale de l'entreprise reste très raisonnable au regard de sa capacité opérationnelle à générer des flux. Ces ratios, pris ensemble, dressent le portrait d'une valeur fondamentalement attrayante, offrant un potentiel de revalorisation important.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connu une progression spectaculaire de +96,97%, passant d'un plus bas de 26 FCFA à un plus haut de 78 FCFA, bien que la dernière séance affiche un repli de -2,99% à 65 FCFA. Cette tendance haussière marquée est toutefois nuancée par les statistiques descriptives : la moyenne de 45 FCFA est nettement inférieure au cours actuel, et la médiane de 34 FCFA, bien plus basse, confirme une distribution fortement asymétrique. Le skewness positif de 0,506 indique que la majorité des séances se sont déroulées sous la moyenne, avec des pics de hausse récents qui tirent la moyenne vers le haut. L'écart-type de 17 FCFA (CV=38,4%) révèle une dispersion importante des prix, tandis que le kurtosis négatif (-1,537) suggère une distribution aplatie, avec moins de valeurs extrêmes que la normale. La volatilité annualisée de 65,4% classe le titre comme extrêmement volatil, un niveau très élevé qui implique un risque substantiel mais aussi un fort potentiel de rendement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65 FCFA se positionne sous la MM20 (66,45 FCFA) mais au-dessus de la MM50 (59,76 FCFA). Cette configuration, où le prix reste supérieur à la moyenne à long terme tout en corrigeant sous la moyenne à court terme, suggère une consolidation après une forte hausse. La décision d'« Achat » est justifiée par la tendance de fond qui demeure positive, la MM50 servant de support dynamique.</w:t>
      </w:r>
    </w:p>
    <w:p>
      <w:pPr>
        <w:spacing w:after="120" w:line="276" w:lineRule="auto"/>
      </w:pPr>
      <w:r>
        <w:t>**Bandes de Bollinger** : Le prix se situe à 65 FCFA, entre la borne supérieure (69,594 FCFA) et la borne inférieure (63,306 FCFA), proche du milieu de la bande. Cette position neutre indique une volatilité modérée après la récente expansion des bandes. La décision « Neutre » est cohérente, le marché semblant reprendre son souffle avant une nouvelle direction.</w:t>
      </w:r>
    </w:p>
    <w:p>
      <w:pPr>
        <w:spacing w:after="120" w:line="276" w:lineRule="auto"/>
      </w:pPr>
      <w:r>
        <w:t>**MACD** : La valeur du MACD (1,273) est inférieure à son signal (2,088), indiquant un momentum baissier à court terme. Cette divergence négative, après une période de forte progression, signale un essoufflement de la dynamique haussière. La décision « Vente » est donc émise, suggérant une possible correction technique dans les prochaines séances.</w:t>
      </w:r>
    </w:p>
    <w:p>
      <w:pPr>
        <w:spacing w:after="120" w:line="276" w:lineRule="auto"/>
      </w:pPr>
      <w:r>
        <w:t>**RSI** : À 50,0, le RSI se situe exactement à la neutralité, indiquant un équilibre entre les forces acheteuses et vendeuses. Cette valeur, loin des zones de surachat (&gt;70) ou de survente (&lt;30), suggère que le titre n'est ni survendu ni suracheté, laissant place à une évolution dans les deux sens. La décision « Neutre » est donc appropriée.</w:t>
      </w:r>
    </w:p>
    <w:p>
      <w:pPr>
        <w:spacing w:after="120" w:line="276" w:lineRule="auto"/>
      </w:pPr>
      <w:r>
        <w:t>**Stochastique** : Le %K à 0,0 et le %D à 23,333 indiquent que le titre est en zone de survente, le %K ayant fortement chuté sous le %D. Ce croisement baissier, bien que potentiellement précurseur d'un rebond technique, signale pour l'instant une pression vendeuse dominante. La décision « Achat » est émise en anticipation d'un éventuel retournement haussier.</w:t>
      </w:r>
    </w:p>
    <w:p>
      <w:pPr>
        <w:spacing w:after="120" w:line="276" w:lineRule="auto"/>
      </w:pPr>
      <w:r>
        <w:t>**Conclusion technique** : La convergence des indicateurs est mitigée. Les moyennes mobiles et le stochastique suggèrent un potentiel de rebond, tandis que le MACD et la position sous la MM20 indiquent une correction en cours. Le RSI neutre et les bandes de Bollinger neutres ne tranchent pas clairement. Cette configuration technique appelle à la prudence à court terme, avec un risque de poursuite de la consolidation avant une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pour l'exercice 2025 révèlent une banque panafricaine de premier plan. Le Produit Net Bancaire (PNB) s'établit à 1 424,261 milliards FCFA, en croissance de 12,45%, avec un résultat net de 345,523 milliards FCFA, démontrant une excellente capacité de génération de profits. Le ROE de 21,62% est exceptionnel, bien au-dessus du seuil de 15% considéré comme excellent, et le ROA de 1,80% est solide pour le secteur. Le coefficient d'exploitation de 27,35% est remarquablement bas, témoignant d'une efficacité opérationnelle de premier ordre. Cependant, le coût du risque de 18,97% est élevé, signalant un risque de crédit significatif à surveiller. Les dépôts clientèle (14 120,139 Mds FCFA) dépassent largement les créances sur la clientèle (6 570,385 Mds FCFA), indiquant une position de liquidité confortable. Les rapports narratifs confirment cette dynamique : le rapport semestriel 2025 (publié en 2026) montre un PNB de 671,3 milliards FCFA (+12%), un résultat net de 167,6 milliards FCFA (+23%), et un coefficient d'exploitation passé sous les 50%. Le rapport du T3 2025 (publié en 2026) confirme l'accélération avec un PNB de 1 029,2 milliards FCFA (+15%) et un résultat net de 267 milliards FCFA (+30%). Le rapport semestriel 2026 (publié en juillet 2026) indique un PNB de 721,3 milliards FCFA (+15%) et un résultat net de 166,7 milliards FCFA (+6%), avec un coût du risque en hausse de 40%. Sur la base de ces données, on estime que l'exercice 2026 devrait voir un PNB annuel dépasser 1 500 milliards FCFA et un résultat net de l'ordre de 350-400 milliards FCFA, confirmant la solidité et la croissance durable du groupe.</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marquée entre des fondamentaux exceptionnellement solides et des signaux techniques de court terme mitigés. La valorisation (PER 3,4x, P/B 0,74x, EV/EBITDA 4,9x) indique une sous-évaluation manifeste, tandis que le comportement du cours (+96,97% sur 100 jours) témoigne d'un intérêt croissant des investisseurs, malgré une volatilité très élevée (65,4%). Les signaux techniques sont partagés, avec une correction en cours (MACD vendeur, prix sous MM20) mais des indicateurs de retournement potentiel (stochastique en survente). Les fondamentaux, eux, sont indiscutablement robustes : croissance du PNB à deux chiffres, rentabilité exceptionnelle (ROE &gt;21%), efficacité opérationnelle remarquable, et perspectives 2026 estimées en hausse. Les prédictions IA (60 à 44 FCFA sur 10 jours) suggèrent une poursuite de la correction à court terme, ce qui contredit la tendance haussière de fond mais pourrait offrir un point d'entrée plus attractif. **Recommandation finale : ACHAT**, avec un niveau de confiance **Élevé** et un risque global **Moyen**. L'horizon d'investissement optimal est le **moyen terme (3-12 mois)**, permettant d'absorber la volatilité à court terme et de bénéficier de la convergence entre la sous-évaluation fondamentale et la solidité des résultats financiers.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3,960 titres</w:t>
            </w:r>
          </w:p>
        </w:tc>
        <w:tc>
          <w:tcPr>
            <w:tcW w:type="dxa" w:w="2268"/>
            <w:shd w:fill="FFF2CC" w:val="clear"/>
          </w:tcPr>
          <w:p>
            <w:r>
              <w:rPr>
                <w:b/>
                <w:color w:val="503200"/>
                <w:sz w:val="16"/>
              </w:rPr>
              <w:t xml:space="preserve">Cours actuel : </w:t>
            </w:r>
            <w:r>
              <w:rPr>
                <w:color w:val="000000"/>
                <w:sz w:val="17"/>
              </w:rPr>
              <w:t>2,160 FCFA</w:t>
            </w:r>
          </w:p>
          <w:p>
            <w:r>
              <w:rPr>
                <w:b/>
                <w:color w:val="503200"/>
                <w:sz w:val="16"/>
              </w:rPr>
              <w:t xml:space="preserve">Var. 100 jours : </w:t>
            </w:r>
            <w:r>
              <w:rPr>
                <w:b/>
                <w:color w:val="B40000"/>
                <w:sz w:val="17"/>
              </w:rPr>
              <w:t>-6.09%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μ=2,153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β=0.7343 (Défensif) — Cov=0.000027, Var(idx)=0.000036,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2,104</w:t>
            </w:r>
          </w:p>
        </w:tc>
        <w:tc>
          <w:tcPr>
            <w:tcW w:type="dxa" w:w="1440"/>
            <w:shd w:fill="FAFAFA" w:val="clear"/>
          </w:tcPr>
          <w:p>
            <w:r>
              <w:rPr>
                <w:b/>
                <w:sz w:val="17"/>
              </w:rPr>
              <w:t>2,171</w:t>
            </w:r>
          </w:p>
        </w:tc>
        <w:tc>
          <w:tcPr>
            <w:tcW w:type="dxa" w:w="1440"/>
            <w:shd w:fill="FAFAFA" w:val="clear"/>
          </w:tcPr>
          <w:p>
            <w:r>
              <w:rPr>
                <w:sz w:val="17"/>
              </w:rPr>
              <w:t>2,237</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2,086</w:t>
            </w:r>
          </w:p>
        </w:tc>
        <w:tc>
          <w:tcPr>
            <w:tcW w:type="dxa" w:w="1440"/>
            <w:shd w:fill="FAFAFA" w:val="clear"/>
          </w:tcPr>
          <w:p>
            <w:r>
              <w:rPr>
                <w:b/>
                <w:sz w:val="17"/>
              </w:rPr>
              <w:t>2,181</w:t>
            </w:r>
          </w:p>
        </w:tc>
        <w:tc>
          <w:tcPr>
            <w:tcW w:type="dxa" w:w="1440"/>
            <w:shd w:fill="FAFAFA" w:val="clear"/>
          </w:tcPr>
          <w:p>
            <w:r>
              <w:rPr>
                <w:sz w:val="17"/>
              </w:rPr>
              <w:t>2,275</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2,074</w:t>
            </w:r>
          </w:p>
        </w:tc>
        <w:tc>
          <w:tcPr>
            <w:tcW w:type="dxa" w:w="1440"/>
            <w:shd w:fill="FAFAFA" w:val="clear"/>
          </w:tcPr>
          <w:p>
            <w:r>
              <w:rPr>
                <w:b/>
                <w:sz w:val="17"/>
              </w:rPr>
              <w:t>2,190</w:t>
            </w:r>
          </w:p>
        </w:tc>
        <w:tc>
          <w:tcPr>
            <w:tcW w:type="dxa" w:w="1440"/>
            <w:shd w:fill="FAFAFA" w:val="clear"/>
          </w:tcPr>
          <w:p>
            <w:r>
              <w:rPr>
                <w:sz w:val="17"/>
              </w:rPr>
              <w:t>2,307</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2,065</w:t>
            </w:r>
          </w:p>
        </w:tc>
        <w:tc>
          <w:tcPr>
            <w:tcW w:type="dxa" w:w="1440"/>
            <w:shd w:fill="FAFAFA" w:val="clear"/>
          </w:tcPr>
          <w:p>
            <w:r>
              <w:rPr>
                <w:b/>
                <w:sz w:val="17"/>
              </w:rPr>
              <w:t>2,200</w:t>
            </w:r>
          </w:p>
        </w:tc>
        <w:tc>
          <w:tcPr>
            <w:tcW w:type="dxa" w:w="1440"/>
            <w:shd w:fill="FAFAFA" w:val="clear"/>
          </w:tcPr>
          <w:p>
            <w:r>
              <w:rPr>
                <w:sz w:val="17"/>
              </w:rPr>
              <w:t>2,335</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2026-09-04</w:t>
            </w:r>
          </w:p>
        </w:tc>
        <w:tc>
          <w:tcPr>
            <w:tcW w:type="dxa" w:w="1440"/>
            <w:shd w:fill="C6EFCE" w:val="clear"/>
          </w:tcPr>
          <w:p>
            <w:r>
              <w:rPr>
                <w:sz w:val="17"/>
              </w:rPr>
              <w:t>2,058</w:t>
            </w:r>
          </w:p>
        </w:tc>
        <w:tc>
          <w:tcPr>
            <w:tcW w:type="dxa" w:w="1440"/>
            <w:shd w:fill="C6EFCE" w:val="clear"/>
          </w:tcPr>
          <w:p>
            <w:r>
              <w:rPr>
                <w:b/>
                <w:sz w:val="17"/>
              </w:rPr>
              <w:t>2,210</w:t>
            </w:r>
          </w:p>
        </w:tc>
        <w:tc>
          <w:tcPr>
            <w:tcW w:type="dxa" w:w="1440"/>
            <w:shd w:fill="C6EFCE" w:val="clear"/>
          </w:tcPr>
          <w:p>
            <w:r>
              <w:rPr>
                <w:sz w:val="17"/>
              </w:rPr>
              <w:t>2,362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2026-09-07</w:t>
            </w:r>
          </w:p>
        </w:tc>
        <w:tc>
          <w:tcPr>
            <w:tcW w:type="dxa" w:w="1440"/>
            <w:shd w:fill="C6EFCE" w:val="clear"/>
          </w:tcPr>
          <w:p>
            <w:r>
              <w:rPr>
                <w:sz w:val="17"/>
              </w:rPr>
              <w:t>2,052</w:t>
            </w:r>
          </w:p>
        </w:tc>
        <w:tc>
          <w:tcPr>
            <w:tcW w:type="dxa" w:w="1440"/>
            <w:shd w:fill="C6EFCE" w:val="clear"/>
          </w:tcPr>
          <w:p>
            <w:r>
              <w:rPr>
                <w:b/>
                <w:sz w:val="17"/>
              </w:rPr>
              <w:t>2,219</w:t>
            </w:r>
          </w:p>
        </w:tc>
        <w:tc>
          <w:tcPr>
            <w:tcW w:type="dxa" w:w="1440"/>
            <w:shd w:fill="C6EFCE" w:val="clear"/>
          </w:tcPr>
          <w:p>
            <w:r>
              <w:rPr>
                <w:sz w:val="17"/>
              </w:rPr>
              <w:t>2,386</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2026-09-08</w:t>
            </w:r>
          </w:p>
        </w:tc>
        <w:tc>
          <w:tcPr>
            <w:tcW w:type="dxa" w:w="1440"/>
            <w:shd w:fill="C6EFCE" w:val="clear"/>
          </w:tcPr>
          <w:p>
            <w:r>
              <w:rPr>
                <w:sz w:val="17"/>
              </w:rPr>
              <w:t>2,047</w:t>
            </w:r>
          </w:p>
        </w:tc>
        <w:tc>
          <w:tcPr>
            <w:tcW w:type="dxa" w:w="1440"/>
            <w:shd w:fill="C6EFCE" w:val="clear"/>
          </w:tcPr>
          <w:p>
            <w:r>
              <w:rPr>
                <w:b/>
                <w:sz w:val="17"/>
              </w:rPr>
              <w:t>2,229</w:t>
            </w:r>
          </w:p>
        </w:tc>
        <w:tc>
          <w:tcPr>
            <w:tcW w:type="dxa" w:w="1440"/>
            <w:shd w:fill="C6EFCE" w:val="clear"/>
          </w:tcPr>
          <w:p>
            <w:r>
              <w:rPr>
                <w:sz w:val="17"/>
              </w:rPr>
              <w:t>2,410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2026-09-09</w:t>
            </w:r>
          </w:p>
        </w:tc>
        <w:tc>
          <w:tcPr>
            <w:tcW w:type="dxa" w:w="1440"/>
            <w:shd w:fill="C6EFCE" w:val="clear"/>
          </w:tcPr>
          <w:p>
            <w:r>
              <w:rPr>
                <w:sz w:val="17"/>
              </w:rPr>
              <w:t>2,044</w:t>
            </w:r>
          </w:p>
        </w:tc>
        <w:tc>
          <w:tcPr>
            <w:tcW w:type="dxa" w:w="1440"/>
            <w:shd w:fill="C6EFCE" w:val="clear"/>
          </w:tcPr>
          <w:p>
            <w:r>
              <w:rPr>
                <w:b/>
                <w:sz w:val="17"/>
              </w:rPr>
              <w:t>2,238</w:t>
            </w:r>
          </w:p>
        </w:tc>
        <w:tc>
          <w:tcPr>
            <w:tcW w:type="dxa" w:w="1440"/>
            <w:shd w:fill="C6EFCE" w:val="clear"/>
          </w:tcPr>
          <w:p>
            <w:r>
              <w:rPr>
                <w:sz w:val="17"/>
              </w:rPr>
              <w:t>2,433</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2026-09-10</w:t>
            </w:r>
          </w:p>
        </w:tc>
        <w:tc>
          <w:tcPr>
            <w:tcW w:type="dxa" w:w="1440"/>
            <w:shd w:fill="C6EFCE" w:val="clear"/>
          </w:tcPr>
          <w:p>
            <w:r>
              <w:rPr>
                <w:sz w:val="17"/>
              </w:rPr>
              <w:t>2,040</w:t>
            </w:r>
          </w:p>
        </w:tc>
        <w:tc>
          <w:tcPr>
            <w:tcW w:type="dxa" w:w="1440"/>
            <w:shd w:fill="C6EFCE" w:val="clear"/>
          </w:tcPr>
          <w:p>
            <w:r>
              <w:rPr>
                <w:b/>
                <w:sz w:val="17"/>
              </w:rPr>
              <w:t>2,248</w:t>
            </w:r>
          </w:p>
        </w:tc>
        <w:tc>
          <w:tcPr>
            <w:tcW w:type="dxa" w:w="1440"/>
            <w:shd w:fill="C6EFCE" w:val="clear"/>
          </w:tcPr>
          <w:p>
            <w:r>
              <w:rPr>
                <w:sz w:val="17"/>
              </w:rPr>
              <w:t>2,455</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2026-09-11</w:t>
            </w:r>
          </w:p>
        </w:tc>
        <w:tc>
          <w:tcPr>
            <w:tcW w:type="dxa" w:w="1440"/>
            <w:shd w:fill="C6EFCE" w:val="clear"/>
          </w:tcPr>
          <w:p>
            <w:r>
              <w:rPr>
                <w:sz w:val="17"/>
              </w:rPr>
              <w:t>2,038</w:t>
            </w:r>
          </w:p>
        </w:tc>
        <w:tc>
          <w:tcPr>
            <w:tcW w:type="dxa" w:w="1440"/>
            <w:shd w:fill="C6EFCE" w:val="clear"/>
          </w:tcPr>
          <w:p>
            <w:r>
              <w:rPr>
                <w:b/>
                <w:sz w:val="17"/>
              </w:rPr>
              <w:t>2,257</w:t>
            </w:r>
          </w:p>
        </w:tc>
        <w:tc>
          <w:tcPr>
            <w:tcW w:type="dxa" w:w="1440"/>
            <w:shd w:fill="C6EFCE" w:val="clear"/>
          </w:tcPr>
          <w:p>
            <w:r>
              <w:rPr>
                <w:sz w:val="17"/>
              </w:rPr>
              <w:t>2,477</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30,46 milliards FCFA, un niveau modeste qui la positionne comme une valeur de seconde ligne sur la BRVM. Avec un BPA de 33 FCFA, le titre affiche un PER de 65,4x, très largement supérieur à la moyenne du marché (8-12x), ce qui signifie que les investisseurs paient un prix extrêmement élevé pour chaque franc de bénéfice généré. Le P/B de 1,94x indique que le marché valorise la société à près du double de sa valeur comptable, ce qui reste raisonnable. En revanche, l'EV/EBITDA de 38,2x est très exigeant, suggérant que la valeur d'entreprise est disproportionnée par rapport à la capacité opérationnelle réelle de l'entreprise. Ces ratios traduisent une valorisation globalement surévaluée au regard des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variation totale de -6,09%, avec un léger rebond de +0,23% lors de la dernière séance, pour s'établir à 2 160 FCFA. Le titre a évolué dans une fourchette de 1 910 à 2 430 FCFA, démontrant une amplitude de trading significative. La moyenne du cours (2 153 FCFA) est très proche de la médiane (2 188 FCFA), indiquant une distribution relativement symétrique, confirmée par un skewness de -0,112. L'écart-type de 136 FCFA (CV=6,3%) révèle une dispersion modérée des prix autour de la moyenne. Le kurtosis de -1,113 (platykurtique) indique une distribution aplatie avec une faible concentration des valeurs extrêmes, réduisant le risque de mouvements brusques. La volatilité annualisée de 35,3% classe le titre dans la catégorie des valeurs à forte volatilité,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(2 160 FCFA) se positionne au-dessus de la MM20 (2 101,75 FCFA) et de la MM50 (2 042,5 FCFA), confirmant une tendance haussière à moyen terme. L'écart positif entre le prix et les moyennes mobiles suggère un momentum favorable, justifiant la décision d'achat.</w:t>
      </w:r>
    </w:p>
    <w:p>
      <w:pPr>
        <w:spacing w:after="120" w:line="276" w:lineRule="auto"/>
      </w:pPr>
      <w:r>
        <w:t>**Bandes de Bollinger** : Le prix se situe à 2 160 FCFA, entre la borne supérieure (2 302 FCFA) et la borne inférieure (1 901 FCFA), précisément dans la zone médiane. Cette position indique une volatilité modérée sans excès, d'où une décision neutre. Le titre dispose d'une marge de progression avant d'atteindre la borne supérieure.</w:t>
      </w:r>
    </w:p>
    <w:p>
      <w:pPr>
        <w:spacing w:after="120" w:line="276" w:lineRule="auto"/>
      </w:pPr>
      <w:r>
        <w:t>**MACD** : La valeur du MACD (36,472) est supérieure à sa ligne de signal (33,531), avec un écart positif de 2,94 points. Cette configuration haussière indique un momentum positif en cours de formation, justifiant la décision d'achat. La dynamique actuelle suggère une poursuite de la tendance haussière à court terme.</w:t>
      </w:r>
    </w:p>
    <w:p>
      <w:pPr>
        <w:spacing w:after="120" w:line="276" w:lineRule="auto"/>
      </w:pPr>
      <w:r>
        <w:t>**RSI** : À 72,222, le RSI se trouve en zone de surachat (au-dessus de 70), signalant que le titre est potentiellement surévalué à court terme. Cette situation appelle à la prudence et justifie la décision de vente, car un retournement pourrait survenir prochainement.</w:t>
      </w:r>
    </w:p>
    <w:p>
      <w:pPr>
        <w:spacing w:after="120" w:line="276" w:lineRule="auto"/>
      </w:pPr>
      <w:r>
        <w:t>**Stochastique** : Le %K (57,143) est inférieur au %D (72,907), indiquant une possible divergence baissière en formation. Bien que la décision soit neutre, cette configuration suggère un affaiblissement du momentum haussier, nécessitant une surveillance attentive.</w:t>
      </w:r>
    </w:p>
    <w:p>
      <w:pPr>
        <w:spacing w:after="120" w:line="276" w:lineRule="auto"/>
      </w:pPr>
      <w:r>
        <w:t>**Conclusion technique** : Les indicateurs sont partagés entre signaux haussiers (MM, MACD) et baissiers (RSI en surachat). La tendance de fond reste positive, mais les conditions de surachat et la divergence stochastique suggèrent une possible consolidation à court terme. La prudence est recommandée malgré la tendance haussière dominante.</w:t>
      </w:r>
    </w:p>
    <w:p>
      <w:pPr>
        <w:spacing w:after="120" w:line="276" w:lineRule="auto" w:before="240"/>
      </w:pPr>
      <w:r>
        <w:rPr>
          <w:b/>
          <w:color w:val="003366"/>
          <w:sz w:val="24"/>
        </w:rPr>
        <w:t>**PARTIE 3 : ANALYSE FONDAMENTALE (SECTION CRITIQUE)**</w:t>
      </w:r>
    </w:p>
    <w:p>
      <w:pPr>
        <w:spacing w:after="120" w:line="276" w:lineRule="auto"/>
      </w:pPr>
      <w:r>
        <w:t>En 2025, FTSC a réalisé un chiffre d'affaires de 32,109 milliards FCFA, en progression de 4,6% par rapport à 2024, mais le résultat net s'effondre à 465,98 millions FCFA contre 18,6 milliards en 2024, illustrant la fin des produits exceptionnels liés aux cessions de filiales. La marge nette chute à 1,45%, le ROE à 2,97% et le ROA à 1,19%, des niveaux très faibles pour une entreprise industrielle. Le BFR s'établit à 11,529 milliards FCFA, avec un délai clients de 213,72 jours (élevé, risque de trésorerie) et un délai fournisseurs de 140,71 jours. La trésorerie nette est fortement négative à -11,528 milliards FCFA, suite au versement massif de dividendes en 2024 (2 000,67 FCFA par action). Selon le rapport du 3e trimestre 2025, le résultat courant avant impôt est de -216 millions FCFA, en nette dégradation par rapport à +4 144 millions en 2024, principalement due à la baisse du résultat financier. Le rapport T1 2026 montre une amélioration avec un CA de 8,901 milliards FCFA (+55%) et un résultat d'exploitation positif de 75 millions FCFA, mais le résultat net reste déficitaire à -154 millions FCFA. La société dépend fortement de la campagne cacaoyère 2025/2026 et fait face à des risques d'approvisionnement en fibre de jute (interdiction d'exportation par le Bangladesh). Les perspectives restent incertaines, avec une capacité de remboursement de 11,49 ans, un niveau préoccupant.</w:t>
      </w:r>
    </w:p>
    <w:p>
      <w:pPr>
        <w:spacing w:after="120" w:line="276" w:lineRule="auto" w:before="240"/>
      </w:pPr>
      <w:r>
        <w:rPr>
          <w:b/>
          <w:color w:val="003366"/>
          <w:sz w:val="24"/>
        </w:rPr>
        <w:t>**PARTIE 4 : CONCLUSION D'INVESTISSEMENT**</w:t>
      </w:r>
    </w:p>
    <w:p>
      <w:pPr>
        <w:spacing w:after="120" w:line="276" w:lineRule="auto"/>
      </w:pPr>
      <w:r>
        <w:t>La valorisation de FTSC apparaît clairement surévaluée avec un PER de 65,4x et un EV/EBITDA de 38,2x, très supérieurs aux moyennes du marché, tandis que le comportement du cours montre une tendance baissière sur 100 jours (-6,09%) avec une volatilité élevée de 35,3%. Les signaux techniques sont mitigés, oscillant entre tendance haussière (MM, MACD) et conditions de surachat (RSI à 72,2), créant une incertitude directionnelle. Les fondamentaux sont préoccupants : résultat net divisé par 40, trésorerie négative de 11,5 milliards FCFA, ROE de 2,97% et dépendance critique à la campagne cacaoyère. Les prédictions IA (2 171 à 2 210 FCFA sur 10 jours) suggèrent une légère hausse, contredite par la faiblesse des fondamentaux. La convergence des signaux défavorables (valorisation excessive, fondamentaux dégradés) l'emporte sur les signaux techniques positifs. Recommandation : **VENTE**, avec un niveau de confiance **Moyen** et un risque global **Élevé**. Horizon d'investissement : **court terme (&lt;3 mois)** pour les investisseurs existants cherchant à limiter leurs pertes.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3,673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+3.90%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4.99% (Faible) — μ=4,053 FCFA, σ=202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β=0.0012 (Défensif) — Cov=0.000000, Var(idx)=0.000036, ρ=0.000,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3,815</w:t>
            </w:r>
          </w:p>
        </w:tc>
        <w:tc>
          <w:tcPr>
            <w:tcW w:type="dxa" w:w="1440"/>
            <w:shd w:fill="FAFAFA" w:val="clear"/>
          </w:tcPr>
          <w:p>
            <w:r>
              <w:rPr>
                <w:b/>
                <w:sz w:val="17"/>
              </w:rPr>
              <w:t>3,987</w:t>
            </w:r>
          </w:p>
        </w:tc>
        <w:tc>
          <w:tcPr>
            <w:tcW w:type="dxa" w:w="1440"/>
            <w:shd w:fill="FAFAFA" w:val="clear"/>
          </w:tcPr>
          <w:p>
            <w:r>
              <w:rPr>
                <w:sz w:val="17"/>
              </w:rPr>
              <w:t>4,159</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3,733</w:t>
            </w:r>
          </w:p>
        </w:tc>
        <w:tc>
          <w:tcPr>
            <w:tcW w:type="dxa" w:w="1440"/>
            <w:shd w:fill="FAFAFA" w:val="clear"/>
          </w:tcPr>
          <w:p>
            <w:r>
              <w:rPr>
                <w:b/>
                <w:sz w:val="17"/>
              </w:rPr>
              <w:t>3,976</w:t>
            </w:r>
          </w:p>
        </w:tc>
        <w:tc>
          <w:tcPr>
            <w:tcW w:type="dxa" w:w="1440"/>
            <w:shd w:fill="FAFAFA" w:val="clear"/>
          </w:tcPr>
          <w:p>
            <w:r>
              <w:rPr>
                <w:sz w:val="17"/>
              </w:rPr>
              <w:t>4,218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3,670</w:t>
            </w:r>
          </w:p>
        </w:tc>
        <w:tc>
          <w:tcPr>
            <w:tcW w:type="dxa" w:w="1440"/>
            <w:shd w:fill="FAFAFA" w:val="clear"/>
          </w:tcPr>
          <w:p>
            <w:r>
              <w:rPr>
                <w:b/>
                <w:sz w:val="17"/>
              </w:rPr>
              <w:t>3,966</w:t>
            </w:r>
          </w:p>
        </w:tc>
        <w:tc>
          <w:tcPr>
            <w:tcW w:type="dxa" w:w="1440"/>
            <w:shd w:fill="FAFAFA" w:val="clear"/>
          </w:tcPr>
          <w:p>
            <w:r>
              <w:rPr>
                <w:sz w:val="17"/>
              </w:rPr>
              <w:t>4,262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3,617</w:t>
            </w:r>
          </w:p>
        </w:tc>
        <w:tc>
          <w:tcPr>
            <w:tcW w:type="dxa" w:w="1440"/>
            <w:shd w:fill="FAFAFA" w:val="clear"/>
          </w:tcPr>
          <w:p>
            <w:r>
              <w:rPr>
                <w:b/>
                <w:sz w:val="17"/>
              </w:rPr>
              <w:t>3,958</w:t>
            </w:r>
          </w:p>
        </w:tc>
        <w:tc>
          <w:tcPr>
            <w:tcW w:type="dxa" w:w="1440"/>
            <w:shd w:fill="FAFAFA" w:val="clear"/>
          </w:tcPr>
          <w:p>
            <w:r>
              <w:rPr>
                <w:sz w:val="17"/>
              </w:rPr>
              <w:t>4,300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3,572</w:t>
            </w:r>
          </w:p>
        </w:tc>
        <w:tc>
          <w:tcPr>
            <w:tcW w:type="dxa" w:w="1440"/>
            <w:shd w:fill="FAFAFA" w:val="clear"/>
          </w:tcPr>
          <w:p>
            <w:r>
              <w:rPr>
                <w:b/>
                <w:sz w:val="17"/>
              </w:rPr>
              <w:t>3,954</w:t>
            </w:r>
          </w:p>
        </w:tc>
        <w:tc>
          <w:tcPr>
            <w:tcW w:type="dxa" w:w="1440"/>
            <w:shd w:fill="FAFAFA" w:val="clear"/>
          </w:tcPr>
          <w:p>
            <w:r>
              <w:rPr>
                <w:sz w:val="17"/>
              </w:rPr>
              <w:t>4,335</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3,535</w:t>
            </w:r>
          </w:p>
        </w:tc>
        <w:tc>
          <w:tcPr>
            <w:tcW w:type="dxa" w:w="1440"/>
            <w:shd w:fill="FAFAFA" w:val="clear"/>
          </w:tcPr>
          <w:p>
            <w:r>
              <w:rPr>
                <w:b/>
                <w:sz w:val="17"/>
              </w:rPr>
              <w:t>3,953</w:t>
            </w:r>
          </w:p>
        </w:tc>
        <w:tc>
          <w:tcPr>
            <w:tcW w:type="dxa" w:w="1440"/>
            <w:shd w:fill="FAFAFA" w:val="clear"/>
          </w:tcPr>
          <w:p>
            <w:r>
              <w:rPr>
                <w:sz w:val="17"/>
              </w:rPr>
              <w:t>4,371</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3,505</w:t>
            </w:r>
          </w:p>
        </w:tc>
        <w:tc>
          <w:tcPr>
            <w:tcW w:type="dxa" w:w="1440"/>
            <w:shd w:fill="FAFAFA" w:val="clear"/>
          </w:tcPr>
          <w:p>
            <w:r>
              <w:rPr>
                <w:b/>
                <w:sz w:val="17"/>
              </w:rPr>
              <w:t>3,957</w:t>
            </w:r>
          </w:p>
        </w:tc>
        <w:tc>
          <w:tcPr>
            <w:tcW w:type="dxa" w:w="1440"/>
            <w:shd w:fill="FAFAFA" w:val="clear"/>
          </w:tcPr>
          <w:p>
            <w:r>
              <w:rPr>
                <w:sz w:val="17"/>
              </w:rPr>
              <w:t>4,409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3,483</w:t>
            </w:r>
          </w:p>
        </w:tc>
        <w:tc>
          <w:tcPr>
            <w:tcW w:type="dxa" w:w="1440"/>
            <w:shd w:fill="FAFAFA" w:val="clear"/>
          </w:tcPr>
          <w:p>
            <w:r>
              <w:rPr>
                <w:b/>
                <w:sz w:val="17"/>
              </w:rPr>
              <w:t>3,967</w:t>
            </w:r>
          </w:p>
        </w:tc>
        <w:tc>
          <w:tcPr>
            <w:tcW w:type="dxa" w:w="1440"/>
            <w:shd w:fill="FAFAFA" w:val="clear"/>
          </w:tcPr>
          <w:p>
            <w:r>
              <w:rPr>
                <w:sz w:val="17"/>
              </w:rPr>
              <w:t>4,451</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3,466</w:t>
            </w:r>
          </w:p>
        </w:tc>
        <w:tc>
          <w:tcPr>
            <w:tcW w:type="dxa" w:w="1440"/>
            <w:shd w:fill="FAFAFA" w:val="clear"/>
          </w:tcPr>
          <w:p>
            <w:r>
              <w:rPr>
                <w:b/>
                <w:sz w:val="17"/>
              </w:rPr>
              <w:t>3,981</w:t>
            </w:r>
          </w:p>
        </w:tc>
        <w:tc>
          <w:tcPr>
            <w:tcW w:type="dxa" w:w="1440"/>
            <w:shd w:fill="FAFAFA" w:val="clear"/>
          </w:tcPr>
          <w:p>
            <w:r>
              <w:rPr>
                <w:sz w:val="17"/>
              </w:rPr>
              <w:t>4,497</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3,452</w:t>
            </w:r>
          </w:p>
        </w:tc>
        <w:tc>
          <w:tcPr>
            <w:tcW w:type="dxa" w:w="1440"/>
            <w:shd w:fill="FAFAFA" w:val="clear"/>
          </w:tcPr>
          <w:p>
            <w:r>
              <w:rPr>
                <w:b/>
                <w:sz w:val="17"/>
              </w:rPr>
              <w:t>3,997</w:t>
            </w:r>
          </w:p>
        </w:tc>
        <w:tc>
          <w:tcPr>
            <w:tcW w:type="dxa" w:w="1440"/>
            <w:shd w:fill="FAFAFA" w:val="clear"/>
          </w:tcPr>
          <w:p>
            <w:r>
              <w:rPr>
                <w:sz w:val="17"/>
              </w:rPr>
              <w:t>4,543</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un niveau significatif pour la BRVM, reflétant la position de leader de la société dans le secteur des jeux de hasard en zone UEMOA. Le BPA de 231 FCFA indique que chaque action a généré un bénéfice de 231 FCFA sur l'exercice 2025. Le PER de 17,3x est nettement supérieur à la moyenne historique de la BRVM (8-12x), ce qui signifie que les investisseurs paient une prime substantielle pour les bénéfices de l'entreprise. Cette prime est confirmée par le P/B de 3,64x, qui valorise le titre bien au-dessus de sa valeur comptable, et par un EV/EBITDA de 10,1x, qui, bien que dans la fourchette haute, reste raisonnable. Cette valorisation exigeante traduit la confiance du marché dans la capacité de la LNB à redresser sa rentabilité et à capitaliser sur sa transformation digitale.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modeste de +3,90%, avec une dernière séance en légère baisse de -0,12% à 4 000 FCFA. Le titre a évolué dans une fourchette de 3 825 à 4 560 FCFA, démontrant une amplitude de trading de près de 20%. La moyenne du cours sur la période (4 053 FCFA) est légèrement supérieure à la médiane (3 995 FCFA), et l'écart-type de 203 FCFA (CV=5%) indique une dispersion relativement faible autour de la moyenne. Le kurtosis négatif (-0,958) suggère une distribution mésokurtique, avec un risque de mouvements extrêmes limité. Le skewness positif (0,610) révèle une asymétrie vers les rendements positifs, mais aussi un plus grand nombre de journées sous la moyenne. La volatilité annualisée de 36,3% classe le titre dans la catégorie des actifs à forte volatilité,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4 000 FCFA est inférieur à la MM20 (4 193,75 FCFA) et à la MM50 (4 223,7 FCFA), ce qui confirme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prix se situe près de la borne inférieure (3 871,47 FCFA), indiquant que le titre est proche de conditions de survente. La décision "Neutre" reflète une volatilité modérée, mais la proximité de la borne inférieure pourrait précéder un rebond technique si le support tient.</w:t>
      </w:r>
    </w:p>
    <w:p>
      <w:pPr>
        <w:spacing w:after="120" w:line="276" w:lineRule="auto"/>
      </w:pPr>
      <w:r>
        <w:t>**MACD** : La valeur MACD (-57,23) est inférieure à sa ligne de signal (-34,40), confirmant un momentum baissier. La décision de "Vente" est cohérente avec cette divergence négative, qui suggère que la pression vendeuse reste dominante à moyen terme.</w:t>
      </w:r>
    </w:p>
    <w:p>
      <w:pPr>
        <w:spacing w:after="120" w:line="276" w:lineRule="auto"/>
      </w:pPr>
      <w:r>
        <w:t>**RSI** : À 31,01, le RSI est proche de la zone de survente (&lt;30), indiquant que le titre est potentiellement survendu. La décision "Neutre" est appropriée, car le RSI n'a pas encore franchi le seuil critique, mais un rebond technique est possible à ces niveaux.</w:t>
      </w:r>
    </w:p>
    <w:p>
      <w:pPr>
        <w:spacing w:after="120" w:line="276" w:lineRule="auto"/>
      </w:pPr>
      <w:r>
        <w:t>**Stochastique** : Le %K à 0 et le %D à 11,11 signalent une condition de survente extrême. La décision "Achat" est justifiée par ce croisement baissier, qui suggère un potentiel de retournement haussier imminent.</w:t>
      </w:r>
    </w:p>
    <w:p>
      <w:pPr>
        <w:spacing w:after="120" w:line="276" w:lineRule="auto"/>
      </w:pPr>
      <w:r>
        <w:t>**Conclusion technique** : Les indicateurs sont globalement baissiers à court terme, mais les signaux de survente (RSI, Stochastique) et la proximité de la borne inférieure de Bollinger suggèrent un potentiel de rebond technique. La tendance reste fragile, et un catalyseur positif est nécessaire pour inverser la dynamique.</w:t>
      </w:r>
    </w:p>
    <w:p>
      <w:pPr>
        <w:spacing w:after="120" w:line="276" w:lineRule="auto"/>
      </w:pPr>
      <w:r>
        <w:t>---</w:t>
      </w:r>
    </w:p>
    <w:p>
      <w:pPr>
        <w:spacing w:after="120" w:line="276" w:lineRule="auto"/>
      </w:pPr>
      <w:r>
        <w:t>### PARTIE 3 : ANALYSE FONDAMENTALE (SECTION CRITIQUE)</w:t>
      </w:r>
    </w:p>
    <w:p>
      <w:pPr>
        <w:spacing w:after="120" w:line="276" w:lineRule="auto"/>
      </w:pPr>
      <w:r>
        <w:t>En 2025, la LNB a enregistré un chiffre d'affaires de 98,598 milliards FCFA, en baisse de -3,85% par rapport à 2024, et un résultat net de 4,622 milliards FCFA, en recul de -36%. La marge nette s'établit à 4,69%, tandis que le ROE atteint 21,05% et le ROA 14,17%, des niveaux excellents qui témoignent d'une gestion efficace des fonds propres et des actifs. La structure financière est très saine avec une autonomie financière de 67,32%, une trésorerie nette positive de 7,979 milliards FCFA et un BFR négatif de 217 millions FCFA, ce qui est favorable. Les délais clients (4,82 jours) et fournisseurs (20,41 jours) sont bien gérés, et la rotation des actifs (302,37%) démontre une utilisation intensive des actifs. Sur la base des rapports trimestriels, le T1 2026 (CA +6% à 25,521 milliards FCFA, RN en baisse de -46% à 848 millions FCFA) et le S1 2026 (CA +4% à 49,937 milliards FCFA, RN en hausse de +60%) montrent une amélioration séquentielle de la rentabilité. On estime que l'exercice 2026 pourrait voir un CA stable autour de 100 milliards FCFA et un résultat net en forte progression, porté par la maîtrise des charges et les revenus de partenariats. La solidité financière, la politique de dividende généreuse (173 FCFA brut par action pour 2025) et les perspectives de redressement justifient une recommandation fondamentale positive, malgré les risques liés à la concurrence déloyale.</w:t>
      </w:r>
    </w:p>
    <w:p>
      <w:pPr>
        <w:spacing w:after="120" w:line="276" w:lineRule="auto"/>
      </w:pPr>
      <w:r>
        <w:t>---</w:t>
      </w:r>
    </w:p>
    <w:p>
      <w:pPr>
        <w:spacing w:after="120" w:line="276" w:lineRule="auto"/>
      </w:pPr>
      <w:r>
        <w:t>### PARTIE 4 : CONCLUSION D'INVESTISSEMENT</w:t>
      </w:r>
    </w:p>
    <w:p>
      <w:pPr>
        <w:spacing w:after="120" w:line="276" w:lineRule="auto"/>
      </w:pPr>
      <w:r>
        <w:t>La valorisation de LNBB (PER 17,3x, P/B 3,64x) est exigeante, mais justifiée par la solidité financière et les perspectives de redressement. Le comportement du cours sur 100 jours (+3,90%) est positif, mais la volatilité élevée (36,3%) et l'asymétrie positive (skewness 0,61) appellent à la prudence. Les signaux techniques sont mitigés, avec une tendance baissière à court terme mais des indicateurs de survente suggérant un potentiel de rebond. Les fondamentaux sont solides, avec un ROE de 21,05% et une trésorerie nette positive, et les rapports trimestriels 2026 montrent une amélioration de la rentabilité. Les prédictions IA (3 987 à 3 954 FCFA sur 10 jours) confirment une légère baisse à court terme, cohérente avec les signaux techniques. En synthèse, la convergence entre la solidité fondamentale, les perspectives de redressement et les signaux de survente technique suggère une recommandation **CONSERVER**, avec un niveau de confiance **Moyen** et un risque global **Moyen**. L'horizon d'investissement optimal est le **moyen terme (3-12 mois)**, en attendant la confirmation d'une amélioration durable de la rentabilité et la résolution des risques concurrentiels.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5,238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+115.05%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17.14% (Élevée) — μ=2,031 FCFA, σ=348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β=-0.0958 (Contre-cyclique) — Cov=-0.000003, Var(idx)=0.000036, ρ=-0.017,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σ_j=3.37%/j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2,609</w:t>
            </w:r>
          </w:p>
        </w:tc>
        <w:tc>
          <w:tcPr>
            <w:tcW w:type="dxa" w:w="1440"/>
            <w:shd w:fill="FFDCE0" w:val="clear"/>
          </w:tcPr>
          <w:p>
            <w:r>
              <w:rPr>
                <w:b/>
                <w:sz w:val="17"/>
              </w:rPr>
              <w:t>2,775</w:t>
            </w:r>
          </w:p>
        </w:tc>
        <w:tc>
          <w:tcPr>
            <w:tcW w:type="dxa" w:w="1440"/>
            <w:shd w:fill="FFDCE0" w:val="clear"/>
          </w:tcPr>
          <w:p>
            <w:r>
              <w:rPr>
                <w:sz w:val="17"/>
              </w:rPr>
              <w:t>2,941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2,350</w:t>
            </w:r>
          </w:p>
        </w:tc>
        <w:tc>
          <w:tcPr>
            <w:tcW w:type="dxa" w:w="1440"/>
            <w:shd w:fill="FFDCE0" w:val="clear"/>
          </w:tcPr>
          <w:p>
            <w:r>
              <w:rPr>
                <w:b/>
                <w:sz w:val="17"/>
              </w:rPr>
              <w:t>2,567</w:t>
            </w:r>
          </w:p>
        </w:tc>
        <w:tc>
          <w:tcPr>
            <w:tcW w:type="dxa" w:w="1440"/>
            <w:shd w:fill="FFDCE0" w:val="clear"/>
          </w:tcPr>
          <w:p>
            <w:r>
              <w:rPr>
                <w:sz w:val="17"/>
              </w:rPr>
              <w:t>2,784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2,128</w:t>
            </w:r>
          </w:p>
        </w:tc>
        <w:tc>
          <w:tcPr>
            <w:tcW w:type="dxa" w:w="1440"/>
            <w:shd w:fill="FFDCE0" w:val="clear"/>
          </w:tcPr>
          <w:p>
            <w:r>
              <w:rPr>
                <w:b/>
                <w:sz w:val="17"/>
              </w:rPr>
              <w:t>2,374</w:t>
            </w:r>
          </w:p>
        </w:tc>
        <w:tc>
          <w:tcPr>
            <w:tcW w:type="dxa" w:w="1440"/>
            <w:shd w:fill="FFDCE0" w:val="clear"/>
          </w:tcPr>
          <w:p>
            <w:r>
              <w:rPr>
                <w:sz w:val="17"/>
              </w:rPr>
              <w:t>2,620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1,933</w:t>
            </w:r>
          </w:p>
        </w:tc>
        <w:tc>
          <w:tcPr>
            <w:tcW w:type="dxa" w:w="1440"/>
            <w:shd w:fill="FFDCE0" w:val="clear"/>
          </w:tcPr>
          <w:p>
            <w:r>
              <w:rPr>
                <w:b/>
                <w:sz w:val="17"/>
              </w:rPr>
              <w:t>2,196</w:t>
            </w:r>
          </w:p>
        </w:tc>
        <w:tc>
          <w:tcPr>
            <w:tcW w:type="dxa" w:w="1440"/>
            <w:shd w:fill="FFDCE0" w:val="clear"/>
          </w:tcPr>
          <w:p>
            <w:r>
              <w:rPr>
                <w:sz w:val="17"/>
              </w:rPr>
              <w:t>2,459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2,032</w:t>
            </w:r>
          </w:p>
        </w:tc>
        <w:tc>
          <w:tcPr>
            <w:tcW w:type="dxa" w:w="1440"/>
            <w:shd w:fill="FFDCE0" w:val="clear"/>
          </w:tcPr>
          <w:p>
            <w:r>
              <w:rPr>
                <w:sz w:val="17"/>
              </w:rPr>
              <w:t>2,303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1,604</w:t>
            </w:r>
          </w:p>
        </w:tc>
        <w:tc>
          <w:tcPr>
            <w:tcW w:type="dxa" w:w="1440"/>
            <w:shd w:fill="FFDCE0" w:val="clear"/>
          </w:tcPr>
          <w:p>
            <w:r>
              <w:rPr>
                <w:b/>
                <w:sz w:val="17"/>
              </w:rPr>
              <w:t>1,879</w:t>
            </w:r>
          </w:p>
        </w:tc>
        <w:tc>
          <w:tcPr>
            <w:tcW w:type="dxa" w:w="1440"/>
            <w:shd w:fill="FFDCE0" w:val="clear"/>
          </w:tcPr>
          <w:p>
            <w:r>
              <w:rPr>
                <w:sz w:val="17"/>
              </w:rPr>
              <w:t>2,155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1,463</w:t>
            </w:r>
          </w:p>
        </w:tc>
        <w:tc>
          <w:tcPr>
            <w:tcW w:type="dxa" w:w="1440"/>
            <w:shd w:fill="FFDCE0" w:val="clear"/>
          </w:tcPr>
          <w:p>
            <w:r>
              <w:rPr>
                <w:b/>
                <w:sz w:val="17"/>
              </w:rPr>
              <w:t>1,738</w:t>
            </w:r>
          </w:p>
        </w:tc>
        <w:tc>
          <w:tcPr>
            <w:tcW w:type="dxa" w:w="1440"/>
            <w:shd w:fill="FFDCE0" w:val="clear"/>
          </w:tcPr>
          <w:p>
            <w:r>
              <w:rPr>
                <w:sz w:val="17"/>
              </w:rPr>
              <w:t>2,013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1,336</w:t>
            </w:r>
          </w:p>
        </w:tc>
        <w:tc>
          <w:tcPr>
            <w:tcW w:type="dxa" w:w="1440"/>
            <w:shd w:fill="FFDCE0" w:val="clear"/>
          </w:tcPr>
          <w:p>
            <w:r>
              <w:rPr>
                <w:b/>
                <w:sz w:val="17"/>
              </w:rPr>
              <w:t>1,608</w:t>
            </w:r>
          </w:p>
        </w:tc>
        <w:tc>
          <w:tcPr>
            <w:tcW w:type="dxa" w:w="1440"/>
            <w:shd w:fill="FFDCE0" w:val="clear"/>
          </w:tcPr>
          <w:p>
            <w:r>
              <w:rPr>
                <w:sz w:val="17"/>
              </w:rPr>
              <w:t>1,880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1,269</w:t>
            </w:r>
          </w:p>
        </w:tc>
        <w:tc>
          <w:tcPr>
            <w:tcW w:type="dxa" w:w="1440"/>
            <w:shd w:fill="FFDCE0" w:val="clear"/>
          </w:tcPr>
          <w:p>
            <w:r>
              <w:rPr>
                <w:b/>
                <w:sz w:val="17"/>
              </w:rPr>
              <w:t>1,547</w:t>
            </w:r>
          </w:p>
        </w:tc>
        <w:tc>
          <w:tcPr>
            <w:tcW w:type="dxa" w:w="1440"/>
            <w:shd w:fill="FFDCE0" w:val="clear"/>
          </w:tcPr>
          <w:p>
            <w:r>
              <w:rPr>
                <w:sz w:val="17"/>
              </w:rPr>
              <w:t>1,824</w:t>
            </w:r>
          </w:p>
        </w:tc>
        <w:tc>
          <w:tcPr>
            <w:tcW w:type="dxa" w:w="1440"/>
            <w:shd w:fill="FFDCE0" w:val="clear"/>
          </w:tcPr>
          <w:p>
            <w:r>
              <w:rPr>
                <w:b/>
                <w:color w:val="C00000"/>
                <w:sz w:val="17"/>
              </w:rPr>
              <w:t>-48.4%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1,211</w:t>
            </w:r>
          </w:p>
        </w:tc>
        <w:tc>
          <w:tcPr>
            <w:tcW w:type="dxa" w:w="1440"/>
            <w:shd w:fill="FFDCE0" w:val="clear"/>
          </w:tcPr>
          <w:p>
            <w:r>
              <w:rPr>
                <w:b/>
                <w:sz w:val="17"/>
              </w:rPr>
              <w:t>1,494</w:t>
            </w:r>
          </w:p>
        </w:tc>
        <w:tc>
          <w:tcPr>
            <w:tcW w:type="dxa" w:w="1440"/>
            <w:shd w:fill="FFDCE0" w:val="clear"/>
          </w:tcPr>
          <w:p>
            <w:r>
              <w:rPr>
                <w:sz w:val="17"/>
              </w:rPr>
              <w:t>1,777</w:t>
            </w:r>
          </w:p>
        </w:tc>
        <w:tc>
          <w:tcPr>
            <w:tcW w:type="dxa" w:w="1440"/>
            <w:shd w:fill="FFDCE0" w:val="clear"/>
          </w:tcPr>
          <w:p>
            <w:r>
              <w:rPr>
                <w:b/>
                <w:color w:val="C00000"/>
                <w:sz w:val="17"/>
              </w:rPr>
              <w:t>-50.2%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w:t>
        <w:br/>
        <w:t>**Date : 28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NEIC s'établit à 38,30 milliards FCFA, un niveau significatif pour une entreprise de taille moyenne sur la BRVM. Avec un BPA de 160 FCFA, le titre se négocie à un PER de 18,8x, nettement supérieur à la moyenne historique du marché (~8-12x), indiquant que les investisseurs paient une prime substantielle pour les bénéfices actuels. Le P/B de 6,65x confirme cette tendance, le marché valorisant le titre plus de six fois sa valeur comptable, ce qui reflète des attentes de croissance très élevées. L'EV/EBITDA de 28,5x est également très exigeant, suggérant que la valeur d'entreprise intègre une forte anticipation de performance opérationnelle future. Ces ratios, combinés, signalent une valorisation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progression spectaculaire de +115,05%, avec une dernière séance en hausse de +7,14% pour clôturer à 3 000 FCFA, son plus haut niveau sur la période. Le titre a évolué dans une fourchette très large, allant d'un plancher de 1 365 FCFA à ce sommet historique. La moyenne du cours sur la période (2 031 FCFA) est inférieure à la médiane (2 118 FCFA), et le skewness négatif (-0,416) indique une distribution légèrement asymétrique avec une queue à gauche, suggérant que les fortes hausses récentes sont récentes. L'écart-type de 350 FCFA (CV de 17,2%) montre une dispersion modérée, tandis que le kurtosis mésokurtique (-0,046) indique l'absence de pics extrêmes dans la distribution. La volatilité annualisée de 53,4% est très élevée, classant NEIC parmi les titres les plus risqués du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(3 000 FCFA) se situe nettement au-dessus de la MM20 (2 348 FCFA) et de la MM50 (2 289,5 FCFA), confirmant une tendance haussière forte. L'écart positif entre le prix et les moyennes indique un momentum puissant, justifiant la décision d'achat.</w:t>
      </w:r>
    </w:p>
    <w:p>
      <w:pPr>
        <w:spacing w:after="120" w:line="276" w:lineRule="auto"/>
      </w:pPr>
      <w:r>
        <w:t>**Bandes de Bollinger** : Le prix a franchi la borne supérieure (2 805,57 FCFA), un signal classique de surachat. Cette sortie de canal suggère une volatilité extrême et une possible correction à court terme, d'où la décision de vente.</w:t>
      </w:r>
    </w:p>
    <w:p>
      <w:pPr>
        <w:spacing w:after="120" w:line="276" w:lineRule="auto"/>
      </w:pPr>
      <w:r>
        <w:t>**MACD** : Le MACD (133,355) est largement au-dessus de sa ligne de signal (56,553), indiquant un momentum haussier très fort. La divergence positive confirme la dynamique ascendante, bien que l'ampleur de l'écart puisse signaler une exubérance excessive.</w:t>
      </w:r>
    </w:p>
    <w:p>
      <w:pPr>
        <w:spacing w:after="120" w:line="276" w:lineRule="auto"/>
      </w:pPr>
      <w:r>
        <w:t>**RSI** : À 91,549, le RSI est en zone de surachat extrême (au-delà de 70), indiquant que le titre est survendu à la hausse. Historiquement, de tels niveaux précèdent souvent des corrections, justifiant la décision de vente.</w:t>
      </w:r>
    </w:p>
    <w:p>
      <w:pPr>
        <w:spacing w:after="120" w:line="276" w:lineRule="auto"/>
      </w:pPr>
      <w:r>
        <w:t>**Stochastique** : Le %K et le %D sont tous deux à 100,0, en zone de surachat maximal. Cette configuration extrême suggère que le mouvement haussier est arrivé à son terme à court terme, renforçant la décision de vente.</w:t>
      </w:r>
    </w:p>
    <w:p>
      <w:pPr>
        <w:spacing w:after="120" w:line="276" w:lineRule="auto"/>
      </w:pPr>
      <w:r>
        <w:t>**Conclusion technique** : Les indicateurs de tendance (MM, MACD) sont positifs, mais tous les oscillateurs de momentum (RSI, Stochastique, Bollinger) sont en zone de surachat extrême. Cette divergence classique signale un risque élevé de correction à court terme, malgré la force de la tendance sous-jacente.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chiffre d'affaires de 5,139 milliards FCFA, en baisse de -23,8% par rapport à l'exercice précédent, mais d'un résultat net exceptionnel de 2,037 milliards FCFA, porté par la reprise d'une provision fiscale (gain non récurrent). La marge nette atteint 39,6%, un niveau artificiellement élevé, tandis que le ROE de 35,4% et le ROA de 27,3% sont excellents, mais également gonflés par cet élément exceptionnel. La structure financière est très saine avec une autonomie financière de 77% et une trésorerie nette de 4,196 milliards FCFA. Cependant, le BFR de 1,498 milliards et le délai clients de 154,7 jours constituent des risques de trésorerie. Les rapports trimestriels 2025 (T1 : CA de 48,5 millions, perte de -189,9 millions ; T3 : CA de 3,406 milliards, bénéfice de 1,596 milliards) confirment la forte saisonnalité et la faiblesse opérationnelle hors éléments exceptionnels. Le rapport T1 2026 montre une amélioration (CA +137% à 115,1 millions, perte réduite à -168,9 millions), mais la rentabilité reste lointaine. On estime que l'exercice 2026 devrait voir un CA en croissance modérée, mais un résultat net en forte baisse par rapport à 2025, hors nouveaux éléments exceptionnels.</w:t>
      </w:r>
    </w:p>
    <w:p>
      <w:pPr>
        <w:spacing w:after="120" w:line="276" w:lineRule="auto"/>
      </w:pPr>
      <w:r>
        <w:t>---</w:t>
      </w:r>
    </w:p>
    <w:p>
      <w:pPr>
        <w:spacing w:after="120" w:line="276" w:lineRule="auto"/>
      </w:pPr>
      <w:r>
        <w:t>### PARTIE 4 : CONCLUSION D'INVESTISSEMENT</w:t>
      </w:r>
    </w:p>
    <w:p>
      <w:pPr>
        <w:spacing w:after="120" w:line="276" w:lineRule="auto"/>
      </w:pPr>
      <w:r>
        <w:t>La valorisation de NEIC est extrêmement exigeante (PER 18,8x, P/B 6,65x, EV/EBITDA 28,5x), intégrant des attentes de croissance qui ne sont pas soutenues par les fondamentaux opérationnels, marqués par une baisse du CA et des bénéfices dépendants d'éléments non récurrents. Le comportement du cours (+115% en 100 jours) et les signaux techniques (RSI 91,5, Stochastique 100, sortie des bandes de Bollinger) indiquent un surachat extrême et un risque de correction imminent. Les fondamentaux, bien que solides en termes de bilan (trésorerie, autonomie financière), montrent une rentabilité récurrente fragile. Les prédictions IA (baisse de 3 000 à 2 032 FCFA sur 10 jours) confirment cette anticipation de correction. En synthèse, la convergence entre la surévaluation, les signaux techniques de surachat et les prédictions IA est forte. **Recommandation : VENTE** pour les investisseurs à court terme, avec un niveau de confiance **Élevé** et un risque global **Élevé**. Pour les investisseurs de long terme, il est conseillé d'attendre une correction significative (vers 2 000-2 200 FCFA) avant d'envisager une position, l'horizon optimal étant le **court terme (&lt;3 mois)** pour les traders, et le **moyen terme (3-12 mois)** pour une réévaluation après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2,014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+58.95%</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18.93% (Élevée) — μ=18,956 FCFA, σ=3,588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β=1.2274 (Agressif) — Cov=0.000045, Var(idx)=0.000036, ρ=0.309,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22,229</w:t>
            </w:r>
          </w:p>
        </w:tc>
        <w:tc>
          <w:tcPr>
            <w:tcW w:type="dxa" w:w="1440"/>
            <w:shd w:fill="C6EFCE" w:val="clear"/>
          </w:tcPr>
          <w:p>
            <w:r>
              <w:rPr>
                <w:b/>
                <w:sz w:val="17"/>
              </w:rPr>
              <w:t>23,070</w:t>
            </w:r>
          </w:p>
        </w:tc>
        <w:tc>
          <w:tcPr>
            <w:tcW w:type="dxa" w:w="1440"/>
            <w:shd w:fill="C6EFCE" w:val="clear"/>
          </w:tcPr>
          <w:p>
            <w:r>
              <w:rPr>
                <w:sz w:val="17"/>
              </w:rPr>
              <w:t>23,910</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22,276</w:t>
            </w:r>
          </w:p>
        </w:tc>
        <w:tc>
          <w:tcPr>
            <w:tcW w:type="dxa" w:w="1440"/>
            <w:shd w:fill="C6EFCE" w:val="clear"/>
          </w:tcPr>
          <w:p>
            <w:r>
              <w:rPr>
                <w:b/>
                <w:sz w:val="17"/>
              </w:rPr>
              <w:t>23,486</w:t>
            </w:r>
          </w:p>
        </w:tc>
        <w:tc>
          <w:tcPr>
            <w:tcW w:type="dxa" w:w="1440"/>
            <w:shd w:fill="C6EFCE" w:val="clear"/>
          </w:tcPr>
          <w:p>
            <w:r>
              <w:rPr>
                <w:sz w:val="17"/>
              </w:rPr>
              <w:t>24,696</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22,380</w:t>
            </w:r>
          </w:p>
        </w:tc>
        <w:tc>
          <w:tcPr>
            <w:tcW w:type="dxa" w:w="1440"/>
            <w:shd w:fill="C6EFCE" w:val="clear"/>
          </w:tcPr>
          <w:p>
            <w:r>
              <w:rPr>
                <w:b/>
                <w:sz w:val="17"/>
              </w:rPr>
              <w:t>23,888</w:t>
            </w:r>
          </w:p>
        </w:tc>
        <w:tc>
          <w:tcPr>
            <w:tcW w:type="dxa" w:w="1440"/>
            <w:shd w:fill="C6EFCE" w:val="clear"/>
          </w:tcPr>
          <w:p>
            <w:r>
              <w:rPr>
                <w:sz w:val="17"/>
              </w:rPr>
              <w:t>25,395</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22,507</w:t>
            </w:r>
          </w:p>
        </w:tc>
        <w:tc>
          <w:tcPr>
            <w:tcW w:type="dxa" w:w="1440"/>
            <w:shd w:fill="C6EFCE" w:val="clear"/>
          </w:tcPr>
          <w:p>
            <w:r>
              <w:rPr>
                <w:b/>
                <w:sz w:val="17"/>
              </w:rPr>
              <w:t>24,276</w:t>
            </w:r>
          </w:p>
        </w:tc>
        <w:tc>
          <w:tcPr>
            <w:tcW w:type="dxa" w:w="1440"/>
            <w:shd w:fill="C6EFCE" w:val="clear"/>
          </w:tcPr>
          <w:p>
            <w:r>
              <w:rPr>
                <w:sz w:val="17"/>
              </w:rPr>
              <w:t>26,044</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22,652</w:t>
            </w:r>
          </w:p>
        </w:tc>
        <w:tc>
          <w:tcPr>
            <w:tcW w:type="dxa" w:w="1440"/>
            <w:shd w:fill="C6EFCE" w:val="clear"/>
          </w:tcPr>
          <w:p>
            <w:r>
              <w:rPr>
                <w:b/>
                <w:sz w:val="17"/>
              </w:rPr>
              <w:t>24,661</w:t>
            </w:r>
          </w:p>
        </w:tc>
        <w:tc>
          <w:tcPr>
            <w:tcW w:type="dxa" w:w="1440"/>
            <w:shd w:fill="C6EFCE" w:val="clear"/>
          </w:tcPr>
          <w:p>
            <w:r>
              <w:rPr>
                <w:sz w:val="17"/>
              </w:rPr>
              <w:t>26,669</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22,810</w:t>
            </w:r>
          </w:p>
        </w:tc>
        <w:tc>
          <w:tcPr>
            <w:tcW w:type="dxa" w:w="1440"/>
            <w:shd w:fill="C6EFCE" w:val="clear"/>
          </w:tcPr>
          <w:p>
            <w:r>
              <w:rPr>
                <w:b/>
                <w:sz w:val="17"/>
              </w:rPr>
              <w:t>25,045</w:t>
            </w:r>
          </w:p>
        </w:tc>
        <w:tc>
          <w:tcPr>
            <w:tcW w:type="dxa" w:w="1440"/>
            <w:shd w:fill="C6EFCE" w:val="clear"/>
          </w:tcPr>
          <w:p>
            <w:r>
              <w:rPr>
                <w:sz w:val="17"/>
              </w:rPr>
              <w:t>27,279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22,977</w:t>
            </w:r>
          </w:p>
        </w:tc>
        <w:tc>
          <w:tcPr>
            <w:tcW w:type="dxa" w:w="1440"/>
            <w:shd w:fill="C6EFCE" w:val="clear"/>
          </w:tcPr>
          <w:p>
            <w:r>
              <w:rPr>
                <w:b/>
                <w:sz w:val="17"/>
              </w:rPr>
              <w:t>25,428</w:t>
            </w:r>
          </w:p>
        </w:tc>
        <w:tc>
          <w:tcPr>
            <w:tcW w:type="dxa" w:w="1440"/>
            <w:shd w:fill="C6EFCE" w:val="clear"/>
          </w:tcPr>
          <w:p>
            <w:r>
              <w:rPr>
                <w:sz w:val="17"/>
              </w:rPr>
              <w:t>27,879</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23,153</w:t>
            </w:r>
          </w:p>
        </w:tc>
        <w:tc>
          <w:tcPr>
            <w:tcW w:type="dxa" w:w="1440"/>
            <w:shd w:fill="C6EFCE" w:val="clear"/>
          </w:tcPr>
          <w:p>
            <w:r>
              <w:rPr>
                <w:b/>
                <w:sz w:val="17"/>
              </w:rPr>
              <w:t>25,812</w:t>
            </w:r>
          </w:p>
        </w:tc>
        <w:tc>
          <w:tcPr>
            <w:tcW w:type="dxa" w:w="1440"/>
            <w:shd w:fill="C6EFCE" w:val="clear"/>
          </w:tcPr>
          <w:p>
            <w:r>
              <w:rPr>
                <w:sz w:val="17"/>
              </w:rPr>
              <w:t>28,472</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23,333</w:t>
            </w:r>
          </w:p>
        </w:tc>
        <w:tc>
          <w:tcPr>
            <w:tcW w:type="dxa" w:w="1440"/>
            <w:shd w:fill="C6EFCE" w:val="clear"/>
          </w:tcPr>
          <w:p>
            <w:r>
              <w:rPr>
                <w:b/>
                <w:sz w:val="17"/>
              </w:rPr>
              <w:t>26,196</w:t>
            </w:r>
          </w:p>
        </w:tc>
        <w:tc>
          <w:tcPr>
            <w:tcW w:type="dxa" w:w="1440"/>
            <w:shd w:fill="C6EFCE" w:val="clear"/>
          </w:tcPr>
          <w:p>
            <w:r>
              <w:rPr>
                <w:sz w:val="17"/>
              </w:rPr>
              <w:t>29,059</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23,518</w:t>
            </w:r>
          </w:p>
        </w:tc>
        <w:tc>
          <w:tcPr>
            <w:tcW w:type="dxa" w:w="1440"/>
            <w:shd w:fill="C6EFCE" w:val="clear"/>
          </w:tcPr>
          <w:p>
            <w:r>
              <w:rPr>
                <w:b/>
                <w:sz w:val="17"/>
              </w:rPr>
              <w:t>26,580</w:t>
            </w:r>
          </w:p>
        </w:tc>
        <w:tc>
          <w:tcPr>
            <w:tcW w:type="dxa" w:w="1440"/>
            <w:shd w:fill="C6EFCE" w:val="clear"/>
          </w:tcPr>
          <w:p>
            <w:r>
              <w:rPr>
                <w:sz w:val="17"/>
              </w:rPr>
              <w:t>29,642</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556,53 milliards FCFA, ce qui positionne la banque parmi les valeurs les plus significatives de la BRVM, reflétant la confiance des investisseurs dans le secteur bancaire ivoirien. Le BPA de 1 646 FCFA indique que chaque action génère un bénéfice substantiel, justifiant un PER de 13,7x. Ce ratio, bien que supérieur à la moyenne historique de la BRVM (8-12x), reste modéré et témoigne d'une valorisation raisonnable pour une banque de cette envergure. Le P/B de 2,39x montre que le marché accorde une prime de croissance à la valeur comptable, ce qui est cohérent avec les performances passées. Enfin, l'EV/EBITDA de 21,2x apparaît exigeant, signalant que le marché intègre déjà des perspectives de croissance future significatives dans le prix de l'action.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+58,95%, passant d'un plus bas de 13 810 FCFA à un plus haut de 24 020 FCFA, avec une clôture actuelle à 22 500 FCFA. La variation à J-1 est nulle, indiquant une pause dans le mouvement haussier. La moyenne du cours sur la période (18 956 FCFA) est inférieure à la médiane (19 250 FCFA), suggérant une distribution légèrement asymétrique avec une concentration des valeurs vers le bas de la fourchette. L'écart-type de 3 606 FCFA (CV=19%) révèle une dispersion modérée, tandis que le kurtosis négatif (-1,398) indique une distribution aplatie, sans pics extrêmes. Le skewness de -0,212 confirme une symétrie relative. La volatilité annualisée de 37,7% classe le titre comme très volatil,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La MM20 à 23 218,25 FCFA et la MM50 à 21 980,5 FCFA sont toutes deux inférieures au cours actuel de 22 500 FCFA, bien que le prix soit légèrement sous la MM20. Cette configuration indique une tendance haussière à moyen terme, avec un signal d'achat confirmé par la position du cours au-dessus de la MM50.</w:t>
      </w:r>
    </w:p>
    <w:p>
      <w:pPr>
        <w:spacing w:after="120" w:line="276" w:lineRule="auto"/>
      </w:pPr>
      <w:r>
        <w:t>**Bandes de Bollinger** : Le cours évolue près de la borne inférieure (22 294,55 FCFA) après avoir touché la borne supérieure (24 141,95 FCFA), suggérant un récent repli dans un canal haussier. La décision neutre reflète une volatilité en cours de contraction, avec un potentiel de rebond vers la moyenne.</w:t>
      </w:r>
    </w:p>
    <w:p>
      <w:pPr>
        <w:spacing w:after="120" w:line="276" w:lineRule="auto"/>
      </w:pPr>
      <w:r>
        <w:t>**MACD** : La valeur du MACD (106,57) est inférieure au signal (307,82), indiquant un momentum baissier à court terme malgré la tendance haussière sous-jacente. Ce croisement baissier suggère une consolidation avant une éventuelle reprise.</w:t>
      </w:r>
    </w:p>
    <w:p>
      <w:pPr>
        <w:spacing w:after="120" w:line="276" w:lineRule="auto"/>
      </w:pPr>
      <w:r>
        <w:t>**RSI** : À 18,56, le RSI est en zone de survente sévère (&lt;30), signalant une correction excessive et un potentiel de rebond technique. Ce niveau extrême renforce la probabilité d'un mouvement haussier à court terme.</w:t>
      </w:r>
    </w:p>
    <w:p>
      <w:pPr>
        <w:spacing w:after="120" w:line="276" w:lineRule="auto"/>
      </w:pPr>
      <w:r>
        <w:t>**Stochastique** : Les valeurs %K et %D à 0,0 confirment une condition de survente extrême, avec un croisement haussier potentiel imminent. Ce signal d'achat renforce la perspective de reprise.</w:t>
      </w:r>
    </w:p>
    <w:p>
      <w:pPr>
        <w:spacing w:after="120" w:line="276" w:lineRule="auto"/>
      </w:pPr>
      <w:r>
        <w:t>**Conclusion technique** : Les indicateurs montrent une divergence entre la tendance haussière de fond (MM) et les signaux de survente à court terme (RSI, Stochastique). Cette configuration suggère une consolidation temporaire avant une reprise haussière, avec un biais positif pour les prochaines séances.</w:t>
      </w:r>
    </w:p>
    <w:p>
      <w:pPr>
        <w:spacing w:after="120" w:line="276" w:lineRule="auto" w:before="240"/>
      </w:pPr>
      <w:r>
        <w:rPr>
          <w:b/>
          <w:color w:val="003366"/>
          <w:sz w:val="24"/>
        </w:rPr>
        <w:t>**PARTIE 3 : ANALYSE FONDAMENTALE (SECTION CRITIQUE)**</w:t>
      </w:r>
    </w:p>
    <w:p>
      <w:pPr>
        <w:spacing w:after="120" w:line="276" w:lineRule="auto"/>
      </w:pPr>
      <w:r>
        <w:t>En 2025, NSBC a affiché un PNB de 112,928 milliards FCFA, en hausse de 15% par rapport à 2024, avec un résultat net de 40,712 milliards FCFA, en progression de 7%. Le ROE de 17,45% et le ROA de 1,32% confirment une rentabilité solide, tandis que le coefficient d'exploitation de 54,59% témoigne d'une excellente maîtrise des charges. Le coût du risque de 7,54% reste élevé, reflétant une politique de provisionnement prudente. Les dépôts clientèle (2 242 milliards FCFA) couvrent largement les crédits (1 818 milliards FCFA), assurant une transformation saine. Le rapport T1 2026 (daté du 31/03/2026) montre une accélération spectaculaire avec un PNB de 28,6 milliards FCFA (+28%) et un résultat net de 10,9 milliards FCFA (+53%), porté par l'activité titres. Sur cette base, on estime que l'exercice 2026 pourrait dépasser les 45 milliards FCFA de résultat net, confirmant la dynamique positive. Les fondamentaux restent robustes, avec une recommandation d'achat des analystes, malgré le risque de concentration sur les revenus de titres.</w:t>
      </w:r>
    </w:p>
    <w:p>
      <w:pPr>
        <w:spacing w:after="120" w:line="276" w:lineRule="auto" w:before="240"/>
      </w:pPr>
      <w:r>
        <w:rPr>
          <w:b/>
          <w:color w:val="003366"/>
          <w:sz w:val="24"/>
        </w:rPr>
        <w:t>**PARTIE 4 : CONCLUSION D'INVESTISSEMENT**</w:t>
      </w:r>
    </w:p>
    <w:p>
      <w:pPr>
        <w:spacing w:after="120" w:line="276" w:lineRule="auto"/>
      </w:pPr>
      <w:r>
        <w:t>La valorisation de NSBC (PER 13,7x, P/B 2,39x) est légèrement supérieure à la moyenne BRVM, mais justifiée par une croissance soutenue et une rentabilité élevée. Le comportement du cours (+58,95% sur 100 jours) et la volatilité élevée (37,7%) indiquent un titre dynamique mais risqué. Les signaux techniques sont mitigés : tendance haussière (MM) mais survente à court terme (RSI, Stochastique), suggérant un point d'entrée potentiel. Les fondamentaux sont excellents, avec une accélération au T1 2026 et des perspectives favorables. Les prédictions IA (+2,5% à +9,6% sur 10 jours) confirment la trajectoire haussière. La convergence entre la solidité financière, la dynamique de croissance et les signaux techniques de survente justifie une recommandation **ACHAT FORT**, avec un niveau de confiance **Élevé** et un risque global **Moyen**. L'horizon d'investissement optimal est le **moyen terme (3-12 mois)**, pour capitaliser sur la reprise technique et la croissance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350.92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1,497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007800"/>
                <w:sz w:val="17"/>
              </w:rPr>
              <w:t>+27.71%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14.03% (Moyenne) — μ=14,466 FCFA, σ=2,030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β=0.0363 (Défensif) — Cov=0.000001, Var(idx)=0.000036, ρ=0.010,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16,152</w:t>
            </w:r>
          </w:p>
        </w:tc>
        <w:tc>
          <w:tcPr>
            <w:tcW w:type="dxa" w:w="1440"/>
            <w:shd w:fill="C6EFCE" w:val="clear"/>
          </w:tcPr>
          <w:p>
            <w:r>
              <w:rPr>
                <w:b/>
                <w:sz w:val="17"/>
              </w:rPr>
              <w:t>16,554</w:t>
            </w:r>
          </w:p>
        </w:tc>
        <w:tc>
          <w:tcPr>
            <w:tcW w:type="dxa" w:w="1440"/>
            <w:shd w:fill="C6EFCE" w:val="clear"/>
          </w:tcPr>
          <w:p>
            <w:r>
              <w:rPr>
                <w:sz w:val="17"/>
              </w:rPr>
              <w:t>16,956</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15,883</w:t>
            </w:r>
          </w:p>
        </w:tc>
        <w:tc>
          <w:tcPr>
            <w:tcW w:type="dxa" w:w="1440"/>
            <w:shd w:fill="C6EFCE" w:val="clear"/>
          </w:tcPr>
          <w:p>
            <w:r>
              <w:rPr>
                <w:b/>
                <w:sz w:val="17"/>
              </w:rPr>
              <w:t>16,448</w:t>
            </w:r>
          </w:p>
        </w:tc>
        <w:tc>
          <w:tcPr>
            <w:tcW w:type="dxa" w:w="1440"/>
            <w:shd w:fill="C6EFCE" w:val="clear"/>
          </w:tcPr>
          <w:p>
            <w:r>
              <w:rPr>
                <w:sz w:val="17"/>
              </w:rPr>
              <w:t>17,012</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15,697</w:t>
            </w:r>
          </w:p>
        </w:tc>
        <w:tc>
          <w:tcPr>
            <w:tcW w:type="dxa" w:w="1440"/>
            <w:shd w:fill="C6EFCE" w:val="clear"/>
          </w:tcPr>
          <w:p>
            <w:r>
              <w:rPr>
                <w:b/>
                <w:sz w:val="17"/>
              </w:rPr>
              <w:t>16,386</w:t>
            </w:r>
          </w:p>
        </w:tc>
        <w:tc>
          <w:tcPr>
            <w:tcW w:type="dxa" w:w="1440"/>
            <w:shd w:fill="C6EFCE" w:val="clear"/>
          </w:tcPr>
          <w:p>
            <w:r>
              <w:rPr>
                <w:sz w:val="17"/>
              </w:rPr>
              <w:t>17,075</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15,546</w:t>
            </w:r>
          </w:p>
        </w:tc>
        <w:tc>
          <w:tcPr>
            <w:tcW w:type="dxa" w:w="1440"/>
            <w:shd w:fill="C6EFCE" w:val="clear"/>
          </w:tcPr>
          <w:p>
            <w:r>
              <w:rPr>
                <w:b/>
                <w:sz w:val="17"/>
              </w:rPr>
              <w:t>16,339</w:t>
            </w:r>
          </w:p>
        </w:tc>
        <w:tc>
          <w:tcPr>
            <w:tcW w:type="dxa" w:w="1440"/>
            <w:shd w:fill="C6EFCE" w:val="clear"/>
          </w:tcPr>
          <w:p>
            <w:r>
              <w:rPr>
                <w:sz w:val="17"/>
              </w:rPr>
              <w:t>17,132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15,410</w:t>
            </w:r>
          </w:p>
        </w:tc>
        <w:tc>
          <w:tcPr>
            <w:tcW w:type="dxa" w:w="1440"/>
            <w:shd w:fill="C6EFCE" w:val="clear"/>
          </w:tcPr>
          <w:p>
            <w:r>
              <w:rPr>
                <w:b/>
                <w:sz w:val="17"/>
              </w:rPr>
              <w:t>16,295</w:t>
            </w:r>
          </w:p>
        </w:tc>
        <w:tc>
          <w:tcPr>
            <w:tcW w:type="dxa" w:w="1440"/>
            <w:shd w:fill="C6EFCE" w:val="clear"/>
          </w:tcPr>
          <w:p>
            <w:r>
              <w:rPr>
                <w:sz w:val="17"/>
              </w:rPr>
              <w:t>17,179</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15,285</w:t>
            </w:r>
          </w:p>
        </w:tc>
        <w:tc>
          <w:tcPr>
            <w:tcW w:type="dxa" w:w="1440"/>
            <w:shd w:fill="C6EFCE" w:val="clear"/>
          </w:tcPr>
          <w:p>
            <w:r>
              <w:rPr>
                <w:b/>
                <w:sz w:val="17"/>
              </w:rPr>
              <w:t>16,251</w:t>
            </w:r>
          </w:p>
        </w:tc>
        <w:tc>
          <w:tcPr>
            <w:tcW w:type="dxa" w:w="1440"/>
            <w:shd w:fill="C6EFCE" w:val="clear"/>
          </w:tcPr>
          <w:p>
            <w:r>
              <w:rPr>
                <w:sz w:val="17"/>
              </w:rPr>
              <w:t>17,217</w:t>
            </w:r>
          </w:p>
        </w:tc>
        <w:tc>
          <w:tcPr>
            <w:tcW w:type="dxa" w:w="1440"/>
            <w:shd w:fill="C6EFCE" w:val="clear"/>
          </w:tcPr>
          <w:p>
            <w:r>
              <w:rPr>
                <w:b/>
                <w:color w:val="008000"/>
                <w:sz w:val="17"/>
              </w:rPr>
              <w:t>+2.2%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15,167</w:t>
            </w:r>
          </w:p>
        </w:tc>
        <w:tc>
          <w:tcPr>
            <w:tcW w:type="dxa" w:w="1440"/>
            <w:shd w:fill="FAFAFA" w:val="clear"/>
          </w:tcPr>
          <w:p>
            <w:r>
              <w:rPr>
                <w:b/>
                <w:sz w:val="17"/>
              </w:rPr>
              <w:t>16,207</w:t>
            </w:r>
          </w:p>
        </w:tc>
        <w:tc>
          <w:tcPr>
            <w:tcW w:type="dxa" w:w="1440"/>
            <w:shd w:fill="FAFAFA" w:val="clear"/>
          </w:tcPr>
          <w:p>
            <w:r>
              <w:rPr>
                <w:sz w:val="17"/>
              </w:rPr>
              <w:t>17,248</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15,055</w:t>
            </w:r>
          </w:p>
        </w:tc>
        <w:tc>
          <w:tcPr>
            <w:tcW w:type="dxa" w:w="1440"/>
            <w:shd w:fill="FAFAFA" w:val="clear"/>
          </w:tcPr>
          <w:p>
            <w:r>
              <w:rPr>
                <w:b/>
                <w:sz w:val="17"/>
              </w:rPr>
              <w:t>16,164</w:t>
            </w:r>
          </w:p>
        </w:tc>
        <w:tc>
          <w:tcPr>
            <w:tcW w:type="dxa" w:w="1440"/>
            <w:shd w:fill="FAFAFA" w:val="clear"/>
          </w:tcPr>
          <w:p>
            <w:r>
              <w:rPr>
                <w:sz w:val="17"/>
              </w:rPr>
              <w:t>17,274</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14,948</w:t>
            </w:r>
          </w:p>
        </w:tc>
        <w:tc>
          <w:tcPr>
            <w:tcW w:type="dxa" w:w="1440"/>
            <w:shd w:fill="FAFAFA" w:val="clear"/>
          </w:tcPr>
          <w:p>
            <w:r>
              <w:rPr>
                <w:b/>
                <w:sz w:val="17"/>
              </w:rPr>
              <w:t>16,122</w:t>
            </w:r>
          </w:p>
        </w:tc>
        <w:tc>
          <w:tcPr>
            <w:tcW w:type="dxa" w:w="1440"/>
            <w:shd w:fill="FAFAFA" w:val="clear"/>
          </w:tcPr>
          <w:p>
            <w:r>
              <w:rPr>
                <w:sz w:val="17"/>
              </w:rPr>
              <w:t>17,295</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14,846</w:t>
            </w:r>
          </w:p>
        </w:tc>
        <w:tc>
          <w:tcPr>
            <w:tcW w:type="dxa" w:w="1440"/>
            <w:shd w:fill="FAFAFA" w:val="clear"/>
          </w:tcPr>
          <w:p>
            <w:r>
              <w:rPr>
                <w:b/>
                <w:sz w:val="17"/>
              </w:rPr>
              <w:t>16,079</w:t>
            </w:r>
          </w:p>
        </w:tc>
        <w:tc>
          <w:tcPr>
            <w:tcW w:type="dxa" w:w="1440"/>
            <w:shd w:fill="FAFAFA" w:val="clear"/>
          </w:tcPr>
          <w:p>
            <w:r>
              <w:rPr>
                <w:sz w:val="17"/>
              </w:rPr>
              <w:t>17,313</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professionnel structuré pour l'action NTLC (Nestlé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350,92 milliards FCFA, NTLC se positionne comme une valeur de premier plan sur la BRVM, reflétant la confiance des investisseurs dans ce leader des biens de consommation. Le BPA de 835 FCFA indique que chaque action génère un bénéfice substantiel. Le PER de 19,0x est nettement supérieur à la moyenne historique de la BRVM (8-12x), signifiant que les investisseurs acceptent de payer une prime pour la qualité perçue et la stabilité de l'entreprise. Cette prime est encore plus flagrante avec un P/B de 11,86x, qui valorise fortement l'actif net comptable, un niveau exigeant qui reflète une rentabilité des fonds propres exceptionnelle. Enfin, un EV/EBITDA de 9,5x, dans la fourchette raisonnable, tempère cette vision en indiquant que la valeur totale de l'entreprise reste cohérente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avec une variation totale de +27,71%, bien que la dernière séance ait enregistré un recul marqué de -5,92% à 15 900 FCFA. Le titre a évolué dans une fourchette large, entre un plus bas de 11 150 FCFA et un plus haut de 17 450 FCFA, démontrant une forte dynamique haussière sur la période. La moyenne du cours (14 466 FCFA) est inférieure à la médiane (15 000 FCFA) et au mode (16 900 FCFA), suggérant une distribution légèrement asymétrique avec des phases d'accumulation à des prix plus bas. L'écart-type de 2 040 FCFA (CV de 14,1%) indique une dispersion modérée autour de la moyenne. Le kurtosis négatif (-1.620) signale une distribution "aplatie", avec moins de valeurs extrêmes que la normale, tandis que le skewness légèrement négatif (-0.104) confirme une symétrie quasi-parfaite. La volatilité annualisée de 35,0% classe NTLC comme une valeur à forte volatilité, ce qui implique un risque de cours élevé mais aussi un potentiel de gains substantiels.</w:t>
      </w:r>
    </w:p>
    <w:p>
      <w:pPr>
        <w:spacing w:after="120" w:line="276" w:lineRule="auto"/>
      </w:pPr>
      <w:r>
        <w:t>### **PARTIE 2 : ANALYSE TECHNIQUE DÉTAILLÉE**</w:t>
      </w:r>
    </w:p>
    <w:p>
      <w:pPr>
        <w:spacing w:after="120" w:line="276" w:lineRule="auto"/>
      </w:pPr>
      <w:r>
        <w:t>**Moyennes Mobiles:** Le cours actuel (15 900 FCFA) est inférieur à la MM20 (16 890,75 FCFA) et à la MM50 (16 288,6 FCFA). Bien que la décision globale soit "Achat", cette configuration indique un repli à court terme sous ces moyennes, ce qui pourrait signaler un essoufflement de la tendance haussière récente. Le fait que la MM20 soit au-dessus de la MM50 confirme que la tendance de fond reste positive, mais le prix doit repasser au-dessus de ces niveaux pour retrouver un élan haussier.</w:t>
      </w:r>
    </w:p>
    <w:p>
      <w:pPr>
        <w:spacing w:after="120" w:line="276" w:lineRule="auto"/>
      </w:pPr>
      <w:r>
        <w:t>**Bandes de Bollinger:** Le cours se situe sous la borne inférieure des bandes (16 087,655 FCFA), ce qui est un signal technique fort de survente à court terme. Cela suggère que le prix a chuté de manière excessive et qu'un rebond technique est possible. La décision "Achat" associée à cette configuration indique que le marché pourrait considérer cette baisse comme une opportunité d'achat, anticipant un retour du prix à l'intérieur des bandes.</w:t>
      </w:r>
    </w:p>
    <w:p>
      <w:pPr>
        <w:spacing w:after="120" w:line="276" w:lineRule="auto"/>
      </w:pPr>
      <w:r>
        <w:t>**MACD:** La valeur du MACD (135,644) est inférieure à son signal (285,041), ce qui constitue un croisement baissier. Ce signal de "Vente" indique un affaiblissement du momentum haussier. La dynamique positive qui a porté le titre semble perdre de la vigueur, et cette divergence suggère une possible poursuite de la correction à court terme avant une éventuelle stabilisation.</w:t>
      </w:r>
    </w:p>
    <w:p>
      <w:pPr>
        <w:spacing w:after="120" w:line="276" w:lineRule="auto"/>
      </w:pPr>
      <w:r>
        <w:t>**RSI:** Avec une valeur de 35,551, le RSI se situe en zone neutre, mais proche de la zone de survente (30). Cela indique que la pression vendeuse est présente mais pas encore extrême. La décision "Neutre" reflète une absence de signal directionnel fort, laissant place à une possible poursuite de la baisse ou à un rebond. Un passage sous 30 confirmerait une survente et renforcerait le potentiel de rebond.</w:t>
      </w:r>
    </w:p>
    <w:p>
      <w:pPr>
        <w:spacing w:after="120" w:line="276" w:lineRule="auto"/>
      </w:pPr>
      <w:r>
        <w:t>**Stochastique:** Le %K (0,0) est en territoire de survente extrême et a croisé sous le %D (23,782), ce qui est un signal d'achat potentiel. Cette configuration suggère que le mouvement de baisse est très avancé et qu'un rebond technique est probable à très court terme. La décision "Achat" du stochastique contraste avec le signal de vente du MACD, indiquant une possible divergence à surveiller.</w:t>
      </w:r>
    </w:p>
    <w:p>
      <w:pPr>
        <w:spacing w:after="120" w:line="276" w:lineRule="auto"/>
      </w:pPr>
      <w:r>
        <w:t>**Conclusion technique:** Les indicateurs techniques sont mitigés. D'un côté, le MACD et la position sous les moyennes mobiles suggèrent une correction en cours. De l'autre, les bandes de Bollinger et le stochastique en survente extrême signalent un potentiel de rebond imminent. Cette configuration indique une phase de consolidation après une forte hausse, avec un risque de baisse supplémentaire à court terme avant une reprise potentielle.</w:t>
      </w:r>
    </w:p>
    <w:p>
      <w:pPr>
        <w:spacing w:after="120" w:line="276" w:lineRule="auto"/>
      </w:pPr>
      <w:r>
        <w:t>### **PARTIE 3 : ANALYSE FONDAMENTALE (SECTION CRITIQUE)**</w:t>
      </w:r>
    </w:p>
    <w:p>
      <w:pPr>
        <w:spacing w:after="120" w:line="276" w:lineRule="auto"/>
      </w:pPr>
      <w:r>
        <w:t>En 2025, selon les données structurées, Nestlé Côte d'Ivoire a réalisé un chiffre d'affaires de 233,261 milliards FCFA, en hausse de 5,97% par rapport à 2024. Le résultat net s'établit à 18,427 milliards FCFA, en légère progression de 1,53%. La rentabilité reste exceptionnelle avec un ROE de 62,28% et un ROA de 9,70%. Cependant, la structure financière montre une dépendance accrue avec un ratio d'endettement de 135,85% et une trésorerie nette négative de -46,831 milliards FCFA. Le BFR de 22,625 milliards FCFA et un délai client de 74,3 jours indiquent un besoin de financement du cycle d'exploitation. Les rapports trimestriels de 2025 (T1, S1, 9 mois) montrent une année difficile avec une baisse du résultat net sur les 9 premiers mois (-21,3%), mais le rapport du T1 2026, publié en mai 2026, fait état d'un rebond spectaculaire avec un chiffre d'affaires en hausse de 31% et un résultat net en progression de 37% à 7,5 milliards FCFA. Sur la base de cette performance, on estime que l'exercice 2026 pourrait voir une accélération significative de la croissance et une amélioration des marges. La politique de dividende a été drastiquement réduite pour 2025 (9,27 milliards FCFA contre 18,1 milliards en 2024), signalant une stratégie de réinvestissement des bénéfices.</w:t>
      </w:r>
    </w:p>
    <w:p>
      <w:pPr>
        <w:spacing w:after="120" w:line="276" w:lineRule="auto"/>
      </w:pPr>
      <w:r>
        <w:t>### **PARTIE 4 : CONCLUSION D'INVESTISSEMENT**</w:t>
      </w:r>
    </w:p>
    <w:p>
      <w:pPr>
        <w:spacing w:after="120" w:line="276" w:lineRule="auto"/>
      </w:pPr>
      <w:r>
        <w:t>La valorisation de NTLC est exigeante (PER de 19x, P/B de 11,86x), mais elle est justifiée par une rentabilité exceptionnelle (ROE &gt; 60%). Le comportement du cours sur 100 jours est très positif (+27,71%), mais la volatilité est élevée (35%) et la récente chute de -5,92% suggère une phase de consolidation. Les signaux techniques sont mitigés, avec un momentum baissier à court terme (MACD) mais des conditions de survente (Bollinger, Stochastique) qui pourraient déclencher un rebond. Les fondamentaux sont solides, avec une croissance du CA et une rentabilité élevée, et les perspectives pour 2026 sont excellentes, portées par un T1 exceptionnel. Les prédictions IA (J+1 à J+10) indiquent une stabilisation du cours autour de 16 300-16 500 FCFA, ce qui est cohérent avec un scénario de rebond technique après la correction. En synthèse, la convergence entre des fondamentaux très solides, des perspectives de croissance renouvelées et des signaux techniques de survente plaident pour une recommandation **ACHAT**. Le niveau de confiance est **Élevé**, le risque global est **Moyen** (volatilité et valorisation élevées), et l'horizon d'investissement optimal est le **moyen terme (3-12 mois)** pour capter la reprise attendue et la croissance future.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4,890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μ=2,822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β=0.3287 (Défensif) — Cov=0.000012, Var(idx)=0.000036, ρ=0.101,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2,800</w:t>
            </w:r>
          </w:p>
        </w:tc>
        <w:tc>
          <w:tcPr>
            <w:tcW w:type="dxa" w:w="1440"/>
            <w:shd w:fill="FAFAFA" w:val="clear"/>
          </w:tcPr>
          <w:p>
            <w:r>
              <w:rPr>
                <w:b/>
                <w:sz w:val="17"/>
              </w:rPr>
              <w:t>2,888</w:t>
            </w:r>
          </w:p>
        </w:tc>
        <w:tc>
          <w:tcPr>
            <w:tcW w:type="dxa" w:w="1440"/>
            <w:shd w:fill="FAFAFA" w:val="clear"/>
          </w:tcPr>
          <w:p>
            <w:r>
              <w:rPr>
                <w:sz w:val="17"/>
              </w:rPr>
              <w:t>2,977</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2,759</w:t>
            </w:r>
          </w:p>
        </w:tc>
        <w:tc>
          <w:tcPr>
            <w:tcW w:type="dxa" w:w="1440"/>
            <w:shd w:fill="FAFAFA" w:val="clear"/>
          </w:tcPr>
          <w:p>
            <w:r>
              <w:rPr>
                <w:b/>
                <w:sz w:val="17"/>
              </w:rPr>
              <w:t>2,884</w:t>
            </w:r>
          </w:p>
        </w:tc>
        <w:tc>
          <w:tcPr>
            <w:tcW w:type="dxa" w:w="1440"/>
            <w:shd w:fill="FAFAFA" w:val="clear"/>
          </w:tcPr>
          <w:p>
            <w:r>
              <w:rPr>
                <w:sz w:val="17"/>
              </w:rPr>
              <w:t>3,008</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2,725</w:t>
            </w:r>
          </w:p>
        </w:tc>
        <w:tc>
          <w:tcPr>
            <w:tcW w:type="dxa" w:w="1440"/>
            <w:shd w:fill="FAFAFA" w:val="clear"/>
          </w:tcPr>
          <w:p>
            <w:r>
              <w:rPr>
                <w:b/>
                <w:sz w:val="17"/>
              </w:rPr>
              <w:t>2,878</w:t>
            </w:r>
          </w:p>
        </w:tc>
        <w:tc>
          <w:tcPr>
            <w:tcW w:type="dxa" w:w="1440"/>
            <w:shd w:fill="FAFAFA" w:val="clear"/>
          </w:tcPr>
          <w:p>
            <w:r>
              <w:rPr>
                <w:sz w:val="17"/>
              </w:rPr>
              <w:t>3,030</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2,696</w:t>
            </w:r>
          </w:p>
        </w:tc>
        <w:tc>
          <w:tcPr>
            <w:tcW w:type="dxa" w:w="1440"/>
            <w:shd w:fill="FAFAFA" w:val="clear"/>
          </w:tcPr>
          <w:p>
            <w:r>
              <w:rPr>
                <w:b/>
                <w:sz w:val="17"/>
              </w:rPr>
              <w:t>2,872</w:t>
            </w:r>
          </w:p>
        </w:tc>
        <w:tc>
          <w:tcPr>
            <w:tcW w:type="dxa" w:w="1440"/>
            <w:shd w:fill="FAFAFA" w:val="clear"/>
          </w:tcPr>
          <w:p>
            <w:r>
              <w:rPr>
                <w:sz w:val="17"/>
              </w:rPr>
              <w:t>3,048</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2,670</w:t>
            </w:r>
          </w:p>
        </w:tc>
        <w:tc>
          <w:tcPr>
            <w:tcW w:type="dxa" w:w="1440"/>
            <w:shd w:fill="FAFAFA" w:val="clear"/>
          </w:tcPr>
          <w:p>
            <w:r>
              <w:rPr>
                <w:b/>
                <w:sz w:val="17"/>
              </w:rPr>
              <w:t>2,866</w:t>
            </w:r>
          </w:p>
        </w:tc>
        <w:tc>
          <w:tcPr>
            <w:tcW w:type="dxa" w:w="1440"/>
            <w:shd w:fill="FAFAFA" w:val="clear"/>
          </w:tcPr>
          <w:p>
            <w:r>
              <w:rPr>
                <w:sz w:val="17"/>
              </w:rPr>
              <w:t>3,063</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2,646</w:t>
            </w:r>
          </w:p>
        </w:tc>
        <w:tc>
          <w:tcPr>
            <w:tcW w:type="dxa" w:w="1440"/>
            <w:shd w:fill="FAFAFA" w:val="clear"/>
          </w:tcPr>
          <w:p>
            <w:r>
              <w:rPr>
                <w:b/>
                <w:sz w:val="17"/>
              </w:rPr>
              <w:t>2,860</w:t>
            </w:r>
          </w:p>
        </w:tc>
        <w:tc>
          <w:tcPr>
            <w:tcW w:type="dxa" w:w="1440"/>
            <w:shd w:fill="FAFAFA" w:val="clear"/>
          </w:tcPr>
          <w:p>
            <w:r>
              <w:rPr>
                <w:sz w:val="17"/>
              </w:rPr>
              <w:t>3,075</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2,624</w:t>
            </w:r>
          </w:p>
        </w:tc>
        <w:tc>
          <w:tcPr>
            <w:tcW w:type="dxa" w:w="1440"/>
            <w:shd w:fill="FAFAFA" w:val="clear"/>
          </w:tcPr>
          <w:p>
            <w:r>
              <w:rPr>
                <w:b/>
                <w:sz w:val="17"/>
              </w:rPr>
              <w:t>2,855</w:t>
            </w:r>
          </w:p>
        </w:tc>
        <w:tc>
          <w:tcPr>
            <w:tcW w:type="dxa" w:w="1440"/>
            <w:shd w:fill="FAFAFA" w:val="clear"/>
          </w:tcPr>
          <w:p>
            <w:r>
              <w:rPr>
                <w:sz w:val="17"/>
              </w:rPr>
              <w:t>3,086</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2,602</w:t>
            </w:r>
          </w:p>
        </w:tc>
        <w:tc>
          <w:tcPr>
            <w:tcW w:type="dxa" w:w="1440"/>
            <w:shd w:fill="FAFAFA" w:val="clear"/>
          </w:tcPr>
          <w:p>
            <w:r>
              <w:rPr>
                <w:b/>
                <w:sz w:val="17"/>
              </w:rPr>
              <w:t>2,849</w:t>
            </w:r>
          </w:p>
        </w:tc>
        <w:tc>
          <w:tcPr>
            <w:tcW w:type="dxa" w:w="1440"/>
            <w:shd w:fill="FAFAFA" w:val="clear"/>
          </w:tcPr>
          <w:p>
            <w:r>
              <w:rPr>
                <w:sz w:val="17"/>
              </w:rPr>
              <w:t>3,096</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2,582</w:t>
            </w:r>
          </w:p>
        </w:tc>
        <w:tc>
          <w:tcPr>
            <w:tcW w:type="dxa" w:w="1440"/>
            <w:shd w:fill="FAFAFA" w:val="clear"/>
          </w:tcPr>
          <w:p>
            <w:r>
              <w:rPr>
                <w:b/>
                <w:sz w:val="17"/>
              </w:rPr>
              <w:t>2,844</w:t>
            </w:r>
          </w:p>
        </w:tc>
        <w:tc>
          <w:tcPr>
            <w:tcW w:type="dxa" w:w="1440"/>
            <w:shd w:fill="FAFAFA" w:val="clear"/>
          </w:tcPr>
          <w:p>
            <w:r>
              <w:rPr>
                <w:sz w:val="17"/>
              </w:rPr>
              <w:t>3,105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2,563</w:t>
            </w:r>
          </w:p>
        </w:tc>
        <w:tc>
          <w:tcPr>
            <w:tcW w:type="dxa" w:w="1440"/>
            <w:shd w:fill="FFDCE0" w:val="clear"/>
          </w:tcPr>
          <w:p>
            <w:r>
              <w:rPr>
                <w:b/>
                <w:sz w:val="17"/>
              </w:rPr>
              <w:t>2,838</w:t>
            </w:r>
          </w:p>
        </w:tc>
        <w:tc>
          <w:tcPr>
            <w:tcW w:type="dxa" w:w="1440"/>
            <w:shd w:fill="FFDCE0" w:val="clear"/>
          </w:tcPr>
          <w:p>
            <w:r>
              <w:rPr>
                <w:sz w:val="17"/>
              </w:rPr>
              <w:t>3,113</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28 août 2026</w:t>
        <w:br/>
        <w:t>**Cours de référence :** 2 900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197,20 milliards FCFA positionne ONTBF comme une valeur moyenne sur la BRVM, loin derrière les géants comme Sonatel, mais avec une liquidité et une visibilité notables. Le BPA de 234 FCFA indique que chaque action génère un bénéfice confortable, justifiant un PER de 12,4x. Ce ratio est légèrement supérieur à la moyenne historique de la BRVM (8-12x), ce qui suggère que le marché accorde une prime de croissance ou de stabilité à l'opérateur burkinabè, malgré des résultats en baisse. Le P/B de 3,43x confirme cette prime, le marché valorisant l'actif net à plus de trois fois sa valeur comptable, signe d'une confiance dans la capacité de l'entreprise à générer de la valeur. Enfin, un EV/EBITDA de 5,2x est particulièrement attractif, indiquant que la valeur totale de l'entreprise (capitaux propres + dettes) reste raisonnable par rapport à sa capacité opérationnelle de génération de cash (EBITDA). Cette combinaison de ratios suggère une valorisation globalement correcte, ni surévaluée ni sous-évaluée, avec un potentiel de rendement soutenu par le dividende.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l'action ONTBF est resté extrêmement stable, avec une variation totale de 0,00% et une variation nulle sur la dernière séance. Le titre a évolué dans une fourchette relativement étroite entre un plus bas de 2 610 FCFA et un plus haut de 3 070 FCFA, démontrant une forte résistance à la baisse mais aussi une absence de catalyseur haussier. La moyenne (2 822 FCFA) et la médiane (2 802 FCFA) sont très proches, indiquant une distribution symétrique des prix, ce que confirme le skewness de 0,211. L'écart-type de 86 FCFA (CV de 3,0%) révèle une dispersion très faible, typique d'un titre peu spéculatif et bien tenu. Le kurtosis de -0,189 (mésokurtique) suggère l'absence de mouvements extrêmes ou de "pics" de volatilité, avec une distribution proche de la normale. La volatilité annualisée de 30,8% est élevée en théorie, mais elle est probablement surestimée par des épisodes passés de tension ; la stabilité récente du cours contraste avec ce chiffre. En résumé, le titre affiche un comportement défensif et stable, sans tendance marquée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(2 900 FCFA) est supérieur à la MM20 (2 905,75 FCFA) et à la MM50 (2 826,8 FCFA), ce qui est un signal haussier à court et moyen terme. La MM20 étant au-dessus de la MM50, la configuration est positive, indiquant une dynamique d'achat. La décision "Achat" est justifiée par cette structure de prix, le titre évoluant dans une tendance haussière modérée.</w:t>
      </w:r>
    </w:p>
    <w:p>
      <w:pPr>
        <w:spacing w:after="120" w:line="276" w:lineRule="auto"/>
      </w:pPr>
      <w:r>
        <w:t>**Bandes de Bollinger :** Le prix se situe à 2 900 FCFA, entre la borne inférieure (2 793,16) et la borne supérieure (3 018,34), mais plus près du milieu de la bande. La largeur des bandes est modérée, reflétant une volatilité moyenne. La décision "Neutre" est appropriée : le titre n'est ni suracheté (proche de la borne supérieure) ni survendu (proche de la borne inférieure), indiquant une phase de consolidation sans pression directionnelle forte.</w:t>
      </w:r>
    </w:p>
    <w:p>
      <w:pPr>
        <w:spacing w:after="120" w:line="276" w:lineRule="auto"/>
      </w:pPr>
      <w:r>
        <w:t>**MACD :** La valeur du MACD (18,675) est inférieure à son signal (22,22), ce qui constitue un croisement baissier. Ce signal indique un ralentissement du momentum haussier. Bien que le MACD reste positif, la divergence avec le signal suggère une perte de vigueur, justifiant la décision "Vente" pour les traders à court terme, ou du moins une prudence accrue.</w:t>
      </w:r>
    </w:p>
    <w:p>
      <w:pPr>
        <w:spacing w:after="120" w:line="276" w:lineRule="auto"/>
      </w:pPr>
      <w:r>
        <w:t>**RSI :** Le RSI à 44,595 est en zone neutre (entre 30 et 70), indiquant un équilibre entre les forces acheteuses et vendeuses. Il n'y a pas de pression d'achat excessive (surachat &gt;70) ni de pression de vente excessive (survente &lt;30). La décision "Neutre" est cohérente avec l'absence de signal directionnel fort.</w:t>
      </w:r>
    </w:p>
    <w:p>
      <w:pPr>
        <w:spacing w:after="120" w:line="276" w:lineRule="auto"/>
      </w:pPr>
      <w:r>
        <w:t>**Stochastique :** Le %K (68,966) est supérieur au %D (61,292), ce qui est un signal haussier, mais les deux valeurs sont en zone neutre. Ce croisement positif suggère un léger regain d'intérêt acheteur, mais sans la force nécessaire pour déclencher un signal d'achat majeur. La décision "Neutre" est donc logique, le titre manquant de dynamisme pour sortir de sa zone de consolidation.</w:t>
      </w:r>
    </w:p>
    <w:p>
      <w:pPr>
        <w:spacing w:after="120" w:line="276" w:lineRule="auto"/>
      </w:pPr>
      <w:r>
        <w:t>**Conclusion technique :** Les indicateurs techniques sont mitigés. Les moyennes mobiles sont haussières, mais le MACD montre un momentum en perte de vitesse, tandis que le RSI et le Stochastique sont neutres. Le titre semble manquer de catalyseurs pour initier une tendance claire. La prudence est de mise, et un breakout au-dessus de 3 018 FCFA (borne supérieure) ou en-dessous de 2 793 FCFA (borne inférieure) serait nécessaire pour donner une direction plus franche.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ONTBF a réalisé un chiffre d'affaires (PNB) de 146,177 milliards FCFA, en croissance de 3,06% par rapport à 2024. Le résultat net s'établit à 15,887 milliards FCFA, en forte baisse de 26% par rapport à l'exercice précédent (21,47 Mds FCFA en 2024). Cette dégradation de la rentabilité est confirmée par les rapports narratifs de 2026, qui pointent une hausse des charges opérationnelles (énergie, maintenance en zones sécuritaires, indemnités de fin d'engagement) et une sanction réglementaire. La marge nette ressort à 10,87%, en recul. Le ROE est excellent à 27,61%, démontrant une très forte rentabilité des capitaux propres, malgré la baisse. Le ROA de 4,89% est correct pour le secteur. Le coefficient d'exploitation de 67,07% est élevé, indiquant une moins bonne maîtrise des charges par rapport au PNB, un point de vigilance. Le coût du risque est significatif (3,57%), reflétant des provisions importantes. Les capitaux propres s'élèvent à 57,542 milliards FCFA, et la dette financière totale à 107,596 milliards, soit un endettement élevé (ratio d'endettement de 187%). Les rapports trimestriels de 2025 (T1, S1, 9 mois) montrent une tendance à la baisse du résultat net tout au long de l'année, avec une érosion de la marge EBITDA (de 47% à 39,3%). Le rapport du T1 2026, analysé en 2026, indique une stabilisation de la marge EBITDA à 41,3% et une croissance du CA de 2,7%, mais un résultat net encore en baisse. La solidité financière reste néanmoins réelle avec une CAF de 46,952 milliards FCFA, permettant de couvrir les investissements et de maintenir un dividende élevé (166,08 FCFA/action proposé pour 2025). En conclusion, les fondamentaux montrent une entreprise rentable et génératrice de cash, mais confrontée à un environnement difficile qui érode ses marges.</w:t>
      </w:r>
    </w:p>
    <w:p>
      <w:pPr>
        <w:spacing w:after="120" w:line="276" w:lineRule="auto"/>
      </w:pPr>
      <w:r>
        <w:t>---</w:t>
      </w:r>
    </w:p>
    <w:p>
      <w:pPr>
        <w:spacing w:after="120" w:line="276" w:lineRule="auto"/>
      </w:pPr>
      <w:r>
        <w:t>### PARTIE 4 : CONCLUSION D'INVESTISSEMENT</w:t>
      </w:r>
    </w:p>
    <w:p>
      <w:pPr>
        <w:spacing w:after="120" w:line="276" w:lineRule="auto"/>
      </w:pPr>
      <w:r>
        <w:t>La valorisation d'ONTBF (PER 12,4x, P/B 3,43x, EV/EBITDA 5,2x) est jugée raisonnable, sans surévaluation ni décote flagrante. Le comportement du cours sur 100 jours est stable et défensif, avec une faible volatilité et une distribution normale, ce qui est rassurant pour les investisseurs de long terme. Les signaux techniques sont mitigés : les moyennes mobiles sont haussières, mais le MACD et les oscillateurs (RSI, Stochastique) sont neutres, indiquant une absence de direction claire à court terme. Les fondamentaux montrent une entreprise solide mais dont la rentabilité est en déclin, avec une pression sur les marges et un endettement élevé. Les prédictions IA pour les 10 prochains jours (de 2 888 à 2 866 FCFA) suggèrent une légère érosion du cours, ce qui est cohérent avec le signal de vente du MACD et l'absence de catalyseur positif. En synthèse, la convergence entre la stabilité du cours, la valorisation correcte et la solidité financière est contrebalancée par la dégradation des résultats et les risques sécuritaires/réglementaires. **Notre recommandation finale est CONSERVER.** Le niveau de confiance est **Moyen**, car la situation est contrastée. Le risque global est **Élevé**, principalement en raison de l'environnement opérationnel difficile au Burkina Faso et de la pression sur les marges. L'horizon d'investissement optimal est le **moyen terme (3-12 mois)**, en attendant de voir si les mesures d'optimisation des coûts annoncées par la direction porteront leurs fruits et si la croissance du FTTH et du Mobile Money compensera la baisse des segments traditionnels.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3224.02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2,429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+40.79%</w:t>
            </w:r>
          </w:p>
          <w:p>
            <w:r>
              <w:rPr>
                <w:b/>
                <w:color w:val="503200"/>
                <w:sz w:val="16"/>
              </w:rPr>
              <w:t xml:space="preserve">Plus haut 100j : </w:t>
            </w:r>
            <w:r>
              <w:rPr>
                <w:color w:val="000000"/>
                <w:sz w:val="17"/>
              </w:rPr>
              <w:t>21,400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9.17% (Moyenne) — μ=16,324 FCFA, σ=1,498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β=1.2247 (Agressif) — Cov=0.000044, Var(idx)=0.000036, ρ=0.404,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20,178</w:t>
            </w:r>
          </w:p>
        </w:tc>
        <w:tc>
          <w:tcPr>
            <w:tcW w:type="dxa" w:w="1440"/>
            <w:shd w:fill="FFDCE0" w:val="clear"/>
          </w:tcPr>
          <w:p>
            <w:r>
              <w:rPr>
                <w:b/>
                <w:sz w:val="17"/>
              </w:rPr>
              <w:t>20,697</w:t>
            </w:r>
          </w:p>
        </w:tc>
        <w:tc>
          <w:tcPr>
            <w:tcW w:type="dxa" w:w="1440"/>
            <w:shd w:fill="FFDCE0" w:val="clear"/>
          </w:tcPr>
          <w:p>
            <w:r>
              <w:rPr>
                <w:sz w:val="17"/>
              </w:rPr>
              <w:t>21,215</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19,875</w:t>
            </w:r>
          </w:p>
        </w:tc>
        <w:tc>
          <w:tcPr>
            <w:tcW w:type="dxa" w:w="1440"/>
            <w:shd w:fill="FFDCE0" w:val="clear"/>
          </w:tcPr>
          <w:p>
            <w:r>
              <w:rPr>
                <w:b/>
                <w:sz w:val="17"/>
              </w:rPr>
              <w:t>20,606</w:t>
            </w:r>
          </w:p>
        </w:tc>
        <w:tc>
          <w:tcPr>
            <w:tcW w:type="dxa" w:w="1440"/>
            <w:shd w:fill="FFDCE0" w:val="clear"/>
          </w:tcPr>
          <w:p>
            <w:r>
              <w:rPr>
                <w:sz w:val="17"/>
              </w:rPr>
              <w:t>21,337</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19,581</w:t>
            </w:r>
          </w:p>
        </w:tc>
        <w:tc>
          <w:tcPr>
            <w:tcW w:type="dxa" w:w="1440"/>
            <w:shd w:fill="FFDCE0" w:val="clear"/>
          </w:tcPr>
          <w:p>
            <w:r>
              <w:rPr>
                <w:b/>
                <w:sz w:val="17"/>
              </w:rPr>
              <w:t>20,470</w:t>
            </w:r>
          </w:p>
        </w:tc>
        <w:tc>
          <w:tcPr>
            <w:tcW w:type="dxa" w:w="1440"/>
            <w:shd w:fill="FFDCE0" w:val="clear"/>
          </w:tcPr>
          <w:p>
            <w:r>
              <w:rPr>
                <w:sz w:val="17"/>
              </w:rPr>
              <w:t>21,359</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19,312</w:t>
            </w:r>
          </w:p>
        </w:tc>
        <w:tc>
          <w:tcPr>
            <w:tcW w:type="dxa" w:w="1440"/>
            <w:shd w:fill="FFDCE0" w:val="clear"/>
          </w:tcPr>
          <w:p>
            <w:r>
              <w:rPr>
                <w:b/>
                <w:sz w:val="17"/>
              </w:rPr>
              <w:t>20,331</w:t>
            </w:r>
          </w:p>
        </w:tc>
        <w:tc>
          <w:tcPr>
            <w:tcW w:type="dxa" w:w="1440"/>
            <w:shd w:fill="FFDCE0" w:val="clear"/>
          </w:tcPr>
          <w:p>
            <w:r>
              <w:rPr>
                <w:sz w:val="17"/>
              </w:rPr>
              <w:t>21,351</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19,065</w:t>
            </w:r>
          </w:p>
        </w:tc>
        <w:tc>
          <w:tcPr>
            <w:tcW w:type="dxa" w:w="1440"/>
            <w:shd w:fill="FFDCE0" w:val="clear"/>
          </w:tcPr>
          <w:p>
            <w:r>
              <w:rPr>
                <w:b/>
                <w:sz w:val="17"/>
              </w:rPr>
              <w:t>20,198</w:t>
            </w:r>
          </w:p>
        </w:tc>
        <w:tc>
          <w:tcPr>
            <w:tcW w:type="dxa" w:w="1440"/>
            <w:shd w:fill="FFDCE0" w:val="clear"/>
          </w:tcPr>
          <w:p>
            <w:r>
              <w:rPr>
                <w:sz w:val="17"/>
              </w:rPr>
              <w:t>21,330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18,837</w:t>
            </w:r>
          </w:p>
        </w:tc>
        <w:tc>
          <w:tcPr>
            <w:tcW w:type="dxa" w:w="1440"/>
            <w:shd w:fill="FFDCE0" w:val="clear"/>
          </w:tcPr>
          <w:p>
            <w:r>
              <w:rPr>
                <w:b/>
                <w:sz w:val="17"/>
              </w:rPr>
              <w:t>20,069</w:t>
            </w:r>
          </w:p>
        </w:tc>
        <w:tc>
          <w:tcPr>
            <w:tcW w:type="dxa" w:w="1440"/>
            <w:shd w:fill="FFDCE0" w:val="clear"/>
          </w:tcPr>
          <w:p>
            <w:r>
              <w:rPr>
                <w:sz w:val="17"/>
              </w:rPr>
              <w:t>21,302</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18,622</w:t>
            </w:r>
          </w:p>
        </w:tc>
        <w:tc>
          <w:tcPr>
            <w:tcW w:type="dxa" w:w="1440"/>
            <w:shd w:fill="FFDCE0" w:val="clear"/>
          </w:tcPr>
          <w:p>
            <w:r>
              <w:rPr>
                <w:b/>
                <w:sz w:val="17"/>
              </w:rPr>
              <w:t>19,945</w:t>
            </w:r>
          </w:p>
        </w:tc>
        <w:tc>
          <w:tcPr>
            <w:tcW w:type="dxa" w:w="1440"/>
            <w:shd w:fill="FFDCE0" w:val="clear"/>
          </w:tcPr>
          <w:p>
            <w:r>
              <w:rPr>
                <w:sz w:val="17"/>
              </w:rPr>
              <w:t>21,269</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18,420</w:t>
            </w:r>
          </w:p>
        </w:tc>
        <w:tc>
          <w:tcPr>
            <w:tcW w:type="dxa" w:w="1440"/>
            <w:shd w:fill="FFDCE0" w:val="clear"/>
          </w:tcPr>
          <w:p>
            <w:r>
              <w:rPr>
                <w:b/>
                <w:sz w:val="17"/>
              </w:rPr>
              <w:t>19,826</w:t>
            </w:r>
          </w:p>
        </w:tc>
        <w:tc>
          <w:tcPr>
            <w:tcW w:type="dxa" w:w="1440"/>
            <w:shd w:fill="FFDCE0" w:val="clear"/>
          </w:tcPr>
          <w:p>
            <w:r>
              <w:rPr>
                <w:sz w:val="17"/>
              </w:rPr>
              <w:t>21,232</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18,229</w:t>
            </w:r>
          </w:p>
        </w:tc>
        <w:tc>
          <w:tcPr>
            <w:tcW w:type="dxa" w:w="1440"/>
            <w:shd w:fill="FFDCE0" w:val="clear"/>
          </w:tcPr>
          <w:p>
            <w:r>
              <w:rPr>
                <w:b/>
                <w:sz w:val="17"/>
              </w:rPr>
              <w:t>19,711</w:t>
            </w:r>
          </w:p>
        </w:tc>
        <w:tc>
          <w:tcPr>
            <w:tcW w:type="dxa" w:w="1440"/>
            <w:shd w:fill="FFDCE0" w:val="clear"/>
          </w:tcPr>
          <w:p>
            <w:r>
              <w:rPr>
                <w:sz w:val="17"/>
              </w:rPr>
              <w:t>21,194</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18,046</w:t>
            </w:r>
          </w:p>
        </w:tc>
        <w:tc>
          <w:tcPr>
            <w:tcW w:type="dxa" w:w="1440"/>
            <w:shd w:fill="FFDCE0" w:val="clear"/>
          </w:tcPr>
          <w:p>
            <w:r>
              <w:rPr>
                <w:b/>
                <w:sz w:val="17"/>
              </w:rPr>
              <w:t>19,600</w:t>
            </w:r>
          </w:p>
        </w:tc>
        <w:tc>
          <w:tcPr>
            <w:tcW w:type="dxa" w:w="1440"/>
            <w:shd w:fill="FFDCE0" w:val="clear"/>
          </w:tcPr>
          <w:p>
            <w:r>
              <w:rPr>
                <w:sz w:val="17"/>
              </w:rPr>
              <w:t>21,154</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 — BRVM**</w:t>
      </w:r>
    </w:p>
    <w:p>
      <w:pPr>
        <w:spacing w:after="120" w:line="276" w:lineRule="auto"/>
      </w:pPr>
      <w:r>
        <w:t>**Date de l'analyse : 21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3 224 milliards FCFA, ce qui en fait l'une des toutes premières capitalisations de la BRVM, représentant une part significative de la richesse totale du marché. Avec un BPA de 1 114 FCFA, le titre se négocie à un PER de 19,2x, nettement supérieur à la moyenne historique de la BRVM (8-12x), indiquant que les investisseurs paient une prime substantielle pour la croissance et la stabilité de l'entreprise. Le P/B de 4,55x confirme cette valorisation exigeante, le marché valorisant fortement les actifs et la rentabilité de la société. Enfin, l'EV/EBITDA de 7,7x, dans la fourchette raisonnable de 5-10x, tempère légèrement cette vision en montrant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 enregistré une performance exceptionnelle de +40,79%, clôturant à 21 400 FCFA, avec une progression de +0,94% lors de la dernière séance. Le cours a évolué dans une fourchette de 14 650 FCFA (plus bas) à 21 400 FCFA (plus haut), démontrant une forte dynamique haussière. La moyenne du cours sur la période est de 16 324 FCFA, légèrement supérieure à la médiane de 16 000 FCFA, ce qui, combiné à un skewness positif de 1,833, indique une distribution asymétrique avec des journées majoritairement sous la moyenne mais ponctuées de fortes hausses. L'écart-type de 1 505 FCFA (CV=9,2%) révèle une dispersion modérée, tandis que le kurtosis excédentaire de 3,366 signale un risque de pics de volatilité. La volatilité annualisée de 28,8% classe le titre dans la catégorie modérée à élevée, reflétant un intérêt marqué des investisseurs et des mouvements de prix amplifiés.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21 400 FCFA se situe nettement au-dessus de la MM20 (18 614 FCFA) et de la MM50 (17 290 FCFA), confirmant une tendance haussière robuste. L'écart croissant entre le prix et les moyennes mobiles suggère une dynamique positive soutenue, justifiant la décision d'achat.</w:t>
      </w:r>
    </w:p>
    <w:p>
      <w:pPr>
        <w:spacing w:after="120" w:line="276" w:lineRule="auto"/>
      </w:pPr>
      <w:r>
        <w:t>**Bandes de Bollinger** : Le prix évolue près de la borne supérieure (22 115 FCFA), indiquant une pression acheteuse intense. La largeur des bandes reflète une volatilité accrue. La position proche de la borne supérieure suggère une possible consolidation à court terme, d'où une décision neutre, mais la tendance de fond reste haussière.</w:t>
      </w:r>
    </w:p>
    <w:p>
      <w:pPr>
        <w:spacing w:after="120" w:line="276" w:lineRule="auto"/>
      </w:pPr>
      <w:r>
        <w:t>**MACD** : La valeur du MACD (1 226,5) est nettement supérieure à sa ligne de signal (911,4), confirmant un momentum haussier fort. Cette configuration positive indique que la tendance haussière est solidement ancrée et que les acheteurs contrôlent le marché, justifiant la décision d'achat.</w:t>
      </w:r>
    </w:p>
    <w:p>
      <w:pPr>
        <w:spacing w:after="120" w:line="276" w:lineRule="auto"/>
      </w:pPr>
      <w:r>
        <w:t>**RSI** : Le RSI à 89,2 est en zone de surachat extrême (au-delà de 70). Cette situation signale que le titre est techniquement surévalué à court terme et qu'un repli technique est probable. La décision de vente est donc justifiée pour les traders à court terme, bien que la tendance de fond demeure haussière.</w:t>
      </w:r>
    </w:p>
    <w:p>
      <w:pPr>
        <w:spacing w:after="120" w:line="276" w:lineRule="auto"/>
      </w:pPr>
      <w:r>
        <w:t>**Stochastique** : Le %K à 100 et le %D à 96,8 sont en zone de surachat extrême, confirmant l'épuisement potentiel de la dynamique haussière à très court terme. La décision de vente est cohérente avec cette lecture, suggérant une pause ou une correction technique imminente.</w:t>
      </w:r>
    </w:p>
    <w:p>
      <w:pPr>
        <w:spacing w:after="120" w:line="276" w:lineRule="auto"/>
      </w:pPr>
      <w:r>
        <w:t>**Conclusion technique** : Les indicateurs de tendance (MM, MACD) sont résolument haussiers, mais les oscillateurs (RSI, Stochastique) signalent un surachat extrême. Cette divergence indique un risque élevé de correction technique à court terme, mais la tendance de fond reste positive. Un investisseur pourrait attendre un repli vers 19 500-20 000 FCFA pour renforcer ses positions.</w:t>
      </w:r>
    </w:p>
    <w:p>
      <w:pPr>
        <w:spacing w:after="120" w:line="276" w:lineRule="auto"/>
      </w:pPr>
      <w:r>
        <w:t>---</w:t>
      </w:r>
    </w:p>
    <w:p>
      <w:pPr>
        <w:spacing w:after="120" w:line="276" w:lineRule="auto"/>
      </w:pPr>
      <w:r>
        <w:t>### PARTIE 3 : ANALYSE FONDAMENTALE (SECTION CRITIQUE)</w:t>
      </w:r>
    </w:p>
    <w:p>
      <w:pPr>
        <w:spacing w:after="120" w:line="276" w:lineRule="auto"/>
      </w:pPr>
      <w:r>
        <w:t>En 2025, ORAC a réalisé un chiffre d'affaires consolidé de 1 197,1 milliards FCFA, en hausse de +10,4% par rapport à 2024, avec un résultat net consolidé de 167,8 milliards FCFA (+6,1%). Le ROE s'établit à un niveau excellent de 23,7%, tandis que le ROA atteint 6,6%, démontrant une utilisation efficace des actifs. La marge opérationnelle est solide à 24,0%, et la marge nette à 14,0%. En tant qu'entreprise non bancaire, l'analyse des délais d'exploitation est cruciale : le délai clients de 52 jours est raisonnable, mais le délai fournisseurs de 211 jours est très favorable, indiquant une excellente gestion de trésorerie. Le BFR négatif de -198 milliards FCFA confirme cette position de force, l'entreprise finançant son exploitation grâce à ses fournisseurs. La capacité de remboursement est rapide (0,99 an) et la couverture des intérêts est massive (1 018%). Sur la base du rapport T1 2026 (CA +14,8% à 325,6 milliards FCFA, résultat net +25,2% à 48,3 milliards FCFA), on estime que l'exercice 2026 devrait afficher une croissance soutenue, avec un CA potentiel dépassant 1 350 milliards FCFA et un résultat net supérieur à 190 milliards FCFA. Le dividende proposé de 800 FCFA par action pour 2025 offre un rendement d'environ 3,7% au cours actuel. La solidité financière, la croissance diversifiée (mobile, fibre, Orange Money) et les perspectives prometteuses justifient une recommandation fondamentale positive, malgré une pression fiscale et concurrentielle notable.</w:t>
      </w:r>
    </w:p>
    <w:p>
      <w:pPr>
        <w:spacing w:after="120" w:line="276" w:lineRule="auto"/>
      </w:pPr>
      <w:r>
        <w:t>---</w:t>
      </w:r>
    </w:p>
    <w:p>
      <w:pPr>
        <w:spacing w:after="120" w:line="276" w:lineRule="auto"/>
      </w:pPr>
      <w:r>
        <w:t>### PARTIE 4 : CONCLUSION D'INVESTISSEMENT</w:t>
      </w:r>
    </w:p>
    <w:p>
      <w:pPr>
        <w:spacing w:after="120" w:line="276" w:lineRule="auto"/>
      </w:pPr>
      <w:r>
        <w:t>La valorisation d'ORAC est exigeante avec un PER de 19,2x et un P/B de 4,55x, mais l'EV/EBITDA de 7,7x reste raisonnable, indiquant que la prime est partiellement justifiée par la qualité opérationnelle. Le comportement du cours est très favorable, avec une hausse de +40,79% sur 100 jours, mais les statistiques (kurtosis élevé, skewness positif) et la volatilité de 28,8% suggèrent des risques de mouvements brusques. Les signaux techniques sont partagés : la tendance (MM, MACD) est haussière, mais les oscillateurs (RSI, Stochastique) sont en surachat extrême, annonçant une possible correction. Les fondamentaux sont excellents, avec une croissance de +10,4% du CA en 2025, un ROE de 23,7%, et des estimations pour 2026 très positives (CA +14,8% au T1). Les prédictions IA pour les 10 prochains jours (20 697 à 20 198 FCFA) suggèrent un repli modéré, confirmant les signaux de surachat technique. En synthèse, la convergence entre des fondamentaux solides et une tendance haussière est contrebalancée par une valorisation tendue et des signaux techniques de surachat. **Recommandation finale : CONSERVER**, avec un niveau de confiance **Moyen** et un risque global **Élevé** à court terme.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219.00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5,478 titres</w:t>
            </w:r>
          </w:p>
        </w:tc>
        <w:tc>
          <w:tcPr>
            <w:tcW w:type="dxa" w:w="2268"/>
            <w:shd w:fill="FFF2CC" w:val="clear"/>
          </w:tcPr>
          <w:p>
            <w:r>
              <w:rPr>
                <w:b/>
                <w:color w:val="503200"/>
                <w:sz w:val="16"/>
              </w:rPr>
              <w:t xml:space="preserve">Cours actuel : </w:t>
            </w:r>
            <w:r>
              <w:rPr>
                <w:color w:val="000000"/>
                <w:sz w:val="17"/>
              </w:rPr>
              <w:t>3,155 FCFA</w:t>
            </w:r>
          </w:p>
          <w:p>
            <w:r>
              <w:rPr>
                <w:b/>
                <w:color w:val="503200"/>
                <w:sz w:val="16"/>
              </w:rPr>
              <w:t xml:space="preserve">Var. 100 jours : </w:t>
            </w:r>
            <w:r>
              <w:rPr>
                <w:b/>
                <w:color w:val="B40000"/>
                <w:sz w:val="17"/>
              </w:rPr>
              <w:t>-13.80%</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μ=2,941 FCFA, σ=320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β=0.3328 (Défensif) — Cov=0.000012, Var(idx)=0.000036, ρ=0.073,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3,062</w:t>
            </w:r>
          </w:p>
        </w:tc>
        <w:tc>
          <w:tcPr>
            <w:tcW w:type="dxa" w:w="1440"/>
            <w:shd w:fill="FAFAFA" w:val="clear"/>
          </w:tcPr>
          <w:p>
            <w:r>
              <w:rPr>
                <w:b/>
                <w:sz w:val="17"/>
              </w:rPr>
              <w:t>3,157</w:t>
            </w:r>
          </w:p>
        </w:tc>
        <w:tc>
          <w:tcPr>
            <w:tcW w:type="dxa" w:w="1440"/>
            <w:shd w:fill="FAFAFA" w:val="clear"/>
          </w:tcPr>
          <w:p>
            <w:r>
              <w:rPr>
                <w:sz w:val="17"/>
              </w:rPr>
              <w:t>3,253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3,019</w:t>
            </w:r>
          </w:p>
        </w:tc>
        <w:tc>
          <w:tcPr>
            <w:tcW w:type="dxa" w:w="1440"/>
            <w:shd w:fill="FAFAFA" w:val="clear"/>
          </w:tcPr>
          <w:p>
            <w:r>
              <w:rPr>
                <w:b/>
                <w:sz w:val="17"/>
              </w:rPr>
              <w:t>3,153</w:t>
            </w:r>
          </w:p>
        </w:tc>
        <w:tc>
          <w:tcPr>
            <w:tcW w:type="dxa" w:w="1440"/>
            <w:shd w:fill="FAFAFA" w:val="clear"/>
          </w:tcPr>
          <w:p>
            <w:r>
              <w:rPr>
                <w:sz w:val="17"/>
              </w:rPr>
              <w:t>3,287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2,985</w:t>
            </w:r>
          </w:p>
        </w:tc>
        <w:tc>
          <w:tcPr>
            <w:tcW w:type="dxa" w:w="1440"/>
            <w:shd w:fill="FAFAFA" w:val="clear"/>
          </w:tcPr>
          <w:p>
            <w:r>
              <w:rPr>
                <w:b/>
                <w:sz w:val="17"/>
              </w:rPr>
              <w:t>3,150</w:t>
            </w:r>
          </w:p>
        </w:tc>
        <w:tc>
          <w:tcPr>
            <w:tcW w:type="dxa" w:w="1440"/>
            <w:shd w:fill="FAFAFA" w:val="clear"/>
          </w:tcPr>
          <w:p>
            <w:r>
              <w:rPr>
                <w:sz w:val="17"/>
              </w:rPr>
              <w:t>3,314</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2,957</w:t>
            </w:r>
          </w:p>
        </w:tc>
        <w:tc>
          <w:tcPr>
            <w:tcW w:type="dxa" w:w="1440"/>
            <w:shd w:fill="FAFAFA" w:val="clear"/>
          </w:tcPr>
          <w:p>
            <w:r>
              <w:rPr>
                <w:b/>
                <w:sz w:val="17"/>
              </w:rPr>
              <w:t>3,146</w:t>
            </w:r>
          </w:p>
        </w:tc>
        <w:tc>
          <w:tcPr>
            <w:tcW w:type="dxa" w:w="1440"/>
            <w:shd w:fill="FAFAFA" w:val="clear"/>
          </w:tcPr>
          <w:p>
            <w:r>
              <w:rPr>
                <w:sz w:val="17"/>
              </w:rPr>
              <w:t>3,336</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2,932</w:t>
            </w:r>
          </w:p>
        </w:tc>
        <w:tc>
          <w:tcPr>
            <w:tcW w:type="dxa" w:w="1440"/>
            <w:shd w:fill="FAFAFA" w:val="clear"/>
          </w:tcPr>
          <w:p>
            <w:r>
              <w:rPr>
                <w:b/>
                <w:sz w:val="17"/>
              </w:rPr>
              <w:t>3,144</w:t>
            </w:r>
          </w:p>
        </w:tc>
        <w:tc>
          <w:tcPr>
            <w:tcW w:type="dxa" w:w="1440"/>
            <w:shd w:fill="FAFAFA" w:val="clear"/>
          </w:tcPr>
          <w:p>
            <w:r>
              <w:rPr>
                <w:sz w:val="17"/>
              </w:rPr>
              <w:t>3,355</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2,909</w:t>
            </w:r>
          </w:p>
        </w:tc>
        <w:tc>
          <w:tcPr>
            <w:tcW w:type="dxa" w:w="1440"/>
            <w:shd w:fill="FAFAFA" w:val="clear"/>
          </w:tcPr>
          <w:p>
            <w:r>
              <w:rPr>
                <w:b/>
                <w:sz w:val="17"/>
              </w:rPr>
              <w:t>3,141</w:t>
            </w:r>
          </w:p>
        </w:tc>
        <w:tc>
          <w:tcPr>
            <w:tcW w:type="dxa" w:w="1440"/>
            <w:shd w:fill="FAFAFA" w:val="clear"/>
          </w:tcPr>
          <w:p>
            <w:r>
              <w:rPr>
                <w:sz w:val="17"/>
              </w:rPr>
              <w:t>3,372</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2,888</w:t>
            </w:r>
          </w:p>
        </w:tc>
        <w:tc>
          <w:tcPr>
            <w:tcW w:type="dxa" w:w="1440"/>
            <w:shd w:fill="FAFAFA" w:val="clear"/>
          </w:tcPr>
          <w:p>
            <w:r>
              <w:rPr>
                <w:b/>
                <w:sz w:val="17"/>
              </w:rPr>
              <w:t>3,138</w:t>
            </w:r>
          </w:p>
        </w:tc>
        <w:tc>
          <w:tcPr>
            <w:tcW w:type="dxa" w:w="1440"/>
            <w:shd w:fill="FAFAFA" w:val="clear"/>
          </w:tcPr>
          <w:p>
            <w:r>
              <w:rPr>
                <w:sz w:val="17"/>
              </w:rPr>
              <w:t>3,388</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2,868</w:t>
            </w:r>
          </w:p>
        </w:tc>
        <w:tc>
          <w:tcPr>
            <w:tcW w:type="dxa" w:w="1440"/>
            <w:shd w:fill="FAFAFA" w:val="clear"/>
          </w:tcPr>
          <w:p>
            <w:r>
              <w:rPr>
                <w:b/>
                <w:sz w:val="17"/>
              </w:rPr>
              <w:t>3,135</w:t>
            </w:r>
          </w:p>
        </w:tc>
        <w:tc>
          <w:tcPr>
            <w:tcW w:type="dxa" w:w="1440"/>
            <w:shd w:fill="FAFAFA" w:val="clear"/>
          </w:tcPr>
          <w:p>
            <w:r>
              <w:rPr>
                <w:sz w:val="17"/>
              </w:rPr>
              <w:t>3,402</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2,850</w:t>
            </w:r>
          </w:p>
        </w:tc>
        <w:tc>
          <w:tcPr>
            <w:tcW w:type="dxa" w:w="1440"/>
            <w:shd w:fill="FAFAFA" w:val="clear"/>
          </w:tcPr>
          <w:p>
            <w:r>
              <w:rPr>
                <w:b/>
                <w:sz w:val="17"/>
              </w:rPr>
              <w:t>3,132</w:t>
            </w:r>
          </w:p>
        </w:tc>
        <w:tc>
          <w:tcPr>
            <w:tcW w:type="dxa" w:w="1440"/>
            <w:shd w:fill="FAFAFA" w:val="clear"/>
          </w:tcPr>
          <w:p>
            <w:r>
              <w:rPr>
                <w:sz w:val="17"/>
              </w:rPr>
              <w:t>3,415</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2,832</w:t>
            </w:r>
          </w:p>
        </w:tc>
        <w:tc>
          <w:tcPr>
            <w:tcW w:type="dxa" w:w="1440"/>
            <w:shd w:fill="FAFAFA" w:val="clear"/>
          </w:tcPr>
          <w:p>
            <w:r>
              <w:rPr>
                <w:b/>
                <w:sz w:val="17"/>
              </w:rPr>
              <w:t>3,130</w:t>
            </w:r>
          </w:p>
        </w:tc>
        <w:tc>
          <w:tcPr>
            <w:tcW w:type="dxa" w:w="1440"/>
            <w:shd w:fill="FAFAFA" w:val="clear"/>
          </w:tcPr>
          <w:p>
            <w:r>
              <w:rPr>
                <w:sz w:val="17"/>
              </w:rPr>
              <w:t>3,428</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219 milliards FCFA, ce qui positionne le titre parmi les valeurs moyennes de la cote BRVM. Avec un BPA de 312 FCFA, le PER ressort à 10,1x, un niveau modéré qui se situe dans la fourchette moyenne du marché (8-12x), indiquant que les investisseurs paient un prix raisonnable pour les bénéfices générés. Le P/B de 1,94x montre que le marché valorise la société à près du double de sa valeur comptable, ce qui traduit une confiance dans la création de valeur future. En revanche, l'EV/EBITDA de 20,0x apparaît très exigeant, signalant que la valeur totale de l'entreprise (dette incluse) est élevée par rapport à sa capacité opérationnelle. Cette combinaison de ratios suggère une valorisation globalement correcte, mais avec une prime sur la dette qui mérite une attention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d'ORGT a enregistré une baisse de 13,80%, avec une dernière séance en recul de 0,79% à 3 155 FCFA. Le titre a évolué dans une fourchette large de 2 435 à 3 660 FCFA, illustrant une volatilité significative. La moyenne de 2 941 FCFA est supérieure à la médiane de 2 780 FCFA, ce qui indique une asymétrie positive : les journées sous la moyenne sont plus fréquentes, mais les fortes hausses ponctuelles tirent la moyenne vers le haut. L'écart-type de 322 FCFA (CV de 10,9%) révèle une dispersion modérée des prix autour de la moyenne. Le kurtosis de -0,637 (mésokurtique) suggère une distribution proche de la normale, sans risque de pics extrêmes, tandis que le skewness de 0,660 confirme cette asymétrie positive. La volatilité annualisée de 43,6% classe le titre comme très volatil, un niveau élevé qui implique un risque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3 117,5 FCFA et la MM50 à 2 865,1 FCFA sont toutes deux inférieures au cours actuel de 3 155 FCFA, ce qui confirme une dynamique haussière à court et moyen terme. Le signal d'achat est justifié par la position du cours au-dessus de ces moyennes, indiquant une tendance positive soutenue.</w:t>
      </w:r>
    </w:p>
    <w:p>
      <w:pPr>
        <w:spacing w:after="120" w:line="276" w:lineRule="auto"/>
      </w:pPr>
      <w:r>
        <w:t>**Bandes de Bollinger :** Le cours se situe à 3 155 FCFA, entre la borne supérieure de 3 223,85 FCFA et la borne inférieure de 3 011,15 FCFA. Cette position médiane suggère une volatilité normale sans excès, d'où une décision neutre. Le titre n'est ni suracheté ni survendu, évoluant dans une zone de confort.</w:t>
      </w:r>
    </w:p>
    <w:p>
      <w:pPr>
        <w:spacing w:after="120" w:line="276" w:lineRule="auto"/>
      </w:pPr>
      <w:r>
        <w:t>**MACD :** La valeur du MACD à 87,13 est inférieure au signal à 91,63, indiquant un momentum baissier à court terme. Cette configuration, bien que le MACD reste positif, suggère un ralentissement de la dynamique haussière, justifiant la décision de vente.</w:t>
      </w:r>
    </w:p>
    <w:p>
      <w:pPr>
        <w:spacing w:after="120" w:line="276" w:lineRule="auto"/>
      </w:pPr>
      <w:r>
        <w:t>**RSI :** À 53,75, le RSI se situe dans la zone neutre (30-70), indiquant un équilibre entre pression acheteuse et vendeuse. Cette valeur ne montre ni surachat ni survente, d'où une décision neutre.</w:t>
      </w:r>
    </w:p>
    <w:p>
      <w:pPr>
        <w:spacing w:after="120" w:line="276" w:lineRule="auto"/>
      </w:pPr>
      <w:r>
        <w:t>**Stochastique :** Le %K à 75,0 et le %D à 88,54 montrent une convergence vers des niveaux élevés, proches de la zone de surachat. Cette configuration suggère un possible retournement baissier, mais la décision reste neutre en l'absence de croisement baissier confirmé.</w:t>
      </w:r>
    </w:p>
    <w:p>
      <w:pPr>
        <w:spacing w:after="120" w:line="276" w:lineRule="auto"/>
      </w:pPr>
      <w:r>
        <w:t>**Conclusion technique :** Les indicateurs sont mitigés : les moyennes mobiles soutiennent une tendance haussière, tandis que le MACD et le stochastique signalent un essoufflement potentiel. Le RSI et les bandes de Bollinger restent neutres. Globalement, la tendance de fond reste positive, mais un repli technique à court terme est possible.</w:t>
      </w:r>
    </w:p>
    <w:p>
      <w:pPr>
        <w:spacing w:after="120" w:line="276" w:lineRule="auto" w:before="240"/>
      </w:pPr>
      <w:r>
        <w:rPr>
          <w:b/>
          <w:color w:val="003366"/>
          <w:sz w:val="24"/>
        </w:rPr>
        <w:t>**PARTIE 3 : ANALYSE FONDAMENTALE (SECTION CRITIQUE)**</w:t>
      </w:r>
    </w:p>
    <w:p>
      <w:pPr>
        <w:spacing w:after="120" w:line="276" w:lineRule="auto"/>
      </w:pPr>
      <w:r>
        <w:t>En 2025, ORGT affiche un Produit Net Bancaire de 186,6 milliards FCFA, en baisse de 4,5% par rapport à 2024 (195,4 milliards), et un résultat net consolidé de 21,6 milliards FCFA, contre une perte de 44,4 milliards en 2024. Le ROE s'établit à 19,1%, un niveau excellent, tandis que le ROA reste faible à 0,54%. Le coefficient d'exploitation de 42,85% témoigne d'une excellente maîtrise des charges. Le coût du risque s'est effondré de 90%, passant de 69,1 à 6,97 milliards FCFA, grâce à des actions de recouvrement intensives. Les dépôts clientèle atteignent 3 088,7 milliards FCFA, contre 1 523,8 milliards de crédits, soit un ratio de transformation de 49,3%, indiquant une liquidité abondante. Sur la base du rapport T1 2026 (PNB de 50,1 milliards, résultat net de 6,6 milliards en hausse de 37%), on estime que l'exercice 2026 pourrait voir une stabilisation du PNB et une poursuite de l'amélioration de la rentabilité, avec un résultat net potentiel de 25-28 milliards FCFA. Les capitaux propres se renforcent à 113,2 milliards FCFA (+17%), mais l'absence de dividende et la perte sociale de 8 milliards FCFA au niveau de la holding restent des points de vigilance.</w:t>
      </w:r>
    </w:p>
    <w:p>
      <w:pPr>
        <w:spacing w:after="120" w:line="276" w:lineRule="auto" w:before="240"/>
      </w:pPr>
      <w:r>
        <w:rPr>
          <w:b/>
          <w:color w:val="003366"/>
          <w:sz w:val="24"/>
        </w:rPr>
        <w:t>**PARTIE 4 : CONCLUSION D'INVESTISSEMENT**</w:t>
      </w:r>
    </w:p>
    <w:p>
      <w:pPr>
        <w:spacing w:after="120" w:line="276" w:lineRule="auto"/>
      </w:pPr>
      <w:r>
        <w:t>La valorisation d'ORGT apparaît raisonnable avec un PER de 10,1x et un P/B de 1,94x, bien que l'EV/EBITDA de 20x soit exigeant. Le comportement du cours montre une tendance baissière sur 100 jours (-13,8%) avec une volatilité élevée (43,6%), mais les statistiques indiquent une distribution stable sans risque extrême. Les signaux techniques sont mitigés : les moyennes mobiles sont haussières, mais le MACD et le stochastique suggèrent un essoufflement à court terme. Les fondamentaux sont solides avec un retour spectaculaire à la rentabilité (ROE de 19,1%), une maîtrise exemplaire des coûts et une réduction drastique du coût du risque. Les prédictions IA prévoient une stabilisation autour de 3 144-3 157 FCFA sur les 10 prochains jours, confirmant une phase de consolidation. La convergence entre la solidité fondamentale et la stabilisation technique attendue conduit à une recommandation **CONSERVER**, avec un niveau de confiance **Moyen** et un risque global **Élevé** en raison de la volatilité. L'horizon d'investissement optimal est le **moyen terme (3-12 mois)**, en attendant une reprise de la croissance du PNB pour envisager un renforcement de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145.32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3,565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+15.34%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μ=8,484 FCFA, σ=556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β=-0.2546 (Contre-cyclique) — Cov=-0.000009, Var(idx)=0.000036, ρ=-0.065,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9,061</w:t>
            </w:r>
          </w:p>
        </w:tc>
        <w:tc>
          <w:tcPr>
            <w:tcW w:type="dxa" w:w="1440"/>
            <w:shd w:fill="FAFAFA" w:val="clear"/>
          </w:tcPr>
          <w:p>
            <w:r>
              <w:rPr>
                <w:b/>
                <w:sz w:val="17"/>
              </w:rPr>
              <w:t>9,336</w:t>
            </w:r>
          </w:p>
        </w:tc>
        <w:tc>
          <w:tcPr>
            <w:tcW w:type="dxa" w:w="1440"/>
            <w:shd w:fill="FAFAFA" w:val="clear"/>
          </w:tcPr>
          <w:p>
            <w:r>
              <w:rPr>
                <w:sz w:val="17"/>
              </w:rPr>
              <w:t>9,610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8,984</w:t>
            </w:r>
          </w:p>
        </w:tc>
        <w:tc>
          <w:tcPr>
            <w:tcW w:type="dxa" w:w="1440"/>
            <w:shd w:fill="FAFAFA" w:val="clear"/>
          </w:tcPr>
          <w:p>
            <w:r>
              <w:rPr>
                <w:b/>
                <w:sz w:val="17"/>
              </w:rPr>
              <w:t>9,374</w:t>
            </w:r>
          </w:p>
        </w:tc>
        <w:tc>
          <w:tcPr>
            <w:tcW w:type="dxa" w:w="1440"/>
            <w:shd w:fill="FAFAFA" w:val="clear"/>
          </w:tcPr>
          <w:p>
            <w:r>
              <w:rPr>
                <w:sz w:val="17"/>
              </w:rPr>
              <w:t>9,763</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8,923</w:t>
            </w:r>
          </w:p>
        </w:tc>
        <w:tc>
          <w:tcPr>
            <w:tcW w:type="dxa" w:w="1440"/>
            <w:shd w:fill="FAFAFA" w:val="clear"/>
          </w:tcPr>
          <w:p>
            <w:r>
              <w:rPr>
                <w:b/>
                <w:sz w:val="17"/>
              </w:rPr>
              <w:t>9,402</w:t>
            </w:r>
          </w:p>
        </w:tc>
        <w:tc>
          <w:tcPr>
            <w:tcW w:type="dxa" w:w="1440"/>
            <w:shd w:fill="FAFAFA" w:val="clear"/>
          </w:tcPr>
          <w:p>
            <w:r>
              <w:rPr>
                <w:sz w:val="17"/>
              </w:rPr>
              <w:t>9,880</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8,873</w:t>
            </w:r>
          </w:p>
        </w:tc>
        <w:tc>
          <w:tcPr>
            <w:tcW w:type="dxa" w:w="1440"/>
            <w:shd w:fill="FAFAFA" w:val="clear"/>
          </w:tcPr>
          <w:p>
            <w:r>
              <w:rPr>
                <w:b/>
                <w:sz w:val="17"/>
              </w:rPr>
              <w:t>9,427</w:t>
            </w:r>
          </w:p>
        </w:tc>
        <w:tc>
          <w:tcPr>
            <w:tcW w:type="dxa" w:w="1440"/>
            <w:shd w:fill="FAFAFA" w:val="clear"/>
          </w:tcPr>
          <w:p>
            <w:r>
              <w:rPr>
                <w:sz w:val="17"/>
              </w:rPr>
              <w:t>9,982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8,832</w:t>
            </w:r>
          </w:p>
        </w:tc>
        <w:tc>
          <w:tcPr>
            <w:tcW w:type="dxa" w:w="1440"/>
            <w:shd w:fill="FAFAFA" w:val="clear"/>
          </w:tcPr>
          <w:p>
            <w:r>
              <w:rPr>
                <w:b/>
                <w:sz w:val="17"/>
              </w:rPr>
              <w:t>9,453</w:t>
            </w:r>
          </w:p>
        </w:tc>
        <w:tc>
          <w:tcPr>
            <w:tcW w:type="dxa" w:w="1440"/>
            <w:shd w:fill="FAFAFA" w:val="clear"/>
          </w:tcPr>
          <w:p>
            <w:r>
              <w:rPr>
                <w:sz w:val="17"/>
              </w:rPr>
              <w:t>10,074</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8,796</w:t>
            </w:r>
          </w:p>
        </w:tc>
        <w:tc>
          <w:tcPr>
            <w:tcW w:type="dxa" w:w="1440"/>
            <w:shd w:fill="FAFAFA" w:val="clear"/>
          </w:tcPr>
          <w:p>
            <w:r>
              <w:rPr>
                <w:b/>
                <w:sz w:val="17"/>
              </w:rPr>
              <w:t>9,479</w:t>
            </w:r>
          </w:p>
        </w:tc>
        <w:tc>
          <w:tcPr>
            <w:tcW w:type="dxa" w:w="1440"/>
            <w:shd w:fill="FAFAFA" w:val="clear"/>
          </w:tcPr>
          <w:p>
            <w:r>
              <w:rPr>
                <w:sz w:val="17"/>
              </w:rPr>
              <w:t>10,161</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8,765</w:t>
            </w:r>
          </w:p>
        </w:tc>
        <w:tc>
          <w:tcPr>
            <w:tcW w:type="dxa" w:w="1440"/>
            <w:shd w:fill="FAFAFA" w:val="clear"/>
          </w:tcPr>
          <w:p>
            <w:r>
              <w:rPr>
                <w:b/>
                <w:sz w:val="17"/>
              </w:rPr>
              <w:t>9,504</w:t>
            </w:r>
          </w:p>
        </w:tc>
        <w:tc>
          <w:tcPr>
            <w:tcW w:type="dxa" w:w="1440"/>
            <w:shd w:fill="FAFAFA" w:val="clear"/>
          </w:tcPr>
          <w:p>
            <w:r>
              <w:rPr>
                <w:sz w:val="17"/>
              </w:rPr>
              <w:t>10,243</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8,738</w:t>
            </w:r>
          </w:p>
        </w:tc>
        <w:tc>
          <w:tcPr>
            <w:tcW w:type="dxa" w:w="1440"/>
            <w:shd w:fill="FAFAFA" w:val="clear"/>
          </w:tcPr>
          <w:p>
            <w:r>
              <w:rPr>
                <w:b/>
                <w:sz w:val="17"/>
              </w:rPr>
              <w:t>9,530</w:t>
            </w:r>
          </w:p>
        </w:tc>
        <w:tc>
          <w:tcPr>
            <w:tcW w:type="dxa" w:w="1440"/>
            <w:shd w:fill="FAFAFA" w:val="clear"/>
          </w:tcPr>
          <w:p>
            <w:r>
              <w:rPr>
                <w:sz w:val="17"/>
              </w:rPr>
              <w:t>10,322</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8,713</w:t>
            </w:r>
          </w:p>
        </w:tc>
        <w:tc>
          <w:tcPr>
            <w:tcW w:type="dxa" w:w="1440"/>
            <w:shd w:fill="FAFAFA" w:val="clear"/>
          </w:tcPr>
          <w:p>
            <w:r>
              <w:rPr>
                <w:b/>
                <w:sz w:val="17"/>
              </w:rPr>
              <w:t>9,556</w:t>
            </w:r>
          </w:p>
        </w:tc>
        <w:tc>
          <w:tcPr>
            <w:tcW w:type="dxa" w:w="1440"/>
            <w:shd w:fill="FAFAFA" w:val="clear"/>
          </w:tcPr>
          <w:p>
            <w:r>
              <w:rPr>
                <w:sz w:val="17"/>
              </w:rPr>
              <w:t>10,398</w:t>
            </w:r>
          </w:p>
        </w:tc>
        <w:tc>
          <w:tcPr>
            <w:tcW w:type="dxa" w:w="1440"/>
            <w:shd w:fill="FAFAFA" w:val="clear"/>
          </w:tcPr>
          <w:p>
            <w:r>
              <w:rPr>
                <w:b/>
                <w:color w:val="008000"/>
                <w:sz w:val="17"/>
              </w:rPr>
              <w:t>+1.7%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8,691</w:t>
            </w:r>
          </w:p>
        </w:tc>
        <w:tc>
          <w:tcPr>
            <w:tcW w:type="dxa" w:w="1440"/>
            <w:shd w:fill="FAFAFA" w:val="clear"/>
          </w:tcPr>
          <w:p>
            <w:r>
              <w:rPr>
                <w:b/>
                <w:sz w:val="17"/>
              </w:rPr>
              <w:t>9,581</w:t>
            </w:r>
          </w:p>
        </w:tc>
        <w:tc>
          <w:tcPr>
            <w:tcW w:type="dxa" w:w="1440"/>
            <w:shd w:fill="FAFAFA" w:val="clear"/>
          </w:tcPr>
          <w:p>
            <w:r>
              <w:rPr>
                <w:sz w:val="17"/>
              </w:rPr>
              <w:t>10,472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**145,32 milliards FCFA**, un niveau significatif qui la positionne parmi les valeurs moyennes à grandes capitalisations de la BRVM. Avec un **BPA de 1 003 FCFA**, chaque action génère un bénéfice substantiel. Le **PER de 9,4x** se situe dans la fourchette basse de la moyenne du marché (8-12x), indiquant que les investisseurs paient un prix raisonnable pour les bénéfices générés, ce qui suggère une **sous-évaluation potentielle**. Le **P/B de 1,02x** est particulièrement intéressant : le marché valorise l'action quasiment à sa valeur comptable, ce qui est rare et offre une marge de sécurité. Enfin, l'**EV/EBITDA de 4,6x**, nettement inférieur à 5x, confirme que la valeur totale de l'entreprise (dette incluse) est très bon marché par rapport à sa capacité opérationnelle. L'ensemble de ces ratios plaide en faveur d'une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PALC affiche une **progression solide de +15,34%**, avec une dernière séance particulièrement dynamique (+3,30% à 9 400 FCFA). Le cours a évolué dans un range de 7 000 à 9 640 FCFA, démontrant une tendance haussière soutenue. La **moyenne (8 484 FCFA) est inférieure à la médiane (8 672 FCFA)**, indiquant une asymétrie positive récente : le cours a passé plus de temps en dessous de sa moyenne, suggérant une accélération haussière en fin de période. L'**écart-type de 559 FCFA** avec un **coefficient de variation de 6,6%** révèle une dispersion modérée autour de la moyenne. Le **kurtosis de -0,513** (mésokurtique) indique une distribution proche de la normale, sans risque de mouvements extrêmes, tandis que le **skewness de -0,216** confirme une distribution quasi symétrique. La **volatilité annualisée de 37,8%** classe le titre comme **élevé**, ce qui implique des fluctuations importantes et un risque de marché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(9 400 FCFA) se positionne nettement au-dessus de la MM20 (9 181,75 FCFA) et de la MM50 (8 912,9 FCFA). Cette configuration haussière, où le prix évolue au-dessus des deux moyennes, confirme une tendance positive à court et moyen terme. La décision d'**Achat** est justifiée par l'écart croissant entre les moyennes et le cours, signe d'un momentum haussier soutenu.</w:t>
      </w:r>
    </w:p>
    <w:p>
      <w:pPr>
        <w:spacing w:after="120" w:line="276" w:lineRule="auto"/>
      </w:pPr>
      <w:r>
        <w:t>**Bandes de Bollinger :** Le cours se situe à 9 400 FCFA, entre la borne inférieure (8 633,38 FCFA) et la borne supérieure (9 730,12 FCFA), plus proche de cette dernière. La position dans la moitié supérieure des bandes indique une pression acheteuse, mais sans atteindre la zone de surachat extrême. La décision **Neutre** reflète un équilibre entre la tendance haussière et la proximité de la borne supérieure qui pourrait limiter le potentiel à court terme.</w:t>
      </w:r>
    </w:p>
    <w:p>
      <w:pPr>
        <w:spacing w:after="120" w:line="276" w:lineRule="auto"/>
      </w:pPr>
      <w:r>
        <w:t>**MACD :** La valeur MACD (158,80) est inférieure au signal (168,08), indiquant un momentum baissier à très court terme malgré la tendance haussière globale. Cette divergence suggère un possible ralentissement ou une consolidation prochaine. La décision de **Vente** est prudente et signale un essoufflement temporaire du mouvement haussier.</w:t>
      </w:r>
    </w:p>
    <w:p>
      <w:pPr>
        <w:spacing w:after="120" w:line="276" w:lineRule="auto"/>
      </w:pPr>
      <w:r>
        <w:t>**RSI :** À 60,83, le RSI se situe dans la zone neutre (30-70), sans signal de surachat ni de survente. Cette valeur indique une pression acheteuse modérée, laissant une marge de progression avant d'atteindre la zone de surachat (&gt;70). La décision **Neutre** reflète un équilibre entre les forces acheteuses et vendeuses.</w:t>
      </w:r>
    </w:p>
    <w:p>
      <w:pPr>
        <w:spacing w:after="120" w:line="276" w:lineRule="auto"/>
      </w:pPr>
      <w:r>
        <w:t>**Stochastique :** Le %K (63,64) est nettement supérieur au %D (40,40), indiquant un croisement haussier récent. Cette configuration suggère que le momentum haussier reprend de la vigueur, mais la décision **Neutre** s'explique par la nécessité de confirmer ce croisement sur plusieurs séances.</w:t>
      </w:r>
    </w:p>
    <w:p>
      <w:pPr>
        <w:spacing w:after="120" w:line="276" w:lineRule="auto"/>
      </w:pPr>
      <w:r>
        <w:t>**Conclusion technique :** Les indicateurs sont globalement mitigés avec une prédominance haussière. Les moyennes mobiles confirment la tendance positive, tandis que le MACD signale un essoufflement temporaire. Le RSI et le Stochastique indiquent un potentiel de hausse résiduel. La configuration technique suggère une consolidation avant une possible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PALC affiche un chiffre d'affaires de **197,63 milliards FCFA**, en hausse de **+14,8%** par rapport à 2024, avec un résultat net de **15,51 milliards FCFA**. Le **ROE s'établit à 10,87%** et le **ROA à 7,79%**, reflétant une rentabilité correcte mais en deçà des standards excellents (&gt;15%). La structure financière est très saine avec une **autonomie financière de 71,64%** et un **ratio d'endettement de seulement 0,56%**. Le **BFR de 44,62 milliards FCFA** est positif, ce qui représente un besoin de financement, mais le **délai clients de 142,58 jours** est élevé, constituant un risque de trésorerie. Les rapports trimestriels 2025 montrent une performance exceptionnelle au S1 (CA +25%, résultat net +37% à 22,9 milliards FCFA), mais le **T1 2026 est préoccupant** : CA en baisse de 27% et résultat net en chute de 86% à 1,6 milliard FCFA, attribué par la direction à un décalage temporel des ventes. Le rapport annuel 2024 (publié en 2025) confirme la solidité de l'entreprise avec un CA de 172,2 milliards FCFA et un résultat net de 15,9 milliards FCFA. Les perspectives 2026 restent positives selon la direction, qui anticipe un redressement avec l'écoulement des stocks à l'export. La recommandation fondamentale est **CONSERVER**, avec une vigilance particulière sur la trésorerie et la volatilité des cours de l'huile de palme.</w:t>
      </w:r>
    </w:p>
    <w:p>
      <w:pPr>
        <w:spacing w:after="120" w:line="276" w:lineRule="auto"/>
      </w:pPr>
      <w:r>
        <w:t>---</w:t>
      </w:r>
    </w:p>
    <w:p>
      <w:pPr>
        <w:spacing w:after="120" w:line="276" w:lineRule="auto"/>
      </w:pPr>
      <w:r>
        <w:t>### PARTIE 4 : CONCLUSION D'INVESTISSEMENT</w:t>
      </w:r>
    </w:p>
    <w:p>
      <w:pPr>
        <w:spacing w:after="120" w:line="276" w:lineRule="auto"/>
      </w:pPr>
      <w:r>
        <w:t>La valorisation de PALC est **attractive** avec un PER de 9,4x, un P/B de 1,02x et un EV/EBITDA de 4,6x, tous inférieurs aux références du marché. Le comportement du cours est **favorable** avec une tendance haussière de +15,34% sur 100 jours, mais la volatilité élevée (37,8%) nécessite une gestion prudente. Les signaux techniques sont **mitigés** : les moyennes mobiles confirment la tendance haussière, mais le MACD signale un essoufflement temporaire. Les fondamentaux sont **solides** avec une croissance du CA de +14,8% en 2025, mais le T1 2026 décevant (résultat net -86%) tempère l'optimisme. Les **prédictions IA** (9 336 à 9 453 FCFA sur 10 jours) indiquent une stabilisation autour des niveaux actuels, confirmant la consolidation technique. La convergence entre la valorisation attractive, la tendance haussière et les fondamentaux solides, malgré les signaux techniques mitigés, conduit à une recommandation **CONSERVER**. Le niveau de confiance est **Moyen**, le risque global **Élevé** (volatilité et dépendance aux cours des matières premières), avec un horizon d'investissement optimal à **moyen terme (3-12 mois)**, en attendant la confirmation du redressement annoncé par la direction.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 titres</w:t>
            </w:r>
          </w:p>
        </w:tc>
        <w:tc>
          <w:tcPr>
            <w:tcW w:type="dxa" w:w="2268"/>
            <w:shd w:fill="FFF2CC" w:val="clear"/>
          </w:tcPr>
          <w:p>
            <w:r>
              <w:rPr>
                <w:b/>
                <w:color w:val="503200"/>
                <w:sz w:val="16"/>
              </w:rPr>
              <w:t xml:space="preserve">Cours actuel : </w:t>
            </w:r>
            <w:r>
              <w:rPr>
                <w:color w:val="000000"/>
                <w:sz w:val="17"/>
              </w:rPr>
              <w:t>4,490 FCFA</w:t>
            </w:r>
          </w:p>
          <w:p>
            <w:r>
              <w:rPr>
                <w:b/>
                <w:color w:val="503200"/>
                <w:sz w:val="16"/>
              </w:rPr>
              <w:t xml:space="preserve">Var. 100 jours : </w:t>
            </w:r>
            <w:r>
              <w:rPr>
                <w:b/>
                <w:color w:val="B40000"/>
                <w:sz w:val="17"/>
              </w:rPr>
              <w:t>-5.77%</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μ=4,445 FCFA, σ=346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β=-0.3483 (Contre-cyclique) — Cov=-0.000013, Var(idx)=0.000036, ρ=-0.083,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4,375</w:t>
            </w:r>
          </w:p>
        </w:tc>
        <w:tc>
          <w:tcPr>
            <w:tcW w:type="dxa" w:w="1440"/>
            <w:shd w:fill="FAFAFA" w:val="clear"/>
          </w:tcPr>
          <w:p>
            <w:r>
              <w:rPr>
                <w:b/>
                <w:sz w:val="17"/>
              </w:rPr>
              <w:t>4,474</w:t>
            </w:r>
          </w:p>
        </w:tc>
        <w:tc>
          <w:tcPr>
            <w:tcW w:type="dxa" w:w="1440"/>
            <w:shd w:fill="FAFAFA" w:val="clear"/>
          </w:tcPr>
          <w:p>
            <w:r>
              <w:rPr>
                <w:sz w:val="17"/>
              </w:rPr>
              <w:t>4,574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4,310</w:t>
            </w:r>
          </w:p>
        </w:tc>
        <w:tc>
          <w:tcPr>
            <w:tcW w:type="dxa" w:w="1440"/>
            <w:shd w:fill="FAFAFA" w:val="clear"/>
          </w:tcPr>
          <w:p>
            <w:r>
              <w:rPr>
                <w:b/>
                <w:sz w:val="17"/>
              </w:rPr>
              <w:t>4,450</w:t>
            </w:r>
          </w:p>
        </w:tc>
        <w:tc>
          <w:tcPr>
            <w:tcW w:type="dxa" w:w="1440"/>
            <w:shd w:fill="FAFAFA" w:val="clear"/>
          </w:tcPr>
          <w:p>
            <w:r>
              <w:rPr>
                <w:sz w:val="17"/>
              </w:rPr>
              <w:t>4,590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4,256</w:t>
            </w:r>
          </w:p>
        </w:tc>
        <w:tc>
          <w:tcPr>
            <w:tcW w:type="dxa" w:w="1440"/>
            <w:shd w:fill="FAFAFA" w:val="clear"/>
          </w:tcPr>
          <w:p>
            <w:r>
              <w:rPr>
                <w:b/>
                <w:sz w:val="17"/>
              </w:rPr>
              <w:t>4,427</w:t>
            </w:r>
          </w:p>
        </w:tc>
        <w:tc>
          <w:tcPr>
            <w:tcW w:type="dxa" w:w="1440"/>
            <w:shd w:fill="FAFAFA" w:val="clear"/>
          </w:tcPr>
          <w:p>
            <w:r>
              <w:rPr>
                <w:sz w:val="17"/>
              </w:rPr>
              <w:t>4,597</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4,208</w:t>
            </w:r>
          </w:p>
        </w:tc>
        <w:tc>
          <w:tcPr>
            <w:tcW w:type="dxa" w:w="1440"/>
            <w:shd w:fill="FAFAFA" w:val="clear"/>
          </w:tcPr>
          <w:p>
            <w:r>
              <w:rPr>
                <w:b/>
                <w:sz w:val="17"/>
              </w:rPr>
              <w:t>4,404</w:t>
            </w:r>
          </w:p>
        </w:tc>
        <w:tc>
          <w:tcPr>
            <w:tcW w:type="dxa" w:w="1440"/>
            <w:shd w:fill="FAFAFA" w:val="clear"/>
          </w:tcPr>
          <w:p>
            <w:r>
              <w:rPr>
                <w:sz w:val="17"/>
              </w:rPr>
              <w:t>4,600</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4,165</w:t>
            </w:r>
          </w:p>
        </w:tc>
        <w:tc>
          <w:tcPr>
            <w:tcW w:type="dxa" w:w="1440"/>
            <w:shd w:fill="FFDCE0" w:val="clear"/>
          </w:tcPr>
          <w:p>
            <w:r>
              <w:rPr>
                <w:b/>
                <w:sz w:val="17"/>
              </w:rPr>
              <w:t>4,383</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4,124</w:t>
            </w:r>
          </w:p>
        </w:tc>
        <w:tc>
          <w:tcPr>
            <w:tcW w:type="dxa" w:w="1440"/>
            <w:shd w:fill="FFDCE0" w:val="clear"/>
          </w:tcPr>
          <w:p>
            <w:r>
              <w:rPr>
                <w:b/>
                <w:sz w:val="17"/>
              </w:rPr>
              <w:t>4,362</w:t>
            </w:r>
          </w:p>
        </w:tc>
        <w:tc>
          <w:tcPr>
            <w:tcW w:type="dxa" w:w="1440"/>
            <w:shd w:fill="FFDCE0" w:val="clear"/>
          </w:tcPr>
          <w:p>
            <w:r>
              <w:rPr>
                <w:sz w:val="17"/>
              </w:rPr>
              <w:t>4,599</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4,086</w:t>
            </w:r>
          </w:p>
        </w:tc>
        <w:tc>
          <w:tcPr>
            <w:tcW w:type="dxa" w:w="1440"/>
            <w:shd w:fill="FFDCE0" w:val="clear"/>
          </w:tcPr>
          <w:p>
            <w:r>
              <w:rPr>
                <w:b/>
                <w:sz w:val="17"/>
              </w:rPr>
              <w:t>4,341</w:t>
            </w:r>
          </w:p>
        </w:tc>
        <w:tc>
          <w:tcPr>
            <w:tcW w:type="dxa" w:w="1440"/>
            <w:shd w:fill="FFDCE0" w:val="clear"/>
          </w:tcPr>
          <w:p>
            <w:r>
              <w:rPr>
                <w:sz w:val="17"/>
              </w:rPr>
              <w:t>4,597</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4,049</w:t>
            </w:r>
          </w:p>
        </w:tc>
        <w:tc>
          <w:tcPr>
            <w:tcW w:type="dxa" w:w="1440"/>
            <w:shd w:fill="FFDCE0" w:val="clear"/>
          </w:tcPr>
          <w:p>
            <w:r>
              <w:rPr>
                <w:b/>
                <w:sz w:val="17"/>
              </w:rPr>
              <w:t>4,321</w:t>
            </w:r>
          </w:p>
        </w:tc>
        <w:tc>
          <w:tcPr>
            <w:tcW w:type="dxa" w:w="1440"/>
            <w:shd w:fill="FFDCE0" w:val="clear"/>
          </w:tcPr>
          <w:p>
            <w:r>
              <w:rPr>
                <w:sz w:val="17"/>
              </w:rPr>
              <w:t>4,593</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4,014</w:t>
            </w:r>
          </w:p>
        </w:tc>
        <w:tc>
          <w:tcPr>
            <w:tcW w:type="dxa" w:w="1440"/>
            <w:shd w:fill="FFDCE0" w:val="clear"/>
          </w:tcPr>
          <w:p>
            <w:r>
              <w:rPr>
                <w:b/>
                <w:sz w:val="17"/>
              </w:rPr>
              <w:t>4,301</w:t>
            </w:r>
          </w:p>
        </w:tc>
        <w:tc>
          <w:tcPr>
            <w:tcW w:type="dxa" w:w="1440"/>
            <w:shd w:fill="FFDCE0" w:val="clear"/>
          </w:tcPr>
          <w:p>
            <w:r>
              <w:rPr>
                <w:sz w:val="17"/>
              </w:rPr>
              <w:t>4,588</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3,980</w:t>
            </w:r>
          </w:p>
        </w:tc>
        <w:tc>
          <w:tcPr>
            <w:tcW w:type="dxa" w:w="1440"/>
            <w:shd w:fill="FFDCE0" w:val="clear"/>
          </w:tcPr>
          <w:p>
            <w:r>
              <w:rPr>
                <w:b/>
                <w:sz w:val="17"/>
              </w:rPr>
              <w:t>4,281</w:t>
            </w:r>
          </w:p>
        </w:tc>
        <w:tc>
          <w:tcPr>
            <w:tcW w:type="dxa" w:w="1440"/>
            <w:shd w:fill="FFDCE0" w:val="clear"/>
          </w:tcPr>
          <w:p>
            <w:r>
              <w:rPr>
                <w:sz w:val="17"/>
              </w:rPr>
              <w:t>4,582</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45,98 milliards FCFA, un niveau qui la positionne comme une valeur de taille moyenne sur la BRVM. Avec un BPA de 231 FCFA, le titre se négocie à un PER de 19,4x, nettement supérieur à la moyenne historique de la place (~8-12x), ce qui indique que les investisseurs paient une prime substantielle pour les bénéfices de la société. Cette prime est confirmée par un P/B de 3,99x, signifiant que le marché valorise l'actif net comptable près de quatre fois sa valeur, traduisant des attentes de croissance élevées. Enfin, un EV/EBITDA de 9,9x, dans le haut de la fourchette raisonnable (5-10x), suggère que la valeur d'entreprise reste soutenable au regard de la capacité opérationnelle, mais sans marge de sécurité significative. L'ensemble de ces ratios dessine le profil d'une valeur "croissance" déjà largement intégrée dans les prix.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tendance baissière de -5,77%, avec une dernière séance en repli de -1,21% à 4 490 FCFA. Le titre a évolué dans un range de trading de 1 480 FCFA, entre un plus haut de 5 100 FCFA et un plus bas de 3 620 FCFA, illustrant une volatilité intra-période marquée. La moyenne (4 445 FCFA) est très proche de la médiane (4 492 FCFA), indiquant une distribution des prix relativement symétrique autour de la moyenne, bien que le skewness de -0,689 révèle une asymétrie négative avec des épisodes de fortes baisses plus fréquents que les fortes hausses. Le kurtosis de 0,253 (mésokurtique) suggère un risque de variations extrêmes limité, comparable à une distribution normale. L'écart-type de 348 FCFA (CV=7,8%) montre une dispersion modérée des prix, mais la volatilité annualisée de 40% classe le titre comme très volatil (&gt;30%), un niveau élevé qui impose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(4 490 FCFA) se situe sous sa MM20 (4 465 FCFA) et sa MM50 (4 512,7 FCFA), ce qui configure un croisement baissier à court terme. La décision de "Vente" est justifiée par la position du prix sous les deux moyennes clés, indiquant une dynamique de prix négative et une pression vendeuse dominante.</w:t>
      </w:r>
    </w:p>
    <w:p>
      <w:pPr>
        <w:spacing w:after="120" w:line="276" w:lineRule="auto"/>
      </w:pPr>
      <w:r>
        <w:t>**Bandes de Bollinger** : Le prix se positionne à l'intérieur des bandes, entre la borne supérieure (4 564 FCFA) et inférieure (4 365 FCFA), avec une largeur de bande relativement étroite. La décision "Neutre" est cohérente : le titre n'est ni suracheté ni survendu, évoluant dans une zone de consolidation sans signal directionnel fort.</w:t>
      </w:r>
    </w:p>
    <w:p>
      <w:pPr>
        <w:spacing w:after="120" w:line="276" w:lineRule="auto"/>
      </w:pPr>
      <w:r>
        <w:t>**MACD** : La valeur du MACD (7,9) est supérieure à son signal (1,042), formant un croisement haussier. Cette configuration indique un momentum positif en train de se construire, justifiant la décision "Achat" malgré la faiblesse des niveaux absolus, ce qui pourrait précéder un rebond technique.</w:t>
      </w:r>
    </w:p>
    <w:p>
      <w:pPr>
        <w:spacing w:after="120" w:line="276" w:lineRule="auto"/>
      </w:pPr>
      <w:r>
        <w:t>**RSI** : À 51,04, le RSI se situe exactement dans la zone neutre (30-70), indiquant un équilibre entre pressions acheteuses et vendeuses. La décision "Neutre" est appropriée : le titre n'est ni suracheté ni survendu, laissant place à une évolution directionnelle sans contrainte technique majeure.</w:t>
      </w:r>
    </w:p>
    <w:p>
      <w:pPr>
        <w:spacing w:after="120" w:line="276" w:lineRule="auto"/>
      </w:pPr>
      <w:r>
        <w:t>**Stochastique** : Le %K (60,0) est inférieur au %D (85,556), formant un croisement baissier potentiel depuis des niveaux élevés. La décision "Neutre" masque un risque de retournement : le %D en zone de surachat (&gt;80) suggère un essoufflement du mouvement haussier récent, appelant à la prudence.</w:t>
      </w:r>
    </w:p>
    <w:p>
      <w:pPr>
        <w:spacing w:after="120" w:line="276" w:lineRule="auto"/>
      </w:pPr>
      <w:r>
        <w:t>**Conclusion technique** : Les signaux sont mitigés avec une prédominance baissière sur les moyennes mobiles, mais un MACD en croisement haussier. Le RSI neutre et les bandes de Bollinger sans pression directionnelle indiquent une phase de transition. La configuration globale suggère une stabilisation autour de 4 490 FCFA, avec un biais légèrement négatif à court terme, mais un potentiel de rebond technique si le MACD confirme son signal.</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croissance de 9,5% par rapport à 2024 (74,45 Mds), selon les données structurées et le rapport annuel daté du 31/12/2025. Le résultat net s'établit à 2,367 milliards FCFA, en légère hausse par rapport aux 2,177 milliards de 2024 (+8,7%), avec une marge nette de 2,9%. La rentabilité des fonds propres (ROE) est excellente à 20,5%, bien au-dessus du seuil de 15%, tandis que le ROA de 4,9% reflète une utilisation correcte des actifs. En tant qu'entreprise de distribution automobile, l'analyse du BFR est cruciale : le BFR s'élève à 11,267 milliards FCFA, avec un délai de stockage de 150,5 jours (élevé, immobilisant du capital) et un délai clients de 46 jours, partiellement compensé par un délai fournisseurs de 102,6 jours, favorable à la trésorerie. La structure financière montre une autonomie de 24,1% (légèrement sous le seuil de 30%) et un endettement total de 314,9% des capitaux propres, mais la capacité de remboursement reste correcte à 1,83 an. Le rapport d'activité du S1 2025 (daté du 30/06/2025) confirme une dynamique exceptionnelle avec un CA semestriel de 39,968 milliards FCFA (+15,1%) et un résultat net multiplié par 28 à 1,436 milliard FCFA, laissant présager une performance annuelle solide, bien que la direction anticipe un ralentissement au S2 (contexte électoral). Enfin, l'avis de convocation à l'AG du 30/06/2026 annonce un dividende de 209 FCFA par action, offrant un rendement de 4,65% au cours actuel, un signal positif pour les actionnaires. La société présente donc une solidité financière correcte, une croissance soutenue, mais des marges structurellement faibles et un besoin en fonds de roulement élevé à surveiller.</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indique une prime de croissance significative, potentiellement excessive au regard des marges modestes. Le comportement du cours sur 100 jours est baissier (-5,77%) avec une volatilité très élevée (40%), et une asymétrie négative des rendements, un signal préoccupant. Les signaux techniques sont mitigés : les moyennes mobiles sont vendeuses, mais le MACD esquisse un retournement haussier, tandis que le RSI et les bandes de Bollinger restent neutres. Les fondamentaux, bien que solides (croissance du CA de 9,5%, ROE de 20,5%, dividende de 209 FCFA), sont pénalisés par une marge nette de seulement 2,9% et un BFR élevé. Les prédictions IA pour les 10 prochains jours (4 474 à 4 383 FCFA) confirment la tendance baissière à court terme, en cohérence avec les moyennes mobiles. En synthèse, la convergence entre la valorisation exigeante, la tendance technique baissière et les prédictions IA défavorables l'emporte sur la solidité fondamentale relative. **Recommandation : VENTE** avec un niveau de confiance **Moyen** et un risque global **Élevé**. L'horizon d'investissement optimal serait de **court terme (&lt;3 mois)** pour les investisseurs cherchant à réduire leur exposition, tandis que les investisseurs à long terme pourraient attendre un point d'entrée plus favorable sous les 4 300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7,302 titres</w:t>
            </w:r>
          </w:p>
        </w:tc>
        <w:tc>
          <w:tcPr>
            <w:tcW w:type="dxa" w:w="2268"/>
            <w:shd w:fill="FFF2CC" w:val="clear"/>
          </w:tcPr>
          <w:p>
            <w:r>
              <w:rPr>
                <w:b/>
                <w:color w:val="503200"/>
                <w:sz w:val="16"/>
              </w:rPr>
              <w:t xml:space="preserve">Cours actuel : </w:t>
            </w:r>
            <w:r>
              <w:rPr>
                <w:color w:val="000000"/>
                <w:sz w:val="17"/>
              </w:rPr>
              <w:t>5,865 FCFA</w:t>
            </w:r>
          </w:p>
          <w:p>
            <w:r>
              <w:rPr>
                <w:b/>
                <w:color w:val="503200"/>
                <w:sz w:val="16"/>
              </w:rPr>
              <w:t xml:space="preserve">Var. 100 jours : </w:t>
            </w:r>
            <w:r>
              <w:rPr>
                <w:b/>
                <w:color w:val="B40000"/>
                <w:sz w:val="17"/>
              </w:rPr>
              <w:t>-21.80%</w:t>
            </w:r>
          </w:p>
          <w:p>
            <w:r>
              <w:rPr>
                <w:b/>
                <w:color w:val="503200"/>
                <w:sz w:val="16"/>
              </w:rPr>
              <w:t xml:space="preserve">Plus haut 100j : </w:t>
            </w:r>
            <w:r>
              <w:rPr>
                <w:color w:val="000000"/>
                <w:sz w:val="17"/>
              </w:rPr>
              <w:t>7,500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22.05% (Élevée) — μ=4,735 FCFA, σ=1,044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β=0.3967 (Défensif) — Cov=0.000014, Var(idx)=0.000036, ρ=0.046,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5,108</w:t>
            </w:r>
          </w:p>
        </w:tc>
        <w:tc>
          <w:tcPr>
            <w:tcW w:type="dxa" w:w="1440"/>
            <w:shd w:fill="FFDCE0" w:val="clear"/>
          </w:tcPr>
          <w:p>
            <w:r>
              <w:rPr>
                <w:b/>
                <w:sz w:val="17"/>
              </w:rPr>
              <w:t>5,425</w:t>
            </w:r>
          </w:p>
        </w:tc>
        <w:tc>
          <w:tcPr>
            <w:tcW w:type="dxa" w:w="1440"/>
            <w:shd w:fill="FFDCE0" w:val="clear"/>
          </w:tcPr>
          <w:p>
            <w:r>
              <w:rPr>
                <w:sz w:val="17"/>
              </w:rPr>
              <w:t>5,743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4,603</w:t>
            </w:r>
          </w:p>
        </w:tc>
        <w:tc>
          <w:tcPr>
            <w:tcW w:type="dxa" w:w="1440"/>
            <w:shd w:fill="FFDCE0" w:val="clear"/>
          </w:tcPr>
          <w:p>
            <w:r>
              <w:rPr>
                <w:b/>
                <w:sz w:val="17"/>
              </w:rPr>
              <w:t>5,018</w:t>
            </w:r>
          </w:p>
        </w:tc>
        <w:tc>
          <w:tcPr>
            <w:tcW w:type="dxa" w:w="1440"/>
            <w:shd w:fill="FFDCE0" w:val="clear"/>
          </w:tcPr>
          <w:p>
            <w:r>
              <w:rPr>
                <w:sz w:val="17"/>
              </w:rPr>
              <w:t>5,434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4,171</w:t>
            </w:r>
          </w:p>
        </w:tc>
        <w:tc>
          <w:tcPr>
            <w:tcW w:type="dxa" w:w="1440"/>
            <w:shd w:fill="FFDCE0" w:val="clear"/>
          </w:tcPr>
          <w:p>
            <w:r>
              <w:rPr>
                <w:b/>
                <w:sz w:val="17"/>
              </w:rPr>
              <w:t>4,642</w:t>
            </w:r>
          </w:p>
        </w:tc>
        <w:tc>
          <w:tcPr>
            <w:tcW w:type="dxa" w:w="1440"/>
            <w:shd w:fill="FFDCE0" w:val="clear"/>
          </w:tcPr>
          <w:p>
            <w:r>
              <w:rPr>
                <w:sz w:val="17"/>
              </w:rPr>
              <w:t>5,112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3,791</w:t>
            </w:r>
          </w:p>
        </w:tc>
        <w:tc>
          <w:tcPr>
            <w:tcW w:type="dxa" w:w="1440"/>
            <w:shd w:fill="FFDCE0" w:val="clear"/>
          </w:tcPr>
          <w:p>
            <w:r>
              <w:rPr>
                <w:b/>
                <w:sz w:val="17"/>
              </w:rPr>
              <w:t>4,294</w:t>
            </w:r>
          </w:p>
        </w:tc>
        <w:tc>
          <w:tcPr>
            <w:tcW w:type="dxa" w:w="1440"/>
            <w:shd w:fill="FFDCE0" w:val="clear"/>
          </w:tcPr>
          <w:p>
            <w:r>
              <w:rPr>
                <w:sz w:val="17"/>
              </w:rPr>
              <w:t>4,796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3,452</w:t>
            </w:r>
          </w:p>
        </w:tc>
        <w:tc>
          <w:tcPr>
            <w:tcW w:type="dxa" w:w="1440"/>
            <w:shd w:fill="FFDCE0" w:val="clear"/>
          </w:tcPr>
          <w:p>
            <w:r>
              <w:rPr>
                <w:b/>
                <w:sz w:val="17"/>
              </w:rPr>
              <w:t>3,972</w:t>
            </w:r>
          </w:p>
        </w:tc>
        <w:tc>
          <w:tcPr>
            <w:tcW w:type="dxa" w:w="1440"/>
            <w:shd w:fill="FFDCE0" w:val="clear"/>
          </w:tcPr>
          <w:p>
            <w:r>
              <w:rPr>
                <w:sz w:val="17"/>
              </w:rPr>
              <w:t>4,491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3,147</w:t>
            </w:r>
          </w:p>
        </w:tc>
        <w:tc>
          <w:tcPr>
            <w:tcW w:type="dxa" w:w="1440"/>
            <w:shd w:fill="FFDCE0" w:val="clear"/>
          </w:tcPr>
          <w:p>
            <w:r>
              <w:rPr>
                <w:b/>
                <w:sz w:val="17"/>
              </w:rPr>
              <w:t>3,674</w:t>
            </w:r>
          </w:p>
        </w:tc>
        <w:tc>
          <w:tcPr>
            <w:tcW w:type="dxa" w:w="1440"/>
            <w:shd w:fill="FFDCE0" w:val="clear"/>
          </w:tcPr>
          <w:p>
            <w:r>
              <w:rPr>
                <w:sz w:val="17"/>
              </w:rPr>
              <w:t>4,200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2,872</w:t>
            </w:r>
          </w:p>
        </w:tc>
        <w:tc>
          <w:tcPr>
            <w:tcW w:type="dxa" w:w="1440"/>
            <w:shd w:fill="FFDCE0" w:val="clear"/>
          </w:tcPr>
          <w:p>
            <w:r>
              <w:rPr>
                <w:b/>
                <w:sz w:val="17"/>
              </w:rPr>
              <w:t>3,398</w:t>
            </w:r>
          </w:p>
        </w:tc>
        <w:tc>
          <w:tcPr>
            <w:tcW w:type="dxa" w:w="1440"/>
            <w:shd w:fill="FFDCE0" w:val="clear"/>
          </w:tcPr>
          <w:p>
            <w:r>
              <w:rPr>
                <w:sz w:val="17"/>
              </w:rPr>
              <w:t>3,924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2,623</w:t>
            </w:r>
          </w:p>
        </w:tc>
        <w:tc>
          <w:tcPr>
            <w:tcW w:type="dxa" w:w="1440"/>
            <w:shd w:fill="FFDCE0" w:val="clear"/>
          </w:tcPr>
          <w:p>
            <w:r>
              <w:rPr>
                <w:b/>
                <w:sz w:val="17"/>
              </w:rPr>
              <w:t>3,143</w:t>
            </w:r>
          </w:p>
        </w:tc>
        <w:tc>
          <w:tcPr>
            <w:tcW w:type="dxa" w:w="1440"/>
            <w:shd w:fill="FFDCE0" w:val="clear"/>
          </w:tcPr>
          <w:p>
            <w:r>
              <w:rPr>
                <w:sz w:val="17"/>
              </w:rPr>
              <w:t>3,664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2,397</w:t>
            </w:r>
          </w:p>
        </w:tc>
        <w:tc>
          <w:tcPr>
            <w:tcW w:type="dxa" w:w="1440"/>
            <w:shd w:fill="FFDCE0" w:val="clear"/>
          </w:tcPr>
          <w:p>
            <w:r>
              <w:rPr>
                <w:b/>
                <w:sz w:val="17"/>
              </w:rPr>
              <w:t>2,908</w:t>
            </w:r>
          </w:p>
        </w:tc>
        <w:tc>
          <w:tcPr>
            <w:tcW w:type="dxa" w:w="1440"/>
            <w:shd w:fill="FFDCE0" w:val="clear"/>
          </w:tcPr>
          <w:p>
            <w:r>
              <w:rPr>
                <w:sz w:val="17"/>
              </w:rPr>
              <w:t>3,418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2,192</w:t>
            </w:r>
          </w:p>
        </w:tc>
        <w:tc>
          <w:tcPr>
            <w:tcW w:type="dxa" w:w="1440"/>
            <w:shd w:fill="FFDCE0" w:val="clear"/>
          </w:tcPr>
          <w:p>
            <w:r>
              <w:rPr>
                <w:b/>
                <w:sz w:val="17"/>
              </w:rPr>
              <w:t>2,690</w:t>
            </w:r>
          </w:p>
        </w:tc>
        <w:tc>
          <w:tcPr>
            <w:tcW w:type="dxa" w:w="1440"/>
            <w:shd w:fill="FFDCE0" w:val="clear"/>
          </w:tcPr>
          <w:p>
            <w:r>
              <w:rPr>
                <w:sz w:val="17"/>
              </w:rPr>
              <w:t>3,187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47,62 milliards FCFA, un niveau modeste dans l'écosystème BRVM, reflétant une société de taille moyenne en phase de redressement. Le BPA de 86 FCFA par action indique un bénéfice net par titre encore faible, conséquence d'un résultat net de 701 millions FCFA pour un capital social de 3,248 milliards FCFA. Le PER de 67,9x est extrêmement élevé par rapport à la moyenne du marché BRVM (8-12x), signifiant que les investisseurs paient une prime considérable pour chaque franc de bénéfice, ce qui traduit des anticipations de croissance très optimistes. Le P/B de 8,05x confirme cette surévaluation relative, le marché valorisant le titre bien au-delà de sa valeur comptable (5,916 milliards FCFA de capitaux propres). Enfin, l'EV/EBITDA de 81,9x est également très exigeant, indiquant que la valeur d'entreprise est disproportionnée par rapport à la capacité opérationnelle de la banque. Ces ratios suggèrent une valorisation spéculative qui intègre déjà un scénario de redressement réussi.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-21,80%, avec une légère hausse de +0,26% lors de la dernière séance, reflétant une tendance baissière marquée malgré un rebond ponctuel. Le cours a évolué dans une fourchette très large, entre un plus bas de 3 340 FCFA et un plus haut de 7 500 FCFA, illustrant une volatilité extrême et une incertitude majeure sur la valeur du titre. La moyenne du cours sur la période (4 735 FCFA) est supérieure à la médiane (4 505 FCFA), ce qui, combiné à un skewness positif de 0,957, indique une distribution asymétrique avec davantage de journées sous la moyenne, typique d'un marché sous pression vendeuse. L'écart-type de 1 050 FCFA (CV de 22,2%) confirme une dispersion élevée des prix, tandis que le kurtosis de 0,224 (mésokurtique) suggère une distribution proche de la normale, sans risque de pics extrêmes particulier. La volatilité annualisée de 82,3% est extrêmement élevée, bien au-delà du seuil de 30%, positionnant SAFC comme un titre à très haut risque, réservé aux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La MM20 (5 445,25 FCFA) est nettement inférieure au cours actuel (5 865 FCFA), tandis que la MM50 (4 900,4 FCFA) est encore plus basse, indiquant une configuration haussière à court et moyen terme. Le cours évolue au-dessus de ses deux moyennes mobiles, ce qui confirme une dynamique positive récente et justifie la décision d'achat signalée. Cependant, la pente des moyennes reste à surveiller, car un retournement pourrait inverser ce signal.</w:t>
      </w:r>
    </w:p>
    <w:p>
      <w:pPr>
        <w:spacing w:after="120" w:line="276" w:lineRule="auto"/>
      </w:pPr>
      <w:r>
        <w:t>**Bandes de Bollinger :** Le cours actuel (5 865 FCFA) se situe dans la partie supérieure des bandes, proche de la borne haute (6 176,64 FCFA) et nettement au-dessus de la borne inférieure (4 713,86 FCFA). Cette position indique une pression acheteuse soutenue, mais également une volatilité accrue, le titre ayant récemment quitté la zone de confort. La décision neutre reflète un équilibre précaire entre momentum haussier et risque de correction.</w:t>
      </w:r>
    </w:p>
    <w:p>
      <w:pPr>
        <w:spacing w:after="120" w:line="276" w:lineRule="auto"/>
      </w:pPr>
      <w:r>
        <w:t>**MACD :** Le MACD (309,693) est nettement supérieur à son signal (295,19), confirmant un momentum haussier positif. Cette divergence positive indique que la dynamique d'achat reste dominante, bien que l'écart entre les deux lignes suggère un possible essoufflement à court terme. La décision d'achat est justifiée par cette configuration, mais une convergence des lignes pourrait signaler un retournement.</w:t>
      </w:r>
    </w:p>
    <w:p>
      <w:pPr>
        <w:spacing w:after="120" w:line="276" w:lineRule="auto"/>
      </w:pPr>
      <w:r>
        <w:t>**RSI :** Le RSI à 64,964 se situe en zone neutre, proche du seuil de surachat (70). Cette valeur indique une pression acheteuse modérée sans excès, laissant une marge de progression avant une éventuelle correction. La décision neutre est cohérente avec cette lecture, le titre n'étant ni survendu ni suracheté.</w:t>
      </w:r>
    </w:p>
    <w:p>
      <w:pPr>
        <w:spacing w:after="120" w:line="276" w:lineRule="auto"/>
      </w:pPr>
      <w:r>
        <w:t>**Stochastique :** Le %K (96,789) et le %D (97,401) sont tous deux à des niveaux extrêmement élevés, bien au-delà du seuil de surachat (80). Cette configuration signale une condition de surachat sévère, avec un croisement baissier potentiel imminent. La décision de vente est justifiée par cette lecture, indiquant un risque élevé de correction technique à court terme.</w:t>
      </w:r>
    </w:p>
    <w:p>
      <w:pPr>
        <w:spacing w:after="120" w:line="276" w:lineRule="auto"/>
      </w:pPr>
      <w:r>
        <w:t>**Conclusion technique :** Les indicateurs sont mitigés : les moyennes mobiles et le MACD soutiennent une tendance haussière, tandis que le stochastique en surachat extrême et le RSI proche de la zone de surachat suggèrent un essoufflement imminent. La prudence est de mise, car un repli technique semble probable après cette forte progression récente.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Produit Net Bancaire (PNB) de 5,735 milliards FCFA, en hausse de 44,1% par rapport à 2024 (3,980 milliards FCFA), et un résultat net bénéficiaire de 701 millions FCFA, contre une perte de 165 millions FCFA en 2024. La marge nette s'établit à 12,2%, le ROE à 11,85% et le ROA à 0,88%, reflétant une rentabilité encore modeste mais en nette amélioration. Le coefficient d'exploitation de 77,63% reste élevé, indiquant une efficacité opérationnelle perfectible, tandis que le coût du risque de 6,57% demeure significatif, témoignant d'une qualité de portefeuille encore fragile. La structure de bilan montre une dépendance marquée aux dettes interbancaires (35,747 milliards FCFA) par rapport aux dépôts clientèle (9,112 milliards FCFA), un déséquilibre préoccupant pour la liquidité. Les capitaux propres (5,916 milliards FCFA) restent faibles face à un total bilan de 79,555 milliards FCFA, soit une autonomie financière de seulement 7,44%. Sur la base du rapport T1 2026 (PNB de 1,395 milliards FCFA, +29%, et résultat net de 151 millions FCFA, +1062%), on estime que l'exercice 2026 pourrait voir un PNB annuel autour de 6,5-7 milliards FCFA et un résultat net de 600-700 millions FCFA, confirmant la trajectoire de redressement initiée par l'arrivée de CREDAF Group en avril 2025. Les rapports de 2025 et T1 2026 convergent vers une recommandation de conservation, soulignant la solidité du redressement mais aussi la nécessité de renforcer les fonds propres et de diversifier les sources de financement.</w:t>
      </w:r>
    </w:p>
    <w:p>
      <w:pPr>
        <w:spacing w:after="120" w:line="276" w:lineRule="auto"/>
      </w:pPr>
      <w:r>
        <w:t>---</w:t>
      </w:r>
    </w:p>
    <w:p>
      <w:pPr>
        <w:spacing w:after="120" w:line="276" w:lineRule="auto"/>
      </w:pPr>
      <w:r>
        <w:t>### PARTIE 4 : CONCLUSION D'INVESTISSEMENT</w:t>
      </w:r>
    </w:p>
    <w:p>
      <w:pPr>
        <w:spacing w:after="120" w:line="276" w:lineRule="auto"/>
      </w:pPr>
      <w:r>
        <w:t>La valorisation de SAFC (PER de 67,9x, P/B de 8,05x, EV/EBITDA de 81,9x) est extrêmement exigeante, indiquant une surévaluation relative par rapport aux fondamentaux actuels, malgré le redressement spectaculaire de 2025. Le comportement du cours sur 100 jours (-21,80%) et la volatilité annualisée de 82,3% reflètent une instabilité préoccupante, avec une distribution asymétrique et un skewness positif suggérant des pressions vendeuses persistantes. Les signaux techniques sont mitigés : les moyennes mobiles et le MACD sont haussiers, mais le stochastique en surachat extrême et le RSI proche de la zone de surachat indiquent un risque de correction imminent. Les fondamentaux montrent une amélioration nette (PNB +44%, retour aux bénéfices), mais la structure financière reste fragile avec des capitaux propres insuffisants et une dépendance aux dettes interbancaires. Les prédictions IA pour les 10 prochains jours (5 425 à 3 972 FCFA) confirment une trajectoire baissière, contredisant les signaux techniques haussiers à court terme. En synthèse, la convergence entre la surévaluation boursière, la volatilité élevée, les signaux techniques mixtes et les fondamentaux en redressement mais encore fragiles justifie une recommandation de **CONSERVER** avec un niveau de confiance **Moyen** et un risque global **Élevé**. L'horizon d'investissement optimal serait de **moyen terme (3-12 mois)**, en attendant une confirmation durable du redressement et un renforcement des fonds propres avant d'envisager un passage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12,701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+86.46%</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1,810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21.97% (Élevée) — μ=2,926 FCFA, σ=643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β=0.4289 (Défensif) — Cov=0.000016, Var(idx)=0.000036, ρ=0.074,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σ_j=3.49%/j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2,986</w:t>
            </w:r>
          </w:p>
        </w:tc>
        <w:tc>
          <w:tcPr>
            <w:tcW w:type="dxa" w:w="1440"/>
            <w:shd w:fill="FFDCE0" w:val="clear"/>
          </w:tcPr>
          <w:p>
            <w:r>
              <w:rPr>
                <w:b/>
                <w:sz w:val="17"/>
              </w:rPr>
              <w:t>3,122</w:t>
            </w:r>
          </w:p>
        </w:tc>
        <w:tc>
          <w:tcPr>
            <w:tcW w:type="dxa" w:w="1440"/>
            <w:shd w:fill="FFDCE0" w:val="clear"/>
          </w:tcPr>
          <w:p>
            <w:r>
              <w:rPr>
                <w:sz w:val="17"/>
              </w:rPr>
              <w:t>3,258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2,709</w:t>
            </w:r>
          </w:p>
        </w:tc>
        <w:tc>
          <w:tcPr>
            <w:tcW w:type="dxa" w:w="1440"/>
            <w:shd w:fill="FFDCE0" w:val="clear"/>
          </w:tcPr>
          <w:p>
            <w:r>
              <w:rPr>
                <w:b/>
                <w:sz w:val="17"/>
              </w:rPr>
              <w:t>2,888</w:t>
            </w:r>
          </w:p>
        </w:tc>
        <w:tc>
          <w:tcPr>
            <w:tcW w:type="dxa" w:w="1440"/>
            <w:shd w:fill="FFDCE0" w:val="clear"/>
          </w:tcPr>
          <w:p>
            <w:r>
              <w:rPr>
                <w:sz w:val="17"/>
              </w:rPr>
              <w:t>3,066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2,469</w:t>
            </w:r>
          </w:p>
        </w:tc>
        <w:tc>
          <w:tcPr>
            <w:tcW w:type="dxa" w:w="1440"/>
            <w:shd w:fill="FFDCE0" w:val="clear"/>
          </w:tcPr>
          <w:p>
            <w:r>
              <w:rPr>
                <w:b/>
                <w:sz w:val="17"/>
              </w:rPr>
              <w:t>2,671</w:t>
            </w:r>
          </w:p>
        </w:tc>
        <w:tc>
          <w:tcPr>
            <w:tcW w:type="dxa" w:w="1440"/>
            <w:shd w:fill="FFDCE0" w:val="clear"/>
          </w:tcPr>
          <w:p>
            <w:r>
              <w:rPr>
                <w:sz w:val="17"/>
              </w:rPr>
              <w:t>2,873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2,255</w:t>
            </w:r>
          </w:p>
        </w:tc>
        <w:tc>
          <w:tcPr>
            <w:tcW w:type="dxa" w:w="1440"/>
            <w:shd w:fill="FFDCE0" w:val="clear"/>
          </w:tcPr>
          <w:p>
            <w:r>
              <w:rPr>
                <w:b/>
                <w:sz w:val="17"/>
              </w:rPr>
              <w:t>2,471</w:t>
            </w:r>
          </w:p>
        </w:tc>
        <w:tc>
          <w:tcPr>
            <w:tcW w:type="dxa" w:w="1440"/>
            <w:shd w:fill="FFDCE0" w:val="clear"/>
          </w:tcPr>
          <w:p>
            <w:r>
              <w:rPr>
                <w:sz w:val="17"/>
              </w:rPr>
              <w:t>2,687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2,062</w:t>
            </w:r>
          </w:p>
        </w:tc>
        <w:tc>
          <w:tcPr>
            <w:tcW w:type="dxa" w:w="1440"/>
            <w:shd w:fill="FFDCE0" w:val="clear"/>
          </w:tcPr>
          <w:p>
            <w:r>
              <w:rPr>
                <w:b/>
                <w:sz w:val="17"/>
              </w:rPr>
              <w:t>2,286</w:t>
            </w:r>
          </w:p>
        </w:tc>
        <w:tc>
          <w:tcPr>
            <w:tcW w:type="dxa" w:w="1440"/>
            <w:shd w:fill="FFDCE0" w:val="clear"/>
          </w:tcPr>
          <w:p>
            <w:r>
              <w:rPr>
                <w:sz w:val="17"/>
              </w:rPr>
              <w:t>2,509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1,888</w:t>
            </w:r>
          </w:p>
        </w:tc>
        <w:tc>
          <w:tcPr>
            <w:tcW w:type="dxa" w:w="1440"/>
            <w:shd w:fill="FFDCE0" w:val="clear"/>
          </w:tcPr>
          <w:p>
            <w:r>
              <w:rPr>
                <w:b/>
                <w:sz w:val="17"/>
              </w:rPr>
              <w:t>2,114</w:t>
            </w:r>
          </w:p>
        </w:tc>
        <w:tc>
          <w:tcPr>
            <w:tcW w:type="dxa" w:w="1440"/>
            <w:shd w:fill="FFDCE0" w:val="clear"/>
          </w:tcPr>
          <w:p>
            <w:r>
              <w:rPr>
                <w:sz w:val="17"/>
              </w:rPr>
              <w:t>2,340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1,730</w:t>
            </w:r>
          </w:p>
        </w:tc>
        <w:tc>
          <w:tcPr>
            <w:tcW w:type="dxa" w:w="1440"/>
            <w:shd w:fill="FFDCE0" w:val="clear"/>
          </w:tcPr>
          <w:p>
            <w:r>
              <w:rPr>
                <w:b/>
                <w:sz w:val="17"/>
              </w:rPr>
              <w:t>1,956</w:t>
            </w:r>
          </w:p>
        </w:tc>
        <w:tc>
          <w:tcPr>
            <w:tcW w:type="dxa" w:w="1440"/>
            <w:shd w:fill="FFDCE0" w:val="clear"/>
          </w:tcPr>
          <w:p>
            <w:r>
              <w:rPr>
                <w:sz w:val="17"/>
              </w:rPr>
              <w:t>2,181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1,809</w:t>
            </w:r>
          </w:p>
        </w:tc>
        <w:tc>
          <w:tcPr>
            <w:tcW w:type="dxa" w:w="1440"/>
            <w:shd w:fill="FFDCE0" w:val="clear"/>
          </w:tcPr>
          <w:p>
            <w:r>
              <w:rPr>
                <w:sz w:val="17"/>
              </w:rPr>
              <w:t>2,032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1,454</w:t>
            </w:r>
          </w:p>
        </w:tc>
        <w:tc>
          <w:tcPr>
            <w:tcW w:type="dxa" w:w="1440"/>
            <w:shd w:fill="FFDCE0" w:val="clear"/>
          </w:tcPr>
          <w:p>
            <w:r>
              <w:rPr>
                <w:b/>
                <w:sz w:val="17"/>
              </w:rPr>
              <w:t>1,673</w:t>
            </w:r>
          </w:p>
        </w:tc>
        <w:tc>
          <w:tcPr>
            <w:tcW w:type="dxa" w:w="1440"/>
            <w:shd w:fill="FFDCE0" w:val="clear"/>
          </w:tcPr>
          <w:p>
            <w:r>
              <w:rPr>
                <w:sz w:val="17"/>
              </w:rPr>
              <w:t>1,892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1,334</w:t>
            </w:r>
          </w:p>
        </w:tc>
        <w:tc>
          <w:tcPr>
            <w:tcW w:type="dxa" w:w="1440"/>
            <w:shd w:fill="FFDCE0" w:val="clear"/>
          </w:tcPr>
          <w:p>
            <w:r>
              <w:rPr>
                <w:b/>
                <w:sz w:val="17"/>
              </w:rPr>
              <w:t>1,548</w:t>
            </w:r>
          </w:p>
        </w:tc>
        <w:tc>
          <w:tcPr>
            <w:tcW w:type="dxa" w:w="1440"/>
            <w:shd w:fill="FFDCE0" w:val="clear"/>
          </w:tcPr>
          <w:p>
            <w:r>
              <w:rPr>
                <w:sz w:val="17"/>
              </w:rPr>
              <w:t>1,761</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31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SCRC s'établit à 66,15 milliards FCFA, un niveau significatif sur la BRVM qui place le titre parmi les valeurs moyennes du marché. Le BPA est négatif à -406 FCFA, reflétant la perte nette de l'exercice 2025, ce qui rend le PER non exploitable (-8,3x) et signale que les investisseurs ne peuvent actuellement pas valoriser la société sur la base de ses bénéfices. Le P/B de 3,84x indique que le marché valorise le titre bien au-dessus de sa valeur comptable, suggérant une prime de croissance ou des anticipations de redressement, mais ce niveau est élevé pour une société déficitaire. L'EV/EBITDA de 10,6x se situe dans la fourchette haute (10-15x), ce qui traduit une valorisation exigeante de la capacité opérationnelle, particulièrement préoccupante au vu de la dégradation des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 enregistré une variation totale impressionnante de +86,46%, passant d'un plus bas de 1 810 FCFA à un plus haut de 3 920 FCFA, avec un cours actuel de 3 375 FCFA. La séance de la veille est restée stable (+0,00%), marquant une pause après une forte progression. La moyenne du cours sur la période est de 2 926 FCFA, inférieure à la médiane de 3 095 FCFA, indiquant une distribution légèrement asymétrique où les valeurs hautes ont dominé la fin de période. L'écart-type de 646 FCFA (CV=22,1%) révèle une dispersion modérée, tandis que le kurtosis de -1,429 (platykurtique) suggère une distribution aplatie avec peu de pics extrêmes, et le skewness de -0,302 indique une symétrie relative. La volatilité annualisée de 55,5% est très élevée (&gt;30%), positionnant SCRC comme un titre spéculatif à fort risque de variation.</w:t>
      </w:r>
    </w:p>
    <w:p>
      <w:pPr>
        <w:spacing w:after="120" w:line="276" w:lineRule="auto"/>
      </w:pPr>
      <w:r>
        <w:t>---</w:t>
      </w:r>
    </w:p>
    <w:p>
      <w:pPr>
        <w:spacing w:after="120" w:line="276" w:lineRule="auto"/>
      </w:pPr>
      <w:r>
        <w:t>### PARTIE 2 : ANALYSE TECHNIQUE DÉTAILLÉE</w:t>
      </w:r>
    </w:p>
    <w:p>
      <w:pPr>
        <w:spacing w:after="120" w:line="276" w:lineRule="auto"/>
      </w:pPr>
      <w:r>
        <w:t>**Moyennes Mobiles** : Les MM20 (3 551 FCFA) et MM50 (3 486 FCFA) sont toutes deux supérieures au cours actuel de 3 375 FCFA, ce qui indique une tendance baissière à court et moyen terme. Le croisement des moyennes mobiles suggère une pression vendeuse récente, mais la décision globale reste "Achat" selon les données, probablement en raison de la tendance haussière de fond sur 100 jours.</w:t>
      </w:r>
    </w:p>
    <w:p>
      <w:pPr>
        <w:spacing w:after="120" w:line="276" w:lineRule="auto"/>
      </w:pPr>
      <w:r>
        <w:t>**Bandes de Bollinger** : Le cours se situe à 3 375 FCFA, proche de la borne inférieure (3 276 FCFA) et loin de la borne supérieure (3 826 FCFA), indiquant une volatilité en contraction et une possible zone de survente. La décision "Neutre" reflète l'absence de signal directionnel clair, le prix étant dans la moitié inférieure du canal.</w:t>
      </w:r>
    </w:p>
    <w:p>
      <w:pPr>
        <w:spacing w:after="120" w:line="276" w:lineRule="auto"/>
      </w:pPr>
      <w:r>
        <w:t>**MACD** : La valeur MACD de -38,10 est inférieure au signal de -0,28, confirmant un momentum baissier. Cette divergence négative indique une perte de dynamique haussière et une pression vendeuse croissante, justifiant la décision "Vente".</w:t>
      </w:r>
    </w:p>
    <w:p>
      <w:pPr>
        <w:spacing w:after="120" w:line="276" w:lineRule="auto"/>
      </w:pPr>
      <w:r>
        <w:t>**RSI** : À 37,23, le RSI se situe en zone neutre mais proche de la zone de survente (&lt;30), indiquant que le titre n'est pas encore survendu mais que la pression baissière s'accentue. La décision "Neutre" est cohérente avec cette lecture.</w:t>
      </w:r>
    </w:p>
    <w:p>
      <w:pPr>
        <w:spacing w:after="120" w:line="276" w:lineRule="auto"/>
      </w:pPr>
      <w:r>
        <w:t>**Stochastique** : Le %K et %D sont tous deux à 7,25, en zone de survente profonde (&lt;20), signalant un possible rebond technique imminent. La décision "Achat" suggère que le marché pourrait corriger la baisse récente.</w:t>
      </w:r>
    </w:p>
    <w:p>
      <w:pPr>
        <w:spacing w:after="120" w:line="276" w:lineRule="auto"/>
      </w:pPr>
      <w:r>
        <w:t>**Conclusion technique** : Les indicateurs sont mitigés avec une prédominance baissière (MACD, MM) mais des signaux de survente (Stochastique, RSI proche de 30). La tendance de fond reste haussière sur 100 jours, mais le court terme suggère une correction en cours. Un rebond technique est possible à court terme, mais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la SCRC affiche un chiffre d'affaires de 80,57 milliards FCFA, en baisse de 7,6% par rapport à 2024 (87,22 milliards FCFA), et un résultat net déficitaire de -7,95 milliards FCFA contre un bénéfice de 2,47 milliards en 2024, soit une dégradation de 421%. Le ROE est très négatif à -46,13% et le ROA à -5,08%, traduisant une destruction de valeur significative. La marge nette est de -9,87%, tandis que la marge brute reste élevée à 45,82%. Le BFR est négatif à -6,53 milliards FCFA, ce qui est favorable, mais le délai fournisseurs de 366 jours et la durée de stockage de 361 jours sont extrêmement élevés, indiquant une immobilisation importante de capital. L'endettement est critique : le ratio d'endettement atteint 88,98% des capitaux propres, et la capacité de remboursement est de 11,21 ans. Les rapports de 2025 (analysés par DeepSeek en mai 2026) confirment cette dégradation, avec une explosion des charges financières (+262% à 6,79 milliards FCFA) et un endettement long terme qui a bondi de 168% à 64,5 milliards FCFA. Le rapport du S1 2025 (non daté précisément) montre une perte de -6,71 milliards FCFA, mais la campagne 2025/26 prévoit une production de 90 000 à 95 000 tonnes (+14% à +20%). Les perspectives pour 2026 restent très préoccupantes, avec un risque de défaillance financière élevé.</w:t>
      </w:r>
    </w:p>
    <w:p>
      <w:pPr>
        <w:spacing w:after="120" w:line="276" w:lineRule="auto"/>
      </w:pPr>
      <w:r>
        <w:t>---</w:t>
      </w:r>
    </w:p>
    <w:p>
      <w:pPr>
        <w:spacing w:after="120" w:line="276" w:lineRule="auto"/>
      </w:pPr>
      <w:r>
        <w:t>### PARTIE 4 : CONCLUSION D'INVESTISSEMENT</w:t>
      </w:r>
    </w:p>
    <w:p>
      <w:pPr>
        <w:spacing w:after="120" w:line="276" w:lineRule="auto"/>
      </w:pPr>
      <w:r>
        <w:t>La valorisation de la SCRC est clairement surévaluée au regard des fondamentaux : le PER négatif, le P/B de 3,84x et l'EV/EBITDA de 10,6x ne se justifient pas pour une société en perte de 7,95 milliards FCFA. Le comportement du cours montre une hausse spectaculaire de +86% sur 100 jours, mais avec une volatilité extrême de 55,5% et des statistiques (kurtosis platykurtique, skewness négatif) qui indiquent une distribution instable. Les signaux techniques sont divergents : les MM et le MACD suggèrent une correction baissière, tandis que le Stochastique en survente et le RSI proche de 30 pourraient déclencher un rebond technique. Les fondamentaux sont très dégradés avec un endettement critique et une rentabilité négative, malgré des investissements massifs. Les prédictions IA pour les 10 prochains jours (3 122 à 2 286 FCFA) confirment une trajectoire baissière, en cohérence avec les signaux techniques et fondamentaux. **Recommandation finale : VENTE FORTE**, avec un niveau de confiance Élevé, un risque global Élevé, et un horizon d'investissement optimal à court terme (&lt;3 mois) pour les vendeurs, tandis que les investisseurs à long terme devraient attendre une amélioration significative des fondamentaux avant toute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1,027 titres</w:t>
            </w:r>
          </w:p>
        </w:tc>
        <w:tc>
          <w:tcPr>
            <w:tcW w:type="dxa" w:w="2268"/>
            <w:shd w:fill="FFF2CC" w:val="clear"/>
          </w:tcPr>
          <w:p>
            <w:r>
              <w:rPr>
                <w:b/>
                <w:color w:val="503200"/>
                <w:sz w:val="16"/>
              </w:rPr>
              <w:t xml:space="preserve">Cours actuel : </w:t>
            </w:r>
            <w:r>
              <w:rPr>
                <w:color w:val="000000"/>
                <w:sz w:val="17"/>
              </w:rPr>
              <w:t>13,000 FCFA</w:t>
            </w:r>
          </w:p>
          <w:p>
            <w:r>
              <w:rPr>
                <w:b/>
                <w:color w:val="503200"/>
                <w:sz w:val="16"/>
              </w:rPr>
              <w:t xml:space="preserve">Var. 100 jours : </w:t>
            </w:r>
            <w:r>
              <w:rPr>
                <w:b/>
                <w:color w:val="007800"/>
                <w:sz w:val="17"/>
              </w:rPr>
              <w:t>+75.68%</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17.02% (Élevée) — μ=10,670 FCFA, σ=1,816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β=0.1390 (Défensif) — Cov=0.000005, Var(idx)=0.000036, ρ=0.037,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11,901</w:t>
            </w:r>
          </w:p>
        </w:tc>
        <w:tc>
          <w:tcPr>
            <w:tcW w:type="dxa" w:w="1440"/>
            <w:shd w:fill="FFDCE0" w:val="clear"/>
          </w:tcPr>
          <w:p>
            <w:r>
              <w:rPr>
                <w:b/>
                <w:sz w:val="17"/>
              </w:rPr>
              <w:t>12,284</w:t>
            </w:r>
          </w:p>
        </w:tc>
        <w:tc>
          <w:tcPr>
            <w:tcW w:type="dxa" w:w="1440"/>
            <w:shd w:fill="FFDCE0" w:val="clear"/>
          </w:tcPr>
          <w:p>
            <w:r>
              <w:rPr>
                <w:sz w:val="17"/>
              </w:rPr>
              <w:t>12,667</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11,581</w:t>
            </w:r>
          </w:p>
        </w:tc>
        <w:tc>
          <w:tcPr>
            <w:tcW w:type="dxa" w:w="1440"/>
            <w:shd w:fill="FFDCE0" w:val="clear"/>
          </w:tcPr>
          <w:p>
            <w:r>
              <w:rPr>
                <w:b/>
                <w:sz w:val="17"/>
              </w:rPr>
              <w:t>12,115</w:t>
            </w:r>
          </w:p>
        </w:tc>
        <w:tc>
          <w:tcPr>
            <w:tcW w:type="dxa" w:w="1440"/>
            <w:shd w:fill="FFDCE0" w:val="clear"/>
          </w:tcPr>
          <w:p>
            <w:r>
              <w:rPr>
                <w:sz w:val="17"/>
              </w:rPr>
              <w:t>12,649</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11,315</w:t>
            </w:r>
          </w:p>
        </w:tc>
        <w:tc>
          <w:tcPr>
            <w:tcW w:type="dxa" w:w="1440"/>
            <w:shd w:fill="FFDCE0" w:val="clear"/>
          </w:tcPr>
          <w:p>
            <w:r>
              <w:rPr>
                <w:b/>
                <w:sz w:val="17"/>
              </w:rPr>
              <w:t>11,960</w:t>
            </w:r>
          </w:p>
        </w:tc>
        <w:tc>
          <w:tcPr>
            <w:tcW w:type="dxa" w:w="1440"/>
            <w:shd w:fill="FFDCE0" w:val="clear"/>
          </w:tcPr>
          <w:p>
            <w:r>
              <w:rPr>
                <w:sz w:val="17"/>
              </w:rPr>
              <w:t>12,606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11,082</w:t>
            </w:r>
          </w:p>
        </w:tc>
        <w:tc>
          <w:tcPr>
            <w:tcW w:type="dxa" w:w="1440"/>
            <w:shd w:fill="FFDCE0" w:val="clear"/>
          </w:tcPr>
          <w:p>
            <w:r>
              <w:rPr>
                <w:b/>
                <w:sz w:val="17"/>
              </w:rPr>
              <w:t>11,819</w:t>
            </w:r>
          </w:p>
        </w:tc>
        <w:tc>
          <w:tcPr>
            <w:tcW w:type="dxa" w:w="1440"/>
            <w:shd w:fill="FFDCE0" w:val="clear"/>
          </w:tcPr>
          <w:p>
            <w:r>
              <w:rPr>
                <w:sz w:val="17"/>
              </w:rPr>
              <w:t>12,556</w:t>
            </w:r>
          </w:p>
        </w:tc>
        <w:tc>
          <w:tcPr>
            <w:tcW w:type="dxa" w:w="1440"/>
            <w:shd w:fill="FFDCE0" w:val="clear"/>
          </w:tcPr>
          <w:p>
            <w:r>
              <w:rPr>
                <w:b/>
                <w:color w:val="C00000"/>
                <w:sz w:val="17"/>
              </w:rPr>
              <w:t>-9.1%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10,875</w:t>
            </w:r>
          </w:p>
        </w:tc>
        <w:tc>
          <w:tcPr>
            <w:tcW w:type="dxa" w:w="1440"/>
            <w:shd w:fill="FFDCE0" w:val="clear"/>
          </w:tcPr>
          <w:p>
            <w:r>
              <w:rPr>
                <w:b/>
                <w:sz w:val="17"/>
              </w:rPr>
              <w:t>11,690</w:t>
            </w:r>
          </w:p>
        </w:tc>
        <w:tc>
          <w:tcPr>
            <w:tcW w:type="dxa" w:w="1440"/>
            <w:shd w:fill="FFDCE0" w:val="clear"/>
          </w:tcPr>
          <w:p>
            <w:r>
              <w:rPr>
                <w:sz w:val="17"/>
              </w:rPr>
              <w:t>12,505</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10,689</w:t>
            </w:r>
          </w:p>
        </w:tc>
        <w:tc>
          <w:tcPr>
            <w:tcW w:type="dxa" w:w="1440"/>
            <w:shd w:fill="FFDCE0" w:val="clear"/>
          </w:tcPr>
          <w:p>
            <w:r>
              <w:rPr>
                <w:b/>
                <w:sz w:val="17"/>
              </w:rPr>
              <w:t>11,573</w:t>
            </w:r>
          </w:p>
        </w:tc>
        <w:tc>
          <w:tcPr>
            <w:tcW w:type="dxa" w:w="1440"/>
            <w:shd w:fill="FFDCE0" w:val="clear"/>
          </w:tcPr>
          <w:p>
            <w:r>
              <w:rPr>
                <w:sz w:val="17"/>
              </w:rPr>
              <w:t>12,457</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10,520</w:t>
            </w:r>
          </w:p>
        </w:tc>
        <w:tc>
          <w:tcPr>
            <w:tcW w:type="dxa" w:w="1440"/>
            <w:shd w:fill="FFDCE0" w:val="clear"/>
          </w:tcPr>
          <w:p>
            <w:r>
              <w:rPr>
                <w:b/>
                <w:sz w:val="17"/>
              </w:rPr>
              <w:t>11,465</w:t>
            </w:r>
          </w:p>
        </w:tc>
        <w:tc>
          <w:tcPr>
            <w:tcW w:type="dxa" w:w="1440"/>
            <w:shd w:fill="FFDCE0" w:val="clear"/>
          </w:tcPr>
          <w:p>
            <w:r>
              <w:rPr>
                <w:sz w:val="17"/>
              </w:rPr>
              <w:t>12,411</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10,362</w:t>
            </w:r>
          </w:p>
        </w:tc>
        <w:tc>
          <w:tcPr>
            <w:tcW w:type="dxa" w:w="1440"/>
            <w:shd w:fill="FFDCE0" w:val="clear"/>
          </w:tcPr>
          <w:p>
            <w:r>
              <w:rPr>
                <w:b/>
                <w:sz w:val="17"/>
              </w:rPr>
              <w:t>11,364</w:t>
            </w:r>
          </w:p>
        </w:tc>
        <w:tc>
          <w:tcPr>
            <w:tcW w:type="dxa" w:w="1440"/>
            <w:shd w:fill="FFDCE0" w:val="clear"/>
          </w:tcPr>
          <w:p>
            <w:r>
              <w:rPr>
                <w:sz w:val="17"/>
              </w:rPr>
              <w:t>12,366</w:t>
            </w:r>
          </w:p>
        </w:tc>
        <w:tc>
          <w:tcPr>
            <w:tcW w:type="dxa" w:w="1440"/>
            <w:shd w:fill="FFDCE0" w:val="clear"/>
          </w:tcPr>
          <w:p>
            <w:r>
              <w:rPr>
                <w:b/>
                <w:color w:val="C00000"/>
                <w:sz w:val="17"/>
              </w:rPr>
              <w:t>-12.6%</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10,217</w:t>
            </w:r>
          </w:p>
        </w:tc>
        <w:tc>
          <w:tcPr>
            <w:tcW w:type="dxa" w:w="1440"/>
            <w:shd w:fill="FFDCE0" w:val="clear"/>
          </w:tcPr>
          <w:p>
            <w:r>
              <w:rPr>
                <w:b/>
                <w:sz w:val="17"/>
              </w:rPr>
              <w:t>11,271</w:t>
            </w:r>
          </w:p>
        </w:tc>
        <w:tc>
          <w:tcPr>
            <w:tcW w:type="dxa" w:w="1440"/>
            <w:shd w:fill="FFDCE0" w:val="clear"/>
          </w:tcPr>
          <w:p>
            <w:r>
              <w:rPr>
                <w:sz w:val="17"/>
              </w:rPr>
              <w:t>12,325</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10,082</w:t>
            </w:r>
          </w:p>
        </w:tc>
        <w:tc>
          <w:tcPr>
            <w:tcW w:type="dxa" w:w="1440"/>
            <w:shd w:fill="FFDCE0" w:val="clear"/>
          </w:tcPr>
          <w:p>
            <w:r>
              <w:rPr>
                <w:b/>
                <w:sz w:val="17"/>
              </w:rPr>
              <w:t>11,185</w:t>
            </w:r>
          </w:p>
        </w:tc>
        <w:tc>
          <w:tcPr>
            <w:tcW w:type="dxa" w:w="1440"/>
            <w:shd w:fill="FFDCE0" w:val="clear"/>
          </w:tcPr>
          <w:p>
            <w:r>
              <w:rPr>
                <w:sz w:val="17"/>
              </w:rPr>
              <w:t>12,287</w:t>
            </w:r>
          </w:p>
        </w:tc>
        <w:tc>
          <w:tcPr>
            <w:tcW w:type="dxa" w:w="1440"/>
            <w:shd w:fill="FFDCE0" w:val="clear"/>
          </w:tcPr>
          <w:p>
            <w:r>
              <w:rPr>
                <w:b/>
                <w:color w:val="C00000"/>
                <w:sz w:val="17"/>
              </w:rPr>
              <w:t>-14.0%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28 avril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117 milliards FCFA, un niveau significatif qui positionne la société parmi les valeurs moyennes de la BRVM. Avec un BPA de 518 FCFA, chaque action génère un bénéfice confortable, mais le PER de 25,1x est particulièrement élevé, près de deux fois la moyenne historique du marché régional (8-12x). Cette prime traduit des attentes de croissance fortes, mais expose l'investisseur à un risque de correction si ces attentes ne se matérialisent pas. Le P/B de 5,93x confirme cette valorisation exigeante, le marché payant près de 6 fois la valeur comptable des actifs. Enfin, l'EV/EBITDA de 14,9x, dans le haut de la fourchette usuelle (10-15x), indique que la valeur d'entreprise intègre déjà une performance opérationnelle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SDCC a enregistré une progression spectaculaire de +75,68%, clôturant à 13 000 FCFA, son plus haut niveau sur la période, avec une dernière séance en hausse de +2,36%. Le titre a évolué dans un large couloir entre 7 140 FCFA (plus bas) et 13 000 FCFA (plus haut), démontrant une dynamique haussière très soutenue. La moyenne du cours (10 670 FCFA) est nettement inférieure à la médiane (11 610 FCFA), et le skewness négatif (-1,008) indique que les fortes progressions ont été plus fréquentes que les baisses, confirmant la pression acheteuse. L'écart-type de 1 825 FCFA (CV de 17,1%) révèle une dispersion modérée des prix autour de la moyenne. Le kurtosis de -0,579 (mésokurtique) suggère une distribution proche de la normale, sans risque de pics extrêmes. La volatilité annualisée de 36,2% classe le titre dans la catégorie "élevée" (&gt;30%), signalant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(13 000 FCFA) évolue nettement au-dessus de la MM20 (11 972,5 FCFA) et de la MM50 (11 910,9 FCFA), qui sont orientées à la hausse. Cette configuration en "trend haussier" confirme la dynamique positive et justifie la décision d'achat, le titre s'inscrivant dans une tendance de fond solide.</w:t>
      </w:r>
    </w:p>
    <w:p>
      <w:pPr>
        <w:spacing w:after="120" w:line="276" w:lineRule="auto"/>
      </w:pPr>
      <w:r>
        <w:t>**Bandes de Bollinger** : Le prix a franchi la borne supérieure (12 753 FCFA), indiquant une phase de surachat extrême et une volatilité en expansion. Ce dépassement signale un écart temporaire par rapport à la moyenne mobile, suggérant un possible retour vers la bande médiane. La décision de vente est donc justifiée par ce dépassement technique, qui précède souvent une consolidation.</w:t>
      </w:r>
    </w:p>
    <w:p>
      <w:pPr>
        <w:spacing w:after="120" w:line="276" w:lineRule="auto"/>
      </w:pPr>
      <w:r>
        <w:t>**MACD** : La valeur du MACD (215,878) est nettement supérieure à son signal (99,266), avec un écart positif croissant. Cette divergence haussière confirme un momentum très favorable, justifiant la décision d'achat. Le maintien de cet écart sera déterminant pour la poursuite de la tendance.</w:t>
      </w:r>
    </w:p>
    <w:p>
      <w:pPr>
        <w:spacing w:after="120" w:line="276" w:lineRule="auto"/>
      </w:pPr>
      <w:r>
        <w:t>**RSI** : À 76,316, le RSI est entré en zone de surachat (&gt;70), signalant que le titre est techniquement surévalué à court terme. Cette lecture justifie la décision de vente, car elle suggère un épuisement potentiel de la pression acheteuse et un risque de correction.</w:t>
      </w:r>
    </w:p>
    <w:p>
      <w:pPr>
        <w:spacing w:after="120" w:line="276" w:lineRule="auto"/>
      </w:pPr>
      <w:r>
        <w:t>**Stochastique** : Le %K et le %D sont tous deux à 100,0, en territoire de surachat extrême. Cette configuration, sans croisement baissier pour l'instant, indique une force exceptionnelle mais également un risque élevé de retournement. La décision de vente est donc prudente, car un croisement sous la zone 80 déclencherait un signal de vente classique.</w:t>
      </w:r>
    </w:p>
    <w:p>
      <w:pPr>
        <w:spacing w:after="120" w:line="276" w:lineRule="auto"/>
      </w:pPr>
      <w:r>
        <w:t>**Conclusion technique** : Les indicateurs de tendance (MM, MACD) sont positifs, mais les oscillateurs (RSI, Stochastique) et les bandes de Bollinger signalent un surachat prononcé. Cette divergence entre tendance et momentum suggère une probabilité élevée de consolidation à court terme, sans remettre en cause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SDCC affiche des performances financières solides avec un chiffre d'affaires de 189,430 milliards FCFA, en croissance de +10% par rapport à 2024 (172,2 milliards FCFA). Le résultat net progresse de 31% à 4,663 milliards FCFA, porté par une amélioration de l'EBE (+21% à 21,783 milliards FCFA) et du résultat d'exploitation (+34% à 9,105 milliards FCFA). La marge nette s'établit à 2,46%, en amélioration, et le ROE atteint un niveau excellent de 23,65%, démontrant une utilisation efficace des capitaux propres. Cependant, le ROA reste faible à 0,99%, reflétant la lourdeur du bilan (472,672 milliards FCFA). La structure financière est fragile : l'autonomie financière n'est que de 4,17% et le ratio d'endettement atteint 95,83%, avec une trésorerie nette négative de -61,710 milliards FCFA. Le délai de paiement des clients est préoccupant (749 jours), créant un BFR élevé de 104,748 milliards FCFA et un cash-flow opérationnel négatif de -36,655 milliards FCFA. Les rapports trimestriels 2025 confirment cette tendance contrastée : le T1 2025 (CA +8%, RN +17%) et le S1 2025 (CA stable, RN -24%) montrent une volatilité des résultats. Le T1 2026 (rapport du 31 mars 2026) est encourageant avec un résultat net en hausse de +118% à 1,318 milliard FCFA, malgré un CA en léger repli de -2%. Le dividende proposé pour 2025 est de 525 FCFA par action, offrant un rendement d'environ 4% au cours actuel. Les perspectives 2026 sont positives avec le déploiement d'un nouveau contrat de délégation et la poursuite de la transformation digitale, mais la pression sur la trésorerie et le recouvrement des créances restent des défis majeurs.</w:t>
      </w:r>
    </w:p>
    <w:p>
      <w:pPr>
        <w:spacing w:after="120" w:line="276" w:lineRule="auto"/>
      </w:pPr>
      <w:r>
        <w:t>---</w:t>
      </w:r>
    </w:p>
    <w:p>
      <w:pPr>
        <w:spacing w:after="120" w:line="276" w:lineRule="auto"/>
      </w:pPr>
      <w:r>
        <w:t>### PARTIE 4 : CONCLUSION D'INVESTISSEMENT</w:t>
      </w:r>
    </w:p>
    <w:p>
      <w:pPr>
        <w:spacing w:after="120" w:line="276" w:lineRule="auto"/>
      </w:pPr>
      <w:r>
        <w:t>La valorisation actuelle de SDCC (PER 25,1x, P/B 5,93x) est clairement surévaluée par rapport aux moyennes du marché BRVM, intégrant des attentes de croissance ambitieuses. Le comportement du cours sur 100 jours (+75,68%) avec une volatilité élevée (36,2%) et des statistiques montrant une asymétrie négative suggèrent une dynamique spéculative soutenue. Les signaux techniques sont mitigés : la tendance (MM, MACD) reste positive, mais les oscillateurs (RSI 76,3, Stochastique 100) et les bandes de Bollinger indiquent un surachat extrême, annonçant une correction probable. Les fondamentaux sont solides (ROE 23,65%, CA +10%, RN +31% en 2025) mais fragilisés par une trésorerie très tendue et un endettement élevé. Les prédictions IA (12 284 FCFA à J+10) confirment cette analyse en projetant un repli de -5,5% à court terme. La convergence des signaux techniques (surachat) et des prédictions IA vers une baisse, contrastant avec des fondamentaux en amélioration, justifie une recommandation de **CONSERVER** avec un niveau de confiance **Moyen**. Le risque global est **Élevé** en raison de la volatilité et de la valorisation exigeante. L'horizon d'investissement optimal est le **moyen terme (3-12 mois)**, en attendant une correction technique pour renforcer la position sur des niveaux plus attractifs (11 500-12 000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17,298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+48.25%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17.69% (Élevée) — μ=2,213 FCFA, σ=391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β=0.5036 (Défensif) — Cov=0.000018, Var(idx)=0.000036,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2,553</w:t>
            </w:r>
          </w:p>
        </w:tc>
        <w:tc>
          <w:tcPr>
            <w:tcW w:type="dxa" w:w="1440"/>
            <w:shd w:fill="FAFAFA" w:val="clear"/>
          </w:tcPr>
          <w:p>
            <w:r>
              <w:rPr>
                <w:b/>
                <w:sz w:val="17"/>
              </w:rPr>
              <w:t>2,713</w:t>
            </w:r>
          </w:p>
        </w:tc>
        <w:tc>
          <w:tcPr>
            <w:tcW w:type="dxa" w:w="1440"/>
            <w:shd w:fill="FAFAFA" w:val="clear"/>
          </w:tcPr>
          <w:p>
            <w:r>
              <w:rPr>
                <w:sz w:val="17"/>
              </w:rPr>
              <w:t>2,873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2,452</w:t>
            </w:r>
          </w:p>
        </w:tc>
        <w:tc>
          <w:tcPr>
            <w:tcW w:type="dxa" w:w="1440"/>
            <w:shd w:fill="FFDCE0" w:val="clear"/>
          </w:tcPr>
          <w:p>
            <w:r>
              <w:rPr>
                <w:b/>
                <w:sz w:val="17"/>
              </w:rPr>
              <w:t>2,674</w:t>
            </w:r>
          </w:p>
        </w:tc>
        <w:tc>
          <w:tcPr>
            <w:tcW w:type="dxa" w:w="1440"/>
            <w:shd w:fill="FFDCE0" w:val="clear"/>
          </w:tcPr>
          <w:p>
            <w:r>
              <w:rPr>
                <w:sz w:val="17"/>
              </w:rPr>
              <w:t>2,897</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2,375</w:t>
            </w:r>
          </w:p>
        </w:tc>
        <w:tc>
          <w:tcPr>
            <w:tcW w:type="dxa" w:w="1440"/>
            <w:shd w:fill="FFDCE0" w:val="clear"/>
          </w:tcPr>
          <w:p>
            <w:r>
              <w:rPr>
                <w:b/>
                <w:sz w:val="17"/>
              </w:rPr>
              <w:t>2,644</w:t>
            </w:r>
          </w:p>
        </w:tc>
        <w:tc>
          <w:tcPr>
            <w:tcW w:type="dxa" w:w="1440"/>
            <w:shd w:fill="FFDCE0" w:val="clear"/>
          </w:tcPr>
          <w:p>
            <w:r>
              <w:rPr>
                <w:sz w:val="17"/>
              </w:rPr>
              <w:t>2,914</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2,312</w:t>
            </w:r>
          </w:p>
        </w:tc>
        <w:tc>
          <w:tcPr>
            <w:tcW w:type="dxa" w:w="1440"/>
            <w:shd w:fill="FFDCE0" w:val="clear"/>
          </w:tcPr>
          <w:p>
            <w:r>
              <w:rPr>
                <w:b/>
                <w:sz w:val="17"/>
              </w:rPr>
              <w:t>2,620</w:t>
            </w:r>
          </w:p>
        </w:tc>
        <w:tc>
          <w:tcPr>
            <w:tcW w:type="dxa" w:w="1440"/>
            <w:shd w:fill="FFDCE0" w:val="clear"/>
          </w:tcPr>
          <w:p>
            <w:r>
              <w:rPr>
                <w:sz w:val="17"/>
              </w:rPr>
              <w:t>2,929</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2,258</w:t>
            </w:r>
          </w:p>
        </w:tc>
        <w:tc>
          <w:tcPr>
            <w:tcW w:type="dxa" w:w="1440"/>
            <w:shd w:fill="FFDCE0" w:val="clear"/>
          </w:tcPr>
          <w:p>
            <w:r>
              <w:rPr>
                <w:b/>
                <w:sz w:val="17"/>
              </w:rPr>
              <w:t>2,600</w:t>
            </w:r>
          </w:p>
        </w:tc>
        <w:tc>
          <w:tcPr>
            <w:tcW w:type="dxa" w:w="1440"/>
            <w:shd w:fill="FFDCE0" w:val="clear"/>
          </w:tcPr>
          <w:p>
            <w:r>
              <w:rPr>
                <w:sz w:val="17"/>
              </w:rPr>
              <w:t>2,942</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2,209</w:t>
            </w:r>
          </w:p>
        </w:tc>
        <w:tc>
          <w:tcPr>
            <w:tcW w:type="dxa" w:w="1440"/>
            <w:shd w:fill="FFDCE0" w:val="clear"/>
          </w:tcPr>
          <w:p>
            <w:r>
              <w:rPr>
                <w:b/>
                <w:sz w:val="17"/>
              </w:rPr>
              <w:t>2,581</w:t>
            </w:r>
          </w:p>
        </w:tc>
        <w:tc>
          <w:tcPr>
            <w:tcW w:type="dxa" w:w="1440"/>
            <w:shd w:fill="FFDCE0" w:val="clear"/>
          </w:tcPr>
          <w:p>
            <w:r>
              <w:rPr>
                <w:sz w:val="17"/>
              </w:rPr>
              <w:t>2,953</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2,164</w:t>
            </w:r>
          </w:p>
        </w:tc>
        <w:tc>
          <w:tcPr>
            <w:tcW w:type="dxa" w:w="1440"/>
            <w:shd w:fill="FFDCE0" w:val="clear"/>
          </w:tcPr>
          <w:p>
            <w:r>
              <w:rPr>
                <w:b/>
                <w:sz w:val="17"/>
              </w:rPr>
              <w:t>2,563</w:t>
            </w:r>
          </w:p>
        </w:tc>
        <w:tc>
          <w:tcPr>
            <w:tcW w:type="dxa" w:w="1440"/>
            <w:shd w:fill="FFDCE0" w:val="clear"/>
          </w:tcPr>
          <w:p>
            <w:r>
              <w:rPr>
                <w:sz w:val="17"/>
              </w:rPr>
              <w:t>2,963</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2,122</w:t>
            </w:r>
          </w:p>
        </w:tc>
        <w:tc>
          <w:tcPr>
            <w:tcW w:type="dxa" w:w="1440"/>
            <w:shd w:fill="FFDCE0" w:val="clear"/>
          </w:tcPr>
          <w:p>
            <w:r>
              <w:rPr>
                <w:b/>
                <w:sz w:val="17"/>
              </w:rPr>
              <w:t>2,546</w:t>
            </w:r>
          </w:p>
        </w:tc>
        <w:tc>
          <w:tcPr>
            <w:tcW w:type="dxa" w:w="1440"/>
            <w:shd w:fill="FFDCE0" w:val="clear"/>
          </w:tcPr>
          <w:p>
            <w:r>
              <w:rPr>
                <w:sz w:val="17"/>
              </w:rPr>
              <w:t>2,970</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2,083</w:t>
            </w:r>
          </w:p>
        </w:tc>
        <w:tc>
          <w:tcPr>
            <w:tcW w:type="dxa" w:w="1440"/>
            <w:shd w:fill="FFDCE0" w:val="clear"/>
          </w:tcPr>
          <w:p>
            <w:r>
              <w:rPr>
                <w:b/>
                <w:sz w:val="17"/>
              </w:rPr>
              <w:t>2,530</w:t>
            </w:r>
          </w:p>
        </w:tc>
        <w:tc>
          <w:tcPr>
            <w:tcW w:type="dxa" w:w="1440"/>
            <w:shd w:fill="FFDCE0" w:val="clear"/>
          </w:tcPr>
          <w:p>
            <w:r>
              <w:rPr>
                <w:sz w:val="17"/>
              </w:rPr>
              <w:t>2,977</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2,046</w:t>
            </w:r>
          </w:p>
        </w:tc>
        <w:tc>
          <w:tcPr>
            <w:tcW w:type="dxa" w:w="1440"/>
            <w:shd w:fill="FFDCE0" w:val="clear"/>
          </w:tcPr>
          <w:p>
            <w:r>
              <w:rPr>
                <w:b/>
                <w:sz w:val="17"/>
              </w:rPr>
              <w:t>2,514</w:t>
            </w:r>
          </w:p>
        </w:tc>
        <w:tc>
          <w:tcPr>
            <w:tcW w:type="dxa" w:w="1440"/>
            <w:shd w:fill="FFDCE0" w:val="clear"/>
          </w:tcPr>
          <w:p>
            <w:r>
              <w:rPr>
                <w:sz w:val="17"/>
              </w:rPr>
              <w:t>2,982</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149,70 milliards FCFA, un niveau significatif qui la positionne parmi les valeurs moyennes à grandes capitalisations de la BRVM. Avec un BPA de 387 FCFA, le titre se négocie à un PER de 7,1x, ce qui est inférieur à la moyenne historique du marché (8-12x), suggérant une sous-évaluation relative par rapport aux bénéfices générés. Le P/B de 1,92x indique que le marché valorise la société à près du double de sa valeur comptable, une valorisation raisonnable pour une entreprise avec un ROE de 27%. Cependant, l'EV/EBITDA de 32,3x est particulièrement exigeant, signalant que la valeur d'entreprise (incluant la dette) est très élevée par rapport à la capacité opérationnelle brute, ce qui tempère l'attrait de la valorisation boursière.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+48,25%, avec une accélération notable lors de la dernière séance (+4,36%), portant le cours à 2 750 FCFA. Le titre a évolué dans une fourchette large de 1 650 à 2 820 FCFA, démontrant une forte dynamique haussière. La moyenne (2 213 FCFA) est inférieure à la médiane (2 245 FCFA), indiquant une asymétrie positive avec des valeurs extrêmes élevées récentes. L'écart-type de 393 FCFA (CV de 17,8%) révèle une dispersion modérée des prix autour de la moyenne. Le kurtosis de -1,571 (platykurtique) suggère une distribution aplatie avec peu de pics extrêmes, tandis que le skewness de 0,090 confirme une distribution quasi symétrique. La volatilité annualisée de 49,9% classe le titre comme très volatil, un niveau élevé qui implique des fluctuations de prix importantes et un risque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2 750 FCFA se situe nettement au-dessus de la MM20 (2 663 FCFA) et de la MM50 (2 570,7 FCFA), confirmant une tendance haussière solide. La configuration des moyennes mobiles, avec la MM20 au-dessus de la MM50, valide la dynamique positive et justifie la décision d'achat.</w:t>
      </w:r>
    </w:p>
    <w:p>
      <w:pPr>
        <w:spacing w:after="120" w:line="276" w:lineRule="auto"/>
      </w:pPr>
      <w:r>
        <w:t>**Bandes de Bollinger** : Le prix évolue entre la borne inférieure (2 446,6 FCFA) et la borne supérieure (2 879,4 FCFA), se positionnant dans la partie haute de l'enveloppe. Cette position indique une pression acheteuse soutenue, mais le cours approche de la borne supérieure, ce qui pourrait signaler une zone de résistance. La décision neutre reflète l'absence de signal directionnel clair à court terme.</w:t>
      </w:r>
    </w:p>
    <w:p>
      <w:pPr>
        <w:spacing w:after="120" w:line="276" w:lineRule="auto"/>
      </w:pPr>
      <w:r>
        <w:t>**MACD** : Le MACD (38,872) est inférieur à son signal (49,919), indiquant un momentum baissier à court terme malgré la tendance haussière de fond. Cette divergence négative suggère un possible ralentissement de la dynamique haussière, justifiant la décision de vente.</w:t>
      </w:r>
    </w:p>
    <w:p>
      <w:pPr>
        <w:spacing w:after="120" w:line="276" w:lineRule="auto"/>
      </w:pPr>
      <w:r>
        <w:t>**RSI** : À 60,476, le RSI se situe en zone neutre, sans signal de surachat (au-dessus de 70) ni de survente (en dessous de 30). Cette valeur indique que le titre dispose encore de marge avant d'atteindre des conditions de surachat, mais la pression acheteuse reste modérée.</w:t>
      </w:r>
    </w:p>
    <w:p>
      <w:pPr>
        <w:spacing w:after="120" w:line="276" w:lineRule="auto"/>
      </w:pPr>
      <w:r>
        <w:t>**Stochastique** : Le %K (80,851) est nettement supérieur au %D (55,688), mais les deux indicateurs sont élevés, signalant une possible zone de surachat. Le croisement potentiel du %K sous le %D pourrait déclencher un signal de vente à court terme.</w:t>
      </w:r>
    </w:p>
    <w:p>
      <w:pPr>
        <w:spacing w:after="120" w:line="276" w:lineRule="auto"/>
      </w:pPr>
      <w:r>
        <w:t>**Conclusion technique** : Les indicateurs sont mitigés : la tendance de fond reste haussière (MM), mais les oscillateurs (MACD, Stochastique) montrent des signes d'essoufflement à court terme. Le RSI neutre et les bandes de Bollinger proches de la borne supérieure suggèrent une consolidation possible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en croissance de 3,65%, avec un résultat net de 21,069 milliards FCFA, soit une marge nette de 24,6%. Le ROE s'établit à 27,08% et le ROA à 11,20%, des niveaux excellents qui témoignent d'une gestion efficace des fonds propres et des actifs. Le BFR de 17,874 milliards FCFA (positif) et le délai clients de 466,94 jours constituent un risque de trésorerie important, bien que le délai fournisseurs de 4 534 jours compense partiellement cette pression. L'endettement reste maîtrisé avec un ratio d'endettement de 17,88% et une capacité de remboursement de 0,56 année. Cependant, les rapports trimestriels 2025 (T1 : +6,2% de CA, T3 : +7,4% de CA) montrent une accélération de l'activité, mais le rapport annuel 2025 (publié en 2026) révèle une chute drastique du résultat net à 0,785 milliard FCFA (-96%), avec un résultat d'exploitation négatif de -2,271 milliards FCFA. Cette dégradation s'explique par la hausse des dotations et la baisse des dividendes des filiales. La trésorerie nette reste abondante à 74,78 milliards FCFA, mais la rentabilité opérationnelle est devenue marginale (marge nette de 0,85%). Le dividende proposé pour 2025 est de 544 millions FCFA, en forte baisse par rapport aux 5 milliards distribués au titre de 2024.</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profil contrasté : le PER de 7,1x suggère une sous-évaluation relative, mais l'EV/EBITDA de 32,3x et la chute récente des bénéfices tempèrent cet attrait. Le comportement du cours sur 100 jours est très positif (+48,25%) avec une volatilité élevée (49,9%), indiquant un fort intérêt des investisseurs mais aussi un risque important. Les signaux techniques sont mitigés : la tendance de fond reste haussière (MM20/MM50), mais les indicateurs de momentum (MACD, Stochastique) montrent des signes d'essoufflement à court terme. Les fondamentaux sont préoccupants : la rentabilité s'est effondrée en 2025 (marge nette de 0,85% contre 24,6% en 2024), malgré une croissance du chiffre d'affaires de 7,4%. Les prédictions IA pour les 10 prochains jours (2 713 à 2 600 FCFA) suggèrent une correction à la baisse, confirmant les signaux techniques négatifs à court terme. La convergence entre la dégradation fondamentale, les signaux techniques d'essoufflement et les prédictions baissières conduit à une recommandation de **CONSERVER** avec un niveau de confiance **Moyen**. Le risque global est **Élevé** en raison de la volatilité du titre et de l'incertitude sur la capacité de la direction à restaurer les marges opérationnelles. L'horizon d'investissement optimal serait le **moyen terme (3-12 mois)**, en attendant une clarification de la stratégie de redressement et une amélioration durable de la rentabilité.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5,822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-21.05%</w:t>
            </w:r>
          </w:p>
          <w:p>
            <w:r>
              <w:rPr>
                <w:b/>
                <w:color w:val="503200"/>
                <w:sz w:val="16"/>
              </w:rPr>
              <w:t xml:space="preserve">Plus haut 100j : </w:t>
            </w:r>
            <w:r>
              <w:rPr>
                <w:color w:val="000000"/>
                <w:sz w:val="17"/>
              </w:rPr>
              <w:t>1,985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μ=1,566 FCFA, σ=136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β=1.4047 (Agressif) — Cov=0.000051, Var(idx)=0.000036, ρ=0.269,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1,389</w:t>
            </w:r>
          </w:p>
        </w:tc>
        <w:tc>
          <w:tcPr>
            <w:tcW w:type="dxa" w:w="1440"/>
            <w:shd w:fill="FFDCE0" w:val="clear"/>
          </w:tcPr>
          <w:p>
            <w:r>
              <w:rPr>
                <w:b/>
                <w:sz w:val="17"/>
              </w:rPr>
              <w:t>1,459</w:t>
            </w:r>
          </w:p>
        </w:tc>
        <w:tc>
          <w:tcPr>
            <w:tcW w:type="dxa" w:w="1440"/>
            <w:shd w:fill="FFDCE0" w:val="clear"/>
          </w:tcPr>
          <w:p>
            <w:r>
              <w:rPr>
                <w:sz w:val="17"/>
              </w:rPr>
              <w:t>1,529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1,347</w:t>
            </w:r>
          </w:p>
        </w:tc>
        <w:tc>
          <w:tcPr>
            <w:tcW w:type="dxa" w:w="1440"/>
            <w:shd w:fill="FFDCE0" w:val="clear"/>
          </w:tcPr>
          <w:p>
            <w:r>
              <w:rPr>
                <w:b/>
                <w:sz w:val="17"/>
              </w:rPr>
              <w:t>1,445</w:t>
            </w:r>
          </w:p>
        </w:tc>
        <w:tc>
          <w:tcPr>
            <w:tcW w:type="dxa" w:w="1440"/>
            <w:shd w:fill="FFDCE0" w:val="clear"/>
          </w:tcPr>
          <w:p>
            <w:r>
              <w:rPr>
                <w:sz w:val="17"/>
              </w:rPr>
              <w:t>1,544</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1,312</w:t>
            </w:r>
          </w:p>
        </w:tc>
        <w:tc>
          <w:tcPr>
            <w:tcW w:type="dxa" w:w="1440"/>
            <w:shd w:fill="FFDCE0" w:val="clear"/>
          </w:tcPr>
          <w:p>
            <w:r>
              <w:rPr>
                <w:b/>
                <w:sz w:val="17"/>
              </w:rPr>
              <w:t>1,431</w:t>
            </w:r>
          </w:p>
        </w:tc>
        <w:tc>
          <w:tcPr>
            <w:tcW w:type="dxa" w:w="1440"/>
            <w:shd w:fill="FFDCE0" w:val="clear"/>
          </w:tcPr>
          <w:p>
            <w:r>
              <w:rPr>
                <w:sz w:val="17"/>
              </w:rPr>
              <w:t>1,550</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1,281</w:t>
            </w:r>
          </w:p>
        </w:tc>
        <w:tc>
          <w:tcPr>
            <w:tcW w:type="dxa" w:w="1440"/>
            <w:shd w:fill="FFDCE0" w:val="clear"/>
          </w:tcPr>
          <w:p>
            <w:r>
              <w:rPr>
                <w:b/>
                <w:sz w:val="17"/>
              </w:rPr>
              <w:t>1,417</w:t>
            </w:r>
          </w:p>
        </w:tc>
        <w:tc>
          <w:tcPr>
            <w:tcW w:type="dxa" w:w="1440"/>
            <w:shd w:fill="FFDCE0" w:val="clear"/>
          </w:tcPr>
          <w:p>
            <w:r>
              <w:rPr>
                <w:sz w:val="17"/>
              </w:rPr>
              <w:t>1,553</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1,253</w:t>
            </w:r>
          </w:p>
        </w:tc>
        <w:tc>
          <w:tcPr>
            <w:tcW w:type="dxa" w:w="1440"/>
            <w:shd w:fill="FFDCE0" w:val="clear"/>
          </w:tcPr>
          <w:p>
            <w:r>
              <w:rPr>
                <w:b/>
                <w:sz w:val="17"/>
              </w:rPr>
              <w:t>1,403</w:t>
            </w:r>
          </w:p>
        </w:tc>
        <w:tc>
          <w:tcPr>
            <w:tcW w:type="dxa" w:w="1440"/>
            <w:shd w:fill="FFDCE0" w:val="clear"/>
          </w:tcPr>
          <w:p>
            <w:r>
              <w:rPr>
                <w:sz w:val="17"/>
              </w:rPr>
              <w:t>1,554</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1,226</w:t>
            </w:r>
          </w:p>
        </w:tc>
        <w:tc>
          <w:tcPr>
            <w:tcW w:type="dxa" w:w="1440"/>
            <w:shd w:fill="FFDCE0" w:val="clear"/>
          </w:tcPr>
          <w:p>
            <w:r>
              <w:rPr>
                <w:b/>
                <w:sz w:val="17"/>
              </w:rPr>
              <w:t>1,390</w:t>
            </w:r>
          </w:p>
        </w:tc>
        <w:tc>
          <w:tcPr>
            <w:tcW w:type="dxa" w:w="1440"/>
            <w:shd w:fill="FFDCE0" w:val="clear"/>
          </w:tcPr>
          <w:p>
            <w:r>
              <w:rPr>
                <w:sz w:val="17"/>
              </w:rPr>
              <w:t>1,553</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1,201</w:t>
            </w:r>
          </w:p>
        </w:tc>
        <w:tc>
          <w:tcPr>
            <w:tcW w:type="dxa" w:w="1440"/>
            <w:shd w:fill="FFDCE0" w:val="clear"/>
          </w:tcPr>
          <w:p>
            <w:r>
              <w:rPr>
                <w:b/>
                <w:sz w:val="17"/>
              </w:rPr>
              <w:t>1,376</w:t>
            </w:r>
          </w:p>
        </w:tc>
        <w:tc>
          <w:tcPr>
            <w:tcW w:type="dxa" w:w="1440"/>
            <w:shd w:fill="FFDCE0" w:val="clear"/>
          </w:tcPr>
          <w:p>
            <w:r>
              <w:rPr>
                <w:sz w:val="17"/>
              </w:rPr>
              <w:t>1,551</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1,178</w:t>
            </w:r>
          </w:p>
        </w:tc>
        <w:tc>
          <w:tcPr>
            <w:tcW w:type="dxa" w:w="1440"/>
            <w:shd w:fill="FFDCE0" w:val="clear"/>
          </w:tcPr>
          <w:p>
            <w:r>
              <w:rPr>
                <w:b/>
                <w:sz w:val="17"/>
              </w:rPr>
              <w:t>1,363</w:t>
            </w:r>
          </w:p>
        </w:tc>
        <w:tc>
          <w:tcPr>
            <w:tcW w:type="dxa" w:w="1440"/>
            <w:shd w:fill="FFDCE0" w:val="clear"/>
          </w:tcPr>
          <w:p>
            <w:r>
              <w:rPr>
                <w:sz w:val="17"/>
              </w:rPr>
              <w:t>1,548</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1,156</w:t>
            </w:r>
          </w:p>
        </w:tc>
        <w:tc>
          <w:tcPr>
            <w:tcW w:type="dxa" w:w="1440"/>
            <w:shd w:fill="FFDCE0" w:val="clear"/>
          </w:tcPr>
          <w:p>
            <w:r>
              <w:rPr>
                <w:b/>
                <w:sz w:val="17"/>
              </w:rPr>
              <w:t>1,351</w:t>
            </w:r>
          </w:p>
        </w:tc>
        <w:tc>
          <w:tcPr>
            <w:tcW w:type="dxa" w:w="1440"/>
            <w:shd w:fill="FFDCE0" w:val="clear"/>
          </w:tcPr>
          <w:p>
            <w:r>
              <w:rPr>
                <w:sz w:val="17"/>
              </w:rPr>
              <w:t>1,545</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1,135</w:t>
            </w:r>
          </w:p>
        </w:tc>
        <w:tc>
          <w:tcPr>
            <w:tcW w:type="dxa" w:w="1440"/>
            <w:shd w:fill="FFDCE0" w:val="clear"/>
          </w:tcPr>
          <w:p>
            <w:r>
              <w:rPr>
                <w:b/>
                <w:sz w:val="17"/>
              </w:rPr>
              <w:t>1,338</w:t>
            </w:r>
          </w:p>
        </w:tc>
        <w:tc>
          <w:tcPr>
            <w:tcW w:type="dxa" w:w="1440"/>
            <w:shd w:fill="FFDCE0" w:val="clear"/>
          </w:tcPr>
          <w:p>
            <w:r>
              <w:rPr>
                <w:sz w:val="17"/>
              </w:rPr>
              <w:t>1,542</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qui la positionne parmi les valeurs de taille moyenne sur la BRVM. Les ratios de valorisation (BPA, PER, P/B, EV/EBITDA) ne sont pas calculables en raison de l'absence de données financières structurées dans la base, ce qui constitue une limite importante pour l'évaluation relative du titre. Néanmoins, en se référant aux rapports fondamentaux disponibles, notamment le résultat net de 1,01 milliard FCFA en 2023, le PER implicite serait d'environ 37 fois, un niveau très élevé comparé à la moyenne du marché BRVM (8-12 fois), indiquant une valorisation potentiellement surévaluée si les bénéfices ne se redressent pas rapidement. Cette situation reflète les attentes du marché quant à un rebond significatif porté par le nouveau partenaire stratégique Sonoco.</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 enregistré une baisse substantielle de 21,05 %, passant d'un plus haut de 1 985 FCFA à un plus bas de 1 350 FCFA, avant de clôturer à 1 500 FCFA, soit une légère reprise de 3,45 % lors de la dernière séance. La moyenne du cours sur la période (1 566 FCFA) est supérieure à la médiane (1 525 FCFA), et le skewness positif de 1,550 confirme une asymétrie avec des journées plus fréquentes sous la moyenne, traduisant une pression vendeuse dominante. L'écart-type de 136 FCFA (CV de 8,7 %) indique une dispersion modérée, mais le kurtosis élevé de 1,918 signale un risque de mouvements extrêmes. La volatilité annualisée de 49,9 % classe le titre dans la catégorie à risque élevé, reflétant une incertitude marquée des investisseurs malgré la stabilisation récente autour de 1 500 FCFA.</w:t>
      </w:r>
    </w:p>
    <w:p>
      <w:pPr>
        <w:spacing w:after="120" w:line="276" w:lineRule="auto" w:before="240"/>
      </w:pPr>
      <w:r>
        <w:rPr>
          <w:b/>
          <w:color w:val="003366"/>
          <w:sz w:val="24"/>
        </w:rPr>
        <w:t>**PARTIE 2 : ANALYSE TECHNIQUE DÉTAILLÉE**</w:t>
      </w:r>
    </w:p>
    <w:p>
      <w:pPr>
        <w:spacing w:after="120" w:line="276" w:lineRule="auto"/>
      </w:pPr>
      <w:r>
        <w:t>**Moyennes Mobiles** : La MM20 (1 506,5 FCFA) et la MM50 (1 500,6 FCFA) sont quasi identiques et très proches du cours actuel de 1 500 FCFA. Le signal d'achat généré par ces moyennes suggère une stabilisation technique, le cours ayant trouvé un support autour de ces niveaux après la chute récente. Cette configuration indique un équilibre précaire entre acheteurs et vendeurs.</w:t>
      </w:r>
    </w:p>
    <w:p>
      <w:pPr>
        <w:spacing w:after="120" w:line="276" w:lineRule="auto"/>
      </w:pPr>
      <w:r>
        <w:t>**Bandes de Bollinger** : Le cours se situe exactement entre la borne supérieure (1 598,2 FCFA) et la borne inférieure (1 414,8 FCFA), avec une largeur de bandes relativement étroite (environ 183 FCFA), indiquant une volatilité modérée. La position centrale du prix et le signal neutre suggèrent que le marché attend un catalyseur directionnel, sans tendance claire à court terme.</w:t>
      </w:r>
    </w:p>
    <w:p>
      <w:pPr>
        <w:spacing w:after="120" w:line="276" w:lineRule="auto"/>
      </w:pPr>
      <w:r>
        <w:t>**MACD** : La valeur du MACD (6,138) est inférieure à son signal (9,575), générant un signal de vente. Cette configuration indique un momentum baissier persistant, bien que la faiblesse des valeurs absolues suggère une dynamique de vente qui s'essouffle. Le croisement potentiel à la hausse serait un signal positif à surveiller.</w:t>
      </w:r>
    </w:p>
    <w:p>
      <w:pPr>
        <w:spacing w:after="120" w:line="276" w:lineRule="auto"/>
      </w:pPr>
      <w:r>
        <w:t>**RSI** : À 56,79, le RSI se situe en zone neutre (30-70), indiquant un équilibre entre pressions acheteuses et vendeuses. Cette valeur suggère que le titre n'est ni suracheté ni survendu, laissant une marge de manœuvre dans les deux directions. Le signal neutre est cohérent avec la phase de consolidation actuelle.</w:t>
      </w:r>
    </w:p>
    <w:p>
      <w:pPr>
        <w:spacing w:after="120" w:line="276" w:lineRule="auto"/>
      </w:pPr>
      <w:r>
        <w:t>**Stochastique** : Le %K (33,33) est supérieur au %D (24,01), indiquant un croisement haussier potentiel en zone de survente. Cette configuration suggère un possible rebond technique à court terme, bien que le niveau encore bas des deux indicateurs indique que la dynamique haussière n'est pas pleinement confirmée.</w:t>
      </w:r>
    </w:p>
    <w:p>
      <w:pPr>
        <w:spacing w:after="120" w:line="276" w:lineRule="auto"/>
      </w:pPr>
      <w:r>
        <w:t>**Conclusion technique** : La convergence des indicateurs (MM et Bollinger neutres, RSI neutre, Stochastique en amélioration) contraste avec le MACD vendeur. Cette divergence suggère une phase de transition où le titre cherche une direction. La stabilisation autour de 1 500 FCFA et le croisement stochastique haussier pourraient précéder un rebond, mais le MACD vendeur tempère cet optimisme.</w:t>
      </w:r>
    </w:p>
    <w:p>
      <w:pPr>
        <w:spacing w:after="120" w:line="276" w:lineRule="auto" w:before="240"/>
      </w:pPr>
      <w:r>
        <w:rPr>
          <w:b/>
          <w:color w:val="003366"/>
          <w:sz w:val="24"/>
        </w:rPr>
        <w:t>**PARTIE 3 : ANALYSE FONDAMENTALE (SECTION CRITIQUE)**</w:t>
      </w:r>
    </w:p>
    <w:p>
      <w:pPr>
        <w:spacing w:after="120" w:line="276" w:lineRule="auto"/>
      </w:pPr>
      <w:r>
        <w:t>Les rapports fondamentaux disponibles, datant du 31 décembre 2024 (analysés en mars 2026), présentent des données contrastées. Le rapport principal de l'exercice 2023 indique un chiffre d'affaires de 27,88 milliards FCFA (en baisse de 6 % par rapport à 2022), un résultat net de 1,01 milliard FCFA (en chute de 74 %), et une marge nette de 3,6 %. La rentabilité des capitaux propres (ROE) s'est fortement dégradée, passant d'environ 13 % en 2022 à environ 3,4 % en 2023. Le rapport du premier trimestre 2023 montrait pourtant une dynamique positive avec un CA de 7,65 milliards FCFA (+16,5 %) et un bénéfice net de 855 millions FCFA (+37,9 %), suggérant que la dégradation s'est accentuée au cours de l'année. La politique de dividende est nulle depuis 2022, la société privilégiant la conservation de trésorerie (3,35 milliards FCFA) pour financer sa relance. Les perspectives 2024 visent un CA de 32 milliards FCFA (+18 %), porté par les bouchons couronnes (+15,8 %) et les exportations, avec le rachat par Sonoco comme catalyseur stratégique majeur. La suspension de la cote BRVM depuis janvier 2024 (flottant insuffisant de 10,42 %) constitue un risque majeur de liquidité.</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SEMC. La valorisation implicite (PER estimé à 37 fois) apparaît surévaluée par rapport aux bénéfices actuels, mais le comportement du cours montre une stabilisation après une chute de 21 %, avec des statistiques (skewness positif, kurtosis élevé) indiquant un risque de mouvements brusques. Les signaux techniques sont mitigés, avec une convergence des indicateurs neutres (MM, Bollinger, RSI) mais un MACD vendeur, suggérant une phase d'attente. Les fondamentaux, bien qu'anciens (2023), montrent une dégradation sévère mais des perspectives de rebond portées par Sonoco et un objectif de CA ambitieux pour 2024. Les prédictions IA (1 459 à 1 403 FCFA sur 10 jours) indiquent une poursuite de la baisse, contredisant les signaux de stabilisation technique. Cette divergence entre le potentiel fondamental de redressement et la trajectoire baissière prédite justifie une recommandation de **CONSERVER** avec un niveau de confiance **Moyen**, un risque global **Élevé** (volatilité 49,9 %, suspension de cote), et un horizon d'investissement **moyen terme (3-12 mois)** pour observer l'exécution du plan de relance et la levée de la suspension BRVM.</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5,098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μ=37,024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β=0.6779 (Défensif) — Cov=0.000025, Var(idx)=0.000036, ρ=0.260,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37,241</w:t>
            </w:r>
          </w:p>
        </w:tc>
        <w:tc>
          <w:tcPr>
            <w:tcW w:type="dxa" w:w="1440"/>
            <w:shd w:fill="FAFAFA" w:val="clear"/>
          </w:tcPr>
          <w:p>
            <w:r>
              <w:rPr>
                <w:b/>
                <w:sz w:val="17"/>
              </w:rPr>
              <w:t>38,096</w:t>
            </w:r>
          </w:p>
        </w:tc>
        <w:tc>
          <w:tcPr>
            <w:tcW w:type="dxa" w:w="1440"/>
            <w:shd w:fill="FAFAFA" w:val="clear"/>
          </w:tcPr>
          <w:p>
            <w:r>
              <w:rPr>
                <w:sz w:val="17"/>
              </w:rPr>
              <w:t>38,951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36,801</w:t>
            </w:r>
          </w:p>
        </w:tc>
        <w:tc>
          <w:tcPr>
            <w:tcW w:type="dxa" w:w="1440"/>
            <w:shd w:fill="FAFAFA" w:val="clear"/>
          </w:tcPr>
          <w:p>
            <w:r>
              <w:rPr>
                <w:b/>
                <w:sz w:val="17"/>
              </w:rPr>
              <w:t>38,007</w:t>
            </w:r>
          </w:p>
        </w:tc>
        <w:tc>
          <w:tcPr>
            <w:tcW w:type="dxa" w:w="1440"/>
            <w:shd w:fill="FAFAFA" w:val="clear"/>
          </w:tcPr>
          <w:p>
            <w:r>
              <w:rPr>
                <w:sz w:val="17"/>
              </w:rPr>
              <w:t>39,213</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36,452</w:t>
            </w:r>
          </w:p>
        </w:tc>
        <w:tc>
          <w:tcPr>
            <w:tcW w:type="dxa" w:w="1440"/>
            <w:shd w:fill="FAFAFA" w:val="clear"/>
          </w:tcPr>
          <w:p>
            <w:r>
              <w:rPr>
                <w:b/>
                <w:sz w:val="17"/>
              </w:rPr>
              <w:t>37,926</w:t>
            </w:r>
          </w:p>
        </w:tc>
        <w:tc>
          <w:tcPr>
            <w:tcW w:type="dxa" w:w="1440"/>
            <w:shd w:fill="FAFAFA" w:val="clear"/>
          </w:tcPr>
          <w:p>
            <w:r>
              <w:rPr>
                <w:sz w:val="17"/>
              </w:rPr>
              <w:t>39,400</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36,149</w:t>
            </w:r>
          </w:p>
        </w:tc>
        <w:tc>
          <w:tcPr>
            <w:tcW w:type="dxa" w:w="1440"/>
            <w:shd w:fill="FAFAFA" w:val="clear"/>
          </w:tcPr>
          <w:p>
            <w:r>
              <w:rPr>
                <w:b/>
                <w:sz w:val="17"/>
              </w:rPr>
              <w:t>37,847</w:t>
            </w:r>
          </w:p>
        </w:tc>
        <w:tc>
          <w:tcPr>
            <w:tcW w:type="dxa" w:w="1440"/>
            <w:shd w:fill="FAFAFA" w:val="clear"/>
          </w:tcPr>
          <w:p>
            <w:r>
              <w:rPr>
                <w:sz w:val="17"/>
              </w:rPr>
              <w:t>39,546</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35,875</w:t>
            </w:r>
          </w:p>
        </w:tc>
        <w:tc>
          <w:tcPr>
            <w:tcW w:type="dxa" w:w="1440"/>
            <w:shd w:fill="FAFAFA" w:val="clear"/>
          </w:tcPr>
          <w:p>
            <w:r>
              <w:rPr>
                <w:b/>
                <w:sz w:val="17"/>
              </w:rPr>
              <w:t>37,770</w:t>
            </w:r>
          </w:p>
        </w:tc>
        <w:tc>
          <w:tcPr>
            <w:tcW w:type="dxa" w:w="1440"/>
            <w:shd w:fill="FAFAFA" w:val="clear"/>
          </w:tcPr>
          <w:p>
            <w:r>
              <w:rPr>
                <w:sz w:val="17"/>
              </w:rPr>
              <w:t>39,665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35,621</w:t>
            </w:r>
          </w:p>
        </w:tc>
        <w:tc>
          <w:tcPr>
            <w:tcW w:type="dxa" w:w="1440"/>
            <w:shd w:fill="FAFAFA" w:val="clear"/>
          </w:tcPr>
          <w:p>
            <w:r>
              <w:rPr>
                <w:b/>
                <w:sz w:val="17"/>
              </w:rPr>
              <w:t>37,693</w:t>
            </w:r>
          </w:p>
        </w:tc>
        <w:tc>
          <w:tcPr>
            <w:tcW w:type="dxa" w:w="1440"/>
            <w:shd w:fill="FAFAFA" w:val="clear"/>
          </w:tcPr>
          <w:p>
            <w:r>
              <w:rPr>
                <w:sz w:val="17"/>
              </w:rPr>
              <w:t>39,764</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35,383</w:t>
            </w:r>
          </w:p>
        </w:tc>
        <w:tc>
          <w:tcPr>
            <w:tcW w:type="dxa" w:w="1440"/>
            <w:shd w:fill="FAFAFA" w:val="clear"/>
          </w:tcPr>
          <w:p>
            <w:r>
              <w:rPr>
                <w:b/>
                <w:sz w:val="17"/>
              </w:rPr>
              <w:t>37,616</w:t>
            </w:r>
          </w:p>
        </w:tc>
        <w:tc>
          <w:tcPr>
            <w:tcW w:type="dxa" w:w="1440"/>
            <w:shd w:fill="FAFAFA" w:val="clear"/>
          </w:tcPr>
          <w:p>
            <w:r>
              <w:rPr>
                <w:sz w:val="17"/>
              </w:rPr>
              <w:t>39,849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35,158</w:t>
            </w:r>
          </w:p>
        </w:tc>
        <w:tc>
          <w:tcPr>
            <w:tcW w:type="dxa" w:w="1440"/>
            <w:shd w:fill="FAFAFA" w:val="clear"/>
          </w:tcPr>
          <w:p>
            <w:r>
              <w:rPr>
                <w:b/>
                <w:sz w:val="17"/>
              </w:rPr>
              <w:t>37,541</w:t>
            </w:r>
          </w:p>
        </w:tc>
        <w:tc>
          <w:tcPr>
            <w:tcW w:type="dxa" w:w="1440"/>
            <w:shd w:fill="FAFAFA" w:val="clear"/>
          </w:tcPr>
          <w:p>
            <w:r>
              <w:rPr>
                <w:sz w:val="17"/>
              </w:rPr>
              <w:t>39,923</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34,944</w:t>
            </w:r>
          </w:p>
        </w:tc>
        <w:tc>
          <w:tcPr>
            <w:tcW w:type="dxa" w:w="1440"/>
            <w:shd w:fill="FAFAFA" w:val="clear"/>
          </w:tcPr>
          <w:p>
            <w:r>
              <w:rPr>
                <w:b/>
                <w:sz w:val="17"/>
              </w:rPr>
              <w:t>37,466</w:t>
            </w:r>
          </w:p>
        </w:tc>
        <w:tc>
          <w:tcPr>
            <w:tcW w:type="dxa" w:w="1440"/>
            <w:shd w:fill="FAFAFA" w:val="clear"/>
          </w:tcPr>
          <w:p>
            <w:r>
              <w:rPr>
                <w:sz w:val="17"/>
              </w:rPr>
              <w:t>39,988</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34,739</w:t>
            </w:r>
          </w:p>
        </w:tc>
        <w:tc>
          <w:tcPr>
            <w:tcW w:type="dxa" w:w="1440"/>
            <w:shd w:fill="FAFAFA" w:val="clear"/>
          </w:tcPr>
          <w:p>
            <w:r>
              <w:rPr>
                <w:b/>
                <w:sz w:val="17"/>
              </w:rPr>
              <w:t>37,392</w:t>
            </w:r>
          </w:p>
        </w:tc>
        <w:tc>
          <w:tcPr>
            <w:tcW w:type="dxa" w:w="1440"/>
            <w:shd w:fill="FAFAFA" w:val="clear"/>
          </w:tcPr>
          <w:p>
            <w:r>
              <w:rPr>
                <w:sz w:val="17"/>
              </w:rPr>
              <w:t>40,046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1 182,22 milliards FCFA, SGBC s'impose comme l'une des toutes premières capitalisations de la BRVM, représentant un poids considérable dans l'indice composite. Le BPA de 3 258 FCFA indique que chaque action génère un bénéfice substantiel, justifiant un PER de 11,7x. Ce ratio, bien que légèrement supérieur à la moyenne historique de la BRVM (8-12x), reste dans la fourchette haute de la normale, traduisant une valorisation raisonnable pour un leader de marché. Le P/B de 2,39x montre que le marché rémunère généreusement les capitaux propres, intégrant une prime de croissance et de solidité financière. En revanche, l'EV/EBITDA de 24,5x est très exigeant, signalant que la valeur totale de l'entreprise (dette incluse) est élevée par rapport à sa capacité opérationnelle, ce qui peut refléter des attentes de performance future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de +10,14%, avec un cours actuel de 38 000 FCFA, bien que la dernière séance ait enregistré un repli de -1,30%. Le titre a évolué dans un range de 32 800 à 39 300 FCFA, démontrant une tendance globale haussière marquée par des phases d'accélération. La moyenne (37 024 FCFA) est inférieure à la médiane (37 998 FCFA) et au mode (39 000 FCFA), indiquant une distribution asymétrique négative (skewness de -0,706) : les journées de hausse sont plus fréquentes mais de moindre ampleur que les rares baisses. L'écart-type de 2 104 FCFA (CV de 5,7%) révèle une dispersion modérée, tandis que le kurtosis de -0,970 (mésokurtique) suggère une distribution proche de la normale, sans risque de variations extrêmes. La volatilité annualisée de 24,9% classe le titre dans une zone de risque modéré, offrant un équilibre entre rendement et sécurité.</w:t>
      </w:r>
    </w:p>
    <w:p>
      <w:pPr>
        <w:spacing w:after="120" w:line="276" w:lineRule="auto"/>
      </w:pPr>
      <w:r>
        <w:t>---</w:t>
      </w:r>
    </w:p>
    <w:p>
      <w:pPr>
        <w:spacing w:after="120" w:line="276" w:lineRule="auto"/>
      </w:pPr>
      <w:r>
        <w:t>### PARTIE 2 : ANALYSE TECHNIQUE DÉTAILLÉE</w:t>
      </w:r>
    </w:p>
    <w:p>
      <w:pPr>
        <w:spacing w:after="120" w:line="276" w:lineRule="auto"/>
      </w:pPr>
      <w:r>
        <w:t>**Moyennes Mobiles** : Les MM20 (38 539 FCFA) et MM50 (38 522,8 FCFA) sont toutes deux supérieures au cours actuel (38 000 FCFA), indiquant une pression vendeuse à court terme. Cependant, leur proximité et leur niveau élevé par rapport au cours suggèrent que la tendance de fond reste haussière, la décision d'achat étant maintenue sur le moyen terme.</w:t>
      </w:r>
    </w:p>
    <w:p>
      <w:pPr>
        <w:spacing w:after="120" w:line="276" w:lineRule="auto"/>
      </w:pPr>
      <w:r>
        <w:t>**Bandes de Bollinger** : Le cours se situe sous la borne inférieure (37 374,7 FCFA) et la borne supérieure (39 703,3 FCFA), avec une position médiane (38 000 FCFA) proche de la moyenne. La décision neutre reflète une volatilité modérée, sans signal directionnel fort, le titre évoluant dans un canal normal.</w:t>
      </w:r>
    </w:p>
    <w:p>
      <w:pPr>
        <w:spacing w:after="120" w:line="276" w:lineRule="auto"/>
      </w:pPr>
      <w:r>
        <w:t>**MACD** : La valeur du MACD (35,132) est inférieure au signal (116,28), indiquant un momentum baissier à court terme. Cette divergence négative suggère un affaiblissement de la dynamique haussière, justifiant une décision de vente pour les traders à horizon court.</w:t>
      </w:r>
    </w:p>
    <w:p>
      <w:pPr>
        <w:spacing w:after="120" w:line="276" w:lineRule="auto"/>
      </w:pPr>
      <w:r>
        <w:t>**RSI** : À 50,0, le RSI est parfaitement neutre, indiquant un équilibre entre pressions acheteuses et vendeuses. Cette zone ne signale ni surachat ni survente, laissant place à une évolution directionnelle future sans contrainte technique.</w:t>
      </w:r>
    </w:p>
    <w:p>
      <w:pPr>
        <w:spacing w:after="120" w:line="276" w:lineRule="auto"/>
      </w:pPr>
      <w:r>
        <w:t>**Stochastique** : Le %K (18,495) est inférieur au %D (28,945), mais les deux sont en zone de survente (&lt;20), suggérant un potentiel de rebond. La décision d'achat repose sur cette configuration, anticipant un retournement haussier imminent.</w:t>
      </w:r>
    </w:p>
    <w:p>
      <w:pPr>
        <w:spacing w:after="120" w:line="276" w:lineRule="auto"/>
      </w:pPr>
      <w:r>
        <w:t>**Conclusion technique** : Les signaux sont mitigés, avec des indicateurs de tendance (MM) et de momentum (Stochastique) favorables à l'achat, tandis que le MACD et le RSI restent neutres ou baissiers. Cette divergence indique une phase de consolidation, avec un biais haussier à moyen terme mais une prudence à court terme. Un rebond technique est probable, soutenu par les niveaux de survente du stochastique.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SGBC confirment une santé financière exceptionnelle : le Produit Net Bancaire (PNB) s'établit à 276,048 milliards FCFA, avec un résultat net de 101,352 milliards FCFA, en hausse de +4,1% par rapport à 2024 (rapport annuel 2024). Le ROE atteint 20,47%, bien au-dessus du seuil d'excellence de 15%, et le ROA de 2,69% témoigne d'une gestion efficace des actifs. Le coefficient d'exploitation de 38,75% est remarquable, confirmant une banque très efficiente (inférieur à 50%). Le coût du risque, calculé à partir des provisions (17,995 Mds) rapportées aux charges financières (47,775 Mds), s'établit à 37,7%, un niveau modéré indiquant un portefeuille de crédits globalement sain. Le ratio dépôts/crédits est sain : les dépôts clients (2 907,675 Mds) couvrent largement les créances (2 546,290 Mds), soit un ratio de transformation de 87,6%, reflétant une liquidité confortable. Les rapports trimestriels 2025 (T1, S1, 9 mois) montrent une trajectoire positive : le PNB cumulé sur 9 mois atteint 201,0 Mds (+2,5%), avec un résultat net de 83,3 Mds (+11,7%), porté par une maîtrise des coûts (coefficient d'exploitation à 37,3%). On estime que l'exercice 2025 devrait dépasser les 100 Mds de résultat net, confirmant la tendance haussière. La notation AAA (rapport annuel 2024) et le ratio de solvabilité de 17,7% (S1 2025) renforcent la solidité, malgré une vigilance sur la hausse des créances en souffrance (NPL à 7,8%). La recommandation fondamentale est positive, avec une perspective de croissance soutenue par la digitalisation et les financements structurés.</w:t>
      </w:r>
    </w:p>
    <w:p>
      <w:pPr>
        <w:spacing w:after="120" w:line="276" w:lineRule="auto"/>
      </w:pPr>
      <w:r>
        <w:t>---</w:t>
      </w:r>
    </w:p>
    <w:p>
      <w:pPr>
        <w:spacing w:after="120" w:line="276" w:lineRule="auto"/>
      </w:pPr>
      <w:r>
        <w:t>### PARTIE 4 : CONCLUSION D'INVESTISSEMENT</w:t>
      </w:r>
    </w:p>
    <w:p>
      <w:pPr>
        <w:spacing w:after="120" w:line="276" w:lineRule="auto"/>
      </w:pPr>
      <w:r>
        <w:t>La valorisation de SGBC est raisonnable (PER 11,7x, P/B 2,39x), mais l'EV/EBITDA élevé (24,5x) suggère une certaine exigence du marché. Le comportement du cours est favorable, avec une tendance haussière de +10,14% sur 100 jours, une volatilité modérée (24,9%) et une distribution stable (kurtosis mésokurtique), bien que l'asymétrie négative (skewness -0,706) indique des risques de baisses ponctuelles. Les signaux techniques sont mitigés : les MM et le Stochastique plaident pour un achat, tandis que le MACD et le RSI sont neutres ou vendeurs, suggérant une consolidation avant un potentiel rebond. Les fondamentaux sont excellents, avec un ROE de 20,47%, un coefficient d'exploitation de 38,75% et une croissance soutenue du résultat net (+11,7% sur 9 mois 2025). Les prédictions IA (J+1 à J+10) montrent une légère baisse progressive (38 096 à 37 770 FCFA), contredisant le signal d'achat du stochastique mais confirmant la prudence du MACD. En synthèse, la convergence entre des fondamentaux solides et une valorisation modérée, malgré des signaux techniques mixtes, conduit à une recommandation **CONSERVER**, avec un niveau de confiance **Moyen** et un risque global **Moyen**. L'horizon d'investissement optimal est le **moyen terme (3-12 mois)**, en attendant une clarification technique et une confirmation des résultats annuels 2025.</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4,324 titres</w:t>
            </w:r>
          </w:p>
        </w:tc>
        <w:tc>
          <w:tcPr>
            <w:tcW w:type="dxa" w:w="2268"/>
            <w:shd w:fill="FFF2CC" w:val="clear"/>
          </w:tcPr>
          <w:p>
            <w:r>
              <w:rPr>
                <w:b/>
                <w:color w:val="503200"/>
                <w:sz w:val="16"/>
              </w:rPr>
              <w:t xml:space="preserve">Cours actuel : </w:t>
            </w:r>
            <w:r>
              <w:rPr>
                <w:color w:val="000000"/>
                <w:sz w:val="17"/>
              </w:rPr>
              <w:t>2,440 FCFA</w:t>
            </w:r>
          </w:p>
          <w:p>
            <w:r>
              <w:rPr>
                <w:b/>
                <w:color w:val="503200"/>
                <w:sz w:val="16"/>
              </w:rPr>
              <w:t xml:space="preserve">Var. 100 jours : </w:t>
            </w:r>
            <w:r>
              <w:rPr>
                <w:b/>
                <w:color w:val="007800"/>
                <w:sz w:val="17"/>
              </w:rPr>
              <w:t>+12.44%</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μ=2,124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β=1.1344 (Neutre (suit le marché)) — Cov=0.000041, Var(idx)=0.000036, ρ=0.307,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2,199</w:t>
            </w:r>
          </w:p>
        </w:tc>
        <w:tc>
          <w:tcPr>
            <w:tcW w:type="dxa" w:w="1440"/>
            <w:shd w:fill="FFDCE0" w:val="clear"/>
          </w:tcPr>
          <w:p>
            <w:r>
              <w:rPr>
                <w:b/>
                <w:sz w:val="17"/>
              </w:rPr>
              <w:t>2,285</w:t>
            </w:r>
          </w:p>
        </w:tc>
        <w:tc>
          <w:tcPr>
            <w:tcW w:type="dxa" w:w="1440"/>
            <w:shd w:fill="FFDCE0" w:val="clear"/>
          </w:tcPr>
          <w:p>
            <w:r>
              <w:rPr>
                <w:sz w:val="17"/>
              </w:rPr>
              <w:t>2,370</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2,056</w:t>
            </w:r>
          </w:p>
        </w:tc>
        <w:tc>
          <w:tcPr>
            <w:tcW w:type="dxa" w:w="1440"/>
            <w:shd w:fill="FFDCE0" w:val="clear"/>
          </w:tcPr>
          <w:p>
            <w:r>
              <w:rPr>
                <w:b/>
                <w:sz w:val="17"/>
              </w:rPr>
              <w:t>2,170</w:t>
            </w:r>
          </w:p>
        </w:tc>
        <w:tc>
          <w:tcPr>
            <w:tcW w:type="dxa" w:w="1440"/>
            <w:shd w:fill="FFDCE0" w:val="clear"/>
          </w:tcPr>
          <w:p>
            <w:r>
              <w:rPr>
                <w:sz w:val="17"/>
              </w:rPr>
              <w:t>2,285</w:t>
            </w:r>
          </w:p>
        </w:tc>
        <w:tc>
          <w:tcPr>
            <w:tcW w:type="dxa" w:w="1440"/>
            <w:shd w:fill="FFDCE0" w:val="clear"/>
          </w:tcPr>
          <w:p>
            <w:r>
              <w:rPr>
                <w:b/>
                <w:color w:val="C00000"/>
                <w:sz w:val="17"/>
              </w:rPr>
              <w:t>-11.0%</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1,936</w:t>
            </w:r>
          </w:p>
        </w:tc>
        <w:tc>
          <w:tcPr>
            <w:tcW w:type="dxa" w:w="1440"/>
            <w:shd w:fill="FFDCE0" w:val="clear"/>
          </w:tcPr>
          <w:p>
            <w:r>
              <w:rPr>
                <w:b/>
                <w:sz w:val="17"/>
              </w:rPr>
              <w:t>2,070</w:t>
            </w:r>
          </w:p>
        </w:tc>
        <w:tc>
          <w:tcPr>
            <w:tcW w:type="dxa" w:w="1440"/>
            <w:shd w:fill="FFDCE0" w:val="clear"/>
          </w:tcPr>
          <w:p>
            <w:r>
              <w:rPr>
                <w:sz w:val="17"/>
              </w:rPr>
              <w:t>2,204</w:t>
            </w:r>
          </w:p>
        </w:tc>
        <w:tc>
          <w:tcPr>
            <w:tcW w:type="dxa" w:w="1440"/>
            <w:shd w:fill="FFDCE0" w:val="clear"/>
          </w:tcPr>
          <w:p>
            <w:r>
              <w:rPr>
                <w:b/>
                <w:color w:val="C00000"/>
                <w:sz w:val="17"/>
              </w:rPr>
              <w:t>-15.2%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1,839</w:t>
            </w:r>
          </w:p>
        </w:tc>
        <w:tc>
          <w:tcPr>
            <w:tcW w:type="dxa" w:w="1440"/>
            <w:shd w:fill="FFDCE0" w:val="clear"/>
          </w:tcPr>
          <w:p>
            <w:r>
              <w:rPr>
                <w:b/>
                <w:sz w:val="17"/>
              </w:rPr>
              <w:t>1,988</w:t>
            </w:r>
          </w:p>
        </w:tc>
        <w:tc>
          <w:tcPr>
            <w:tcW w:type="dxa" w:w="1440"/>
            <w:shd w:fill="FFDCE0" w:val="clear"/>
          </w:tcPr>
          <w:p>
            <w:r>
              <w:rPr>
                <w:sz w:val="17"/>
              </w:rPr>
              <w:t>2,137</w:t>
            </w:r>
          </w:p>
        </w:tc>
        <w:tc>
          <w:tcPr>
            <w:tcW w:type="dxa" w:w="1440"/>
            <w:shd w:fill="FFDCE0" w:val="clear"/>
          </w:tcPr>
          <w:p>
            <w:r>
              <w:rPr>
                <w:b/>
                <w:color w:val="C00000"/>
                <w:sz w:val="17"/>
              </w:rPr>
              <w:t>-18.5%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1,921</w:t>
            </w:r>
          </w:p>
        </w:tc>
        <w:tc>
          <w:tcPr>
            <w:tcW w:type="dxa" w:w="1440"/>
            <w:shd w:fill="FFDCE0" w:val="clear"/>
          </w:tcPr>
          <w:p>
            <w:r>
              <w:rPr>
                <w:sz w:val="17"/>
              </w:rPr>
              <w:t>2,082</w:t>
            </w:r>
          </w:p>
        </w:tc>
        <w:tc>
          <w:tcPr>
            <w:tcW w:type="dxa" w:w="1440"/>
            <w:shd w:fill="FFDCE0" w:val="clear"/>
          </w:tcPr>
          <w:p>
            <w:r>
              <w:rPr>
                <w:b/>
                <w:color w:val="C00000"/>
                <w:sz w:val="17"/>
              </w:rPr>
              <w:t>-21.3%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1,694</w:t>
            </w:r>
          </w:p>
        </w:tc>
        <w:tc>
          <w:tcPr>
            <w:tcW w:type="dxa" w:w="1440"/>
            <w:shd w:fill="FFDCE0" w:val="clear"/>
          </w:tcPr>
          <w:p>
            <w:r>
              <w:rPr>
                <w:b/>
                <w:sz w:val="17"/>
              </w:rPr>
              <w:t>1,865</w:t>
            </w:r>
          </w:p>
        </w:tc>
        <w:tc>
          <w:tcPr>
            <w:tcW w:type="dxa" w:w="1440"/>
            <w:shd w:fill="FFDCE0" w:val="clear"/>
          </w:tcPr>
          <w:p>
            <w:r>
              <w:rPr>
                <w:sz w:val="17"/>
              </w:rPr>
              <w:t>2,036</w:t>
            </w:r>
          </w:p>
        </w:tc>
        <w:tc>
          <w:tcPr>
            <w:tcW w:type="dxa" w:w="1440"/>
            <w:shd w:fill="FFDCE0" w:val="clear"/>
          </w:tcPr>
          <w:p>
            <w:r>
              <w:rPr>
                <w:b/>
                <w:color w:val="C00000"/>
                <w:sz w:val="17"/>
              </w:rPr>
              <w:t>-23.6%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1,637</w:t>
            </w:r>
          </w:p>
        </w:tc>
        <w:tc>
          <w:tcPr>
            <w:tcW w:type="dxa" w:w="1440"/>
            <w:shd w:fill="FFDCE0" w:val="clear"/>
          </w:tcPr>
          <w:p>
            <w:r>
              <w:rPr>
                <w:b/>
                <w:sz w:val="17"/>
              </w:rPr>
              <w:t>1,817</w:t>
            </w:r>
          </w:p>
        </w:tc>
        <w:tc>
          <w:tcPr>
            <w:tcW w:type="dxa" w:w="1440"/>
            <w:shd w:fill="FFDCE0" w:val="clear"/>
          </w:tcPr>
          <w:p>
            <w:r>
              <w:rPr>
                <w:sz w:val="17"/>
              </w:rPr>
              <w:t>1,996</w:t>
            </w:r>
          </w:p>
        </w:tc>
        <w:tc>
          <w:tcPr>
            <w:tcW w:type="dxa" w:w="1440"/>
            <w:shd w:fill="FFDCE0" w:val="clear"/>
          </w:tcPr>
          <w:p>
            <w:r>
              <w:rPr>
                <w:b/>
                <w:color w:val="C00000"/>
                <w:sz w:val="17"/>
              </w:rPr>
              <w:t>-25.5%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1,774</w:t>
            </w:r>
          </w:p>
        </w:tc>
        <w:tc>
          <w:tcPr>
            <w:tcW w:type="dxa" w:w="1440"/>
            <w:shd w:fill="FFDCE0" w:val="clear"/>
          </w:tcPr>
          <w:p>
            <w:r>
              <w:rPr>
                <w:sz w:val="17"/>
              </w:rPr>
              <w:t>1,962</w:t>
            </w:r>
          </w:p>
        </w:tc>
        <w:tc>
          <w:tcPr>
            <w:tcW w:type="dxa" w:w="1440"/>
            <w:shd w:fill="FFDCE0" w:val="clear"/>
          </w:tcPr>
          <w:p>
            <w:r>
              <w:rPr>
                <w:b/>
                <w:color w:val="C00000"/>
                <w:sz w:val="17"/>
              </w:rPr>
              <w:t>-27.3%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1,541</w:t>
            </w:r>
          </w:p>
        </w:tc>
        <w:tc>
          <w:tcPr>
            <w:tcW w:type="dxa" w:w="1440"/>
            <w:shd w:fill="FFDCE0" w:val="clear"/>
          </w:tcPr>
          <w:p>
            <w:r>
              <w:rPr>
                <w:b/>
                <w:sz w:val="17"/>
              </w:rPr>
              <w:t>1,735</w:t>
            </w:r>
          </w:p>
        </w:tc>
        <w:tc>
          <w:tcPr>
            <w:tcW w:type="dxa" w:w="1440"/>
            <w:shd w:fill="FFDCE0" w:val="clear"/>
          </w:tcPr>
          <w:p>
            <w:r>
              <w:rPr>
                <w:sz w:val="17"/>
              </w:rPr>
              <w:t>1,930</w:t>
            </w:r>
          </w:p>
        </w:tc>
        <w:tc>
          <w:tcPr>
            <w:tcW w:type="dxa" w:w="1440"/>
            <w:shd w:fill="FFDCE0" w:val="clear"/>
          </w:tcPr>
          <w:p>
            <w:r>
              <w:rPr>
                <w:b/>
                <w:color w:val="C00000"/>
                <w:sz w:val="17"/>
              </w:rPr>
              <w:t>-28.9%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1,499</w:t>
            </w:r>
          </w:p>
        </w:tc>
        <w:tc>
          <w:tcPr>
            <w:tcW w:type="dxa" w:w="1440"/>
            <w:shd w:fill="FFDCE0" w:val="clear"/>
          </w:tcPr>
          <w:p>
            <w:r>
              <w:rPr>
                <w:b/>
                <w:sz w:val="17"/>
              </w:rPr>
              <w:t>1,700</w:t>
            </w:r>
          </w:p>
        </w:tc>
        <w:tc>
          <w:tcPr>
            <w:tcW w:type="dxa" w:w="1440"/>
            <w:shd w:fill="FFDCE0" w:val="clear"/>
          </w:tcPr>
          <w:p>
            <w:r>
              <w:rPr>
                <w:sz w:val="17"/>
              </w:rPr>
              <w:t>1,901</w:t>
            </w:r>
          </w:p>
        </w:tc>
        <w:tc>
          <w:tcPr>
            <w:tcW w:type="dxa" w:w="1440"/>
            <w:shd w:fill="FFDCE0" w:val="clear"/>
          </w:tcPr>
          <w:p>
            <w:r>
              <w:rPr>
                <w:b/>
                <w:color w:val="C00000"/>
                <w:sz w:val="17"/>
              </w:rPr>
              <w:t>-30.3%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153,72 milliards FCFA, un niveau significatif qui positionne la société parmi les valeurs moyennes à grandes capitalisations de la BRVM, reflétant son statut d'acteur majeur de la distribution pétrolière en Côte d'Ivoire. Avec un BPA de 96 FCFA, chaque action génère un bénéfice modeste, ce qui explique un PER de 25,5x, nettement supérieur à la moyenne historique de la BRVM (8-12x). Ce ratio élevé suggère que les investisseurs anticipent une croissance future des bénéfices, mais il peut également signaler une surévaluation relative. Le P/B de 5,66x confirme cette lecture : le marché valorise l'action près de six fois sa valeur comptable, une prime substantielle qui traduit des attentes élevées en matière de rendement des capitaux propres. Enfin, l'EV/EBITDA de 13,5x se situe dans la fourchette haute des valorisations, indiquant que la valeur totale de l'entreprise (dette incluse) est généreusement rémunérée par rapport à sa capacité opérationnelle. Ces ratios, pris ensemble, pointent vers une valorisation exigeante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remarquable de +12,44%, bien que la dernière séance ait clôturé en léger repli de -0,41% à 2 440 FCFA. Le titre a évolué dans une fourchette de 1 840 FCFA (plus bas) à 2 480 FCFA (plus haut), démontrant une dynamique haussière soutenue. La moyenne du cours sur la période (2 124 FCFA) est inférieure à la médiane (2 160 FCFA), ce qui indique une distribution légèrement asymétrique avec une concentration des valeurs vers le haut de la fourchette. L'écart-type de 154 FCFA, associé à un coefficient de variation de 7,3%, révèle une dispersion modérée autour de la moyenne. Le kurtosis de -0,464 (mésokurtique) suggère une distribution proche de la normale, sans risque accru de mouvements extrêmes, tandis que le skewness de 0,288 confirme une asymétrie positive, avec des épisodes de hausse plus prononcés que les baisses. La volatilité annualisée de 35,2% classe le titre dans la catégorie des valeurs à forte volatilité, ce qui implique des fluctuations de prix significatives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2 337,5 FCFA et MM50 à 2 242 FCFA) sont toutes deux inférieures au cours actuel de 2 440 FCFA, confirmant une tendance haussière de court et moyen terme. La configuration en "courbe ascendante" des moyennes, avec le cours au-dessus de la MM20 elle-même au-dessus de la MM50, valide la dynamique positive et justifie la décision d'Achat.</w:t>
      </w:r>
    </w:p>
    <w:p>
      <w:pPr>
        <w:spacing w:after="120" w:line="276" w:lineRule="auto"/>
      </w:pPr>
      <w:r>
        <w:t>Les Bandes de Bollinger, avec une borne supérieure à 2 534,9 FCFA et une borne inférieure à 2 140,1 FCFA, encadrent le cours actuel qui se situe dans la partie haute de l'enveloppe. Cette position indique une pression acheteuse soutenue, mais sans atteindre la zone de surachat extrême. La décision Neutre reflète un équilibre entre la force de la tendance et le risque de retournement.</w:t>
      </w:r>
    </w:p>
    <w:p>
      <w:pPr>
        <w:spacing w:after="120" w:line="276" w:lineRule="auto"/>
      </w:pPr>
      <w:r>
        <w:t>Le MACD, avec une valeur de 69,9 contre un signal à 59,2, affiche une divergence positive qui confirme le momentum haussier. L'écart positif entre la ligne MACD et sa ligne de signal indique que la dynamique de hausse reste solide, justifiant la décision d'Achat.</w:t>
      </w:r>
    </w:p>
    <w:p>
      <w:pPr>
        <w:spacing w:after="120" w:line="276" w:lineRule="auto"/>
      </w:pPr>
      <w:r>
        <w:t>Le RSI à 68,3 se situe dans la zone neutre-haute, proche du seuil de surachat de 70. Cette valeur indique que le titre est fortement sollicité par les acheteurs, mais qu'il n'est pas encore en situation de surachat extrême. La décision Neutre suggère une vigilance, car une poursuite de la hausse pourrait déclencher un signal de vente.</w:t>
      </w:r>
    </w:p>
    <w:p>
      <w:pPr>
        <w:spacing w:after="120" w:line="276" w:lineRule="auto"/>
      </w:pPr>
      <w:r>
        <w:t>Le Stochastique, avec %K à 85,7 et %D à 88,7, se trouve en zone de surachat prononcé. Le croisement potentiel de ces deux lignes, avec %K sous %D, signale un épuisement possible de la dynamique haussière à court terme, justifiant la décision de Vente.</w:t>
      </w:r>
    </w:p>
    <w:p>
      <w:pPr>
        <w:spacing w:after="120" w:line="276" w:lineRule="auto"/>
      </w:pPr>
      <w:r>
        <w:t>La synthèse technique révèle un conflit entre les indicateurs de tendance (MM, MACD) qui restent positifs, et les oscillateurs de momentum (RSI, Stochastique) qui montrent des signes de surachat. Cette divergence suggère qu'une consolidation ou un repli technique est probable à court terme, mais que la tendance de fond demeure haussière.</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progression de +0,71% par rapport à 2024, avec un résultat net de 6,028 milliards FCFA, en hausse de +12,6%. La marge nette reste très faible à 0,99%, caractéristique du secteur de la distribution pétrolière, mais le ROE de 22,2% témoigne d'une excellente rentabilité des capitaux propres, bien au-dessus du seuil de 15% considéré comme excellent. Le ROA de 3,11% reflète une utilisation efficace des actifs. La structure financière montre une autonomie financière limitée à 14,03%, avec un endettement élevé (dettes totales de 166,4 milliards FCFA) et une trésorerie nette négative de -65,26 milliards FCFA, un point de vigilance majeur. Le BFR de 15,3 milliards FCFA et les délais clients (23,27 jours) et fournisseurs (35,47 jours) indiquent une gestion opérationnelle correcte. Les rapports trimestriels 2025 (T1, S1, T3) montrent une amélioration progressive de la rentabilité, avec un résultat net en hausse de +45% sur 9 mois. Le rapport S1 2026 (30 juin 2026) indique un CA de 305,038 milliards FCFA (-1%) mais un résultat d'exploitation en hausse de +17% à 6,133 milliards FCFA. Sur cette base, on estime que l'exercice 2026 pourrait maintenir un résultat net stable autour de 6 milliards FCFA. La politique de dividende est généreuse avec un dividende proposé de 6,09 milliards FCFA (taux de distribution de 101%), soutenue par le report à nouveau. Les recommandations des analystes convergent vers un CONSERVER, soulignant la solidité opérationnelle mais la fragilité financière.</w:t>
      </w:r>
    </w:p>
    <w:p>
      <w:pPr>
        <w:spacing w:after="120" w:line="276" w:lineRule="auto" w:before="240"/>
      </w:pPr>
      <w:r>
        <w:rPr>
          <w:b/>
          <w:color w:val="003366"/>
          <w:sz w:val="24"/>
        </w:rPr>
        <w:t>**PARTIE 4 : CONCLUSION D'INVESTISSEMENT**</w:t>
      </w:r>
    </w:p>
    <w:p>
      <w:pPr>
        <w:spacing w:after="120" w:line="276" w:lineRule="auto"/>
      </w:pPr>
      <w:r>
        <w:t>La valorisation de SHEC apparaît exigeante avec un PER de 25,5x et un P/B de 5,66x, nettement supérieurs aux moyennes du marché BRVM, ce qui limite le potentiel de hausse à court terme. Le comportement du cours sur 100 jours est positif (+12,44%) avec une volatilité élevée (35,2%), mais les statistiques descriptives (kurtosis mésokurtique, skewness positif) indiquent un profil de risque relativement maîtrisé. Les signaux techniques sont mitigés : les indicateurs de tendance (MM, MACD) restent haussiers, tandis que les oscillateurs (RSI proche de 70, Stochastique en surachat) suggèrent un essoufflement imminent. Les fondamentaux montrent une entreprise rentable (ROE de 22,2%) mais financièrement fragile, avec une trésorerie nette très négative et un endettement élevé. Les prédictions IA pour les 10 prochains jours (de 2 285 à 1 921 FCFA) indiquent une correction significative de -21% par rapport au cours actuel, contredisant la tendance haussière récente et confirmant les signaux de surachat technique. Cette convergence entre les signaux techniques de court terme et les prédictions IA suggère une consolidation imminente. La recommandation finale est **CONSERVER** avec un niveau de confiance **Moyen** et un risque global **Élevé**. L'horizon d'investissement optimal est le **moyen terme (3-12 mois)**, en attendant une clarification de la structure financière et une amélioration de la trésorerie avant d'envisager un renforcement de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8,919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10.48% (Moyenne) — μ=8,309 FCFA, σ=871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β=0.3603 (Défensif) — Cov=0.000013,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8,601</w:t>
            </w:r>
          </w:p>
        </w:tc>
        <w:tc>
          <w:tcPr>
            <w:tcW w:type="dxa" w:w="1440"/>
            <w:shd w:fill="FFDCE0" w:val="clear"/>
          </w:tcPr>
          <w:p>
            <w:r>
              <w:rPr>
                <w:b/>
                <w:sz w:val="17"/>
              </w:rPr>
              <w:t>8,873</w:t>
            </w:r>
          </w:p>
        </w:tc>
        <w:tc>
          <w:tcPr>
            <w:tcW w:type="dxa" w:w="1440"/>
            <w:shd w:fill="FFDCE0" w:val="clear"/>
          </w:tcPr>
          <w:p>
            <w:r>
              <w:rPr>
                <w:sz w:val="17"/>
              </w:rPr>
              <w:t>9,145</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8,197</w:t>
            </w:r>
          </w:p>
        </w:tc>
        <w:tc>
          <w:tcPr>
            <w:tcW w:type="dxa" w:w="1440"/>
            <w:shd w:fill="FFDCE0" w:val="clear"/>
          </w:tcPr>
          <w:p>
            <w:r>
              <w:rPr>
                <w:b/>
                <w:sz w:val="17"/>
              </w:rPr>
              <w:t>8,569</w:t>
            </w:r>
          </w:p>
        </w:tc>
        <w:tc>
          <w:tcPr>
            <w:tcW w:type="dxa" w:w="1440"/>
            <w:shd w:fill="FFDCE0" w:val="clear"/>
          </w:tcPr>
          <w:p>
            <w:r>
              <w:rPr>
                <w:sz w:val="17"/>
              </w:rPr>
              <w:t>8,941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7,857</w:t>
            </w:r>
          </w:p>
        </w:tc>
        <w:tc>
          <w:tcPr>
            <w:tcW w:type="dxa" w:w="1440"/>
            <w:shd w:fill="FFDCE0" w:val="clear"/>
          </w:tcPr>
          <w:p>
            <w:r>
              <w:rPr>
                <w:b/>
                <w:sz w:val="17"/>
              </w:rPr>
              <w:t>8,298</w:t>
            </w:r>
          </w:p>
        </w:tc>
        <w:tc>
          <w:tcPr>
            <w:tcW w:type="dxa" w:w="1440"/>
            <w:shd w:fill="FFDCE0" w:val="clear"/>
          </w:tcPr>
          <w:p>
            <w:r>
              <w:rPr>
                <w:sz w:val="17"/>
              </w:rPr>
              <w:t>8,738</w:t>
            </w:r>
          </w:p>
        </w:tc>
        <w:tc>
          <w:tcPr>
            <w:tcW w:type="dxa" w:w="1440"/>
            <w:shd w:fill="FFDCE0" w:val="clear"/>
          </w:tcPr>
          <w:p>
            <w:r>
              <w:rPr>
                <w:b/>
                <w:color w:val="C00000"/>
                <w:sz w:val="17"/>
              </w:rPr>
              <w:t>-9.8%</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7,573</w:t>
            </w:r>
          </w:p>
        </w:tc>
        <w:tc>
          <w:tcPr>
            <w:tcW w:type="dxa" w:w="1440"/>
            <w:shd w:fill="FFDCE0" w:val="clear"/>
          </w:tcPr>
          <w:p>
            <w:r>
              <w:rPr>
                <w:b/>
                <w:sz w:val="17"/>
              </w:rPr>
              <w:t>8,068</w:t>
            </w:r>
          </w:p>
        </w:tc>
        <w:tc>
          <w:tcPr>
            <w:tcW w:type="dxa" w:w="1440"/>
            <w:shd w:fill="FFDCE0" w:val="clear"/>
          </w:tcPr>
          <w:p>
            <w:r>
              <w:rPr>
                <w:sz w:val="17"/>
              </w:rPr>
              <w:t>8,563</w:t>
            </w:r>
          </w:p>
        </w:tc>
        <w:tc>
          <w:tcPr>
            <w:tcW w:type="dxa" w:w="1440"/>
            <w:shd w:fill="FFDCE0" w:val="clear"/>
          </w:tcPr>
          <w:p>
            <w:r>
              <w:rPr>
                <w:b/>
                <w:color w:val="C00000"/>
                <w:sz w:val="17"/>
              </w:rPr>
              <w:t>-12.3%</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7,335</w:t>
            </w:r>
          </w:p>
        </w:tc>
        <w:tc>
          <w:tcPr>
            <w:tcW w:type="dxa" w:w="1440"/>
            <w:shd w:fill="FFDCE0" w:val="clear"/>
          </w:tcPr>
          <w:p>
            <w:r>
              <w:rPr>
                <w:b/>
                <w:sz w:val="17"/>
              </w:rPr>
              <w:t>7,875</w:t>
            </w:r>
          </w:p>
        </w:tc>
        <w:tc>
          <w:tcPr>
            <w:tcW w:type="dxa" w:w="1440"/>
            <w:shd w:fill="FFDCE0" w:val="clear"/>
          </w:tcPr>
          <w:p>
            <w:r>
              <w:rPr>
                <w:sz w:val="17"/>
              </w:rPr>
              <w:t>8,415</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7,130</w:t>
            </w:r>
          </w:p>
        </w:tc>
        <w:tc>
          <w:tcPr>
            <w:tcW w:type="dxa" w:w="1440"/>
            <w:shd w:fill="FFDCE0" w:val="clear"/>
          </w:tcPr>
          <w:p>
            <w:r>
              <w:rPr>
                <w:b/>
                <w:sz w:val="17"/>
              </w:rPr>
              <w:t>7,709</w:t>
            </w:r>
          </w:p>
        </w:tc>
        <w:tc>
          <w:tcPr>
            <w:tcW w:type="dxa" w:w="1440"/>
            <w:shd w:fill="FFDCE0" w:val="clear"/>
          </w:tcPr>
          <w:p>
            <w:r>
              <w:rPr>
                <w:sz w:val="17"/>
              </w:rPr>
              <w:t>8,288</w:t>
            </w:r>
          </w:p>
        </w:tc>
        <w:tc>
          <w:tcPr>
            <w:tcW w:type="dxa" w:w="1440"/>
            <w:shd w:fill="FFDCE0" w:val="clear"/>
          </w:tcPr>
          <w:p>
            <w:r>
              <w:rPr>
                <w:b/>
                <w:color w:val="C00000"/>
                <w:sz w:val="17"/>
              </w:rPr>
              <w:t>-16.2%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6,950</w:t>
            </w:r>
          </w:p>
        </w:tc>
        <w:tc>
          <w:tcPr>
            <w:tcW w:type="dxa" w:w="1440"/>
            <w:shd w:fill="FFDCE0" w:val="clear"/>
          </w:tcPr>
          <w:p>
            <w:r>
              <w:rPr>
                <w:b/>
                <w:sz w:val="17"/>
              </w:rPr>
              <w:t>7,564</w:t>
            </w:r>
          </w:p>
        </w:tc>
        <w:tc>
          <w:tcPr>
            <w:tcW w:type="dxa" w:w="1440"/>
            <w:shd w:fill="FFDCE0" w:val="clear"/>
          </w:tcPr>
          <w:p>
            <w:r>
              <w:rPr>
                <w:sz w:val="17"/>
              </w:rPr>
              <w:t>8,177</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6,790</w:t>
            </w:r>
          </w:p>
        </w:tc>
        <w:tc>
          <w:tcPr>
            <w:tcW w:type="dxa" w:w="1440"/>
            <w:shd w:fill="FFDCE0" w:val="clear"/>
          </w:tcPr>
          <w:p>
            <w:r>
              <w:rPr>
                <w:b/>
                <w:sz w:val="17"/>
              </w:rPr>
              <w:t>7,434</w:t>
            </w:r>
          </w:p>
        </w:tc>
        <w:tc>
          <w:tcPr>
            <w:tcW w:type="dxa" w:w="1440"/>
            <w:shd w:fill="FFDCE0" w:val="clear"/>
          </w:tcPr>
          <w:p>
            <w:r>
              <w:rPr>
                <w:sz w:val="17"/>
              </w:rPr>
              <w:t>8,079</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6,644</w:t>
            </w:r>
          </w:p>
        </w:tc>
        <w:tc>
          <w:tcPr>
            <w:tcW w:type="dxa" w:w="1440"/>
            <w:shd w:fill="FFDCE0" w:val="clear"/>
          </w:tcPr>
          <w:p>
            <w:r>
              <w:rPr>
                <w:b/>
                <w:sz w:val="17"/>
              </w:rPr>
              <w:t>7,318</w:t>
            </w:r>
          </w:p>
        </w:tc>
        <w:tc>
          <w:tcPr>
            <w:tcW w:type="dxa" w:w="1440"/>
            <w:shd w:fill="FFDCE0" w:val="clear"/>
          </w:tcPr>
          <w:p>
            <w:r>
              <w:rPr>
                <w:sz w:val="17"/>
              </w:rPr>
              <w:t>7,991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6,512</w:t>
            </w:r>
          </w:p>
        </w:tc>
        <w:tc>
          <w:tcPr>
            <w:tcW w:type="dxa" w:w="1440"/>
            <w:shd w:fill="FFDCE0" w:val="clear"/>
          </w:tcPr>
          <w:p>
            <w:r>
              <w:rPr>
                <w:b/>
                <w:sz w:val="17"/>
              </w:rPr>
              <w:t>7,211</w:t>
            </w:r>
          </w:p>
        </w:tc>
        <w:tc>
          <w:tcPr>
            <w:tcW w:type="dxa" w:w="1440"/>
            <w:shd w:fill="FFDCE0" w:val="clear"/>
          </w:tcPr>
          <w:p>
            <w:r>
              <w:rPr>
                <w:sz w:val="17"/>
              </w:rPr>
              <w:t>7,910</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920 milliards FCFA, ce qui en fait l'une des valeurs les plus significatives de la BRVM, reflétant la confiance des investisseurs dans le secteur bancaire ivoirien. Avec un BPA de 556 FCFA, chaque action génère un bénéfice substantiel, justifiant un PER de 16,5x, nettement supérieur à la moyenne historique de la BRVM (8-12x). Ce ratio indique que les investisseurs paient une prime significative pour la qualité des bénéfices de la banque, intégrant des perspectives de croissance soutenue. Le P/B de 4,49x confirme cette valorisation exigeante, le marché valorisant fortement les capitaux propres de l'établissement au-delà de leur valeur comptable. Enfin, l'EV/EBITDA de 15,3x, bien que supérieur au seuil de 15x considéré comme exigeant, reste cohérent avec la solidité opérationnelle et la rentabilité élevée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progression remarquable de +31,52%, passant d'un plus bas de 6 805 FCFA à un plus haut de 9 500 FCFA, avec un cours actuel de 9 200 FCFA, stable sur la dernière séance. La moyenne du cours sur la période (8 309 FCFA) est inférieure à la médiane (8 800 FCFA), indiquant une asymétrie positive avec des journées de forte hausse concentrées en fin de période. L'écart-type de 875 FCFA (CV=10,5%) révèle une dispersion modérée, tandis que le kurtosis négatif (-1,394) suggère une distribution aplatie sans pics extrêmes, limitant le risque de mouvements violents. Le skewness négatif (-0,569) indique que le cours a passé plus de temps au-dessus de sa moyenne, confirmant la tendance haussière dominante. La volatilité annualisée de 28,3% classe le titre dans la catégorie modérée à élevée, reflétant une dynamique active mais maîtrisée.</w:t>
      </w:r>
    </w:p>
    <w:p>
      <w:pPr>
        <w:spacing w:after="120" w:line="276" w:lineRule="auto" w:before="240"/>
      </w:pPr>
      <w:r>
        <w:rPr>
          <w:b/>
          <w:color w:val="003366"/>
          <w:sz w:val="24"/>
        </w:rPr>
        <w:t>**PARTIE 2 : ANALYSE TECHNIQUE DÉTAILLÉE**</w:t>
      </w:r>
    </w:p>
    <w:p>
      <w:pPr>
        <w:spacing w:after="120" w:line="276" w:lineRule="auto"/>
      </w:pPr>
      <w:r>
        <w:t>**Moyennes Mobiles** : Le cours actuel (9 200 FCFA) se positionne au-dessus de la MM20 (9 155 FCFA) et de la MM50 (8 992,6 FCFA), confirmant une tendance haussière de court et moyen terme. La configuration des moyennes mobiles, avec la MM20 au-dessus de la MM50, valide la dynamique positive et justifie la décision d'achat, le titre évoluant dans un canal haussier bien établi.</w:t>
      </w:r>
    </w:p>
    <w:p>
      <w:pPr>
        <w:spacing w:after="120" w:line="276" w:lineRule="auto"/>
      </w:pPr>
      <w:r>
        <w:t>**Bandes de Bollinger** : Le cours se situe à 9 200 FCFA, entre la borne inférieure (8 789,9 FCFA) et la borne supérieure (9 520,1 FCFA), précisément dans la zone médiane. Cette position indique une volatilité normale sans excès, le titre n'étant ni suracheté ni survendu. La décision neutre reflète un équilibre entre les forces acheteuses et vendeuses, avec une marge de progression vers la borne supérieure.</w:t>
      </w:r>
    </w:p>
    <w:p>
      <w:pPr>
        <w:spacing w:after="120" w:line="276" w:lineRule="auto"/>
      </w:pPr>
      <w:r>
        <w:t>**MACD** : La valeur du MACD (60,587) est inférieure à son signal (77,103), générant une divergence baissière à court terme. Cette configuration suggère un ralentissement du momentum haussier, le MACD perdant de la vigueur par rapport à sa ligne de signal. La décision de vente indique une possible consolidation à venir, bien que le MACD reste positif, maintenant un biais haussier de fond.</w:t>
      </w:r>
    </w:p>
    <w:p>
      <w:pPr>
        <w:spacing w:after="120" w:line="276" w:lineRule="auto"/>
      </w:pPr>
      <w:r>
        <w:t>**RSI** : À 46,154, le RSI se positionne dans la zone neutre (30-70), indiquant un équilibre entre les pressions acheteuses et vendeuses. Cette valeur reflète une absence de surachat ou de survente, le titre disposant d'une marge de manœuvre dans les deux directions. La décision neutre est cohérente avec une phase de consolidation après la forte hausse récente.</w:t>
      </w:r>
    </w:p>
    <w:p>
      <w:pPr>
        <w:spacing w:after="120" w:line="276" w:lineRule="auto"/>
      </w:pPr>
      <w:r>
        <w:t>**Stochastique** : Le %K (40,0) est légèrement supérieur au %D (36,667), suggérant un début de croisement haussier, bien que les deux restent en zone neutre. Cette configuration indique un momentum modéré sans signal fort, le titre semblant chercher une direction après la récente progression. La décision neutre reflète cette indécision technique.</w:t>
      </w:r>
    </w:p>
    <w:p>
      <w:pPr>
        <w:spacing w:after="120" w:line="276" w:lineRule="auto"/>
      </w:pPr>
      <w:r>
        <w:t>**Conclusion technique** : La convergence des indicateurs est mitigée, avec des signaux d'achat (moyennes mobiles) contrastant avec des signaux neutres (Bollinger, RSI, Stochastique) et une légère divergence baissière du MACD. Cette configuration suggère une phase de consolidation après la forte hausse, le titre semblant reprendre son souffle avant une éventuelle poursuite de la tendance haussière. La tendance de fond reste positive, soutenue par les moyennes mobiles, mais un repli technique vers 8 900-9 000 FCFA n'est pas exclu.</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108,663 milliards FCFA et un résultat net de 55,623 milliards FCFA, démontrant une excellente rentabilité avec un ROE de 27,16% et un ROA de 2,96%. Le coefficient d'exploitation de 38,59% témoigne d'une gestion particulièrement efficace, bien en-deçà du seuil de 60% considéré comme satisfaisant. Le coût du risque, bien que non quantifiable précisément, semble maîtrisé, les provisions s'établissant à 14,124 milliards FCFA. La banque maintient un équilibre sain entre dépôts (1 503 milliards FCFA) et crédits (1 226 milliards FCFA), avec un taux de transformation de 81,6%. Les rapports trimestriels confirment cette dynamique : au T3 2025, le PNB cumulé atteint 81,4 milliards FCFA (+8% vs 2024) et le résultat net 43 milliards FCFA (+11%). Le T1 2026 poursuit cette tendance avec un PNB de 27,7 milliards FCFA (+4%) et un résultat net de 15,2 milliards FCFA (+11%), soutenu par une croissance des dépôts de 9% et des crédits de 7%. Sur la base de ces données, on estime que l'exercice 2026 devrait confirmer la croissance, avec un PNB annuel potentiel de 112-115 milliards FCFA et un résultat net de 58-60 milliards FCFA, maintenant un ROE supérieur à 25%. La banque démontre une solidité financière remarquable, avec une solvabilité générale de 112,21% et une autonomie financière de 10,88%, bien que perfectible.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fondamentaux solides et la dynamique boursière, malgré une valorisation exigeante. Les ratios de valorisation (PER 16,5x, P/B 4,49x, EV/EBITDA 15,3x) indiquent une prime substantielle, justifiée par une rentabilité exceptionnelle (ROE 27,16%) et une croissance soutenue du résultat net (+11% au T1 2026). Le comportement du cours (+31,52% sur 100 jours) avec une volatilité modérée (28,3%) et une distribution statistique stable reflète une confiance croissante des investisseurs. Les signaux techniques mitigés (achat sur moyennes mobiles, neutre sur RSI/Bollinger, vente sur MACD) suggèrent une consolidation à court terme, mais la tendance de fond reste haussière. Les fondamentaux, avec un coefficient d'exploitation de 38,59% et une croissance des dépôts de 9%, confirment la solidité du modèle économique. Les prédictions IA (8 873 à 7 875 FCFA sur 10 jours) indiquent un repli technique probable, offrant potentiellement un point d'entrée attractif. Recommandation : **CONSERVER** pour les investisseurs positionnés, avec un niveau de confiance **Moyen** et un risque global **Moyen**. Horizon d'investissement optimal : **Moyen terme (3-12 mois)**, en attendant une correction technique vers 8 500-8 800 FCFA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132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+99.88%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30.39% (Élevée) — μ=5,303 FCFA, σ=1,612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β=-0.7534 (Contre-cyclique) — Cov=-0.000027, Var(idx)=0.000036, ρ=-0.118,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7,177</w:t>
            </w:r>
          </w:p>
        </w:tc>
        <w:tc>
          <w:tcPr>
            <w:tcW w:type="dxa" w:w="1440"/>
            <w:shd w:fill="FFDCE0" w:val="clear"/>
          </w:tcPr>
          <w:p>
            <w:r>
              <w:rPr>
                <w:b/>
                <w:sz w:val="17"/>
              </w:rPr>
              <w:t>7,759</w:t>
            </w:r>
          </w:p>
        </w:tc>
        <w:tc>
          <w:tcPr>
            <w:tcW w:type="dxa" w:w="1440"/>
            <w:shd w:fill="FFDCE0" w:val="clear"/>
          </w:tcPr>
          <w:p>
            <w:r>
              <w:rPr>
                <w:sz w:val="17"/>
              </w:rPr>
              <w:t>8,341</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6,764</w:t>
            </w:r>
          </w:p>
        </w:tc>
        <w:tc>
          <w:tcPr>
            <w:tcW w:type="dxa" w:w="1440"/>
            <w:shd w:fill="FFDCE0" w:val="clear"/>
          </w:tcPr>
          <w:p>
            <w:r>
              <w:rPr>
                <w:b/>
                <w:sz w:val="17"/>
              </w:rPr>
              <w:t>7,640</w:t>
            </w:r>
          </w:p>
        </w:tc>
        <w:tc>
          <w:tcPr>
            <w:tcW w:type="dxa" w:w="1440"/>
            <w:shd w:fill="FFDCE0" w:val="clear"/>
          </w:tcPr>
          <w:p>
            <w:r>
              <w:rPr>
                <w:sz w:val="17"/>
              </w:rPr>
              <w:t>8,515</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6,435</w:t>
            </w:r>
          </w:p>
        </w:tc>
        <w:tc>
          <w:tcPr>
            <w:tcW w:type="dxa" w:w="1440"/>
            <w:shd w:fill="FFDCE0" w:val="clear"/>
          </w:tcPr>
          <w:p>
            <w:r>
              <w:rPr>
                <w:b/>
                <w:sz w:val="17"/>
              </w:rPr>
              <w:t>7,486</w:t>
            </w:r>
          </w:p>
        </w:tc>
        <w:tc>
          <w:tcPr>
            <w:tcW w:type="dxa" w:w="1440"/>
            <w:shd w:fill="FFDCE0" w:val="clear"/>
          </w:tcPr>
          <w:p>
            <w:r>
              <w:rPr>
                <w:sz w:val="17"/>
              </w:rPr>
              <w:t>8,537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6,145</w:t>
            </w:r>
          </w:p>
        </w:tc>
        <w:tc>
          <w:tcPr>
            <w:tcW w:type="dxa" w:w="1440"/>
            <w:shd w:fill="FFDCE0" w:val="clear"/>
          </w:tcPr>
          <w:p>
            <w:r>
              <w:rPr>
                <w:b/>
                <w:sz w:val="17"/>
              </w:rPr>
              <w:t>7,333</w:t>
            </w:r>
          </w:p>
        </w:tc>
        <w:tc>
          <w:tcPr>
            <w:tcW w:type="dxa" w:w="1440"/>
            <w:shd w:fill="FFDCE0" w:val="clear"/>
          </w:tcPr>
          <w:p>
            <w:r>
              <w:rPr>
                <w:sz w:val="17"/>
              </w:rPr>
              <w:t>8,522</w:t>
            </w:r>
          </w:p>
        </w:tc>
        <w:tc>
          <w:tcPr>
            <w:tcW w:type="dxa" w:w="1440"/>
            <w:shd w:fill="FFDCE0" w:val="clear"/>
          </w:tcPr>
          <w:p>
            <w:r>
              <w:rPr>
                <w:b/>
                <w:color w:val="C00000"/>
                <w:sz w:val="17"/>
              </w:rPr>
              <w:t>-8.3%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5,883</w:t>
            </w:r>
          </w:p>
        </w:tc>
        <w:tc>
          <w:tcPr>
            <w:tcW w:type="dxa" w:w="1440"/>
            <w:shd w:fill="FFDCE0" w:val="clear"/>
          </w:tcPr>
          <w:p>
            <w:r>
              <w:rPr>
                <w:b/>
                <w:sz w:val="17"/>
              </w:rPr>
              <w:t>7,185</w:t>
            </w:r>
          </w:p>
        </w:tc>
        <w:tc>
          <w:tcPr>
            <w:tcW w:type="dxa" w:w="1440"/>
            <w:shd w:fill="FFDCE0" w:val="clear"/>
          </w:tcPr>
          <w:p>
            <w:r>
              <w:rPr>
                <w:sz w:val="17"/>
              </w:rPr>
              <w:t>8,487</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5,644</w:t>
            </w:r>
          </w:p>
        </w:tc>
        <w:tc>
          <w:tcPr>
            <w:tcW w:type="dxa" w:w="1440"/>
            <w:shd w:fill="FFDCE0" w:val="clear"/>
          </w:tcPr>
          <w:p>
            <w:r>
              <w:rPr>
                <w:b/>
                <w:sz w:val="17"/>
              </w:rPr>
              <w:t>7,043</w:t>
            </w:r>
          </w:p>
        </w:tc>
        <w:tc>
          <w:tcPr>
            <w:tcW w:type="dxa" w:w="1440"/>
            <w:shd w:fill="FFDCE0" w:val="clear"/>
          </w:tcPr>
          <w:p>
            <w:r>
              <w:rPr>
                <w:sz w:val="17"/>
              </w:rPr>
              <w:t>8,441</w:t>
            </w:r>
          </w:p>
        </w:tc>
        <w:tc>
          <w:tcPr>
            <w:tcW w:type="dxa" w:w="1440"/>
            <w:shd w:fill="FFDCE0" w:val="clear"/>
          </w:tcPr>
          <w:p>
            <w:r>
              <w:rPr>
                <w:b/>
                <w:color w:val="C00000"/>
                <w:sz w:val="17"/>
              </w:rPr>
              <w:t>-11.9%</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5,425</w:t>
            </w:r>
          </w:p>
        </w:tc>
        <w:tc>
          <w:tcPr>
            <w:tcW w:type="dxa" w:w="1440"/>
            <w:shd w:fill="FFDCE0" w:val="clear"/>
          </w:tcPr>
          <w:p>
            <w:r>
              <w:rPr>
                <w:b/>
                <w:sz w:val="17"/>
              </w:rPr>
              <w:t>6,906</w:t>
            </w:r>
          </w:p>
        </w:tc>
        <w:tc>
          <w:tcPr>
            <w:tcW w:type="dxa" w:w="1440"/>
            <w:shd w:fill="FFDCE0" w:val="clear"/>
          </w:tcPr>
          <w:p>
            <w:r>
              <w:rPr>
                <w:sz w:val="17"/>
              </w:rPr>
              <w:t>8,387</w:t>
            </w:r>
          </w:p>
        </w:tc>
        <w:tc>
          <w:tcPr>
            <w:tcW w:type="dxa" w:w="1440"/>
            <w:shd w:fill="FFDCE0" w:val="clear"/>
          </w:tcPr>
          <w:p>
            <w:r>
              <w:rPr>
                <w:b/>
                <w:color w:val="C00000"/>
                <w:sz w:val="17"/>
              </w:rPr>
              <w:t>-13.6%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5,223</w:t>
            </w:r>
          </w:p>
        </w:tc>
        <w:tc>
          <w:tcPr>
            <w:tcW w:type="dxa" w:w="1440"/>
            <w:shd w:fill="FFDCE0" w:val="clear"/>
          </w:tcPr>
          <w:p>
            <w:r>
              <w:rPr>
                <w:b/>
                <w:sz w:val="17"/>
              </w:rPr>
              <w:t>6,776</w:t>
            </w:r>
          </w:p>
        </w:tc>
        <w:tc>
          <w:tcPr>
            <w:tcW w:type="dxa" w:w="1440"/>
            <w:shd w:fill="FFDCE0" w:val="clear"/>
          </w:tcPr>
          <w:p>
            <w:r>
              <w:rPr>
                <w:sz w:val="17"/>
              </w:rPr>
              <w:t>8,329</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5,034</w:t>
            </w:r>
          </w:p>
        </w:tc>
        <w:tc>
          <w:tcPr>
            <w:tcW w:type="dxa" w:w="1440"/>
            <w:shd w:fill="FFDCE0" w:val="clear"/>
          </w:tcPr>
          <w:p>
            <w:r>
              <w:rPr>
                <w:b/>
                <w:sz w:val="17"/>
              </w:rPr>
              <w:t>6,652</w:t>
            </w:r>
          </w:p>
        </w:tc>
        <w:tc>
          <w:tcPr>
            <w:tcW w:type="dxa" w:w="1440"/>
            <w:shd w:fill="FFDCE0" w:val="clear"/>
          </w:tcPr>
          <w:p>
            <w:r>
              <w:rPr>
                <w:sz w:val="17"/>
              </w:rPr>
              <w:t>8,269</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4,859</w:t>
            </w:r>
          </w:p>
        </w:tc>
        <w:tc>
          <w:tcPr>
            <w:tcW w:type="dxa" w:w="1440"/>
            <w:shd w:fill="FFDCE0" w:val="clear"/>
          </w:tcPr>
          <w:p>
            <w:r>
              <w:rPr>
                <w:b/>
                <w:sz w:val="17"/>
              </w:rPr>
              <w:t>6,534</w:t>
            </w:r>
          </w:p>
        </w:tc>
        <w:tc>
          <w:tcPr>
            <w:tcW w:type="dxa" w:w="1440"/>
            <w:shd w:fill="FFDCE0" w:val="clear"/>
          </w:tcPr>
          <w:p>
            <w:r>
              <w:rPr>
                <w:sz w:val="17"/>
              </w:rPr>
              <w:t>8,209</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4,80 milliards FCFA, un niveau modeste qui la classe parmi les petites capitalisations de la BRVM, typique des valeurs agro-industrielles peu liquides. Les ratios de valorisation (BPA, PER, P/B, EV/EBITDA) ne sont pas calculables en raison de l'absence de données financières structurées récentes dans la base, ce qui constitue une limite importante pour l'évaluation relative du titre. Cette absence s'explique par le fait que les derniers états financiers disponibles datent de l'exercice 2023, avec un résultat net de 19,25 millions FCFA, soit un BPA implicite d'environ 32 FCFA par action (sur 600 000 actions), ce qui placerait le PER à un niveau extrêmement élevé d'environ 250x, reflet d'une décote de liquidité et d'une spéculation marquée sur le titre. En l'absence de ratios fiables, l'investisseur doit se concentrer sur l'analyse technique et les perspectives fondamentales qualitatives pour évaluer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+99,88%, passant d'un plus bas de 3 765 FCFA à un plus haut de 10 200 FCFA, avant de se stabiliser autour de 7 995 FCFA, avec une légère baisse de -0,19% lors de la dernière séance. Cette performance exceptionnelle traduit une tendance haussière très marquée, mais la distribution des rendements révèle une forte asymétrie : la moyenne (5 303 FCFA) est nettement supérieure à la médiane (4 495 FCFA), indiquant que les fortes hausses récentes tirent la moyenne vers le haut, tandis que la majorité des séances se situent sous ce niveau. L'écart-type de 1 620 FCFA (CV = 30,5%) témoigne d'une dispersion élevée des cours, confirmée par un kurtosis de 1,625 (queues épaisses) signalant un risque de mouvements extrêmes, et un skewness positif de 1,643 indiquant une asymétrie favorable avec des épisodes de forte hausse concentrés sur une courte période. La volatilité annualisée de 60,5% classe le titre dans la catégorie des valeurs à très haut risque, bien au-delà du seuil de 30% considéré comme élevé, ce qui exige une grande prudence pour les investisseurs non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(7 995 FCFA) se situe au-dessus de la MM20 (8 192,75 FCFA) et de la MM50 (6 312,4 FCFA), avec un écart de +26,7% par rapport à la MM50, confirmant une tendance haussière de moyen terme. La décision "Achat" est justifiée par la configuration positive des moyennes mobiles, bien que le cours soit légèrement sous la MM20, suggérant un possible repli technique à court terme.</w:t>
      </w:r>
    </w:p>
    <w:p>
      <w:pPr>
        <w:spacing w:after="120" w:line="276" w:lineRule="auto"/>
      </w:pPr>
      <w:r>
        <w:t>**Bandes de Bollinger** : Le cours évolue entre la borne supérieure (10 734,95 FCFA) et la borne inférieure (5 650,55 FCFA), se positionnant dans la partie médiane-haute du canal. La décision "Neutre" reflète une volatilité modérée, mais l'écart important entre les bornes (presque 5 000 FCFA) indique une volatilité historique élevée, laissant présager des mouvements amples dans les prochaines séances.</w:t>
      </w:r>
    </w:p>
    <w:p>
      <w:pPr>
        <w:spacing w:after="120" w:line="276" w:lineRule="auto"/>
      </w:pPr>
      <w:r>
        <w:t>**MACD** : La valeur du MACD (633,87) est inférieure à son signal (859,80), formant une divergence baissière qui suggère un ralentissement du momentum haussier. La décision "Vente" signale un essoufflement potentiel de la tendance, bien que le MACD reste en territoire positif, indiquant que la dynamique de fond demeure haussière.</w:t>
      </w:r>
    </w:p>
    <w:p>
      <w:pPr>
        <w:spacing w:after="120" w:line="276" w:lineRule="auto"/>
      </w:pPr>
      <w:r>
        <w:t>**RSI** : À 58,5, le RSI se situe dans la zone neutre (30-70), sans signal de surachat ni de survente. Cette valeur indique un équilibre relatif entre acheteurs et vendeurs, avec une légère prédominance des premiers, mais sans pression excessive qui justifierait un retournement imminent.</w:t>
      </w:r>
    </w:p>
    <w:p>
      <w:pPr>
        <w:spacing w:after="120" w:line="276" w:lineRule="auto"/>
      </w:pPr>
      <w:r>
        <w:t>**Stochastique** : Le %K (14,7) est nettement inférieur au %D (24,5), indiquant une zone de survente technique. La décision "Achat" suggère un potentiel rebond à court terme, le titre ayant probablement corrigé de manière excessive après sa forte hausse.</w:t>
      </w:r>
    </w:p>
    <w:p>
      <w:pPr>
        <w:spacing w:after="120" w:line="276" w:lineRule="auto"/>
      </w:pPr>
      <w:r>
        <w:t>**Conclusion technique** : Les indicateurs sont mitigés, avec un conflit entre les signaux d'achat (MM, Stochastique) et de vente (MACD), tandis que le RSI et les Bandes de Bollinger restent neutres. Cette divergence suggère une phase de consolidation après une forte hausse, avec un biais haussier de moyen terme mais un risque de correction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l'exercice 2023 (rapport daté du 31/12/2024, analysé en 2026) montrent un chiffre d'affaires de 701,09 millions FCFA, en forte baisse de 38,4% par rapport à 2022 (1 138,17 millions FCFA), mais un retour à la profitabilité avec un résultat net positif de 19,25 millions FCFA contre une perte de -39,95 millions FCFA en 2022. La marge nette s'établit à 2,75%, en amélioration mais inférieure aux standards sectoriels (5-10%). Les charges totales ont été réduites de 43,68%, notamment grâce au transfert de 50% du personnel vers la SIPAL, compensant partiellement la chute du CA. Le rapport 2022 (également daté du 31/12/2024) confirme la tendance baissière du CA (-17,58% vs 2021) et une perte nette de -39,95 millions FCFA, avec une marge nette de -3,51%. Les rapports plus anciens (2015-2020) montrent une rentabilité historique volatile, avec des pics à 434,87 millions FCFA (2015) et des creux à 2,35 millions FCFA (2019), et un exercice 2020 bénéficiaire à 109,8 millions FCFA. Aucun dividende n'a été distribué depuis 2017, les pertes cumulées (689,86 millions FCFA) devant être résorbées conformément à l'OHADA. Les perspectives restent fragiles, dépendantes de la maîtrise des coûts, de la reprise des volumes et de la sécurisation des plantations contre les vols. La convocation à l'AG du 22 mai 2026 pour approuver les comptes 2024 suggère une continuité d'exploitation, mais sans visibilité sur les résultats récents, la recommandation fondamentale reste "Conserver avec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 la valorisation boursière (capitalisation de 4,80 Mds FCFA) apparaît très élevée au regard des fondamentaux récents, avec un PER implicite supérieur à 250x sur la base du bénéfice 2023, indiquant une nette surévaluation spéculative. Le comportement du cours (+99,88% en 100 jours) avec une volatilité annualisée de 60,5% et un skewness positif témoigne d'un momentum haussier exceptionnel, mais le kurtosis élevé signale un risque accru de mouvements violents. Les signaux techniques sont divergents : les moyennes mobiles et le stochastique suggèrent un potentiel haussier résiduel, tandis que le MACD et la position sous la MM20 indiquent un essoufflement. Les fondamentaux, bien qu'en amélioration (retour à la profitabilité en 2023), restent fragiles avec une marge nette de seulement 2,75% et aucune distribution de dividende prévisible avant 2025-2026. Les prédictions IA pour les 10 prochains jours (7 759 à 7 185 FCFA) confirment une trajectoire baissière à court terme, contredisant les signaux d'achat techniques. Sur cette base, la recommandation finale est **VENTE** avec un niveau de confiance **Moyen** et un risque global **Élevé**, suggérant un horizon d'investissement court terme (&lt;3 mois) pour les investisseurs cherchant à sécuriser leurs gains après la forte appréciation, et une prudence absolue pour les nouveaux entrants compte tenu de la surévaluation et de la faiblesse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5,408 titres</w:t>
            </w:r>
          </w:p>
        </w:tc>
        <w:tc>
          <w:tcPr>
            <w:tcW w:type="dxa" w:w="2268"/>
            <w:shd w:fill="FFF2CC" w:val="clear"/>
          </w:tcPr>
          <w:p>
            <w:r>
              <w:rPr>
                <w:b/>
                <w:color w:val="503200"/>
                <w:sz w:val="16"/>
              </w:rPr>
              <w:t xml:space="preserve">Cours actuel : </w:t>
            </w:r>
            <w:r>
              <w:rPr>
                <w:color w:val="000000"/>
                <w:sz w:val="17"/>
              </w:rPr>
              <w:t>2,310 FCFA</w:t>
            </w:r>
          </w:p>
          <w:p>
            <w:r>
              <w:rPr>
                <w:b/>
                <w:color w:val="503200"/>
                <w:sz w:val="16"/>
              </w:rPr>
              <w:t xml:space="preserve">Var. 100 jours : </w:t>
            </w:r>
            <w:r>
              <w:rPr>
                <w:b/>
                <w:color w:val="B40000"/>
                <w:sz w:val="17"/>
              </w:rPr>
              <w:t>-21.16%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μ=2,595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β=0.2630 (Défensif) — Cov=0.000010, Var(idx)=0.000036,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2,099</w:t>
            </w:r>
          </w:p>
        </w:tc>
        <w:tc>
          <w:tcPr>
            <w:tcW w:type="dxa" w:w="1440"/>
            <w:shd w:fill="FFDCE0" w:val="clear"/>
          </w:tcPr>
          <w:p>
            <w:r>
              <w:rPr>
                <w:b/>
                <w:sz w:val="17"/>
              </w:rPr>
              <w:t>2,208</w:t>
            </w:r>
          </w:p>
        </w:tc>
        <w:tc>
          <w:tcPr>
            <w:tcW w:type="dxa" w:w="1440"/>
            <w:shd w:fill="FFDCE0" w:val="clear"/>
          </w:tcPr>
          <w:p>
            <w:r>
              <w:rPr>
                <w:sz w:val="17"/>
              </w:rPr>
              <w:t>2,318</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2,015</w:t>
            </w:r>
          </w:p>
        </w:tc>
        <w:tc>
          <w:tcPr>
            <w:tcW w:type="dxa" w:w="1440"/>
            <w:shd w:fill="FFDCE0" w:val="clear"/>
          </w:tcPr>
          <w:p>
            <w:r>
              <w:rPr>
                <w:b/>
                <w:sz w:val="17"/>
              </w:rPr>
              <w:t>2,166</w:t>
            </w:r>
          </w:p>
        </w:tc>
        <w:tc>
          <w:tcPr>
            <w:tcW w:type="dxa" w:w="1440"/>
            <w:shd w:fill="FFDCE0" w:val="clear"/>
          </w:tcPr>
          <w:p>
            <w:r>
              <w:rPr>
                <w:sz w:val="17"/>
              </w:rPr>
              <w:t>2,318</w:t>
            </w:r>
          </w:p>
        </w:tc>
        <w:tc>
          <w:tcPr>
            <w:tcW w:type="dxa" w:w="1440"/>
            <w:shd w:fill="FFDCE0" w:val="clear"/>
          </w:tcPr>
          <w:p>
            <w:r>
              <w:rPr>
                <w:b/>
                <w:color w:val="C00000"/>
                <w:sz w:val="17"/>
              </w:rPr>
              <w:t>-6.2%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1,937</w:t>
            </w:r>
          </w:p>
        </w:tc>
        <w:tc>
          <w:tcPr>
            <w:tcW w:type="dxa" w:w="1440"/>
            <w:shd w:fill="FFDCE0" w:val="clear"/>
          </w:tcPr>
          <w:p>
            <w:r>
              <w:rPr>
                <w:b/>
                <w:sz w:val="17"/>
              </w:rPr>
              <w:t>2,118</w:t>
            </w:r>
          </w:p>
        </w:tc>
        <w:tc>
          <w:tcPr>
            <w:tcW w:type="dxa" w:w="1440"/>
            <w:shd w:fill="FFDCE0" w:val="clear"/>
          </w:tcPr>
          <w:p>
            <w:r>
              <w:rPr>
                <w:sz w:val="17"/>
              </w:rPr>
              <w:t>2,300</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1,865</w:t>
            </w:r>
          </w:p>
        </w:tc>
        <w:tc>
          <w:tcPr>
            <w:tcW w:type="dxa" w:w="1440"/>
            <w:shd w:fill="FFDCE0" w:val="clear"/>
          </w:tcPr>
          <w:p>
            <w:r>
              <w:rPr>
                <w:b/>
                <w:sz w:val="17"/>
              </w:rPr>
              <w:t>2,070</w:t>
            </w:r>
          </w:p>
        </w:tc>
        <w:tc>
          <w:tcPr>
            <w:tcW w:type="dxa" w:w="1440"/>
            <w:shd w:fill="FFDCE0" w:val="clear"/>
          </w:tcPr>
          <w:p>
            <w:r>
              <w:rPr>
                <w:sz w:val="17"/>
              </w:rPr>
              <w:t>2,275</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1,799</w:t>
            </w:r>
          </w:p>
        </w:tc>
        <w:tc>
          <w:tcPr>
            <w:tcW w:type="dxa" w:w="1440"/>
            <w:shd w:fill="FFDCE0" w:val="clear"/>
          </w:tcPr>
          <w:p>
            <w:r>
              <w:rPr>
                <w:b/>
                <w:sz w:val="17"/>
              </w:rPr>
              <w:t>2,023</w:t>
            </w:r>
          </w:p>
        </w:tc>
        <w:tc>
          <w:tcPr>
            <w:tcW w:type="dxa" w:w="1440"/>
            <w:shd w:fill="FFDCE0" w:val="clear"/>
          </w:tcPr>
          <w:p>
            <w:r>
              <w:rPr>
                <w:sz w:val="17"/>
              </w:rPr>
              <w:t>2,247</w:t>
            </w:r>
          </w:p>
        </w:tc>
        <w:tc>
          <w:tcPr>
            <w:tcW w:type="dxa" w:w="1440"/>
            <w:shd w:fill="FFDCE0" w:val="clear"/>
          </w:tcPr>
          <w:p>
            <w:r>
              <w:rPr>
                <w:b/>
                <w:color w:val="C00000"/>
                <w:sz w:val="17"/>
              </w:rPr>
              <w:t>-12.4%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1,738</w:t>
            </w:r>
          </w:p>
        </w:tc>
        <w:tc>
          <w:tcPr>
            <w:tcW w:type="dxa" w:w="1440"/>
            <w:shd w:fill="FFDCE0" w:val="clear"/>
          </w:tcPr>
          <w:p>
            <w:r>
              <w:rPr>
                <w:b/>
                <w:sz w:val="17"/>
              </w:rPr>
              <w:t>1,977</w:t>
            </w:r>
          </w:p>
        </w:tc>
        <w:tc>
          <w:tcPr>
            <w:tcW w:type="dxa" w:w="1440"/>
            <w:shd w:fill="FFDCE0" w:val="clear"/>
          </w:tcPr>
          <w:p>
            <w:r>
              <w:rPr>
                <w:sz w:val="17"/>
              </w:rPr>
              <w:t>2,217</w:t>
            </w:r>
          </w:p>
        </w:tc>
        <w:tc>
          <w:tcPr>
            <w:tcW w:type="dxa" w:w="1440"/>
            <w:shd w:fill="FFDCE0" w:val="clear"/>
          </w:tcPr>
          <w:p>
            <w:r>
              <w:rPr>
                <w:b/>
                <w:color w:val="C00000"/>
                <w:sz w:val="17"/>
              </w:rPr>
              <w:t>-14.4%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1,680</w:t>
            </w:r>
          </w:p>
        </w:tc>
        <w:tc>
          <w:tcPr>
            <w:tcW w:type="dxa" w:w="1440"/>
            <w:shd w:fill="FFDCE0" w:val="clear"/>
          </w:tcPr>
          <w:p>
            <w:r>
              <w:rPr>
                <w:b/>
                <w:sz w:val="17"/>
              </w:rPr>
              <w:t>1,933</w:t>
            </w:r>
          </w:p>
        </w:tc>
        <w:tc>
          <w:tcPr>
            <w:tcW w:type="dxa" w:w="1440"/>
            <w:shd w:fill="FFDCE0" w:val="clear"/>
          </w:tcPr>
          <w:p>
            <w:r>
              <w:rPr>
                <w:sz w:val="17"/>
              </w:rPr>
              <w:t>2,186</w:t>
            </w:r>
          </w:p>
        </w:tc>
        <w:tc>
          <w:tcPr>
            <w:tcW w:type="dxa" w:w="1440"/>
            <w:shd w:fill="FFDCE0" w:val="clear"/>
          </w:tcPr>
          <w:p>
            <w:r>
              <w:rPr>
                <w:b/>
                <w:color w:val="C00000"/>
                <w:sz w:val="17"/>
              </w:rPr>
              <w:t>-16.3%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1,627</w:t>
            </w:r>
          </w:p>
        </w:tc>
        <w:tc>
          <w:tcPr>
            <w:tcW w:type="dxa" w:w="1440"/>
            <w:shd w:fill="FFDCE0" w:val="clear"/>
          </w:tcPr>
          <w:p>
            <w:r>
              <w:rPr>
                <w:b/>
                <w:sz w:val="17"/>
              </w:rPr>
              <w:t>1,891</w:t>
            </w:r>
          </w:p>
        </w:tc>
        <w:tc>
          <w:tcPr>
            <w:tcW w:type="dxa" w:w="1440"/>
            <w:shd w:fill="FFDCE0" w:val="clear"/>
          </w:tcPr>
          <w:p>
            <w:r>
              <w:rPr>
                <w:sz w:val="17"/>
              </w:rPr>
              <w:t>2,156</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1,576</w:t>
            </w:r>
          </w:p>
        </w:tc>
        <w:tc>
          <w:tcPr>
            <w:tcW w:type="dxa" w:w="1440"/>
            <w:shd w:fill="FFDCE0" w:val="clear"/>
          </w:tcPr>
          <w:p>
            <w:r>
              <w:rPr>
                <w:b/>
                <w:sz w:val="17"/>
              </w:rPr>
              <w:t>1,850</w:t>
            </w:r>
          </w:p>
        </w:tc>
        <w:tc>
          <w:tcPr>
            <w:tcW w:type="dxa" w:w="1440"/>
            <w:shd w:fill="FFDCE0" w:val="clear"/>
          </w:tcPr>
          <w:p>
            <w:r>
              <w:rPr>
                <w:sz w:val="17"/>
              </w:rPr>
              <w:t>2,125</w:t>
            </w:r>
          </w:p>
        </w:tc>
        <w:tc>
          <w:tcPr>
            <w:tcW w:type="dxa" w:w="1440"/>
            <w:shd w:fill="FFDCE0" w:val="clear"/>
          </w:tcPr>
          <w:p>
            <w:r>
              <w:rPr>
                <w:b/>
                <w:color w:val="C00000"/>
                <w:sz w:val="17"/>
              </w:rPr>
              <w:t>-19.9%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1,527</w:t>
            </w:r>
          </w:p>
        </w:tc>
        <w:tc>
          <w:tcPr>
            <w:tcW w:type="dxa" w:w="1440"/>
            <w:shd w:fill="FFDCE0" w:val="clear"/>
          </w:tcPr>
          <w:p>
            <w:r>
              <w:rPr>
                <w:b/>
                <w:sz w:val="17"/>
              </w:rPr>
              <w:t>1,811</w:t>
            </w:r>
          </w:p>
        </w:tc>
        <w:tc>
          <w:tcPr>
            <w:tcW w:type="dxa" w:w="1440"/>
            <w:shd w:fill="FFDCE0" w:val="clear"/>
          </w:tcPr>
          <w:p>
            <w:r>
              <w:rPr>
                <w:sz w:val="17"/>
              </w:rPr>
              <w:t>2,094</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(Code : SIVC)**</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20,18 milliards FCFA positionne SIVC comme une valeur de taille moyenne sur la BRVM. Le BPA de 43 FCFA par action est particulièrement faible, ce qui explique le PER de 53,5x, un niveau extrêmement élevé par rapport à la moyenne historique de la BRVM (8-12x). Les investisseurs paient donc une prime considérable pour chaque franc de bénéfice généré, ce qui reflète des attentes de croissance très fortes ou une spéculation sur le titre. Le P/B de 6,17x confirme cette surévaluation, le marché valorisant la société plus de six fois sa valeur comptable. Enfin, l'EV/EBITDA de 16,9x, bien que plus modéré, reste exigeant et indique que la valeur d'entreprise est élevée par rapport à sa capacité opérationnelle. Ces ratios suggèrent une valorisation très tendue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-21,16%, avec une nouvelle baisse de -2,33% lors de la dernière séance, s'échangeant à 2 310 FCFA. Le titre a évolué dans une fourchette large de 1 920 à 3 215 FCFA, illustrant une volatilité importante. La moyenne (2 595 FCFA) est inférieure à la médiane (2 695 FCFA), indiquant une distribution légèrement asymétrique avec des valeurs extrêmes basses tirant la moyenne vers le bas. L'écart-type de 293 FCFA (CV=11,3%) montre une dispersion modérée des prix autour de la moyenne. Le kurtosis négatif (-1.008) signale une distribution platykurtique, avec moins de valeurs extrêmes que la normale, tandis que le skewness de -0.287 confirme une légère asymétrie négative. La volatilité annualisée de 50,8% est très élevée, classant ce titre comme risqué et sujet à de fortes fluctuations.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(2 310 FCFA) est très proche de la MM20 (2 310,75 FCFA) mais inférieur à la MM50 (2 344,2 FCFA). Cette configuration, avec une MM20 sous la MM50, confirme une tendance baissière de moyen terme. Le signal de "Vente" est justifié, car le titre évolue sous sa moyenne mobile à 50 jours, indiquant une dynamique négative persistante.</w:t>
      </w:r>
    </w:p>
    <w:p>
      <w:pPr>
        <w:spacing w:after="120" w:line="276" w:lineRule="auto"/>
      </w:pPr>
      <w:r>
        <w:t>**Bandes de Bollinger** : Le prix se situe à 2 310 FCFA, entre la borne inférieure (2 087 FCFA) et la borne supérieure (2 534 FCFA), plus près de la borne inférieure. La largeur des bandes reflète la volatilité élevée du titre. La décision "Neutre" est appropriée, car le cours n'est pas en situation de surachat ou de survente extrême, mais sa proximité avec la borne inférieure suggère un potentiel de rebond technique.</w:t>
      </w:r>
    </w:p>
    <w:p>
      <w:pPr>
        <w:spacing w:after="120" w:line="276" w:lineRule="auto"/>
      </w:pPr>
      <w:r>
        <w:t>**MACD** : Le MACD (10,136) est supérieur à son signal (4,222), avec une divergence positive. Ce croisement haussier indique un momentum positif à court terme, malgré la tendance baissière de fond. La décision "Achat" est cohérente avec ce signal de retournement potentiel, qui pourrait précéder une stabilisation du cours.</w:t>
      </w:r>
    </w:p>
    <w:p>
      <w:pPr>
        <w:spacing w:after="120" w:line="276" w:lineRule="auto"/>
      </w:pPr>
      <w:r>
        <w:t>**RSI** : Le RSI à 66,37 est en zone neutre, proche du seuil de surachat (70). Cela indique que le titre a connu une pression acheteuse récente mais n'est pas encore en situation de surachat extrême. La décision "Neutre" est justifiée, car le RSI ne fournit pas de signal directionnel fort, bien qu'il suggère une dynamique positive émergente.</w:t>
      </w:r>
    </w:p>
    <w:p>
      <w:pPr>
        <w:spacing w:after="120" w:line="276" w:lineRule="auto"/>
      </w:pPr>
      <w:r>
        <w:t>**Stochastique** : Le %K (20,0) est nettement inférieur au %D (60,126), indiquant une dynamique baissière à court terme. Ce croisement baissier suggère que le titre pourrait poursuivre sa baisse avant un éventuel retournement. La décision "Neutre" reflète l'incertitude, mais la configuration actuelle est plutôt négative.</w:t>
      </w:r>
    </w:p>
    <w:p>
      <w:pPr>
        <w:spacing w:after="120" w:line="276" w:lineRule="auto"/>
      </w:pPr>
      <w:r>
        <w:t>**Conclusion technique** : Les indicateurs sont mitigés. Le MACD est positif, mais les moyennes mobiles et le stochastique sont baissiers. Le RSI est neutre. Cette divergence suggère une phase de consolidation avec un biais baissier dominant. La prudence est de mise, car le titre pourrait tester la borne inférieure des bandes de Bollinger (2 087 FCFA) avant de trouver un support solide.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PNB/CA de 9,283 milliards FCFA, un résultat net de 376,96 millions FCFA, un ROE de 11,52% et un ROA de 2,69%. Le coefficient d'exploitation de 95,83% est très élevé, signalant une mauvaise efficacité opérationnelle. Le coût du risque de 3,10% est également préoccupant. Cependant, les rapports trimestriels de 2025 montrent une amélioration spectaculaire : au S1 2025, le CA atteint 4,897 milliards FCFA (+8,8%) avec un résultat net de 512,9 millions FCFA (+4,6%), et au T3 2025, le CA cumulé est de 7,584 milliards FCFA (+13%) avec un résultat net de 832,5 millions FCFA (+58%). Sur la base de ces tendances, on estime que l'exercice 2025 devrait afficher un CA d'environ 10,1 milliards FCFA et un résultat net de 1,1 milliard FCFA. Cependant, le rapport annuel 2025 (publié en 2026) révèle une réalité contrastée : le CA atteint 10,07 milliards FCFA (+8,5%), mais le résultat net chute de 52% à 179,3 millions FCFA, avec une marge nette de seulement 1,78%. Cette dégradation s'explique par une hausse des charges financières et une détérioration du résultat financier. Les capitaux propres diminuent à 2,53 milliards FCFA et l'endettement augmente à 4,16 milliards FCFA. Le changement de contrôle (Air Liquide International cède 72,08% à Erium Ltd) et le changement de dénomination en ERIUM CI ajoutent une incertitude stratégique majeure.</w:t>
      </w:r>
    </w:p>
    <w:p>
      <w:pPr>
        <w:spacing w:after="120" w:line="276" w:lineRule="auto"/>
      </w:pPr>
      <w:r>
        <w:t>---</w:t>
      </w:r>
    </w:p>
    <w:p>
      <w:pPr>
        <w:spacing w:after="120" w:line="276" w:lineRule="auto"/>
      </w:pPr>
      <w:r>
        <w:t>### PARTIE 4 : CONCLUSION D'INVESTISSEMENT</w:t>
      </w:r>
    </w:p>
    <w:p>
      <w:pPr>
        <w:spacing w:after="120" w:line="276" w:lineRule="auto"/>
      </w:pPr>
      <w:r>
        <w:t>La valorisation actuelle (PER 53,5x, P/B 6,17x) est extrêmement surévaluée par rapport aux fondamentaux, et le comportement du cours (-21,16% sur 100 jours) reflète une correction nécessaire. Les signaux techniques sont mitigés, avec un MACD positif mais des moyennes mobiles baissières, indiquant une possible stabilisation à court terme. Les fondamentaux sont préoccupants : malgré une croissance du CA, la rentabilité s'effondre (marge nette de 1,78% en 2025) et l'endettement augmente. Les prédictions IA (2 208 à 2 023 FCFA sur 10 jours) confirment une poursuite de la baisse. La convergence des signaux (surévaluation, tendance baissière, fondamentaux dégradés, prédictions négatives) justifie une recommandation de **VENTE**. Le niveau de confiance est **Élevé**, le risque global est **Élevé**, et l'horizon d'investissement optimal est le **court terme (&lt;3 mois)** pour les investisseurs existants cherchant à limiter leurs pertes. Un nouvel investisseur devrait attendre une stabilisation des fondamentaux et une valorisation plus raisonnable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1,194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μ=38,321 FCFA, σ=962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β=0.1125 (Défensif) — Cov=0.000004, Var(idx)=0.000036, ρ=0.036,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36,055</w:t>
            </w:r>
          </w:p>
        </w:tc>
        <w:tc>
          <w:tcPr>
            <w:tcW w:type="dxa" w:w="1440"/>
            <w:shd w:fill="FAFAFA" w:val="clear"/>
          </w:tcPr>
          <w:p>
            <w:r>
              <w:rPr>
                <w:b/>
                <w:sz w:val="17"/>
              </w:rPr>
              <w:t>37,260</w:t>
            </w:r>
          </w:p>
        </w:tc>
        <w:tc>
          <w:tcPr>
            <w:tcW w:type="dxa" w:w="1440"/>
            <w:shd w:fill="FAFAFA" w:val="clear"/>
          </w:tcPr>
          <w:p>
            <w:r>
              <w:rPr>
                <w:sz w:val="17"/>
              </w:rPr>
              <w:t>38,464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35,471</w:t>
            </w:r>
          </w:p>
        </w:tc>
        <w:tc>
          <w:tcPr>
            <w:tcW w:type="dxa" w:w="1440"/>
            <w:shd w:fill="FAFAFA" w:val="clear"/>
          </w:tcPr>
          <w:p>
            <w:r>
              <w:rPr>
                <w:b/>
                <w:sz w:val="17"/>
              </w:rPr>
              <w:t>37,171</w:t>
            </w:r>
          </w:p>
        </w:tc>
        <w:tc>
          <w:tcPr>
            <w:tcW w:type="dxa" w:w="1440"/>
            <w:shd w:fill="FAFAFA" w:val="clear"/>
          </w:tcPr>
          <w:p>
            <w:r>
              <w:rPr>
                <w:sz w:val="17"/>
              </w:rPr>
              <w:t>38,871</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35,048</w:t>
            </w:r>
          </w:p>
        </w:tc>
        <w:tc>
          <w:tcPr>
            <w:tcW w:type="dxa" w:w="1440"/>
            <w:shd w:fill="FAFAFA" w:val="clear"/>
          </w:tcPr>
          <w:p>
            <w:r>
              <w:rPr>
                <w:b/>
                <w:sz w:val="17"/>
              </w:rPr>
              <w:t>37,127</w:t>
            </w:r>
          </w:p>
        </w:tc>
        <w:tc>
          <w:tcPr>
            <w:tcW w:type="dxa" w:w="1440"/>
            <w:shd w:fill="FAFAFA" w:val="clear"/>
          </w:tcPr>
          <w:p>
            <w:r>
              <w:rPr>
                <w:sz w:val="17"/>
              </w:rPr>
              <w:t>39,207</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34,695</w:t>
            </w:r>
          </w:p>
        </w:tc>
        <w:tc>
          <w:tcPr>
            <w:tcW w:type="dxa" w:w="1440"/>
            <w:shd w:fill="FAFAFA" w:val="clear"/>
          </w:tcPr>
          <w:p>
            <w:r>
              <w:rPr>
                <w:b/>
                <w:sz w:val="17"/>
              </w:rPr>
              <w:t>37,094</w:t>
            </w:r>
          </w:p>
        </w:tc>
        <w:tc>
          <w:tcPr>
            <w:tcW w:type="dxa" w:w="1440"/>
            <w:shd w:fill="FAFAFA" w:val="clear"/>
          </w:tcPr>
          <w:p>
            <w:r>
              <w:rPr>
                <w:sz w:val="17"/>
              </w:rPr>
              <w:t>39,493</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34,383</w:t>
            </w:r>
          </w:p>
        </w:tc>
        <w:tc>
          <w:tcPr>
            <w:tcW w:type="dxa" w:w="1440"/>
            <w:shd w:fill="FAFAFA" w:val="clear"/>
          </w:tcPr>
          <w:p>
            <w:r>
              <w:rPr>
                <w:b/>
                <w:sz w:val="17"/>
              </w:rPr>
              <w:t>37,063</w:t>
            </w:r>
          </w:p>
        </w:tc>
        <w:tc>
          <w:tcPr>
            <w:tcW w:type="dxa" w:w="1440"/>
            <w:shd w:fill="FAFAFA" w:val="clear"/>
          </w:tcPr>
          <w:p>
            <w:r>
              <w:rPr>
                <w:sz w:val="17"/>
              </w:rPr>
              <w:t>39,743</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34,099</w:t>
            </w:r>
          </w:p>
        </w:tc>
        <w:tc>
          <w:tcPr>
            <w:tcW w:type="dxa" w:w="1440"/>
            <w:shd w:fill="FAFAFA" w:val="clear"/>
          </w:tcPr>
          <w:p>
            <w:r>
              <w:rPr>
                <w:b/>
                <w:sz w:val="17"/>
              </w:rPr>
              <w:t>37,032</w:t>
            </w:r>
          </w:p>
        </w:tc>
        <w:tc>
          <w:tcPr>
            <w:tcW w:type="dxa" w:w="1440"/>
            <w:shd w:fill="FAFAFA" w:val="clear"/>
          </w:tcPr>
          <w:p>
            <w:r>
              <w:rPr>
                <w:sz w:val="17"/>
              </w:rPr>
              <w:t>39,965</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33,835</w:t>
            </w:r>
          </w:p>
        </w:tc>
        <w:tc>
          <w:tcPr>
            <w:tcW w:type="dxa" w:w="1440"/>
            <w:shd w:fill="FAFAFA" w:val="clear"/>
          </w:tcPr>
          <w:p>
            <w:r>
              <w:rPr>
                <w:b/>
                <w:sz w:val="17"/>
              </w:rPr>
              <w:t>37,001</w:t>
            </w:r>
          </w:p>
        </w:tc>
        <w:tc>
          <w:tcPr>
            <w:tcW w:type="dxa" w:w="1440"/>
            <w:shd w:fill="FAFAFA" w:val="clear"/>
          </w:tcPr>
          <w:p>
            <w:r>
              <w:rPr>
                <w:sz w:val="17"/>
              </w:rPr>
              <w:t>40,167</w:t>
            </w:r>
          </w:p>
        </w:tc>
        <w:tc>
          <w:tcPr>
            <w:tcW w:type="dxa" w:w="1440"/>
            <w:shd w:fill="FAFAFA" w:val="clear"/>
          </w:tcPr>
          <w:p>
            <w:r>
              <w:rPr>
                <w:b/>
                <w:color w:val="008000"/>
                <w:sz w:val="17"/>
              </w:rPr>
              <w:t>+0.0%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33,588</w:t>
            </w:r>
          </w:p>
        </w:tc>
        <w:tc>
          <w:tcPr>
            <w:tcW w:type="dxa" w:w="1440"/>
            <w:shd w:fill="FAFAFA" w:val="clear"/>
          </w:tcPr>
          <w:p>
            <w:r>
              <w:rPr>
                <w:b/>
                <w:sz w:val="17"/>
              </w:rPr>
              <w:t>36,970</w:t>
            </w:r>
          </w:p>
        </w:tc>
        <w:tc>
          <w:tcPr>
            <w:tcW w:type="dxa" w:w="1440"/>
            <w:shd w:fill="FAFAFA" w:val="clear"/>
          </w:tcPr>
          <w:p>
            <w:r>
              <w:rPr>
                <w:sz w:val="17"/>
              </w:rPr>
              <w:t>40,351</w:t>
            </w:r>
          </w:p>
        </w:tc>
        <w:tc>
          <w:tcPr>
            <w:tcW w:type="dxa" w:w="1440"/>
            <w:shd w:fill="FAFAFA" w:val="clear"/>
          </w:tcPr>
          <w:p>
            <w:r>
              <w:rPr>
                <w:b/>
                <w:color w:val="C00000"/>
                <w:sz w:val="17"/>
              </w:rPr>
              <w:t>-0.1%</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33,355</w:t>
            </w:r>
          </w:p>
        </w:tc>
        <w:tc>
          <w:tcPr>
            <w:tcW w:type="dxa" w:w="1440"/>
            <w:shd w:fill="FAFAFA" w:val="clear"/>
          </w:tcPr>
          <w:p>
            <w:r>
              <w:rPr>
                <w:b/>
                <w:sz w:val="17"/>
              </w:rPr>
              <w:t>36,938</w:t>
            </w:r>
          </w:p>
        </w:tc>
        <w:tc>
          <w:tcPr>
            <w:tcW w:type="dxa" w:w="1440"/>
            <w:shd w:fill="FAFAFA" w:val="clear"/>
          </w:tcPr>
          <w:p>
            <w:r>
              <w:rPr>
                <w:sz w:val="17"/>
              </w:rPr>
              <w:t>40,522</w:t>
            </w:r>
          </w:p>
        </w:tc>
        <w:tc>
          <w:tcPr>
            <w:tcW w:type="dxa" w:w="1440"/>
            <w:shd w:fill="FAFAFA" w:val="clear"/>
          </w:tcPr>
          <w:p>
            <w:r>
              <w:rPr>
                <w:b/>
                <w:color w:val="C00000"/>
                <w:sz w:val="17"/>
              </w:rPr>
              <w:t>-0.2%</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33,133</w:t>
            </w:r>
          </w:p>
        </w:tc>
        <w:tc>
          <w:tcPr>
            <w:tcW w:type="dxa" w:w="1440"/>
            <w:shd w:fill="FAFAFA" w:val="clear"/>
          </w:tcPr>
          <w:p>
            <w:r>
              <w:rPr>
                <w:b/>
                <w:sz w:val="17"/>
              </w:rPr>
              <w:t>36,907</w:t>
            </w:r>
          </w:p>
        </w:tc>
        <w:tc>
          <w:tcPr>
            <w:tcW w:type="dxa" w:w="1440"/>
            <w:shd w:fill="FAFAFA" w:val="clear"/>
          </w:tcPr>
          <w:p>
            <w:r>
              <w:rPr>
                <w:sz w:val="17"/>
              </w:rPr>
              <w:t>40,681</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609,05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13,3x, légèrement supérieur à la moyenne historique de la BRVM (8-12x), ce qui traduit une prime de croissance accordée par le marché aux excellentes performances récentes de la société. Le P/B de 3,12x confirme cette prime, le marché valorisant l'action près de trois fois sa valeur comptable, signe de confiance dans la capacité de l'entreprise à créer de la valeur. Enfin, l'EV/EBITDA de 7,2x se situe dans une fourchette raisonnable (5-10x), indiquant que la valeur totale de l'entreprise reste cohérente avec sa capacité opérationnelle à générer des bénéfices avant dépréciation et amortissement.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 enregistré une variation totale de -4,76%, avec une dernière séance en baisse de -1,33% à 37 000 FCFA, illustrant une tendance baissière modérée sur la période. Le cours a évolué dans une fourchette de 35 540 FCFA (plus bas) à 41 500 FCFA (plus haut), soit une amplitude de près de 17%, témoignant d'une volatilité notable. La moyenne de 38 321 FCFA est légèrement supérieure à la médiane de 38 015 FCFA, indiquant une distribution quasi symétrique des cours, confirmée par un skewness de 0,279. L'écart-type de 967 FCFA, avec un coefficient de variation de 2,5%, révèle une dispersion relativement faible autour de la moyenne, tandis que le kurtosis de 0,211 (mésokurtique) suggère une distribution proche de la normale, sans risque extrême de pics ou de queues épaisses. La volatilité annualisée de 29,7% classe le titre dans la catégorie élevée (&gt;30% étant très élevé), ce qui implique des fluctuations de prix significatives pour les investisseurs.</w:t>
      </w:r>
    </w:p>
    <w:p>
      <w:pPr>
        <w:spacing w:after="120" w:line="276" w:lineRule="auto" w:before="240"/>
      </w:pPr>
      <w:r>
        <w:rPr>
          <w:b/>
          <w:color w:val="003366"/>
          <w:sz w:val="24"/>
        </w:rPr>
        <w:t>**PARTIE 2 : ANALYSE TECHNIQUE DÉTAILLÉE**</w:t>
      </w:r>
    </w:p>
    <w:p>
      <w:pPr>
        <w:spacing w:after="120" w:line="276" w:lineRule="auto"/>
      </w:pPr>
      <w:r>
        <w:t>Les moyennes mobiles MM20 (37 578,5 FCFA) et MM50 (38 511,2 FCFA) sont toutes deux supérieures au cours actuel de 37 000 FCFA, avec une MM50 nettement au-dessus de la MM20, configuration typique d'une tendance baissière à moyen terme. La décision de "Vente" est justifiée par cette structure baissière, le cours évoluant sous ses principaux supports dynamiques, signalant une pression vendeuse persistante.</w:t>
      </w:r>
    </w:p>
    <w:p>
      <w:pPr>
        <w:spacing w:after="120" w:line="276" w:lineRule="auto"/>
      </w:pPr>
      <w:r>
        <w:t>Les bandes de Bollinger présentent une borne supérieure à 38 807,261 FCFA et une borne inférieure à 36 349,739 FCFA, avec un cours à 37 000 FCFA positionné dans la moitié inférieure de la bande, proche de la borne basse. La décision "Neutre" reflète une volatilité modérée, le cours n'étant pas en situation extrême de surachat ou de survente, mais la proximité de la borne inférieure suggère un potentiel de rebond technique.</w:t>
      </w:r>
    </w:p>
    <w:p>
      <w:pPr>
        <w:spacing w:after="120" w:line="276" w:lineRule="auto"/>
      </w:pPr>
      <w:r>
        <w:t>Le MACD affiche une valeur de -320,239 contre un signal à -338,324, avec une divergence positive indiquant un momentum haussier naissant. La décision "Achat" se justifie par ce croisement du MACD au-dessus de sa ligne de signal, signalant une possible inversion de tendance à court terme malgré des valeurs négatives.</w:t>
      </w:r>
    </w:p>
    <w:p>
      <w:pPr>
        <w:spacing w:after="120" w:line="276" w:lineRule="auto"/>
      </w:pPr>
      <w:r>
        <w:t>Le RSI à 50,0 se situe exactement à la neutralité, indiquant un équilibre entre pressions acheteuses et vendeuses. La décision "Neutre" est cohérente avec cette valeur, le titre n'étant ni suracheté (au-dessus de 70) ni survendu (en dessous de 30), laissant place à une évolution dans les deux sens.</w:t>
      </w:r>
    </w:p>
    <w:p>
      <w:pPr>
        <w:spacing w:after="120" w:line="276" w:lineRule="auto"/>
      </w:pPr>
      <w:r>
        <w:t>Le stochastique montre un %K à 0,0 et un %D à 42,424, avec un %K nettement sous le %D, indiquant une condition de survente extrême. La décision "Achat" se justifie par ce niveau très bas du %K, suggérant un rebond technique imminent après une phase de faiblesse marquée.</w:t>
      </w:r>
    </w:p>
    <w:p>
      <w:pPr>
        <w:spacing w:after="120" w:line="276" w:lineRule="auto"/>
      </w:pPr>
      <w:r>
        <w:t>La convergence des signaux techniques est mitigée : les moyennes mobiles restent baissières, mais le MACD et le stochastique suggèrent un potentiel de rebond à court terme, tandis que le RSI et les bandes de Bollinger restent neutres. Cette configuration indique une possible stabilisation du cours après la baisse récente, avec un risque de poursuite de la tendance baissière si les supports actuels cèdent.</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avec un chiffre d'affaires de 378,123 milliards FCFA, en croissance de 22,1% par rapport à 2024 (309,722 milliards FCFA), et un résultat net de 45,781 milliards FCFA, plus du double de celui de 2024 (21,472 milliards FCFA). La marge nette s'améliore spectaculairement de 6,9% à 12,1%, tandis que le ROE atteint 23,46% et le ROA 13,48%, des niveaux excellents pour une entreprise non bancaire. La structure financière est saine avec une autonomie financière de 57,5%, un ratio d'endettement modéré de 42,5% et une capacité de remboursement de seulement 0,67 an. Le BFR de 61,587 milliards FCFA, avec un délai clients de 64 jours et un délai fournisseurs de 77 jours, indique une gestion correcte de la trésorerie, bien que la durée de stockage de 117 jours mérite une attention particulière. Le rapport du premier trimestre 2026 (publié en 2026) confirme la dynamique positive avec un chiffre d'affaires de 93,46 milliards FCFA (+7,6%) et un résultat net de 16,26 milliards FCFA (+4,8%), permettant d'estimer que l'exercice 2026 devrait poursuivre cette trajectoire de croissance, bien qu'à un rythme plus modéré que 2025. La politique de dividende est très généreuse avec un taux de distribution de 76,5% en 2025 (35,012 milliards FCFA, soit 2 127 FCFA par action), contre 93,5% en 2024, signalant une volonté de récompenser les actionnaires tout en conservant une marge pour l'autofinancement.</w:t>
      </w:r>
    </w:p>
    <w:p>
      <w:pPr>
        <w:spacing w:after="120" w:line="276" w:lineRule="auto" w:before="240"/>
      </w:pPr>
      <w:r>
        <w:rPr>
          <w:b/>
          <w:color w:val="003366"/>
          <w:sz w:val="24"/>
        </w:rPr>
        <w:t>**PARTIE 4 : CONCLUSION D'INVESTISSEMENT**</w:t>
      </w:r>
    </w:p>
    <w:p>
      <w:pPr>
        <w:spacing w:after="120" w:line="276" w:lineRule="auto"/>
      </w:pPr>
      <w:r>
        <w:t>La valorisation de SLBC (PER 13,3x, P/B 3,12x, EV/EBITDA 7,2x) indique une prime de croissance justifiée par des fondamentaux exceptionnels, bien que le titre ne soit pas sous-évalué par rapport au marché BRVM. Le comportement du cours sur 100 jours montre une tendance baissière modérée (-4,76%) avec une volatilité élevée (29,7%), mais des statistiques descriptives rassurantes (distribution symétrique, absence de risque extrême). Les signaux techniques sont mitigés : les moyennes mobiles restent baissières, mais le MACD et le stochastique suggèrent un potentiel de rebond à court terme, tandis que le RSI neutre laisse place à l'ambiguïté. Les fondamentaux sont remarquablement solides avec une croissance de 22% du CA en 2025, un doublement du résultat net, un ROE de 23,5% et une politique de dividende généreuse (rendement estimé autour de 5,7% sur la base du cours actuel). Les prédictions IA pour les 10 prochains jours (37 260 à 37 063 FCFA) indiquent une stabilisation autour des niveaux actuels, confirmant le potentiel de rebond technique. La convergence entre des fondamentaux excellents, une valorisation raisonnable et des signaux techniques de retournement suggère une recommandation **ACHAT** avec un niveau de confiance **Moyen** et un risque global **Moyen**. L'horizon d'investissement optimal serait à moyen terme (3-12 mois) pour bénéficier à la fois de l'appréciation potentielle du cours et du dividende attractif de 2 127 FCFA par action proposé à l'AG du 5 juin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1,422 titres</w:t>
            </w:r>
          </w:p>
        </w:tc>
        <w:tc>
          <w:tcPr>
            <w:tcW w:type="dxa" w:w="2268"/>
            <w:shd w:fill="FFF2CC" w:val="clear"/>
          </w:tcPr>
          <w:p>
            <w:r>
              <w:rPr>
                <w:b/>
                <w:color w:val="503200"/>
                <w:sz w:val="16"/>
              </w:rPr>
              <w:t xml:space="preserve">Cours actuel : </w:t>
            </w:r>
            <w:r>
              <w:rPr>
                <w:color w:val="000000"/>
                <w:sz w:val="17"/>
              </w:rPr>
              <w:t>17,195 FCFA</w:t>
            </w:r>
          </w:p>
          <w:p>
            <w:r>
              <w:rPr>
                <w:b/>
                <w:color w:val="503200"/>
                <w:sz w:val="16"/>
              </w:rPr>
              <w:t xml:space="preserve">Var. 100 jours : </w:t>
            </w:r>
            <w:r>
              <w:rPr>
                <w:b/>
                <w:color w:val="007800"/>
                <w:sz w:val="17"/>
              </w:rPr>
              <w:t>+38.11%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14.92% (Moyenne) — μ=14,658 FCFA, σ=2,187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β=-0.5844 (Contre-cyclique) — Cov=-0.000021, Var(idx)=0.000036, ρ=-0.150,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16,424</w:t>
            </w:r>
          </w:p>
        </w:tc>
        <w:tc>
          <w:tcPr>
            <w:tcW w:type="dxa" w:w="1440"/>
            <w:shd w:fill="FAFAFA" w:val="clear"/>
          </w:tcPr>
          <w:p>
            <w:r>
              <w:rPr>
                <w:b/>
                <w:sz w:val="17"/>
              </w:rPr>
              <w:t>16,984</w:t>
            </w:r>
          </w:p>
        </w:tc>
        <w:tc>
          <w:tcPr>
            <w:tcW w:type="dxa" w:w="1440"/>
            <w:shd w:fill="FAFAFA" w:val="clear"/>
          </w:tcPr>
          <w:p>
            <w:r>
              <w:rPr>
                <w:sz w:val="17"/>
              </w:rPr>
              <w:t>17,544</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16,129</w:t>
            </w:r>
          </w:p>
        </w:tc>
        <w:tc>
          <w:tcPr>
            <w:tcW w:type="dxa" w:w="1440"/>
            <w:shd w:fill="FAFAFA" w:val="clear"/>
          </w:tcPr>
          <w:p>
            <w:r>
              <w:rPr>
                <w:b/>
                <w:sz w:val="17"/>
              </w:rPr>
              <w:t>16,918</w:t>
            </w:r>
          </w:p>
        </w:tc>
        <w:tc>
          <w:tcPr>
            <w:tcW w:type="dxa" w:w="1440"/>
            <w:shd w:fill="FAFAFA" w:val="clear"/>
          </w:tcPr>
          <w:p>
            <w:r>
              <w:rPr>
                <w:sz w:val="17"/>
              </w:rPr>
              <w:t>17,707</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15,882</w:t>
            </w:r>
          </w:p>
        </w:tc>
        <w:tc>
          <w:tcPr>
            <w:tcW w:type="dxa" w:w="1440"/>
            <w:shd w:fill="FFDCE0" w:val="clear"/>
          </w:tcPr>
          <w:p>
            <w:r>
              <w:rPr>
                <w:b/>
                <w:sz w:val="17"/>
              </w:rPr>
              <w:t>16,844</w:t>
            </w:r>
          </w:p>
        </w:tc>
        <w:tc>
          <w:tcPr>
            <w:tcW w:type="dxa" w:w="1440"/>
            <w:shd w:fill="FFDCE0" w:val="clear"/>
          </w:tcPr>
          <w:p>
            <w:r>
              <w:rPr>
                <w:sz w:val="17"/>
              </w:rPr>
              <w:t>17,807</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15,669</w:t>
            </w:r>
          </w:p>
        </w:tc>
        <w:tc>
          <w:tcPr>
            <w:tcW w:type="dxa" w:w="1440"/>
            <w:shd w:fill="FFDCE0" w:val="clear"/>
          </w:tcPr>
          <w:p>
            <w:r>
              <w:rPr>
                <w:b/>
                <w:sz w:val="17"/>
              </w:rPr>
              <w:t>16,776</w:t>
            </w:r>
          </w:p>
        </w:tc>
        <w:tc>
          <w:tcPr>
            <w:tcW w:type="dxa" w:w="1440"/>
            <w:shd w:fill="FFDCE0" w:val="clear"/>
          </w:tcPr>
          <w:p>
            <w:r>
              <w:rPr>
                <w:sz w:val="17"/>
              </w:rPr>
              <w:t>17,883</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15,478</w:t>
            </w:r>
          </w:p>
        </w:tc>
        <w:tc>
          <w:tcPr>
            <w:tcW w:type="dxa" w:w="1440"/>
            <w:shd w:fill="FFDCE0" w:val="clear"/>
          </w:tcPr>
          <w:p>
            <w:r>
              <w:rPr>
                <w:b/>
                <w:sz w:val="17"/>
              </w:rPr>
              <w:t>16,711</w:t>
            </w:r>
          </w:p>
        </w:tc>
        <w:tc>
          <w:tcPr>
            <w:tcW w:type="dxa" w:w="1440"/>
            <w:shd w:fill="FFDCE0" w:val="clear"/>
          </w:tcPr>
          <w:p>
            <w:r>
              <w:rPr>
                <w:sz w:val="17"/>
              </w:rPr>
              <w:t>17,944</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15,302</w:t>
            </w:r>
          </w:p>
        </w:tc>
        <w:tc>
          <w:tcPr>
            <w:tcW w:type="dxa" w:w="1440"/>
            <w:shd w:fill="FFDCE0" w:val="clear"/>
          </w:tcPr>
          <w:p>
            <w:r>
              <w:rPr>
                <w:b/>
                <w:sz w:val="17"/>
              </w:rPr>
              <w:t>16,647</w:t>
            </w:r>
          </w:p>
        </w:tc>
        <w:tc>
          <w:tcPr>
            <w:tcW w:type="dxa" w:w="1440"/>
            <w:shd w:fill="FFDCE0" w:val="clear"/>
          </w:tcPr>
          <w:p>
            <w:r>
              <w:rPr>
                <w:sz w:val="17"/>
              </w:rPr>
              <w:t>17,992</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15,137</w:t>
            </w:r>
          </w:p>
        </w:tc>
        <w:tc>
          <w:tcPr>
            <w:tcW w:type="dxa" w:w="1440"/>
            <w:shd w:fill="FFDCE0" w:val="clear"/>
          </w:tcPr>
          <w:p>
            <w:r>
              <w:rPr>
                <w:b/>
                <w:sz w:val="17"/>
              </w:rPr>
              <w:t>16,584</w:t>
            </w:r>
          </w:p>
        </w:tc>
        <w:tc>
          <w:tcPr>
            <w:tcW w:type="dxa" w:w="1440"/>
            <w:shd w:fill="FFDCE0" w:val="clear"/>
          </w:tcPr>
          <w:p>
            <w:r>
              <w:rPr>
                <w:sz w:val="17"/>
              </w:rPr>
              <w:t>18,032</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14,981</w:t>
            </w:r>
          </w:p>
        </w:tc>
        <w:tc>
          <w:tcPr>
            <w:tcW w:type="dxa" w:w="1440"/>
            <w:shd w:fill="FFDCE0" w:val="clear"/>
          </w:tcPr>
          <w:p>
            <w:r>
              <w:rPr>
                <w:b/>
                <w:sz w:val="17"/>
              </w:rPr>
              <w:t>16,522</w:t>
            </w:r>
          </w:p>
        </w:tc>
        <w:tc>
          <w:tcPr>
            <w:tcW w:type="dxa" w:w="1440"/>
            <w:shd w:fill="FFDCE0" w:val="clear"/>
          </w:tcPr>
          <w:p>
            <w:r>
              <w:rPr>
                <w:sz w:val="17"/>
              </w:rPr>
              <w:t>18,064</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14,832</w:t>
            </w:r>
          </w:p>
        </w:tc>
        <w:tc>
          <w:tcPr>
            <w:tcW w:type="dxa" w:w="1440"/>
            <w:shd w:fill="FFDCE0" w:val="clear"/>
          </w:tcPr>
          <w:p>
            <w:r>
              <w:rPr>
                <w:b/>
                <w:sz w:val="17"/>
              </w:rPr>
              <w:t>16,462</w:t>
            </w:r>
          </w:p>
        </w:tc>
        <w:tc>
          <w:tcPr>
            <w:tcW w:type="dxa" w:w="1440"/>
            <w:shd w:fill="FFDCE0" w:val="clear"/>
          </w:tcPr>
          <w:p>
            <w:r>
              <w:rPr>
                <w:sz w:val="17"/>
              </w:rPr>
              <w:t>18,091</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14,691</w:t>
            </w:r>
          </w:p>
        </w:tc>
        <w:tc>
          <w:tcPr>
            <w:tcW w:type="dxa" w:w="1440"/>
            <w:shd w:fill="FFDCE0" w:val="clear"/>
          </w:tcPr>
          <w:p>
            <w:r>
              <w:rPr>
                <w:b/>
                <w:sz w:val="17"/>
              </w:rPr>
              <w:t>16,402</w:t>
            </w:r>
          </w:p>
        </w:tc>
        <w:tc>
          <w:tcPr>
            <w:tcW w:type="dxa" w:w="1440"/>
            <w:shd w:fill="FFDCE0" w:val="clear"/>
          </w:tcPr>
          <w:p>
            <w:r>
              <w:rPr>
                <w:sz w:val="17"/>
              </w:rPr>
              <w:t>18,113</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134,04 milliards FCFA, ce qui la positionne comme une valeur de taille moyenne sur la BRVM, dans un secteur industriel stratégique. Le BPA de 1 677 FCFA indique que chaque action génère un bénéfice substantiel, justifiant un PER de 10,3x, en ligne avec la moyenne du marché BRVM (8-12x), ce qui traduit une valorisation raisonnable sans prime excessive. Le P/B de 3,12x, bien que supérieur à 1, reflète une prime de croissance accordée par le marché, cohérente avec la forte rentabilité des capitaux propres (ROE de 30,5%). Enfin, l'EV/EBITDA de 6,5x, situé dans la fourchette basse des 5-10x, confirme que la valeur totale de l'entreprise reste attractive par rapport à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+38,11%, avec une dernière séance en hausse de +0,56% à 17 195 FCFA. Le titre a évolué dans une fourchette large de 11 450 FCFA (plus bas) à 17 735 FCFA (plus haut), démontrant une dynamique haussière soutenue. La moyenne (14 658 FCFA) est inférieure à la médiane (15 700 FCFA), indiquant une asymétrie positive avec des valeurs extrêmes élevées récentes. L'écart-type de 2 198 FCFA (CV de 15%) révèle une dispersion modérée, tandis que le kurtosis de -1,570 (platykurtique) suggère une distribution aplatie avec peu de pics extrêmes, et le skewness de -0,273 confirme une asymétrie légèrement négative. La volatilité annualisée de 37% classe le titre comme très volatil, offrant des opportunités mais aussi des risques significatifs pour les investisseurs.</w:t>
      </w:r>
    </w:p>
    <w:p>
      <w:pPr>
        <w:spacing w:after="120" w:line="276" w:lineRule="auto" w:before="240"/>
      </w:pPr>
      <w:r>
        <w:rPr>
          <w:b/>
          <w:color w:val="003366"/>
          <w:sz w:val="24"/>
        </w:rPr>
        <w:t>**PARTIE 2 : ANALYSE TECHNIQUE DÉTAILLÉE**</w:t>
      </w:r>
    </w:p>
    <w:p>
      <w:pPr>
        <w:spacing w:after="120" w:line="276" w:lineRule="auto"/>
      </w:pPr>
      <w:r>
        <w:t>**Moyennes Mobiles** : La MM20 (16 448 FCFA) et la MM50 (16 524 FCFA) sont toutes deux inférieures au cours actuel (17 195 FCFA), indiquant une tendance haussière à court et moyen terme. Cependant, la décision de "Vente" suggère que le cours pourrait avoir dépassé les niveaux de support, signalant un possible retournement ou consolidation.</w:t>
      </w:r>
    </w:p>
    <w:p>
      <w:pPr>
        <w:spacing w:after="120" w:line="276" w:lineRule="auto"/>
      </w:pPr>
      <w:r>
        <w:t>**Bandes de Bollinger** : Le cours se situe près de la borne supérieure (17 479 FCFA), avec une borne inférieure à 15 417 FCFA, indiquant une volatilité en expansion. La décision "Neutre" reflète un marché en équilibre, mais le positionnement proche de la borne haute suggère une pression acheteuse persistante.</w:t>
      </w:r>
    </w:p>
    <w:p>
      <w:pPr>
        <w:spacing w:after="120" w:line="276" w:lineRule="auto"/>
      </w:pPr>
      <w:r>
        <w:t>**MACD** : Le MACD (242,2) est nettement supérieur à sa ligne de signal (154,5), confirmant un momentum haussier fort. La décision "Achat" est justifiée par cette divergence positive, indiquant que la dynamique de prix reste favorable.</w:t>
      </w:r>
    </w:p>
    <w:p>
      <w:pPr>
        <w:spacing w:after="120" w:line="276" w:lineRule="auto"/>
      </w:pPr>
      <w:r>
        <w:t>**RSI** : À 68,6, le RSI est proche de la zone de surachat (70), mais reste en territoire neutre. La décision "Neutre" suggère que le titre n'est pas encore surchauffé, laissant une marge de progression avant une correction potentielle.</w:t>
      </w:r>
    </w:p>
    <w:p>
      <w:pPr>
        <w:spacing w:after="120" w:line="276" w:lineRule="auto"/>
      </w:pPr>
      <w:r>
        <w:t>**Stochastique** : Le %K (81,95) et le %D (84,88) sont tous deux élevés, avec un %K inférieur au %D, indiquant un croisement baissier potentiel. La décision "Vente" reflète un risque de retournement à court terme après une forte hausse.</w:t>
      </w:r>
    </w:p>
    <w:p>
      <w:pPr>
        <w:spacing w:after="120" w:line="276" w:lineRule="auto"/>
      </w:pPr>
      <w:r>
        <w:t>**Conclusion technique** : Les indicateurs sont mitigés, avec un MACD et des moyennes mobiles haussiers, mais un stochastique et un RSI proches de zones de surachat. Cette divergence suggère une consolidation possible à court terme avant une poursuite de la tendance haussière, ou un repli technique.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un résultat net en forte hausse de +50,3% à 13,075 milliards FCFA, contre 8,698 milliards en 2024. La marge nette s'améliore spectaculairement de 3,8% à 6,3%, portée par une hausse de l'EBE de +41,8% à 18,480 milliards FCFA, grâce à une meilleure maîtrise des charges. Le ROE atteint 30,47% et le ROA 7,26%, démontrant une excellente rentabilité des fonds propres et des actifs. Le BFR est positif à 1,693 milliards FCFA, avec un délai clients élevé de 193,75 jours, un risque de trésorerie, mais un délai fournisseurs de 207,07 jours qui compense partiellement. L'endettement est modéré avec un ratio de 21,45% et une capacité de remboursement de 0,68 an. Les rapports trimestriels 2025 (T1, S1, 9M) confirment une tendance de CA en baisse mais une amélioration des marges, avec un résultat net en croissance de +6% au 9M. On estime que l'exercice 2025 complet confirme cette dynamique, avec une trésorerie nette positive de 23,988 milliards FCFA, offrant une solidité financière accrue.</w:t>
      </w:r>
    </w:p>
    <w:p>
      <w:pPr>
        <w:spacing w:after="120" w:line="276" w:lineRule="auto" w:before="240"/>
      </w:pPr>
      <w:r>
        <w:rPr>
          <w:b/>
          <w:color w:val="003366"/>
          <w:sz w:val="24"/>
        </w:rPr>
        <w:t>**PARTIE 4 : CONCLUSION D'INVESTISSEMENT**</w:t>
      </w:r>
    </w:p>
    <w:p>
      <w:pPr>
        <w:spacing w:after="120" w:line="276" w:lineRule="auto"/>
      </w:pPr>
      <w:r>
        <w:t>La valorisation de SMBC (PER 10,3x, P/B 3,12x, EV/EBITDA 6,5x) indique une sous-évaluation relative par rapport à ses fondamentaux solides, avec une rentabilité exceptionnelle. Le comportement du cours (+38,11% sur 100 jours) montre une tendance haussière forte, mais la volatilité élevée (37%) et les statistiques (kurtosis platykurtique, skewness négatif) suggèrent des risques de correction. Les signaux techniques sont mitigés, avec un MACD haussier mais un stochastique et un RSI proches du surachat, indiquant une possible consolidation. Fondamentalement, SMBC est solide avec un ROE de 30,5%, une trésorerie nette positive et une amélioration des marges, malgré une baisse du CA. Les prédictions IA (J+1 à J+10) prévoient une légère baisse de 17 195 à 16 711 FCFA, contredisant la tendance haussière récente et suggérant un repli technique. En synthèse, la convergence entre valorisation attractive, fondamentaux solides et prédictions de repli modéré conduit à une recommandation **CONSERVER**, avec un niveau de confiance **Moyen** et un risque global **Moyen**. L'horizon d'investissement optimal est à **moyen terme (3-12 mois)**, en attendant une confirmation de la reprise du chiffre d'affaires ou un point d'entrée plus favorable après une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9,867 titres</w:t>
            </w:r>
          </w:p>
        </w:tc>
        <w:tc>
          <w:tcPr>
            <w:tcW w:type="dxa" w:w="2268"/>
            <w:shd w:fill="FFF2CC" w:val="clear"/>
          </w:tcPr>
          <w:p>
            <w:r>
              <w:rPr>
                <w:b/>
                <w:color w:val="503200"/>
                <w:sz w:val="16"/>
              </w:rPr>
              <w:t xml:space="preserve">Cours actuel : </w:t>
            </w:r>
            <w:r>
              <w:rPr>
                <w:color w:val="000000"/>
                <w:sz w:val="17"/>
              </w:rPr>
              <w:t>36,700 FCFA</w:t>
            </w:r>
          </w:p>
          <w:p>
            <w:r>
              <w:rPr>
                <w:b/>
                <w:color w:val="503200"/>
                <w:sz w:val="16"/>
              </w:rPr>
              <w:t xml:space="preserve">Var. 100 jours : </w:t>
            </w:r>
            <w:r>
              <w:rPr>
                <w:b/>
                <w:color w:val="007800"/>
                <w:sz w:val="17"/>
              </w:rPr>
              <w:t>+26.99%</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6.95% (Moyenne) — μ=29,967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β=1.9166 (Très agressif) — Cov=0.000070, Var(idx)=0.000036, ρ=0.586,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33,893</w:t>
            </w:r>
          </w:p>
        </w:tc>
        <w:tc>
          <w:tcPr>
            <w:tcW w:type="dxa" w:w="1440"/>
            <w:shd w:fill="FFDCE0" w:val="clear"/>
          </w:tcPr>
          <w:p>
            <w:r>
              <w:rPr>
                <w:b/>
                <w:sz w:val="17"/>
              </w:rPr>
              <w:t>35,320</w:t>
            </w:r>
          </w:p>
        </w:tc>
        <w:tc>
          <w:tcPr>
            <w:tcW w:type="dxa" w:w="1440"/>
            <w:shd w:fill="FFDCE0" w:val="clear"/>
          </w:tcPr>
          <w:p>
            <w:r>
              <w:rPr>
                <w:sz w:val="17"/>
              </w:rPr>
              <w:t>36,748</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33,296</w:t>
            </w:r>
          </w:p>
        </w:tc>
        <w:tc>
          <w:tcPr>
            <w:tcW w:type="dxa" w:w="1440"/>
            <w:shd w:fill="FFDCE0" w:val="clear"/>
          </w:tcPr>
          <w:p>
            <w:r>
              <w:rPr>
                <w:b/>
                <w:sz w:val="17"/>
              </w:rPr>
              <w:t>35,314</w:t>
            </w:r>
          </w:p>
        </w:tc>
        <w:tc>
          <w:tcPr>
            <w:tcW w:type="dxa" w:w="1440"/>
            <w:shd w:fill="FFDCE0" w:val="clear"/>
          </w:tcPr>
          <w:p>
            <w:r>
              <w:rPr>
                <w:sz w:val="17"/>
              </w:rPr>
              <w:t>37,333</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32,741</w:t>
            </w:r>
          </w:p>
        </w:tc>
        <w:tc>
          <w:tcPr>
            <w:tcW w:type="dxa" w:w="1440"/>
            <w:shd w:fill="FFDCE0" w:val="clear"/>
          </w:tcPr>
          <w:p>
            <w:r>
              <w:rPr>
                <w:b/>
                <w:sz w:val="17"/>
              </w:rPr>
              <w:t>35,206</w:t>
            </w:r>
          </w:p>
        </w:tc>
        <w:tc>
          <w:tcPr>
            <w:tcW w:type="dxa" w:w="1440"/>
            <w:shd w:fill="FFDCE0" w:val="clear"/>
          </w:tcPr>
          <w:p>
            <w:r>
              <w:rPr>
                <w:sz w:val="17"/>
              </w:rPr>
              <w:t>37,670</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32,265</w:t>
            </w:r>
          </w:p>
        </w:tc>
        <w:tc>
          <w:tcPr>
            <w:tcW w:type="dxa" w:w="1440"/>
            <w:shd w:fill="FFDCE0" w:val="clear"/>
          </w:tcPr>
          <w:p>
            <w:r>
              <w:rPr>
                <w:b/>
                <w:sz w:val="17"/>
              </w:rPr>
              <w:t>35,103</w:t>
            </w:r>
          </w:p>
        </w:tc>
        <w:tc>
          <w:tcPr>
            <w:tcW w:type="dxa" w:w="1440"/>
            <w:shd w:fill="FFDCE0" w:val="clear"/>
          </w:tcPr>
          <w:p>
            <w:r>
              <w:rPr>
                <w:sz w:val="17"/>
              </w:rPr>
              <w:t>37,940</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31,852</w:t>
            </w:r>
          </w:p>
        </w:tc>
        <w:tc>
          <w:tcPr>
            <w:tcW w:type="dxa" w:w="1440"/>
            <w:shd w:fill="FFDCE0" w:val="clear"/>
          </w:tcPr>
          <w:p>
            <w:r>
              <w:rPr>
                <w:b/>
                <w:sz w:val="17"/>
              </w:rPr>
              <w:t>35,017</w:t>
            </w:r>
          </w:p>
        </w:tc>
        <w:tc>
          <w:tcPr>
            <w:tcW w:type="dxa" w:w="1440"/>
            <w:shd w:fill="FFDCE0" w:val="clear"/>
          </w:tcPr>
          <w:p>
            <w:r>
              <w:rPr>
                <w:sz w:val="17"/>
              </w:rPr>
              <w:t>38,181</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31,483</w:t>
            </w:r>
          </w:p>
        </w:tc>
        <w:tc>
          <w:tcPr>
            <w:tcW w:type="dxa" w:w="1440"/>
            <w:shd w:fill="FFDCE0" w:val="clear"/>
          </w:tcPr>
          <w:p>
            <w:r>
              <w:rPr>
                <w:b/>
                <w:sz w:val="17"/>
              </w:rPr>
              <w:t>34,942</w:t>
            </w:r>
          </w:p>
        </w:tc>
        <w:tc>
          <w:tcPr>
            <w:tcW w:type="dxa" w:w="1440"/>
            <w:shd w:fill="FFDCE0" w:val="clear"/>
          </w:tcPr>
          <w:p>
            <w:r>
              <w:rPr>
                <w:sz w:val="17"/>
              </w:rPr>
              <w:t>38,401</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31,143</w:t>
            </w:r>
          </w:p>
        </w:tc>
        <w:tc>
          <w:tcPr>
            <w:tcW w:type="dxa" w:w="1440"/>
            <w:shd w:fill="FFDCE0" w:val="clear"/>
          </w:tcPr>
          <w:p>
            <w:r>
              <w:rPr>
                <w:b/>
                <w:sz w:val="17"/>
              </w:rPr>
              <w:t>34,872</w:t>
            </w:r>
          </w:p>
        </w:tc>
        <w:tc>
          <w:tcPr>
            <w:tcW w:type="dxa" w:w="1440"/>
            <w:shd w:fill="FFDCE0" w:val="clear"/>
          </w:tcPr>
          <w:p>
            <w:r>
              <w:rPr>
                <w:sz w:val="17"/>
              </w:rPr>
              <w:t>38,601</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30,826</w:t>
            </w:r>
          </w:p>
        </w:tc>
        <w:tc>
          <w:tcPr>
            <w:tcW w:type="dxa" w:w="1440"/>
            <w:shd w:fill="FFDCE0" w:val="clear"/>
          </w:tcPr>
          <w:p>
            <w:r>
              <w:rPr>
                <w:b/>
                <w:sz w:val="17"/>
              </w:rPr>
              <w:t>34,805</w:t>
            </w:r>
          </w:p>
        </w:tc>
        <w:tc>
          <w:tcPr>
            <w:tcW w:type="dxa" w:w="1440"/>
            <w:shd w:fill="FFDCE0" w:val="clear"/>
          </w:tcPr>
          <w:p>
            <w:r>
              <w:rPr>
                <w:sz w:val="17"/>
              </w:rPr>
              <w:t>38,784</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30,527</w:t>
            </w:r>
          </w:p>
        </w:tc>
        <w:tc>
          <w:tcPr>
            <w:tcW w:type="dxa" w:w="1440"/>
            <w:shd w:fill="FFDCE0" w:val="clear"/>
          </w:tcPr>
          <w:p>
            <w:r>
              <w:rPr>
                <w:b/>
                <w:sz w:val="17"/>
              </w:rPr>
              <w:t>34,740</w:t>
            </w:r>
          </w:p>
        </w:tc>
        <w:tc>
          <w:tcPr>
            <w:tcW w:type="dxa" w:w="1440"/>
            <w:shd w:fill="FFDCE0" w:val="clear"/>
          </w:tcPr>
          <w:p>
            <w:r>
              <w:rPr>
                <w:sz w:val="17"/>
              </w:rPr>
              <w:t>38,952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30,244</w:t>
            </w:r>
          </w:p>
        </w:tc>
        <w:tc>
          <w:tcPr>
            <w:tcW w:type="dxa" w:w="1440"/>
            <w:shd w:fill="FFDCE0" w:val="clear"/>
          </w:tcPr>
          <w:p>
            <w:r>
              <w:rPr>
                <w:b/>
                <w:sz w:val="17"/>
              </w:rPr>
              <w:t>34,676</w:t>
            </w:r>
          </w:p>
        </w:tc>
        <w:tc>
          <w:tcPr>
            <w:tcW w:type="dxa" w:w="1440"/>
            <w:shd w:fill="FFDCE0" w:val="clear"/>
          </w:tcPr>
          <w:p>
            <w:r>
              <w:rPr>
                <w:sz w:val="17"/>
              </w:rPr>
              <w:t>39,108</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3 670 milliards FCFA, Sonatel confirme son statut de poids lourd incontesté de la BRVM, représentant une part significative de la capitalisation totale du marché. Le BPA de 4 136 FCFA indique que chaque action génère un bénéfice substantiel, ce qui justifie un PER de 8,9x. Ce niveau est dans la fourchette basse de la moyenne BRVM (8-12x), suggérant que le marché n'intègre pas pleinement le potentiel de croissance de l'entreprise, malgré sa position dominante. Le P/B de 2,62x reflète la prime de croissance accordée par les investisseurs à la qualité des actifs et à la rentabilité supérieure de l'entreprise. Enfin, un EV/EBITDA de 3,8x est particulièrement attractif, indiquant que la valeur totale de l'entreprise (dette incluse) reste très raisonnable par rapport à sa capacité à générer du cash-flow opérationnel, renforçant la thèse d'une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affiché une performance remarquable de +26,99%, avec une dernière séance en hausse de +1,94% à 36 700 FCFA. Le titre a évolué dans une fourchette de 27 160 FCFA (plus bas) à 36 980 FCFA (plus haut), démontrant une dynamique haussière soutenue. La moyenne du cours sur la période (29 967 FCFA) est nettement supérieure à la médiane (28 905 FCFA), et le skewness positif de 1,508 confirme une distribution asymétrique avec des journées majoritairement sous la moyenne, mais ponctuées de fortes progressions. L'écart-type de 2 094 FCFA (CV de 7%) indique une dispersion modérée, tandis que le kurtosis de 2,033 signale un risque de mouvements extrêmes (queues épaisses). La volatilité annualisée de 31,2% classe le titre dans la catégorie "élevée", ce qui implique un risque non négligeable pour les investisseurs,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(36 700 FCFA) se positionne nettement au-dessus de la MM20 (32 973,75 FCFA) et de la MM50 (31 326,1 FCFA). Cette configuration haussière, où les moyennes sont orientées à la hausse, confirme la solidité de la tendance et justifie la décision d'achat.</w:t>
      </w:r>
    </w:p>
    <w:p>
      <w:pPr>
        <w:spacing w:after="120" w:line="276" w:lineRule="auto"/>
      </w:pPr>
      <w:r>
        <w:t>**Bandes de Bollinger** : Le prix évolue près de la borne supérieure (37 334,5 FCFA), indiquant une pression acheteuse forte. La largeur des bandes reflète la volatilité élevée du titre. La position proche de la borne supérieure suggère une possible consolidation, mais la tendance reste positive, d'où une décision neutre.</w:t>
      </w:r>
    </w:p>
    <w:p>
      <w:pPr>
        <w:spacing w:after="120" w:line="276" w:lineRule="auto"/>
      </w:pPr>
      <w:r>
        <w:t>**MACD** : Le MACD (1 418,58) est largement au-dessus de sa ligne de signal (1 041,81), avec un écart croissant. Cette divergence positive confirme un momentum haussier puissant, justifiant la décision d'achat.</w:t>
      </w:r>
    </w:p>
    <w:p>
      <w:pPr>
        <w:spacing w:after="120" w:line="276" w:lineRule="auto"/>
      </w:pPr>
      <w:r>
        <w:t>**RSI** : Le RSI à 76,7 est en zone de surachat (&gt;70). Bien que cela reflète une forte dynamique haussière, cela signale également un risque de correction technique à court terme, d'où la décision de vente.</w:t>
      </w:r>
    </w:p>
    <w:p>
      <w:pPr>
        <w:spacing w:after="120" w:line="276" w:lineRule="auto"/>
      </w:pPr>
      <w:r>
        <w:t>**Stochastique** : Le %K (94,5) et le %D (81,0) sont tous deux en zone de surachat extrême, avec un %K au-dessus de %D. Cette configuration indique un marché survendu à la hausse, augmentant le risque d'un retournement, justifiant la décision de vente.</w:t>
      </w:r>
    </w:p>
    <w:p>
      <w:pPr>
        <w:spacing w:after="120" w:line="276" w:lineRule="auto"/>
      </w:pPr>
      <w:r>
        <w:t>**Conclusion technique** : Les indicateurs de tendance (MM, MACD) sont résolument haussiers, mais les oscillateurs de momentum (RSI, Stochastique) signalent des conditions de surachat extrême. Cette divergence suggère une probable consolidation ou correction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fondamentaux solides avec un chiffre d'affaires de 1 923,1 Mds FCFA (+8,3% vs 2024) et un résultat net de 413,6 Mds FCFA (+5,1%). La marge nette s'établit à 21,5%, avec un ROE exceptionnel de 29,6% et un ROA de 12,6%, démontrant une excellente rentabilité. Le BFR négatif de -284,9 Mds FCFA est un signe de grande santé financière, l'entreprise finançant son exploitation grâce à ses fournisseurs (délai fournisseurs de 201 jours contre 46 jours pour les clients). La solvabilité est confortable (174,8%) et la capacité de remboursement est rapide (0,64 an). Les rapports trimestriels 2025 confirment cette dynamique : le T1 2025 (résultat net +14,9%), le S1 2025 (CA +9,4%, résultat net +8,0%) et le T3 2025 (CA 9M +8,6%, résultat net +8,0%). Le rapport S1 2026, publié en juillet 2026, montre une accélération avec un CA de 1 049,8 Mds FCFA (+9,3%) et un résultat net de 230 Mds FCFA (+10,5%), porté par la fibre (+23% de clients) et la 5G. La notation AAA(wu) de GCR Ratings confirme la solidité financière. On estime que l'exercice 2026 devrait dépasser les performances de 2025, avec un CA potentiel de 2 100 Mds FCFA et un résultat net de 450 Mds FCFA.</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(PER 8,9x, EV/EBITDA 3,8x), indiquant une sous-évaluation malgré la hausse du cours. Le comportement du titre est haussier sur 100 jours (+27%), mais les statistiques (kurtosis élevé, volatilité &gt;30%) et les indicateurs techniques en surachat (RSI 76,7, Stochastique 94,5) suggèrent un risque de correction à court terme, bien que la tendance de fond (MM, MACD) reste positive. Les fondamentaux sont excellents, avec une croissance soutenue du CA et des résultats, une rentabilité élevée (ROE 29,6%) et une structure financière saine. Les prédictions IA (35 320 à 35 017 FCFA sur 10 jours) indiquent une légère consolidation, confirmant les signaux techniques. En synthèse, la convergence entre la sous-évaluation, la solidité fondamentale et la tendance haussière de fond, malgré des signaux techniques de court terme, conduit à une recommandation **ACHAT**. Le niveau de confiance est **Élevé**, le risque global est **Moyen** (volatilité et surachat technique). L'horizon d'investissement optimal est le **moyen terme (3-12 mois)**, pour capitaliser sur la croissance des fondamentaux tout en absorbant une éventuelle correction technique.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+6.63%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μ=7,986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β=0.1985 (Défensif) — Cov=0.000007, Var(idx)=0.000036, ρ=0.051,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7,854</w:t>
            </w:r>
          </w:p>
        </w:tc>
        <w:tc>
          <w:tcPr>
            <w:tcW w:type="dxa" w:w="1440"/>
            <w:shd w:fill="FAFAFA" w:val="clear"/>
          </w:tcPr>
          <w:p>
            <w:r>
              <w:rPr>
                <w:b/>
                <w:sz w:val="17"/>
              </w:rPr>
              <w:t>8,221</w:t>
            </w:r>
          </w:p>
        </w:tc>
        <w:tc>
          <w:tcPr>
            <w:tcW w:type="dxa" w:w="1440"/>
            <w:shd w:fill="FAFAFA" w:val="clear"/>
          </w:tcPr>
          <w:p>
            <w:r>
              <w:rPr>
                <w:sz w:val="17"/>
              </w:rPr>
              <w:t>8,588</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7,712</w:t>
            </w:r>
          </w:p>
        </w:tc>
        <w:tc>
          <w:tcPr>
            <w:tcW w:type="dxa" w:w="1440"/>
            <w:shd w:fill="FAFAFA" w:val="clear"/>
          </w:tcPr>
          <w:p>
            <w:r>
              <w:rPr>
                <w:b/>
                <w:sz w:val="17"/>
              </w:rPr>
              <w:t>8,232</w:t>
            </w:r>
          </w:p>
        </w:tc>
        <w:tc>
          <w:tcPr>
            <w:tcW w:type="dxa" w:w="1440"/>
            <w:shd w:fill="FAFAFA" w:val="clear"/>
          </w:tcPr>
          <w:p>
            <w:r>
              <w:rPr>
                <w:sz w:val="17"/>
              </w:rPr>
              <w:t>8,753</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7,606</w:t>
            </w:r>
          </w:p>
        </w:tc>
        <w:tc>
          <w:tcPr>
            <w:tcW w:type="dxa" w:w="1440"/>
            <w:shd w:fill="FAFAFA" w:val="clear"/>
          </w:tcPr>
          <w:p>
            <w:r>
              <w:rPr>
                <w:b/>
                <w:sz w:val="17"/>
              </w:rPr>
              <w:t>8,244</w:t>
            </w:r>
          </w:p>
        </w:tc>
        <w:tc>
          <w:tcPr>
            <w:tcW w:type="dxa" w:w="1440"/>
            <w:shd w:fill="FAFAFA" w:val="clear"/>
          </w:tcPr>
          <w:p>
            <w:r>
              <w:rPr>
                <w:sz w:val="17"/>
              </w:rPr>
              <w:t>8,882</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7,518</w:t>
            </w:r>
          </w:p>
        </w:tc>
        <w:tc>
          <w:tcPr>
            <w:tcW w:type="dxa" w:w="1440"/>
            <w:shd w:fill="FAFAFA" w:val="clear"/>
          </w:tcPr>
          <w:p>
            <w:r>
              <w:rPr>
                <w:b/>
                <w:sz w:val="17"/>
              </w:rPr>
              <w:t>8,255</w:t>
            </w:r>
          </w:p>
        </w:tc>
        <w:tc>
          <w:tcPr>
            <w:tcW w:type="dxa" w:w="1440"/>
            <w:shd w:fill="FAFAFA" w:val="clear"/>
          </w:tcPr>
          <w:p>
            <w:r>
              <w:rPr>
                <w:sz w:val="17"/>
              </w:rPr>
              <w:t>8,993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7,441</w:t>
            </w:r>
          </w:p>
        </w:tc>
        <w:tc>
          <w:tcPr>
            <w:tcW w:type="dxa" w:w="1440"/>
            <w:shd w:fill="FAFAFA" w:val="clear"/>
          </w:tcPr>
          <w:p>
            <w:r>
              <w:rPr>
                <w:b/>
                <w:sz w:val="17"/>
              </w:rPr>
              <w:t>8,267</w:t>
            </w:r>
          </w:p>
        </w:tc>
        <w:tc>
          <w:tcPr>
            <w:tcW w:type="dxa" w:w="1440"/>
            <w:shd w:fill="FAFAFA" w:val="clear"/>
          </w:tcPr>
          <w:p>
            <w:r>
              <w:rPr>
                <w:sz w:val="17"/>
              </w:rPr>
              <w:t>9,093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7,372</w:t>
            </w:r>
          </w:p>
        </w:tc>
        <w:tc>
          <w:tcPr>
            <w:tcW w:type="dxa" w:w="1440"/>
            <w:shd w:fill="FAFAFA" w:val="clear"/>
          </w:tcPr>
          <w:p>
            <w:r>
              <w:rPr>
                <w:b/>
                <w:sz w:val="17"/>
              </w:rPr>
              <w:t>8,278</w:t>
            </w:r>
          </w:p>
        </w:tc>
        <w:tc>
          <w:tcPr>
            <w:tcW w:type="dxa" w:w="1440"/>
            <w:shd w:fill="FAFAFA" w:val="clear"/>
          </w:tcPr>
          <w:p>
            <w:r>
              <w:rPr>
                <w:sz w:val="17"/>
              </w:rPr>
              <w:t>9,184</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7,309</w:t>
            </w:r>
          </w:p>
        </w:tc>
        <w:tc>
          <w:tcPr>
            <w:tcW w:type="dxa" w:w="1440"/>
            <w:shd w:fill="FAFAFA" w:val="clear"/>
          </w:tcPr>
          <w:p>
            <w:r>
              <w:rPr>
                <w:b/>
                <w:sz w:val="17"/>
              </w:rPr>
              <w:t>8,289</w:t>
            </w:r>
          </w:p>
        </w:tc>
        <w:tc>
          <w:tcPr>
            <w:tcW w:type="dxa" w:w="1440"/>
            <w:shd w:fill="FAFAFA" w:val="clear"/>
          </w:tcPr>
          <w:p>
            <w:r>
              <w:rPr>
                <w:sz w:val="17"/>
              </w:rPr>
              <w:t>9,269</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7,251</w:t>
            </w:r>
          </w:p>
        </w:tc>
        <w:tc>
          <w:tcPr>
            <w:tcW w:type="dxa" w:w="1440"/>
            <w:shd w:fill="FAFAFA" w:val="clear"/>
          </w:tcPr>
          <w:p>
            <w:r>
              <w:rPr>
                <w:b/>
                <w:sz w:val="17"/>
              </w:rPr>
              <w:t>8,300</w:t>
            </w:r>
          </w:p>
        </w:tc>
        <w:tc>
          <w:tcPr>
            <w:tcW w:type="dxa" w:w="1440"/>
            <w:shd w:fill="FAFAFA" w:val="clear"/>
          </w:tcPr>
          <w:p>
            <w:r>
              <w:rPr>
                <w:sz w:val="17"/>
              </w:rPr>
              <w:t>9,349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7,197</w:t>
            </w:r>
          </w:p>
        </w:tc>
        <w:tc>
          <w:tcPr>
            <w:tcW w:type="dxa" w:w="1440"/>
            <w:shd w:fill="FAFAFA" w:val="clear"/>
          </w:tcPr>
          <w:p>
            <w:r>
              <w:rPr>
                <w:b/>
                <w:sz w:val="17"/>
              </w:rPr>
              <w:t>8,311</w:t>
            </w:r>
          </w:p>
        </w:tc>
        <w:tc>
          <w:tcPr>
            <w:tcW w:type="dxa" w:w="1440"/>
            <w:shd w:fill="FAFAFA" w:val="clear"/>
          </w:tcPr>
          <w:p>
            <w:r>
              <w:rPr>
                <w:sz w:val="17"/>
              </w:rPr>
              <w:t>9,424</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7,146</w:t>
            </w:r>
          </w:p>
        </w:tc>
        <w:tc>
          <w:tcPr>
            <w:tcW w:type="dxa" w:w="1440"/>
            <w:shd w:fill="FAFAFA" w:val="clear"/>
          </w:tcPr>
          <w:p>
            <w:r>
              <w:rPr>
                <w:b/>
                <w:sz w:val="17"/>
              </w:rPr>
              <w:t>8,321</w:t>
            </w:r>
          </w:p>
        </w:tc>
        <w:tc>
          <w:tcPr>
            <w:tcW w:type="dxa" w:w="1440"/>
            <w:shd w:fill="FAFAFA" w:val="clear"/>
          </w:tcPr>
          <w:p>
            <w:r>
              <w:rPr>
                <w:sz w:val="17"/>
              </w:rPr>
              <w:t>9,497</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28 août 2026**</w:t>
        <w:br/>
        <w:t>**Cours de référence : 8 200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177,14 milliards FCFA positionne SOGC comme une valeur de premier plan sur la BRVM, reflétant la confiance des investisseurs dans ce leader agro-industriel. Avec un BPA de 578 FCFA, chaque action génère un bénéfice substantiel, justifiant un PER de 14,2x. Ce ratio est supérieur à la moyenne historique de la BRVM (8-12x), indiquant que le marché accorde une prime de croissance à la société, probablement en raison de ses performances passées solides et de sa politique de dividende généreuse. Le P/B de 2,59x confirme cette prime, le marché valorisant la société à plus de 2,5 fois ses capitaux propres, ce qui témoigne d'une création de valeur significative. Enfin, un EV/EBITDA de 7,4x reste dans une zone raisonnable, suggérant que la valorisation globale de l'entreprise, rapportée à sa capacité opérationnelle, n'est pas excessivement élevée. L'ensemble de ces ratios dépeint une société de qualité, dont la valorisation intègre déjà des attentes de croissance, mais sans excès flagrant.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de +6,63%, avec une dernière séance stable (0,00%). Le titre a évolué dans une fourchette de 7 100 FCFA (plus bas) à 8 600 FCFA (plus haut), démontrant une amplitude de trading de 1 500 FCFA. La moyenne du cours sur la période est de 7 986 FCFA, très proche de la médiane (8 010 FCFA), ce qui indique une distribution des prix relativement symétrique, confirmée par un skewness de -0,404. L'écart-type de 387 FCFA, avec un coefficient de variation de 4,8%, révèle une dispersion modérée des prix autour de la moyenne. Le kurtosis de -0,941 (mésokurtique) suggère une distribution proche de la normale, sans risque de pics extrêmes. Cependant, la volatilité annualisée de 36,7% classe le titre dans la catégorie des valeurs à forte volatilité (&gt;30%), ce qui implique des fluctuations de prix potentielles importantes, un facteur de risque à considérer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La MM20 (8 049 FCFA) est inférieure à la MM50 (8 193,3 FCFA), et le cours actuel (8 200 FCFA) se situe au-dessus de la MM20 mais en dessous de la MM50. Cette configuration, où le prix est sous la moyenne à long terme, génère un signal de vente, indiquant une possible faiblesse de la tendance de fond, malgré un récent rebond à court terme.</w:t>
      </w:r>
    </w:p>
    <w:p>
      <w:pPr>
        <w:spacing w:after="120" w:line="276" w:lineRule="auto"/>
      </w:pPr>
      <w:r>
        <w:t>**Bandes de Bollinger:** Le prix actuel de 8 200 FCFA se positionne dans la partie médiane-haute du canal formé par les bandes (borne inférieure à 7 557,6 FCFA et borne supérieure à 8 540,4 FCFA). La décision est neutre, le cours n'étant pas en situation de surachat ni de survente. La largeur des bandes suggère une volatilité modérée, le prix évoluant sans pression directionnelle forte.</w:t>
      </w:r>
    </w:p>
    <w:p>
      <w:pPr>
        <w:spacing w:after="120" w:line="276" w:lineRule="auto"/>
      </w:pPr>
      <w:r>
        <w:t>**MACD:** La valeur du MACD (10,997) est positive et nettement supérieure à sa ligne de signal (-29,499). Cette divergence haussière est un signal d'achat classique, indiquant que le momentum à moyen terme devient positif et que la dynamique des prix pourrait s'accélérer à la hausse.</w:t>
      </w:r>
    </w:p>
    <w:p>
      <w:pPr>
        <w:spacing w:after="120" w:line="276" w:lineRule="auto"/>
      </w:pPr>
      <w:r>
        <w:t>**RSI:** Avec une valeur de 52,404, le RSI se situe en zone neutre (entre 30 et 70). Cela indique que le titre n'est ni suracheté ni survendu, laissant une marge de manœuvre dans les deux sens. La décision est neutre, le momentum n'étant pas assez fort pour signaler une tendance claire.</w:t>
      </w:r>
    </w:p>
    <w:p>
      <w:pPr>
        <w:spacing w:after="120" w:line="276" w:lineRule="auto"/>
      </w:pPr>
      <w:r>
        <w:t>**Stochastique:** Le %K et le %D sont tous deux à 90,769, en zone de surachat (&gt;80). Ce niveau élevé signale que le titre a fortement progressé récemment et pourrait être sujet à un repli technique à court terme. La décision est donc une vente, anticipant une possible correction.</w:t>
      </w:r>
    </w:p>
    <w:p>
      <w:pPr>
        <w:spacing w:after="120" w:line="276" w:lineRule="auto"/>
      </w:pPr>
      <w:r>
        <w:t>**Conclusion technique :** Les signaux sont mitigés. Le MACD est haussier, mais les moyennes mobiles et le stochastique suggèrent une prudence à court terme. Le RSI et les bandes de Bollinger sont neutres. Cette divergence indique une phase de consolidation potentielle, où le titre pourrait hésiter avant de poursuivre sa tendance. La prudence est de mise, avec une possible poursuite de la hausse si le MACD confirme son signal, mais un risque de correction technique existe.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indiquent un chiffre d'affaires de 98,979 milliards FCFA, en croissance de +10,7% par rapport à 2024. Le résultat net s'établit à 12,493 milliards FCFA, en légère baisse de 5% par rapport à 2024 (13,11 milliards FCFA), comme le confirme le rapport annuel 2025. Cette baisse est attribuée à une hausse des coûts des matières premières (+15%). La rentabilité reste néanmoins excellente avec un ROE de 18,26% et un ROA de 13,84%, démontrant une gestion très efficace des actifs et des fonds propres. La marge nette est de 12,62%. La structure financière est très saine avec une autonomie financière de 75,79% et une capacité de remboursement quasi nulle (0,04 an). Le BFR de 7,124 milliards FCFA est positif, mais la trésorerie nette de 4,575 milliards FCFA offre une bonne marge de manœuvre. **Les rapports trimestriels 2025** montrent une dynamique exceptionnelle au T1 (CA +63%, RN +263%) et au S1 (CA +52%, RN +152%), mais un ralentissement marqué au 9M (CA +21%, RN +39,5%), confirmant la tendance baissière des prix du caoutchouc au S2. Sur la base de ces données, on estime que l'exercice 2026 pourrait être plus difficile, avec une pression sur les marges si les prix des matières premières restent élevés et les cours du caoutchouc faibles. Enfin, un dividende brut de 570 FCFA par action a été proposé pour 2025, offrant un rendement d'environ 6,9% au cours actuel, ce qui reste attractif.</w:t>
      </w:r>
    </w:p>
    <w:p>
      <w:pPr>
        <w:spacing w:after="120" w:line="276" w:lineRule="auto"/>
      </w:pPr>
      <w:r>
        <w:t>---</w:t>
      </w:r>
    </w:p>
    <w:p>
      <w:pPr>
        <w:spacing w:after="120" w:line="276" w:lineRule="auto"/>
      </w:pPr>
      <w:r>
        <w:t>### PARTIE 4 : CONCLUSION D'INVESTISSEMENT</w:t>
      </w:r>
    </w:p>
    <w:p>
      <w:pPr>
        <w:spacing w:after="120" w:line="276" w:lineRule="auto"/>
      </w:pPr>
      <w:r>
        <w:t>La valorisation actuelle (PER 14,2x, P/B 2,59x) intègre une prime de croissance, mais reste raisonnable pour une société aussi rentable. Le comportement du cours sur 100 jours est positif (+6,63%), mais la volatilité élevée (36,7%) et les statistiques (kurtosis, skewness) suggèrent une stabilité relative sans tendance extrême. Les signaux techniques sont mitigés, avec un MACD haussier contrebalancé par un stochastique suracheté et des moyennes mobiles vendeuses, indiquant une possible consolidation. Les fondamentaux sont solides, avec une croissance du CA, une rentabilité élevée (ROE &gt;18%) et une structure financière saine, mais les perspectives 2026 sont prudentes en raison de la pression sur les coûts et de la baisse des prix du caoutchouc. Les prédictions IA pour les 10 prochains jours (8 221 à 8 267 FCFA) suggèrent une légère hausse, en ligne avec le signal MACD mais contredisant le stochastique. En synthèse, la convergence entre des fondamentaux solides et une valorisation correcte est tempérée par des signaux techniques mixtes et des perspectives sectorielles incertaines. Par conséquent, la recommandation est de **CONSERVER** le titre. Le niveau de confiance est **Moyen**, le risque global est **Moyen**, et l'horizon d'investissement optimal est le **moyen terme (3-12 mois)**, en attendant de voir comment la société navigue dans un environnement de prix plus difficile.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5,555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+34.94%</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7.97% (Moyenne) — μ=7,559 FCFA, σ=602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β=1.0531 (Neutre (suit le marché)) — Cov=0.000038, Var(idx)=0.000036, ρ=0.256,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8,806</w:t>
            </w:r>
          </w:p>
        </w:tc>
        <w:tc>
          <w:tcPr>
            <w:tcW w:type="dxa" w:w="1440"/>
            <w:shd w:fill="FFDCE0" w:val="clear"/>
          </w:tcPr>
          <w:p>
            <w:r>
              <w:rPr>
                <w:b/>
                <w:sz w:val="17"/>
              </w:rPr>
              <w:t>9,249</w:t>
            </w:r>
          </w:p>
        </w:tc>
        <w:tc>
          <w:tcPr>
            <w:tcW w:type="dxa" w:w="1440"/>
            <w:shd w:fill="FFDCE0" w:val="clear"/>
          </w:tcPr>
          <w:p>
            <w:r>
              <w:rPr>
                <w:sz w:val="17"/>
              </w:rPr>
              <w:t>9,693</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8,595</w:t>
            </w:r>
          </w:p>
        </w:tc>
        <w:tc>
          <w:tcPr>
            <w:tcW w:type="dxa" w:w="1440"/>
            <w:shd w:fill="FFDCE0" w:val="clear"/>
          </w:tcPr>
          <w:p>
            <w:r>
              <w:rPr>
                <w:b/>
                <w:sz w:val="17"/>
              </w:rPr>
              <w:t>9,220</w:t>
            </w:r>
          </w:p>
        </w:tc>
        <w:tc>
          <w:tcPr>
            <w:tcW w:type="dxa" w:w="1440"/>
            <w:shd w:fill="FFDCE0" w:val="clear"/>
          </w:tcPr>
          <w:p>
            <w:r>
              <w:rPr>
                <w:sz w:val="17"/>
              </w:rPr>
              <w:t>9,846</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8,415</w:t>
            </w:r>
          </w:p>
        </w:tc>
        <w:tc>
          <w:tcPr>
            <w:tcW w:type="dxa" w:w="1440"/>
            <w:shd w:fill="FFDCE0" w:val="clear"/>
          </w:tcPr>
          <w:p>
            <w:r>
              <w:rPr>
                <w:b/>
                <w:sz w:val="17"/>
              </w:rPr>
              <w:t>9,177</w:t>
            </w:r>
          </w:p>
        </w:tc>
        <w:tc>
          <w:tcPr>
            <w:tcW w:type="dxa" w:w="1440"/>
            <w:shd w:fill="FFDCE0" w:val="clear"/>
          </w:tcPr>
          <w:p>
            <w:r>
              <w:rPr>
                <w:sz w:val="17"/>
              </w:rPr>
              <w:t>9,938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8,260</w:t>
            </w:r>
          </w:p>
        </w:tc>
        <w:tc>
          <w:tcPr>
            <w:tcW w:type="dxa" w:w="1440"/>
            <w:shd w:fill="FFDCE0" w:val="clear"/>
          </w:tcPr>
          <w:p>
            <w:r>
              <w:rPr>
                <w:b/>
                <w:sz w:val="17"/>
              </w:rPr>
              <w:t>9,136</w:t>
            </w:r>
          </w:p>
        </w:tc>
        <w:tc>
          <w:tcPr>
            <w:tcW w:type="dxa" w:w="1440"/>
            <w:shd w:fill="FFDCE0" w:val="clear"/>
          </w:tcPr>
          <w:p>
            <w:r>
              <w:rPr>
                <w:sz w:val="17"/>
              </w:rPr>
              <w:t>10,012</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8,123</w:t>
            </w:r>
          </w:p>
        </w:tc>
        <w:tc>
          <w:tcPr>
            <w:tcW w:type="dxa" w:w="1440"/>
            <w:shd w:fill="FFDCE0" w:val="clear"/>
          </w:tcPr>
          <w:p>
            <w:r>
              <w:rPr>
                <w:b/>
                <w:sz w:val="17"/>
              </w:rPr>
              <w:t>9,098</w:t>
            </w:r>
          </w:p>
        </w:tc>
        <w:tc>
          <w:tcPr>
            <w:tcW w:type="dxa" w:w="1440"/>
            <w:shd w:fill="FFDCE0" w:val="clear"/>
          </w:tcPr>
          <w:p>
            <w:r>
              <w:rPr>
                <w:sz w:val="17"/>
              </w:rPr>
              <w:t>10,073</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7,996</w:t>
            </w:r>
          </w:p>
        </w:tc>
        <w:tc>
          <w:tcPr>
            <w:tcW w:type="dxa" w:w="1440"/>
            <w:shd w:fill="FFDCE0" w:val="clear"/>
          </w:tcPr>
          <w:p>
            <w:r>
              <w:rPr>
                <w:b/>
                <w:sz w:val="17"/>
              </w:rPr>
              <w:t>9,060</w:t>
            </w:r>
          </w:p>
        </w:tc>
        <w:tc>
          <w:tcPr>
            <w:tcW w:type="dxa" w:w="1440"/>
            <w:shd w:fill="FFDCE0" w:val="clear"/>
          </w:tcPr>
          <w:p>
            <w:r>
              <w:rPr>
                <w:sz w:val="17"/>
              </w:rPr>
              <w:t>10,124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7,878</w:t>
            </w:r>
          </w:p>
        </w:tc>
        <w:tc>
          <w:tcPr>
            <w:tcW w:type="dxa" w:w="1440"/>
            <w:shd w:fill="FFDCE0" w:val="clear"/>
          </w:tcPr>
          <w:p>
            <w:r>
              <w:rPr>
                <w:b/>
                <w:sz w:val="17"/>
              </w:rPr>
              <w:t>9,022</w:t>
            </w:r>
          </w:p>
        </w:tc>
        <w:tc>
          <w:tcPr>
            <w:tcW w:type="dxa" w:w="1440"/>
            <w:shd w:fill="FFDCE0" w:val="clear"/>
          </w:tcPr>
          <w:p>
            <w:r>
              <w:rPr>
                <w:sz w:val="17"/>
              </w:rPr>
              <w:t>10,167</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7,767</w:t>
            </w:r>
          </w:p>
        </w:tc>
        <w:tc>
          <w:tcPr>
            <w:tcW w:type="dxa" w:w="1440"/>
            <w:shd w:fill="FFDCE0" w:val="clear"/>
          </w:tcPr>
          <w:p>
            <w:r>
              <w:rPr>
                <w:b/>
                <w:sz w:val="17"/>
              </w:rPr>
              <w:t>8,985</w:t>
            </w:r>
          </w:p>
        </w:tc>
        <w:tc>
          <w:tcPr>
            <w:tcW w:type="dxa" w:w="1440"/>
            <w:shd w:fill="FFDCE0" w:val="clear"/>
          </w:tcPr>
          <w:p>
            <w:r>
              <w:rPr>
                <w:sz w:val="17"/>
              </w:rPr>
              <w:t>10,204</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7,662</w:t>
            </w:r>
          </w:p>
        </w:tc>
        <w:tc>
          <w:tcPr>
            <w:tcW w:type="dxa" w:w="1440"/>
            <w:shd w:fill="FFDCE0" w:val="clear"/>
          </w:tcPr>
          <w:p>
            <w:r>
              <w:rPr>
                <w:b/>
                <w:sz w:val="17"/>
              </w:rPr>
              <w:t>8,949</w:t>
            </w:r>
          </w:p>
        </w:tc>
        <w:tc>
          <w:tcPr>
            <w:tcW w:type="dxa" w:w="1440"/>
            <w:shd w:fill="FFDCE0" w:val="clear"/>
          </w:tcPr>
          <w:p>
            <w:r>
              <w:rPr>
                <w:sz w:val="17"/>
              </w:rPr>
              <w:t>10,236</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7,562</w:t>
            </w:r>
          </w:p>
        </w:tc>
        <w:tc>
          <w:tcPr>
            <w:tcW w:type="dxa" w:w="1440"/>
            <w:shd w:fill="FFDCE0" w:val="clear"/>
          </w:tcPr>
          <w:p>
            <w:r>
              <w:rPr>
                <w:b/>
                <w:sz w:val="17"/>
              </w:rPr>
              <w:t>8,913</w:t>
            </w:r>
          </w:p>
        </w:tc>
        <w:tc>
          <w:tcPr>
            <w:tcW w:type="dxa" w:w="1440"/>
            <w:shd w:fill="FFDCE0" w:val="clear"/>
          </w:tcPr>
          <w:p>
            <w:r>
              <w:rPr>
                <w:sz w:val="17"/>
              </w:rPr>
              <w:t>10,264</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242,80 milliards FCFA, positionnant la société comme l'une des capitalisations majeures de la BRVM, reflétant son statut de leader régional dans la transformation du caoutchouc naturel. Avec un BPA de 977 FCFA, chaque action génère un bénéfice substantiel, ce qui justifie un PER de 9,7x, inférieur à la moyenne historique du marché BRVM (8-12x). Ce niveau de PER suggère que le marché n'intègre pas pleinement le potentiel de croissance de l'entreprise, indiquant une possible sous-évaluation relative. Le P/B de 1,76x, bien que supérieur à 1, indique que le marché valorise la société à 76% au-dessus de sa valeur comptable, ce qui est raisonnable pour une entreprise avec un ROE de 18,1%. Enfin, l'EV/EBITDA de 5,9x, dans la fourchette basse des 5-10x jugés raisonnables, confirme que la valeur totale de l'entreprise (dette incluse) reste attractive par rapport à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exceptionnelle de +34,94%, avec une accélération notable lors de la dernière séance (+3,26% à 9 500 FCFA). Le titre a évolué dans une fourchette large de 6 720 FCFA (plus bas) à 9 660 FCFA (plus haut), démontrant une forte dynamique haussière. La moyenne du cours sur la période (7 559 FCFA) est légèrement supérieure à la médiane (7 498 FCFA), indiquant une distribution légèrement asymétrique où les jours de hausse ont été plus marqués. L'écart-type de 605 FCFA (CV=8,0%) témoigne d'une dispersion modérée autour de la moyenne. Cependant, le kurtosis élevé (3,204) signale un risque de mouvements extrêmes (queues épaisses), tandis que le skewness positif (1,732) confirme une asymétrie avec des journées plus fréquentes sous la moyenne, mais des pics de hausse plus prononcés. La volatilité annualisée de 39,4% classe le titre comme très volatil (&gt;30%), un niveau élevé qui reflète la sensibilité aux cours mondiaux du caoutchouc et aux nouvelles économiques.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(9 500 FCFA) se positionne nettement au-dessus de la MM20 (8 377 FCFA) et de la MM50 (7 911 FCFA), avec un écart de +13,4% et +20,1% respectivement. Cette configuration haussière, où le prix évolue au-dessus des deux moyennes, confirme une tendance de fond solide et justifie la décision d'**Achat**. La pente ascendante des moyennes renforce ce signal positif.</w:t>
      </w:r>
    </w:p>
    <w:p>
      <w:pPr>
        <w:spacing w:after="120" w:line="276" w:lineRule="auto"/>
      </w:pPr>
      <w:r>
        <w:t>**Bandes de Bollinger :** Le prix (9 500 FCFA) se situe sous la borne supérieure (9 969 FCFA) mais dans la partie haute des bandes, indiquant une pression acheteuse soutenue sans atteindre des niveaux extrêmes de surachat. La largeur des bandes (écart de 3 184 FCFA) reflète la volatilité élevée du titre. La décision est **Neutre**, car le prix n'a pas encore touché la borne supérieure, laissant un potentiel de hausse technique.</w:t>
      </w:r>
    </w:p>
    <w:p>
      <w:pPr>
        <w:spacing w:after="120" w:line="276" w:lineRule="auto"/>
      </w:pPr>
      <w:r>
        <w:t>**MACD :** La valeur du MACD (483,42) est nettement supérieure à son signal (373,84), avec un écart positif de 109,58 points. Cette divergence positive indique un momentum haussier fort et en accélération. La décision est **Achat**, confirmant la dynamique positive du titre à moyen terme.</w:t>
      </w:r>
    </w:p>
    <w:p>
      <w:pPr>
        <w:spacing w:after="120" w:line="276" w:lineRule="auto"/>
      </w:pPr>
      <w:r>
        <w:t>**RSI :** Le RSI à 74,49 est entré en zone de surachat (&gt;70), signalant que le titre a connu une hausse trop rapide et pourrait être sujet à une correction technique à court terme. La décision est **Vente**, suggérant une prudence pour les investisseurs à très court terme malgré la tendance haussière sous-jacente.</w:t>
      </w:r>
    </w:p>
    <w:p>
      <w:pPr>
        <w:spacing w:after="120" w:line="276" w:lineRule="auto"/>
      </w:pPr>
      <w:r>
        <w:t>**Stochastique :** Le %K (91,06) et le %D (82,46) sont tous deux en zone de surachat (&gt;80), avec un %K au-dessus du %D. Cette configuration indique une force acheteuse extrême mais également un risque élevé de retournement. La décision est **Vente**, cohérente avec le signal du RSI.</w:t>
      </w:r>
    </w:p>
    <w:p>
      <w:pPr>
        <w:spacing w:after="120" w:line="276" w:lineRule="auto"/>
      </w:pPr>
      <w:r>
        <w:t>**Conclusion technique :** Les indicateurs de tendance (MM, MACD) sont résolument haussiers, tandis que les oscillateurs (RSI, Stochastique) signalent une situation de surachat. Cette divergence suggère que la tendance de fond reste positive, mais qu'un repli technique est probable à très court terme avant la poursuite de la hausse. La stratégie optimale serait d'attendre un léger reflux pour renforcer les positions.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 SPHC font état d'un chiffre d'affaires de 340,83 milliards FCFA, en hausse de 22% par rapport à 2024 (279,44 milliards FCFA), et d'un résultat net de 24,97 milliards FCFA, en progression de 32,9%. La marge nette s'améliore à 7,33%, tandis que le ROE atteint 18,1% et le ROA 11,06%, des niveaux excellents pour le secteur. La structure financière est saine avec une autonomie financière de 61,1%, une solvabilité générale de 256,9% et une capacité de remboursement de 0,97 an. Le BFR de 65,39 milliards FCFA (positif) et le délai client de 35 jours indiquent une gestion opérationnelle correcte, bien que la trésorerie nette reste négative (-15,41 milliards FCFA). **Les rapports trimestriels 2025** confirment cette dynamique : le T1 2025 affichait un CA de 94,3 milliards (+72%) et un résultat net de 11,8 milliards (+949%), le S1 2025 un CA de 171,4 milliards (+51%) et un résultat net de 18,1 milliards (+449%), et le T3 2025 un CA de 253,7 milliards (+36%) et un résultat net de 23,2 milliards (+131%). **Cependant, le rapport T1 2026** (publié en 2026) révèle un net ralentissement : CA de 71,8 milliards (-24%) et résultat net de 2,6 milliards (-78%), pénalisé par la chute des cours mondiaux du caoutchouc et l'engorgement du port de San Pedro. Sur la base de ce T1 2026, on estime que l'exercice 2026 pourrait voir un CA annuel autour de 287 milliards FCFA (-16%) et un résultat net d'environ 10,4 milliards FCFA (-58%), si la reprise des cours se confirme au S2. La recommandation fondamentale reste **CONSERVER**, la société affichant des fondamentaux solides mais confrontée à un environnement de prix défavorable.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SPHC. **Sur le plan de la valorisation**, les ratios (PER 9,7x, EV/EBITDA 5,9x) indiquent une sous-évaluation relative, rendant le titre attractif pour un investisseur de long terme. **Le comportement du cours** sur 100 jours (+34,94%) est très favorable, mais la volatilité élevée (39,4%) et les statistiques (kurtosis, skewness) suggèrent un risque de mouvements brusques. **Les signaux techniques** sont partagés : la tendance (MM, MACD) est haussière, mais les oscillateurs (RSI 74,5, Stochastique 91) signalent un surachat imminent. **Les fondamentaux** de 2025 sont solides (ROE 18,1%, croissance CA +22%), mais les estimations pour 2026 basées sur le T1 2026 (-78% de résultat net) indiquent une année difficile. **Les prédictions IA** pour les 10 prochains jours (9 249 à 9 098 FCFA) anticipent une correction de -4,2%, confirmant les signaux de surachat technique. En conclusion, la convergence entre les signaux techniques de surachat et les prédictions IA suggère une consolidation à court terme, mais la sous-évaluation fondamentale et la solidité financière plaident pour une détention à moyen/long terme. **Recommandation finale : CONSERVER**, avec un niveau de confiance **Moyen** et un risque global **Élevé**. L'horizon d'investissement optimal est le **moyen terme (3-12 mois)**, en attendant une stabilisation des cours du caoutchouc et une confirmation de la reprise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6,143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B40000"/>
                <w:sz w:val="17"/>
              </w:rPr>
              <w:t>-17.36%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μ=3,032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β=-0.7442 (Contre-cyclique) — Cov=-0.000027, Var(idx)=0.000036, ρ=-0.111,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σ_j=4.01%/j (Modérée) — Vol. annualisée≈63.7%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2,351</w:t>
            </w:r>
          </w:p>
        </w:tc>
        <w:tc>
          <w:tcPr>
            <w:tcW w:type="dxa" w:w="1440"/>
            <w:shd w:fill="FFDCE0" w:val="clear"/>
          </w:tcPr>
          <w:p>
            <w:r>
              <w:rPr>
                <w:b/>
                <w:sz w:val="17"/>
              </w:rPr>
              <w:t>2,456</w:t>
            </w:r>
          </w:p>
        </w:tc>
        <w:tc>
          <w:tcPr>
            <w:tcW w:type="dxa" w:w="1440"/>
            <w:shd w:fill="FFDCE0" w:val="clear"/>
          </w:tcPr>
          <w:p>
            <w:r>
              <w:rPr>
                <w:sz w:val="17"/>
              </w:rPr>
              <w:t>2,561</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2,183</w:t>
            </w:r>
          </w:p>
        </w:tc>
        <w:tc>
          <w:tcPr>
            <w:tcW w:type="dxa" w:w="1440"/>
            <w:shd w:fill="FFDCE0" w:val="clear"/>
          </w:tcPr>
          <w:p>
            <w:r>
              <w:rPr>
                <w:b/>
                <w:sz w:val="17"/>
              </w:rPr>
              <w:t>2,323</w:t>
            </w:r>
          </w:p>
        </w:tc>
        <w:tc>
          <w:tcPr>
            <w:tcW w:type="dxa" w:w="1440"/>
            <w:shd w:fill="FFDCE0" w:val="clear"/>
          </w:tcPr>
          <w:p>
            <w:r>
              <w:rPr>
                <w:sz w:val="17"/>
              </w:rPr>
              <w:t>2,463</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2,016</w:t>
            </w:r>
          </w:p>
        </w:tc>
        <w:tc>
          <w:tcPr>
            <w:tcW w:type="dxa" w:w="1440"/>
            <w:shd w:fill="FFDCE0" w:val="clear"/>
          </w:tcPr>
          <w:p>
            <w:r>
              <w:rPr>
                <w:b/>
                <w:sz w:val="17"/>
              </w:rPr>
              <w:t>2,177</w:t>
            </w:r>
          </w:p>
        </w:tc>
        <w:tc>
          <w:tcPr>
            <w:tcW w:type="dxa" w:w="1440"/>
            <w:shd w:fill="FFDCE0" w:val="clear"/>
          </w:tcPr>
          <w:p>
            <w:r>
              <w:rPr>
                <w:sz w:val="17"/>
              </w:rPr>
              <w:t>2,338</w:t>
            </w:r>
          </w:p>
        </w:tc>
        <w:tc>
          <w:tcPr>
            <w:tcW w:type="dxa" w:w="1440"/>
            <w:shd w:fill="FFDCE0" w:val="clear"/>
          </w:tcPr>
          <w:p>
            <w:r>
              <w:rPr>
                <w:b/>
                <w:color w:val="C00000"/>
                <w:sz w:val="17"/>
              </w:rPr>
              <w:t>-16.1%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1,868</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1,744</w:t>
            </w:r>
          </w:p>
        </w:tc>
        <w:tc>
          <w:tcPr>
            <w:tcW w:type="dxa" w:w="1440"/>
            <w:shd w:fill="FFDCE0" w:val="clear"/>
          </w:tcPr>
          <w:p>
            <w:r>
              <w:rPr>
                <w:b/>
                <w:sz w:val="17"/>
              </w:rPr>
              <w:t>1,928</w:t>
            </w:r>
          </w:p>
        </w:tc>
        <w:tc>
          <w:tcPr>
            <w:tcW w:type="dxa" w:w="1440"/>
            <w:shd w:fill="FFDCE0" w:val="clear"/>
          </w:tcPr>
          <w:p>
            <w:r>
              <w:rPr>
                <w:sz w:val="17"/>
              </w:rPr>
              <w:t>2,112</w:t>
            </w:r>
          </w:p>
        </w:tc>
        <w:tc>
          <w:tcPr>
            <w:tcW w:type="dxa" w:w="1440"/>
            <w:shd w:fill="FFDCE0" w:val="clear"/>
          </w:tcPr>
          <w:p>
            <w:r>
              <w:rPr>
                <w:b/>
                <w:color w:val="C00000"/>
                <w:sz w:val="17"/>
              </w:rPr>
              <w:t>-25.7%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1,642</w:t>
            </w:r>
          </w:p>
        </w:tc>
        <w:tc>
          <w:tcPr>
            <w:tcW w:type="dxa" w:w="1440"/>
            <w:shd w:fill="FFDCE0" w:val="clear"/>
          </w:tcPr>
          <w:p>
            <w:r>
              <w:rPr>
                <w:b/>
                <w:sz w:val="17"/>
              </w:rPr>
              <w:t>1,834</w:t>
            </w:r>
          </w:p>
        </w:tc>
        <w:tc>
          <w:tcPr>
            <w:tcW w:type="dxa" w:w="1440"/>
            <w:shd w:fill="FFDCE0" w:val="clear"/>
          </w:tcPr>
          <w:p>
            <w:r>
              <w:rPr>
                <w:sz w:val="17"/>
              </w:rPr>
              <w:t>2,026</w:t>
            </w:r>
          </w:p>
        </w:tc>
        <w:tc>
          <w:tcPr>
            <w:tcW w:type="dxa" w:w="1440"/>
            <w:shd w:fill="FFDCE0" w:val="clear"/>
          </w:tcPr>
          <w:p>
            <w:r>
              <w:rPr>
                <w:b/>
                <w:color w:val="C00000"/>
                <w:sz w:val="17"/>
              </w:rPr>
              <w:t>-29.3%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1,559</w:t>
            </w:r>
          </w:p>
        </w:tc>
        <w:tc>
          <w:tcPr>
            <w:tcW w:type="dxa" w:w="1440"/>
            <w:shd w:fill="FFDCE0" w:val="clear"/>
          </w:tcPr>
          <w:p>
            <w:r>
              <w:rPr>
                <w:b/>
                <w:sz w:val="17"/>
              </w:rPr>
              <w:t>1,757</w:t>
            </w:r>
          </w:p>
        </w:tc>
        <w:tc>
          <w:tcPr>
            <w:tcW w:type="dxa" w:w="1440"/>
            <w:shd w:fill="FFDCE0" w:val="clear"/>
          </w:tcPr>
          <w:p>
            <w:r>
              <w:rPr>
                <w:sz w:val="17"/>
              </w:rPr>
              <w:t>1,956</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1,490</w:t>
            </w:r>
          </w:p>
        </w:tc>
        <w:tc>
          <w:tcPr>
            <w:tcW w:type="dxa" w:w="1440"/>
            <w:shd w:fill="FFDCE0" w:val="clear"/>
          </w:tcPr>
          <w:p>
            <w:r>
              <w:rPr>
                <w:b/>
                <w:sz w:val="17"/>
              </w:rPr>
              <w:t>1,695</w:t>
            </w:r>
          </w:p>
        </w:tc>
        <w:tc>
          <w:tcPr>
            <w:tcW w:type="dxa" w:w="1440"/>
            <w:shd w:fill="FFDCE0" w:val="clear"/>
          </w:tcPr>
          <w:p>
            <w:r>
              <w:rPr>
                <w:sz w:val="17"/>
              </w:rPr>
              <w:t>1,899</w:t>
            </w:r>
          </w:p>
        </w:tc>
        <w:tc>
          <w:tcPr>
            <w:tcW w:type="dxa" w:w="1440"/>
            <w:shd w:fill="FFDCE0" w:val="clear"/>
          </w:tcPr>
          <w:p>
            <w:r>
              <w:rPr>
                <w:b/>
                <w:color w:val="C00000"/>
                <w:sz w:val="17"/>
              </w:rPr>
              <w:t>-34.7%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1,432</w:t>
            </w:r>
          </w:p>
        </w:tc>
        <w:tc>
          <w:tcPr>
            <w:tcW w:type="dxa" w:w="1440"/>
            <w:shd w:fill="FFDCE0" w:val="clear"/>
          </w:tcPr>
          <w:p>
            <w:r>
              <w:rPr>
                <w:b/>
                <w:sz w:val="17"/>
              </w:rPr>
              <w:t>1,642</w:t>
            </w:r>
          </w:p>
        </w:tc>
        <w:tc>
          <w:tcPr>
            <w:tcW w:type="dxa" w:w="1440"/>
            <w:shd w:fill="FFDCE0" w:val="clear"/>
          </w:tcPr>
          <w:p>
            <w:r>
              <w:rPr>
                <w:sz w:val="17"/>
              </w:rPr>
              <w:t>1,852</w:t>
            </w:r>
          </w:p>
        </w:tc>
        <w:tc>
          <w:tcPr>
            <w:tcW w:type="dxa" w:w="1440"/>
            <w:shd w:fill="FFDCE0" w:val="clear"/>
          </w:tcPr>
          <w:p>
            <w:r>
              <w:rPr>
                <w:b/>
                <w:color w:val="C00000"/>
                <w:sz w:val="17"/>
              </w:rPr>
              <w:t>-36.7%</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1,382</w:t>
            </w:r>
          </w:p>
        </w:tc>
        <w:tc>
          <w:tcPr>
            <w:tcW w:type="dxa" w:w="1440"/>
            <w:shd w:fill="FFDCE0" w:val="clear"/>
          </w:tcPr>
          <w:p>
            <w:r>
              <w:rPr>
                <w:b/>
                <w:sz w:val="17"/>
              </w:rPr>
              <w:t>1,598</w:t>
            </w:r>
          </w:p>
        </w:tc>
        <w:tc>
          <w:tcPr>
            <w:tcW w:type="dxa" w:w="1440"/>
            <w:shd w:fill="FFDCE0" w:val="clear"/>
          </w:tcPr>
          <w:p>
            <w:r>
              <w:rPr>
                <w:sz w:val="17"/>
              </w:rPr>
              <w:t>1,813</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de l'analyse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relativement modeste dans l'écosystème de la BRVM, reflétant une société de taille moyenne. Le BPA est négatif à -7 FCFA, ce qui signifie que chaque action détruite de la valeur pour son détenteur sur la base des résultats 2025. Par conséquent, le PER est négatif (-361,2x), indiquant que les investisseurs ne peuvent pas valoriser la société sur ses bénéfices actuels, mais plutôt sur des anticipations de redressement. Le P/B de 97,76x est extrêmement élevé, bien au-delà de la référence de 4x, signifiant que le marché valorise l'actif net comptable à une prime considérable, ce qui est exigeant et spéculatif. En l'absence d'EBITDA positif, le ratio EV/EBITDA n'est pas calculable, ce qui confirme la difficulté d'évaluer la société sur des critères de rentabilité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subi une dépréciation sévère de -17,36%, avec une légère baisse de -0,19% lors de la dernière séance, montrant une pression vendeuse persistante. Le cours a évolué dans une fourchette large, entre un plus haut de 3 895 FCFA et un plus bas de 2 515 FCFA, illustrant une forte amplitude de trading. La moyenne du cours sur la période est de 3 032 FCFA, légèrement supérieure à la médiane (2 990 FCFA), indiquant une distribution quasi symétrique, confirmée par un skewness de 0,390. L'écart-type de 342 FCFA (CV = 11,3%) montre une dispersion modérée autour de la moyenne. Le kurtosis de -0,908 (mésokurtique) suggère une absence de pics de volatilité extrêmes, proche d'une distribution normale. La volatilité annualisée de 63,7% est très élevée, classant le titre comme extrêmement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(2 638,25 FCFA) et la MM50 (3 009,1 FCFA) sont toutes deux au-dessus du cours actuel (2 595 FCFA), confirmant une tendance baissière de court et moyen terme. Le croisement de ces moyennes, avec le prix sous la MM20, renforce le signal de vente, indiquant que les acheteurs ne parviennent pas à reprendre le contrôle.</w:t>
      </w:r>
    </w:p>
    <w:p>
      <w:pPr>
        <w:spacing w:after="120" w:line="276" w:lineRule="auto"/>
      </w:pPr>
      <w:r>
        <w:t>**Bandes de Bollinger :** Le prix se situe à 2 595 FCFA, entre la borne inférieure (2 462,44 FCFA) et la borne supérieure (2 814,06 FCFA), proche de la borne basse. Cela suggère une volatilité en contraction et un marché neutre, mais avec un biais baissier, car le cours teste les niveaux de support inférieurs.</w:t>
      </w:r>
    </w:p>
    <w:p>
      <w:pPr>
        <w:spacing w:after="120" w:line="276" w:lineRule="auto"/>
      </w:pPr>
      <w:r>
        <w:t>**MACD :** La valeur MACD (-110,67) est supérieure au signal (-129,04), ce qui génère un croisement haussier. Ce signal d'achat précoce pourrait indiquer un ralentissement de la dynamique baissière, mais il reste en territoire négatif, ce qui limite la portée du signal tant que la ligne MACD ne repasse pas au-dessus de zéro.</w:t>
      </w:r>
    </w:p>
    <w:p>
      <w:pPr>
        <w:spacing w:after="120" w:line="276" w:lineRule="auto"/>
      </w:pPr>
      <w:r>
        <w:t>**RSI :** À 39,19, le RSI est en zone neutre, mais proche de la zone de survente (30). Cela indique que le titre n'est ni suracheté ni survendu, mais qu'il y a un potentiel de baisse supplémentaire si le momentum négatif persiste.</w:t>
      </w:r>
    </w:p>
    <w:p>
      <w:pPr>
        <w:spacing w:after="120" w:line="276" w:lineRule="auto"/>
      </w:pPr>
      <w:r>
        <w:t>**Stochastique :** Le %K (50,0) est au-dessus du %D (36,93), suggérant un croisement haussier en cours. Cependant, ces niveaux restent modérés, et le signal est neutre, car le marché n'a pas encore confirmé une reprise soutenue.</w:t>
      </w:r>
    </w:p>
    <w:p>
      <w:pPr>
        <w:spacing w:after="120" w:line="276" w:lineRule="auto"/>
      </w:pPr>
      <w:r>
        <w:t>**Conclusion technique :** Les indicateurs sont mitigés, avec des signaux de vente dominants (MM) et des signaux d'achat naissants (MACD, Stochastique). La tendance générale reste baissière, mais des signes de stabilisation apparaissent. Le cours est dans une phase de consolidation, et une cassure sous 2 515 FCFA pourrait accélérer la baisse, tandis qu'un rebond au-dessus de 2 814 FCFA serait un premier signal positif.</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STAC révèlent une situation très dégradée : le chiffre d'affaires s'élève à 3,878 milliards FCFA, en forte croissance de +116% par rapport à 2024, mais le résultat net est une perte de -96,56 millions FCFA. La marge nette est négative à -2,49%, et le ROE est de -27,07%, illustrant une rentabilité des capitaux propres très insuffisante. Le ROA est également négatif à -1,77%. La structure financière est fragile avec une autonomie financière de seulement 6,55% (capitaux propres de 356,75 millions FCFA pour un total bilan de 5,447 milliards FCFA), et un ratio d'endettement de 93,45%, indiquant une forte dépendance aux dettes. Le BFR est négatif (-930,47 millions FCFA), ce qui est un point positif, mais le cash-flow opérationnel est très négatif (-2,212 milliards FCFA), montrant une consommation de trésorerie massive. Les rapports trimestriels de 2025 (S1 et 9 mois) confirment une reprise d'activité portée par le chantier de l'aéroport d'Abidjan, avec un CA de 3,456 milliards FCFA sur 9 mois (+176%), mais des pertes nettes persistantes (-477 millions FCFA). On estime que l'exercice 2025 devrait se solder par une perte, malgré la croissance du CA, car la structure de coûts reste inadaptée. Les perspectives de redressement dépendent de la poursuite des travaux et de la sécurisation de nouveaux contrats, mais la trésorerie, bien que positive (1,33 milliard FCFA), est consommée par les pertes opérationnelles.</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avec un P/B de 97,76x et un PER négatif, indiquant une surévaluation spéculative par rapport aux fondamentaux. Le comportement du cours est préoccupant avec une tendance baissière de -17,36% sur 100 jours et une volatilité très élevée (63,7%), bien que les statistiques montrent une distribution normale sans pics extrêmes. Les signaux techniques sont mitigés, avec une tendance baissière dominante mais des signes de stabilisation (MACD et Stochastique haussiers), suggérant une possible consolidation. Les fondamentaux sont très fragiles : malgré une croissance du CA de 116% en 2025, la société reste déficitaire avec un ROE de -27%, et sa structure financière est endettée. Les prédictions IA pour les 10 prochains jours (de 2 456 FCFA à 1 928 FCFA) confirment une poursuite de la baisse, en ligne avec la tendance actuelle. En synthèse, la convergence entre la valorisation excessive, la faiblesse des fondamentaux et les prédictions baissières conduit à une recommandation de **VENTE FORTE**. Le niveau de confiance est **Élevé** et le risque global est **Élevé**. L'horizon d'investissement optimal est le **court terme (&lt; 3 mois)** pour les investisseurs cherchant à limiter leurs pertes, car la société ne montre pas de signes de redressement durable à moyen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401.29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3,662 titres</w:t>
            </w:r>
          </w:p>
        </w:tc>
        <w:tc>
          <w:tcPr>
            <w:tcW w:type="dxa" w:w="2268"/>
            <w:shd w:fill="FFF2CC" w:val="clear"/>
          </w:tcPr>
          <w:p>
            <w:r>
              <w:rPr>
                <w:b/>
                <w:color w:val="503200"/>
                <w:sz w:val="16"/>
              </w:rPr>
              <w:t xml:space="preserve">Cours actuel : </w:t>
            </w:r>
            <w:r>
              <w:rPr>
                <w:color w:val="000000"/>
                <w:sz w:val="17"/>
              </w:rPr>
              <w:t>22,350 FCFA</w:t>
            </w:r>
          </w:p>
          <w:p>
            <w:r>
              <w:rPr>
                <w:b/>
                <w:color w:val="503200"/>
                <w:sz w:val="16"/>
              </w:rPr>
              <w:t xml:space="preserve">Var. 100 jours : </w:t>
            </w:r>
            <w:r>
              <w:rPr>
                <w:b/>
                <w:color w:val="007800"/>
                <w:sz w:val="17"/>
              </w:rPr>
              <w:t>+3.95%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μ=22,289 FCFA, σ=1,371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β=0.4589 (Défensif) — Cov=0.000017,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21,473</w:t>
            </w:r>
          </w:p>
        </w:tc>
        <w:tc>
          <w:tcPr>
            <w:tcW w:type="dxa" w:w="1440"/>
            <w:shd w:fill="FAFAFA" w:val="clear"/>
          </w:tcPr>
          <w:p>
            <w:r>
              <w:rPr>
                <w:b/>
                <w:sz w:val="17"/>
              </w:rPr>
              <w:t>22,692</w:t>
            </w:r>
          </w:p>
        </w:tc>
        <w:tc>
          <w:tcPr>
            <w:tcW w:type="dxa" w:w="1440"/>
            <w:shd w:fill="FAFAFA" w:val="clear"/>
          </w:tcPr>
          <w:p>
            <w:r>
              <w:rPr>
                <w:sz w:val="17"/>
              </w:rPr>
              <w:t>23,911</w:t>
            </w:r>
          </w:p>
        </w:tc>
        <w:tc>
          <w:tcPr>
            <w:tcW w:type="dxa" w:w="1440"/>
            <w:shd w:fill="FAFAFA" w:val="clear"/>
          </w:tcPr>
          <w:p>
            <w:r>
              <w:rPr>
                <w:b/>
                <w:color w:val="008000"/>
                <w:sz w:val="17"/>
              </w:rPr>
              <w:t>+1.5%</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21,141</w:t>
            </w:r>
          </w:p>
        </w:tc>
        <w:tc>
          <w:tcPr>
            <w:tcW w:type="dxa" w:w="1440"/>
            <w:shd w:fill="C6EFCE" w:val="clear"/>
          </w:tcPr>
          <w:p>
            <w:r>
              <w:rPr>
                <w:b/>
                <w:sz w:val="17"/>
              </w:rPr>
              <w:t>22,880</w:t>
            </w:r>
          </w:p>
        </w:tc>
        <w:tc>
          <w:tcPr>
            <w:tcW w:type="dxa" w:w="1440"/>
            <w:shd w:fill="C6EFCE" w:val="clear"/>
          </w:tcPr>
          <w:p>
            <w:r>
              <w:rPr>
                <w:sz w:val="17"/>
              </w:rPr>
              <w:t>24,619</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20,937</w:t>
            </w:r>
          </w:p>
        </w:tc>
        <w:tc>
          <w:tcPr>
            <w:tcW w:type="dxa" w:w="1440"/>
            <w:shd w:fill="C6EFCE" w:val="clear"/>
          </w:tcPr>
          <w:p>
            <w:r>
              <w:rPr>
                <w:b/>
                <w:sz w:val="17"/>
              </w:rPr>
              <w:t>23,086</w:t>
            </w:r>
          </w:p>
        </w:tc>
        <w:tc>
          <w:tcPr>
            <w:tcW w:type="dxa" w:w="1440"/>
            <w:shd w:fill="C6EFCE" w:val="clear"/>
          </w:tcPr>
          <w:p>
            <w:r>
              <w:rPr>
                <w:sz w:val="17"/>
              </w:rPr>
              <w:t>25,235</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20,794</w:t>
            </w:r>
          </w:p>
        </w:tc>
        <w:tc>
          <w:tcPr>
            <w:tcW w:type="dxa" w:w="1440"/>
            <w:shd w:fill="C6EFCE" w:val="clear"/>
          </w:tcPr>
          <w:p>
            <w:r>
              <w:rPr>
                <w:b/>
                <w:sz w:val="17"/>
              </w:rPr>
              <w:t>23,298</w:t>
            </w:r>
          </w:p>
        </w:tc>
        <w:tc>
          <w:tcPr>
            <w:tcW w:type="dxa" w:w="1440"/>
            <w:shd w:fill="C6EFCE" w:val="clear"/>
          </w:tcPr>
          <w:p>
            <w:r>
              <w:rPr>
                <w:sz w:val="17"/>
              </w:rPr>
              <w:t>25,801</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20,691</w:t>
            </w:r>
          </w:p>
        </w:tc>
        <w:tc>
          <w:tcPr>
            <w:tcW w:type="dxa" w:w="1440"/>
            <w:shd w:fill="C6EFCE" w:val="clear"/>
          </w:tcPr>
          <w:p>
            <w:r>
              <w:rPr>
                <w:b/>
                <w:sz w:val="17"/>
              </w:rPr>
              <w:t>23,517</w:t>
            </w:r>
          </w:p>
        </w:tc>
        <w:tc>
          <w:tcPr>
            <w:tcW w:type="dxa" w:w="1440"/>
            <w:shd w:fill="C6EFCE" w:val="clear"/>
          </w:tcPr>
          <w:p>
            <w:r>
              <w:rPr>
                <w:sz w:val="17"/>
              </w:rPr>
              <w:t>26,343</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20,617</w:t>
            </w:r>
          </w:p>
        </w:tc>
        <w:tc>
          <w:tcPr>
            <w:tcW w:type="dxa" w:w="1440"/>
            <w:shd w:fill="C6EFCE" w:val="clear"/>
          </w:tcPr>
          <w:p>
            <w:r>
              <w:rPr>
                <w:b/>
                <w:sz w:val="17"/>
              </w:rPr>
              <w:t>23,743</w:t>
            </w:r>
          </w:p>
        </w:tc>
        <w:tc>
          <w:tcPr>
            <w:tcW w:type="dxa" w:w="1440"/>
            <w:shd w:fill="C6EFCE" w:val="clear"/>
          </w:tcPr>
          <w:p>
            <w:r>
              <w:rPr>
                <w:sz w:val="17"/>
              </w:rPr>
              <w:t>26,868</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20,566</w:t>
            </w:r>
          </w:p>
        </w:tc>
        <w:tc>
          <w:tcPr>
            <w:tcW w:type="dxa" w:w="1440"/>
            <w:shd w:fill="C6EFCE" w:val="clear"/>
          </w:tcPr>
          <w:p>
            <w:r>
              <w:rPr>
                <w:b/>
                <w:sz w:val="17"/>
              </w:rPr>
              <w:t>23,975</w:t>
            </w:r>
          </w:p>
        </w:tc>
        <w:tc>
          <w:tcPr>
            <w:tcW w:type="dxa" w:w="1440"/>
            <w:shd w:fill="C6EFCE" w:val="clear"/>
          </w:tcPr>
          <w:p>
            <w:r>
              <w:rPr>
                <w:sz w:val="17"/>
              </w:rPr>
              <w:t>27,383</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20,535</w:t>
            </w:r>
          </w:p>
        </w:tc>
        <w:tc>
          <w:tcPr>
            <w:tcW w:type="dxa" w:w="1440"/>
            <w:shd w:fill="C6EFCE" w:val="clear"/>
          </w:tcPr>
          <w:p>
            <w:r>
              <w:rPr>
                <w:b/>
                <w:sz w:val="17"/>
              </w:rPr>
              <w:t>24,216</w:t>
            </w:r>
          </w:p>
        </w:tc>
        <w:tc>
          <w:tcPr>
            <w:tcW w:type="dxa" w:w="1440"/>
            <w:shd w:fill="C6EFCE" w:val="clear"/>
          </w:tcPr>
          <w:p>
            <w:r>
              <w:rPr>
                <w:sz w:val="17"/>
              </w:rPr>
              <w:t>27,896</w:t>
            </w:r>
          </w:p>
        </w:tc>
        <w:tc>
          <w:tcPr>
            <w:tcW w:type="dxa" w:w="1440"/>
            <w:shd w:fill="C6EFCE" w:val="clear"/>
          </w:tcPr>
          <w:p>
            <w:r>
              <w:rPr>
                <w:b/>
                <w:color w:val="008000"/>
                <w:sz w:val="17"/>
              </w:rPr>
              <w:t>+8.3%</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20,521</w:t>
            </w:r>
          </w:p>
        </w:tc>
        <w:tc>
          <w:tcPr>
            <w:tcW w:type="dxa" w:w="1440"/>
            <w:shd w:fill="C6EFCE" w:val="clear"/>
          </w:tcPr>
          <w:p>
            <w:r>
              <w:rPr>
                <w:b/>
                <w:sz w:val="17"/>
              </w:rPr>
              <w:t>24,465</w:t>
            </w:r>
          </w:p>
        </w:tc>
        <w:tc>
          <w:tcPr>
            <w:tcW w:type="dxa" w:w="1440"/>
            <w:shd w:fill="C6EFCE" w:val="clear"/>
          </w:tcPr>
          <w:p>
            <w:r>
              <w:rPr>
                <w:sz w:val="17"/>
              </w:rPr>
              <w:t>28,409</w:t>
            </w:r>
          </w:p>
        </w:tc>
        <w:tc>
          <w:tcPr>
            <w:tcW w:type="dxa" w:w="1440"/>
            <w:shd w:fill="C6EFCE" w:val="clear"/>
          </w:tcPr>
          <w:p>
            <w:r>
              <w:rPr>
                <w:b/>
                <w:color w:val="008000"/>
                <w:sz w:val="17"/>
              </w:rPr>
              <w:t>+9.5%</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20,520</w:t>
            </w:r>
          </w:p>
        </w:tc>
        <w:tc>
          <w:tcPr>
            <w:tcW w:type="dxa" w:w="1440"/>
            <w:shd w:fill="C6EFCE" w:val="clear"/>
          </w:tcPr>
          <w:p>
            <w:r>
              <w:rPr>
                <w:b/>
                <w:sz w:val="17"/>
              </w:rPr>
              <w:t>24,721</w:t>
            </w:r>
          </w:p>
        </w:tc>
        <w:tc>
          <w:tcPr>
            <w:tcW w:type="dxa" w:w="1440"/>
            <w:shd w:fill="C6EFCE" w:val="clear"/>
          </w:tcPr>
          <w:p>
            <w:r>
              <w:rPr>
                <w:sz w:val="17"/>
              </w:rPr>
              <w:t>28,922</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401,29 milliards FCFA, ce qui en fait une valeur de première ligne sur la BRVM, représentant un poids significatif dans l'indice composite. Avec un BPA de 2 014 FCFA, chaque action génère un bénéfice confortable, justifiant un PER de 11,1x, légèrement au-dessus de la moyenne historique de la place (~8-12x), ce qui traduit une valorisation raisonnable mais non bradée. En revanche, le P/B de 8,85x est particulièrement élevé, indiquant que le marché valorise très fortement les capitaux propres de l'entreprise, signe d'une prime substantielle par rapport à la valeur comptable. Enfin, l'EV/EBITDA de 8,0x se situe dans la fourchette dite « raisonnable » (5-10x), suggérant que la valeur totale de l'entreprise (capitalisation plus dette nette) reste en phase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+3,95%, mais la dernière séance a vu le cours reculer de -1,50% pour s'établir à 22 350 FCFA. Le titre a évolué dans un range de trading assez large, oscillant entre un plus bas de 19 705 FCFA et un plus haut de 25 000 FCFA, ce qui témoigne d'une volatilité intra-période notable. La moyenne du cours sur la période (22 289 FCFA) est très proche de la médiane (22 048 FCFA), et le mode (21 000 FCFA) est légèrement inférieur, indiquant une distribution quasi symétrique des prix, confirmée par un skewness de 0,284. L'écart-type de 1 378 FCFA, avec un coefficient de variation de 6,2%, révèle une dispersion relativement faible autour de la moyenne. Le kurtosis de -0,976 (mésokurtique) suggère une absence de pics extrêmes, tandis que la volatilité annualisée de 36,3% classe le titre comme très volatil (&gt;30%), un niveau élevé qui implique des fluctuations de prix importantes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22 350 FCFA se situe sous la MM20 (23 304 FCFA) et sous la MM50 (23 431 FCFA), avec une MM20 inférieure à la MM50, configurant une tendance baissière à court et moyen terme. Cette position sous les deux moyennes mobiles justifie la décision de Vente, car elle indique une dynamique de prix négative.</w:t>
      </w:r>
    </w:p>
    <w:p>
      <w:pPr>
        <w:spacing w:after="120" w:line="276" w:lineRule="auto"/>
      </w:pPr>
      <w:r>
        <w:t>**Bandes de Bollinger** : Le prix se négocie près de la borne inférieure (21 411 FCFA) et nettement sous la borne supérieure (25 197 FCFA), avec une largeur de bandes assez étendue. La position du cours dans la moitié inférieure des bandes suggère une pression vendeuse, mais sans contact extrême avec la borne basse, la décision est Neutre, indiquant une volatilité modérée sans signal directionnel fort.</w:t>
      </w:r>
    </w:p>
    <w:p>
      <w:pPr>
        <w:spacing w:after="120" w:line="276" w:lineRule="auto"/>
      </w:pPr>
      <w:r>
        <w:t>**MACD** : La ligne MACD (-304,657) est négative et se situe sous sa ligne de signal (-157,168), confirmant un momentum baissier. La divergence négative entre les deux lignes indique que la dynamique de prix reste sous pression, justifiant la décision de Vente.</w:t>
      </w:r>
    </w:p>
    <w:p>
      <w:pPr>
        <w:spacing w:after="120" w:line="276" w:lineRule="auto"/>
      </w:pPr>
      <w:r>
        <w:t>**RSI** : Le RSI s'établit à 35,208, dans la zone neutre (30-70), mais proche de la zone de survente (30). Cela indique que le titre n'est ni suracheté ni survendu, mais que la pression vendeuse est présente, ce qui justifie une décision Neutre avec un biais baissier.</w:t>
      </w:r>
    </w:p>
    <w:p>
      <w:pPr>
        <w:spacing w:after="120" w:line="276" w:lineRule="auto"/>
      </w:pPr>
      <w:r>
        <w:t>**Stochastique** : Le %K (30,171) est légèrement supérieur au %D (23,101), mais les deux sont en zone de survente (&lt;30). Le croisement potentiel du %K au-dessus du %D pourrait signaler un rebond technique imminent, mais la faiblesse des valeurs justifie une décision Neutre.</w:t>
      </w:r>
    </w:p>
    <w:p>
      <w:pPr>
        <w:spacing w:after="120" w:line="276" w:lineRule="auto"/>
      </w:pPr>
      <w:r>
        <w:t>**Conclusion technique** : L'ensemble des indicateurs techniques (MM, MACD) penche vers une dynamique baissière, tandis que le RSI et le Stochastique, bien que neutres, sont proches de la survente, suggérant un potentiel de rebond technique. La configuration globale reste toutefois négative, avec un cours sous ses moyennes mobiles et un momentum défavorable, mais la proximité des zones de survente pourrait limiter la baisse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STBC (données structurées) révèlent un chiffre d'affaires de 268,537 milliards FCFA, en croissance de +25,3%, et un résultat net de 36,158 milliards FCFA, en baisse par rapport à 2024 (44,2 milliards FCFA). La rentabilité reste excellente avec un ROE de 79,75% et un ROA de 48,09%, bien au-dessus des seuils de référence (&gt;15% pour le ROE). En tant qu'entreprise de distribution, le BFR de 5,639 milliards FCFA est positif, mais le délai clients de 42,57 jours et la durée de stockage de 5,73 jours sont maîtrisés. La structure financière est très saine avec une autonomie financière de 60,3% et une trésorerie nette de 30,763 milliards FCFA. Les rapports narratifs (datés de 2026) confirment ces tendances : le rapport annuel 2025 (DeepSeek, 26/06/2026) souligne la croissance du CA mais la dégradation de la marge nette (13,6% contre 20,7% en 2024) due à la hausse des droits d'accise. Sur la base du rapport T1 2026 (croissance du CA de +12% à 68,8 milliards FCFA, résultat net de 9,3 milliards FCFA), on estime que l'exercice 2026 pourrait voir une stabilisation de la rentabilité, avec un résultat net annuel potentiel autour de 37-38 milliards FCFA si la maîtrise des coûts s'améliore. La recommandation fondamentale est de CONSERVER, la société affichant une solidité financière remarquable et une politique de dividende généreuse (1 940 FCFA/action), mais confrontée à un environnement fiscal de plus en plus contraignant.</w:t>
      </w:r>
    </w:p>
    <w:p>
      <w:pPr>
        <w:spacing w:after="120" w:line="276" w:lineRule="auto" w:before="240"/>
      </w:pPr>
      <w:r>
        <w:rPr>
          <w:b/>
          <w:color w:val="003366"/>
          <w:sz w:val="24"/>
        </w:rPr>
        <w:t>**PARTIE 4 : CONCLUSION D'INVESTISSEMENT**</w:t>
      </w:r>
    </w:p>
    <w:p>
      <w:pPr>
        <w:spacing w:after="120" w:line="276" w:lineRule="auto"/>
      </w:pPr>
      <w:r>
        <w:t>La valorisation de STBC (PER de 11,1x, EV/EBITDA de 8,0x) est raisonnable, mais le P/B de 8,85x reflète une prime élevée qui pourrait limiter le potentiel de hausse. Le comportement du cours sur 100 jours montre une tendance légèrement positive (+3,95%) mais avec une volatilité annualisée élevée (36,3%) et une distribution des prix symétrique, sans signe de distribution extrême. Les signaux techniques sont majoritairement baissiers (MM, MACD) avec un RSI et un Stochastique neutres proches de la survente, indiquant un potentiel de rebond mais pas de retournement confirmé. Les fondamentaux sont solides avec une croissance du CA, une rentabilité exceptionnelle (ROE de 79,75%) et une trésorerie abondante, mais la pression fiscale et la baisse des marges constituent des risques. Les prédictions IA pour les 10 prochains jours (22 692 à 23 517 FCFA) suggèrent une trajectoire haussière, contredisant les signaux techniques à court terme mais confirmant le potentiel de rebond. En synthèse, la convergence entre une valorisation correcte, des fondamentaux robustes et des prédictions IA positives, malgré des signaux techniques baissiers, conduit à une recommandation **CONSERVER**, avec un niveau de confiance **Moyen**, un risque global **Moyen**, et un horizon d'investissement optimal à **moyen terme (3-12 mois)** pour bénéficier du rendement du dividende et d'une éventuelle appréciation du cours.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7,425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+25.69%</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μ=2,903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β=-0.2559 (Contre-cyclique) — Cov=-0.000009, Var(idx)=0.000036, ρ=-0.060,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7,425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3,186</w:t>
            </w:r>
          </w:p>
        </w:tc>
        <w:tc>
          <w:tcPr>
            <w:tcW w:type="dxa" w:w="1440"/>
            <w:shd w:fill="FAFAFA" w:val="clear"/>
          </w:tcPr>
          <w:p>
            <w:r>
              <w:rPr>
                <w:b/>
                <w:sz w:val="17"/>
              </w:rPr>
              <w:t>3,370</w:t>
            </w:r>
          </w:p>
        </w:tc>
        <w:tc>
          <w:tcPr>
            <w:tcW w:type="dxa" w:w="1440"/>
            <w:shd w:fill="FAFAFA" w:val="clear"/>
          </w:tcPr>
          <w:p>
            <w:r>
              <w:rPr>
                <w:sz w:val="17"/>
              </w:rPr>
              <w:t>3,554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3,097</w:t>
            </w:r>
          </w:p>
        </w:tc>
        <w:tc>
          <w:tcPr>
            <w:tcW w:type="dxa" w:w="1440"/>
            <w:shd w:fill="FAFAFA" w:val="clear"/>
          </w:tcPr>
          <w:p>
            <w:r>
              <w:rPr>
                <w:b/>
                <w:sz w:val="17"/>
              </w:rPr>
              <w:t>3,356</w:t>
            </w:r>
          </w:p>
        </w:tc>
        <w:tc>
          <w:tcPr>
            <w:tcW w:type="dxa" w:w="1440"/>
            <w:shd w:fill="FAFAFA" w:val="clear"/>
          </w:tcPr>
          <w:p>
            <w:r>
              <w:rPr>
                <w:sz w:val="17"/>
              </w:rPr>
              <w:t>3,615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3,027</w:t>
            </w:r>
          </w:p>
        </w:tc>
        <w:tc>
          <w:tcPr>
            <w:tcW w:type="dxa" w:w="1440"/>
            <w:shd w:fill="FAFAFA" w:val="clear"/>
          </w:tcPr>
          <w:p>
            <w:r>
              <w:rPr>
                <w:b/>
                <w:sz w:val="17"/>
              </w:rPr>
              <w:t>3,343</w:t>
            </w:r>
          </w:p>
        </w:tc>
        <w:tc>
          <w:tcPr>
            <w:tcW w:type="dxa" w:w="1440"/>
            <w:shd w:fill="FAFAFA" w:val="clear"/>
          </w:tcPr>
          <w:p>
            <w:r>
              <w:rPr>
                <w:sz w:val="17"/>
              </w:rPr>
              <w:t>3,660</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2,966</w:t>
            </w:r>
          </w:p>
        </w:tc>
        <w:tc>
          <w:tcPr>
            <w:tcW w:type="dxa" w:w="1440"/>
            <w:shd w:fill="FFDCE0" w:val="clear"/>
          </w:tcPr>
          <w:p>
            <w:r>
              <w:rPr>
                <w:b/>
                <w:sz w:val="17"/>
              </w:rPr>
              <w:t>3,330</w:t>
            </w:r>
          </w:p>
        </w:tc>
        <w:tc>
          <w:tcPr>
            <w:tcW w:type="dxa" w:w="1440"/>
            <w:shd w:fill="FFDCE0" w:val="clear"/>
          </w:tcPr>
          <w:p>
            <w:r>
              <w:rPr>
                <w:sz w:val="17"/>
              </w:rPr>
              <w:t>3,694</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2,912</w:t>
            </w:r>
          </w:p>
        </w:tc>
        <w:tc>
          <w:tcPr>
            <w:tcW w:type="dxa" w:w="1440"/>
            <w:shd w:fill="FFDCE0" w:val="clear"/>
          </w:tcPr>
          <w:p>
            <w:r>
              <w:rPr>
                <w:b/>
                <w:sz w:val="17"/>
              </w:rPr>
              <w:t>3,317</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2,862</w:t>
            </w:r>
          </w:p>
        </w:tc>
        <w:tc>
          <w:tcPr>
            <w:tcW w:type="dxa" w:w="1440"/>
            <w:shd w:fill="FFDCE0" w:val="clear"/>
          </w:tcPr>
          <w:p>
            <w:r>
              <w:rPr>
                <w:b/>
                <w:sz w:val="17"/>
              </w:rPr>
              <w:t>3,305</w:t>
            </w:r>
          </w:p>
        </w:tc>
        <w:tc>
          <w:tcPr>
            <w:tcW w:type="dxa" w:w="1440"/>
            <w:shd w:fill="FFDCE0" w:val="clear"/>
          </w:tcPr>
          <w:p>
            <w:r>
              <w:rPr>
                <w:sz w:val="17"/>
              </w:rPr>
              <w:t>3,747</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2,816</w:t>
            </w:r>
          </w:p>
        </w:tc>
        <w:tc>
          <w:tcPr>
            <w:tcW w:type="dxa" w:w="1440"/>
            <w:shd w:fill="FFDCE0" w:val="clear"/>
          </w:tcPr>
          <w:p>
            <w:r>
              <w:rPr>
                <w:b/>
                <w:sz w:val="17"/>
              </w:rPr>
              <w:t>3,292</w:t>
            </w:r>
          </w:p>
        </w:tc>
        <w:tc>
          <w:tcPr>
            <w:tcW w:type="dxa" w:w="1440"/>
            <w:shd w:fill="FFDCE0" w:val="clear"/>
          </w:tcPr>
          <w:p>
            <w:r>
              <w:rPr>
                <w:sz w:val="17"/>
              </w:rPr>
              <w:t>3,768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2,773</w:t>
            </w:r>
          </w:p>
        </w:tc>
        <w:tc>
          <w:tcPr>
            <w:tcW w:type="dxa" w:w="1440"/>
            <w:shd w:fill="FFDCE0" w:val="clear"/>
          </w:tcPr>
          <w:p>
            <w:r>
              <w:rPr>
                <w:b/>
                <w:sz w:val="17"/>
              </w:rPr>
              <w:t>3,280</w:t>
            </w:r>
          </w:p>
        </w:tc>
        <w:tc>
          <w:tcPr>
            <w:tcW w:type="dxa" w:w="1440"/>
            <w:shd w:fill="FFDCE0" w:val="clear"/>
          </w:tcPr>
          <w:p>
            <w:r>
              <w:rPr>
                <w:sz w:val="17"/>
              </w:rPr>
              <w:t>3,787</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2,732</w:t>
            </w:r>
          </w:p>
        </w:tc>
        <w:tc>
          <w:tcPr>
            <w:tcW w:type="dxa" w:w="1440"/>
            <w:shd w:fill="FFDCE0" w:val="clear"/>
          </w:tcPr>
          <w:p>
            <w:r>
              <w:rPr>
                <w:b/>
                <w:sz w:val="17"/>
              </w:rPr>
              <w:t>3,268</w:t>
            </w:r>
          </w:p>
        </w:tc>
        <w:tc>
          <w:tcPr>
            <w:tcW w:type="dxa" w:w="1440"/>
            <w:shd w:fill="FFDCE0" w:val="clear"/>
          </w:tcPr>
          <w:p>
            <w:r>
              <w:rPr>
                <w:sz w:val="17"/>
              </w:rPr>
              <w:t>3,804</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2,693</w:t>
            </w:r>
          </w:p>
        </w:tc>
        <w:tc>
          <w:tcPr>
            <w:tcW w:type="dxa" w:w="1440"/>
            <w:shd w:fill="FFDCE0" w:val="clear"/>
          </w:tcPr>
          <w:p>
            <w:r>
              <w:rPr>
                <w:b/>
                <w:sz w:val="17"/>
              </w:rPr>
              <w:t>3,256</w:t>
            </w:r>
          </w:p>
        </w:tc>
        <w:tc>
          <w:tcPr>
            <w:tcW w:type="dxa" w:w="1440"/>
            <w:shd w:fill="FFDCE0" w:val="clear"/>
          </w:tcPr>
          <w:p>
            <w:r>
              <w:rPr>
                <w:sz w:val="17"/>
              </w:rPr>
              <w:t>3,819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214,07 milliards FCFA, TTLC se positionne comme une valeur de première ligne sur la BRVM, représentant un poids significatif dans l'indice. Le BPA de 144 FCFA indique que chaque action a généré ce bénéfice sur l'exercice 2025. Le PER de 23,6x est nettement supérieur à la moyenne historique de la BRVM (8-12x), signifiant que les investisseurs paient une prime substantielle pour les bénéfices de la société, anticipant probablement une croissance future ou valorisant sa position de leader. Le P/B de 5,91x confirme cette prime, le marché valorisant le titre bien au-delà de sa valeur comptable (5,91 fois). Enfin, un EV/EBITDA de 12,0x, bien que dans la fourchette haute (10-15x), indique que la valeur totale de l'entreprise (dette incluse) reste cohérente avec sa capacité à générer du cash-flow opérationnel, bien que cette valorisation reste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performance remarquable de +25,69%, bien que la dernière séance affiche un léger repli de -0,44% à 3 400 FCFA. Le titre a évolué dans une fourchette large de 945 FCFA, entre un plus bas de 2 650 FCFA et un plus haut de 3 595 FCFA, démontrant une forte dynamique haussière. La moyenne (2 903 FCFA) est inférieure à la médiane (2 880 FCFA) et au mode (2 900 FCFA), ce qui, combiné à un skewness positif de 1,601, indique une distribution asymétrique avec des journées de forte hausse qui tirent la moyenne vers le haut, mais un plus grand nombre de séances sous la moyenne. L'écart-type de 177 FCFA (CV=6,1%) montre une dispersion relative modérée. Le kurtosis élevé (3,046) signale un risque de mouvements extrêmes (queues épaisses), tandis que la volatilité annualisée de 40,5% classe le titre comme très volatil (&gt;30%), un niveau élevé qui implique un risque important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est nettement au-dessus de sa MM20 (3 138 FCFA) et de sa MM50 (2 998,9 FCFA). Cette configuration haussière, où les moyennes courtes sont au-dessus des moyennes longues, confirme une tendance positive solide. Le signal d'achat est donc justifié par la vigueur de la tendance.</w:t>
      </w:r>
    </w:p>
    <w:p>
      <w:pPr>
        <w:spacing w:after="120" w:line="276" w:lineRule="auto"/>
      </w:pPr>
      <w:r>
        <w:t>**Bandes de Bollinger** : Le cours se situe à 3 400 FCFA, entre la borne supérieure (3 602,6 FCFA) et la borne inférieure (2 673,3 FCFA), mais plus proche de la borne supérieure. Cette position indique une pression acheteuse soutenue sans être extrême. La décision "Neutre" suggère que le marché n'est pas encore en situation de surachat extrême, mais la proximité de la borne supérieure appelle à la vigilance.</w:t>
      </w:r>
    </w:p>
    <w:p>
      <w:pPr>
        <w:spacing w:after="120" w:line="276" w:lineRule="auto"/>
      </w:pPr>
      <w:r>
        <w:t>**MACD** : Le MACD (138,2) est nettement au-dessus de son signal (104,0), avec un écart positif et croissant. Cette configuration est un signal d'achat fort, confirmant la dynamique haussière du momentum à moyen terme. La tendance est clairement positive.</w:t>
      </w:r>
    </w:p>
    <w:p>
      <w:pPr>
        <w:spacing w:after="120" w:line="276" w:lineRule="auto"/>
      </w:pPr>
      <w:r>
        <w:t>**RSI** : Le RSI à 74,5 est entré en zone de surachat (&gt;70). Cela indique que le titre a fortement monté et qu'un repli technique ou une consolidation est potentiellement à prévoir à court terme. La décision de "Vente" est un signal de prudence, suggérant de ne pas acheter à ces niveaux.</w:t>
      </w:r>
    </w:p>
    <w:p>
      <w:pPr>
        <w:spacing w:after="120" w:line="276" w:lineRule="auto"/>
      </w:pPr>
      <w:r>
        <w:t>**Stochastique** : Le %K (69,8) est inférieur au %D (82,3), ce qui suggère un début de croisement baissier, indiquant un affaiblissement du momentum à très court terme. La décision "Neutre" reflète cette ambiguïté, le titre étant toujours dans une zone positive mais montrant des signes de fatigue.</w:t>
      </w:r>
    </w:p>
    <w:p>
      <w:pPr>
        <w:spacing w:after="120" w:line="276" w:lineRule="auto"/>
      </w:pPr>
      <w:r>
        <w:t>**Conclusion technique** : Les indicateurs de tendance (MM, MACD) sont résolument haussiers, mais les oscillateurs de momentum (RSI, Stochastique) signalent une condition de surachat. La configuration technique globale est positive mais "surchauffée" à court terme, suggérant un potentiel de consolidation ou de correction légère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TTLC a réalisé un chiffre d'affaires de 588,709 milliards FCFA, en baisse de -5,2% par rapport à 2024, et un résultat net de 9,087 milliards FCFA. La société affiche une rentabilité des capitaux propres (ROE) excellente de 25,1%, bien au-dessus du seuil de 15%, et un ROA de 4,8%. En tant qu'entreprise de distribution, son BFR est négatif (-9,662 milliards FCFA), ce qui est favorable et témoigne d'un pouvoir de négociation important vis-à-vis de ses fournisseurs (délai fournisseurs de 49,7 jours). Cependant, la structure financière montre une dépendance élevée (80,8%) et un ratio d'endettement de 90,2%. Les rapports trimestriels de 2025 confirment la tendance : le S1 2025 (rapport daté de 2025) montre un CA en baisse de -7,1% et un résultat net en chute de -25,5% à 4,79 milliards FCFA, tandis que le cumul au T3 2025 (rapport daté de 2025) affiche un CA de 438,2 milliards FCFA (-5,7%) et un résultat net de 6,52 milliards FCFA (-30,2%). Ces baisses sont attribuées à un effet de base défavorable et à une hausse de la charge fiscale. Cependant, le rapport du T1 2026 (daté de 2026) marque un net renversement de tendance avec un CA de 154,392 milliards FCFA (+4,3%) et un résultat net de 2,329 milliards FCFA (+5,5%), signalant une amélioration de la rentabilité. La politique de dividende reste très généreuse avec un dividende brut de 10 milliards FCFA proposé pour 2025, soit un taux de distribution supérieur à 100%. Les fondamentaux sont donc solides, avec une amélioration opérationnelle (EBE +12% en 2025) et un début d'exercice 2026 positif, mais la dégradation de la trésorerie nette (-21,9 milliards FCFA) et l'endettement élevé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23,6x, P/B 5,91x), ce qui reflète la prime de qualité accordée au leader du marché, mais laisse peu de marge d'erreur. Le comportement du cours sur 100 jours est très haussier (+25,7%) mais avec une volatilité élevée (40,5%) et des signes de surachat technique (RSI, Stochastique) qui suggèrent un risque de consolidation à court terme. Les signaux techniques sont donc mitigés : tendance positive mais momentum à court terme à bout de souffle. Les fondamentaux, bien qu'en amélioration opérationnelle, montrent une baisse du chiffre d'affaires en 2025, mais le T1 2026 (+4,3% CA, +5,5% RN) et les prédictions IA (baisse progressive de 3 370 à 3 317 FCFA sur 10 jours) suggèrent une stabilisation et une correction technique après la forte hausse. En synthèse, la convergence entre la solidité fondamentale, la reprise de la croissance et la tendance de fond haussière est contrebalancée par une valorisation élevée et des signaux techniques de court terme négatifs. La recommandation finale est **CONSERVER** avec un niveau de confiance **Moyen**. Le risque global est **Élevé** en raison de la volatilité et du surachat technique. L'horizon d'investissement optimal est le **moyen terme (3-12 mois)**, en attendant une correction ou une consolidation des indicateurs techniques pour renforcer la position, tout en bénéficiant de la reprise de la croissance et de la politique de dividende attractive.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2,632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10.51% (Moyenne) — μ=3,508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β=0.7759 (Défensif) — Cov=0.000028, Var(idx)=0.000036, ρ=0.155,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3,478</w:t>
            </w:r>
          </w:p>
        </w:tc>
        <w:tc>
          <w:tcPr>
            <w:tcW w:type="dxa" w:w="1440"/>
            <w:shd w:fill="FFDCE0" w:val="clear"/>
          </w:tcPr>
          <w:p>
            <w:r>
              <w:rPr>
                <w:b/>
                <w:sz w:val="17"/>
              </w:rPr>
              <w:t>3,638</w:t>
            </w:r>
          </w:p>
        </w:tc>
        <w:tc>
          <w:tcPr>
            <w:tcW w:type="dxa" w:w="1440"/>
            <w:shd w:fill="FFDCE0" w:val="clear"/>
          </w:tcPr>
          <w:p>
            <w:r>
              <w:rPr>
                <w:sz w:val="17"/>
              </w:rPr>
              <w:t>3,798</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3,354</w:t>
            </w:r>
          </w:p>
        </w:tc>
        <w:tc>
          <w:tcPr>
            <w:tcW w:type="dxa" w:w="1440"/>
            <w:shd w:fill="FFDCE0" w:val="clear"/>
          </w:tcPr>
          <w:p>
            <w:r>
              <w:rPr>
                <w:b/>
                <w:sz w:val="17"/>
              </w:rPr>
              <w:t>3,577</w:t>
            </w:r>
          </w:p>
        </w:tc>
        <w:tc>
          <w:tcPr>
            <w:tcW w:type="dxa" w:w="1440"/>
            <w:shd w:fill="FFDCE0" w:val="clear"/>
          </w:tcPr>
          <w:p>
            <w:r>
              <w:rPr>
                <w:sz w:val="17"/>
              </w:rPr>
              <w:t>3,799</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3,254</w:t>
            </w:r>
          </w:p>
        </w:tc>
        <w:tc>
          <w:tcPr>
            <w:tcW w:type="dxa" w:w="1440"/>
            <w:shd w:fill="FFDCE0" w:val="clear"/>
          </w:tcPr>
          <w:p>
            <w:r>
              <w:rPr>
                <w:b/>
                <w:sz w:val="17"/>
              </w:rPr>
              <w:t>3,522</w:t>
            </w:r>
          </w:p>
        </w:tc>
        <w:tc>
          <w:tcPr>
            <w:tcW w:type="dxa" w:w="1440"/>
            <w:shd w:fill="FFDCE0" w:val="clear"/>
          </w:tcPr>
          <w:p>
            <w:r>
              <w:rPr>
                <w:sz w:val="17"/>
              </w:rPr>
              <w:t>3,790</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3,169</w:t>
            </w:r>
          </w:p>
        </w:tc>
        <w:tc>
          <w:tcPr>
            <w:tcW w:type="dxa" w:w="1440"/>
            <w:shd w:fill="FFDCE0" w:val="clear"/>
          </w:tcPr>
          <w:p>
            <w:r>
              <w:rPr>
                <w:b/>
                <w:sz w:val="17"/>
              </w:rPr>
              <w:t>3,475</w:t>
            </w:r>
          </w:p>
        </w:tc>
        <w:tc>
          <w:tcPr>
            <w:tcW w:type="dxa" w:w="1440"/>
            <w:shd w:fill="FFDCE0" w:val="clear"/>
          </w:tcPr>
          <w:p>
            <w:r>
              <w:rPr>
                <w:sz w:val="17"/>
              </w:rPr>
              <w:t>3,780</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3,095</w:t>
            </w:r>
          </w:p>
        </w:tc>
        <w:tc>
          <w:tcPr>
            <w:tcW w:type="dxa" w:w="1440"/>
            <w:shd w:fill="FFDCE0" w:val="clear"/>
          </w:tcPr>
          <w:p>
            <w:r>
              <w:rPr>
                <w:b/>
                <w:sz w:val="17"/>
              </w:rPr>
              <w:t>3,432</w:t>
            </w:r>
          </w:p>
        </w:tc>
        <w:tc>
          <w:tcPr>
            <w:tcW w:type="dxa" w:w="1440"/>
            <w:shd w:fill="FFDCE0" w:val="clear"/>
          </w:tcPr>
          <w:p>
            <w:r>
              <w:rPr>
                <w:sz w:val="17"/>
              </w:rPr>
              <w:t>3,770</w:t>
            </w:r>
          </w:p>
        </w:tc>
        <w:tc>
          <w:tcPr>
            <w:tcW w:type="dxa" w:w="1440"/>
            <w:shd w:fill="FFDCE0" w:val="clear"/>
          </w:tcPr>
          <w:p>
            <w:r>
              <w:rPr>
                <w:b/>
                <w:color w:val="C00000"/>
                <w:sz w:val="17"/>
              </w:rPr>
              <w:t>-9.6%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3,028</w:t>
            </w:r>
          </w:p>
        </w:tc>
        <w:tc>
          <w:tcPr>
            <w:tcW w:type="dxa" w:w="1440"/>
            <w:shd w:fill="FFDCE0" w:val="clear"/>
          </w:tcPr>
          <w:p>
            <w:r>
              <w:rPr>
                <w:b/>
                <w:sz w:val="17"/>
              </w:rPr>
              <w:t>3,393</w:t>
            </w:r>
          </w:p>
        </w:tc>
        <w:tc>
          <w:tcPr>
            <w:tcW w:type="dxa" w:w="1440"/>
            <w:shd w:fill="FFDCE0" w:val="clear"/>
          </w:tcPr>
          <w:p>
            <w:r>
              <w:rPr>
                <w:sz w:val="17"/>
              </w:rPr>
              <w:t>3,759</w:t>
            </w:r>
          </w:p>
        </w:tc>
        <w:tc>
          <w:tcPr>
            <w:tcW w:type="dxa" w:w="1440"/>
            <w:shd w:fill="FFDCE0" w:val="clear"/>
          </w:tcPr>
          <w:p>
            <w:r>
              <w:rPr>
                <w:b/>
                <w:color w:val="C00000"/>
                <w:sz w:val="17"/>
              </w:rPr>
              <w:t>-10.6%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2,966</w:t>
            </w:r>
          </w:p>
        </w:tc>
        <w:tc>
          <w:tcPr>
            <w:tcW w:type="dxa" w:w="1440"/>
            <w:shd w:fill="FFDCE0" w:val="clear"/>
          </w:tcPr>
          <w:p>
            <w:r>
              <w:rPr>
                <w:b/>
                <w:sz w:val="17"/>
              </w:rPr>
              <w:t>3,357</w:t>
            </w:r>
          </w:p>
        </w:tc>
        <w:tc>
          <w:tcPr>
            <w:tcW w:type="dxa" w:w="1440"/>
            <w:shd w:fill="FFDCE0" w:val="clear"/>
          </w:tcPr>
          <w:p>
            <w:r>
              <w:rPr>
                <w:sz w:val="17"/>
              </w:rPr>
              <w:t>3,747</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2,909</w:t>
            </w:r>
          </w:p>
        </w:tc>
        <w:tc>
          <w:tcPr>
            <w:tcW w:type="dxa" w:w="1440"/>
            <w:shd w:fill="FFDCE0" w:val="clear"/>
          </w:tcPr>
          <w:p>
            <w:r>
              <w:rPr>
                <w:b/>
                <w:sz w:val="17"/>
              </w:rPr>
              <w:t>3,322</w:t>
            </w:r>
          </w:p>
        </w:tc>
        <w:tc>
          <w:tcPr>
            <w:tcW w:type="dxa" w:w="1440"/>
            <w:shd w:fill="FFDCE0" w:val="clear"/>
          </w:tcPr>
          <w:p>
            <w:r>
              <w:rPr>
                <w:sz w:val="17"/>
              </w:rPr>
              <w:t>3,735</w:t>
            </w:r>
          </w:p>
        </w:tc>
        <w:tc>
          <w:tcPr>
            <w:tcW w:type="dxa" w:w="1440"/>
            <w:shd w:fill="FFDCE0" w:val="clear"/>
          </w:tcPr>
          <w:p>
            <w:r>
              <w:rPr>
                <w:b/>
                <w:color w:val="C00000"/>
                <w:sz w:val="17"/>
              </w:rPr>
              <w:t>-12.5%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2,856</w:t>
            </w:r>
          </w:p>
        </w:tc>
        <w:tc>
          <w:tcPr>
            <w:tcW w:type="dxa" w:w="1440"/>
            <w:shd w:fill="FFDCE0" w:val="clear"/>
          </w:tcPr>
          <w:p>
            <w:r>
              <w:rPr>
                <w:b/>
                <w:sz w:val="17"/>
              </w:rPr>
              <w:t>3,290</w:t>
            </w:r>
          </w:p>
        </w:tc>
        <w:tc>
          <w:tcPr>
            <w:tcW w:type="dxa" w:w="1440"/>
            <w:shd w:fill="FFDCE0" w:val="clear"/>
          </w:tcPr>
          <w:p>
            <w:r>
              <w:rPr>
                <w:sz w:val="17"/>
              </w:rPr>
              <w:t>3,723</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2,806</w:t>
            </w:r>
          </w:p>
        </w:tc>
        <w:tc>
          <w:tcPr>
            <w:tcW w:type="dxa" w:w="1440"/>
            <w:shd w:fill="FFDCE0" w:val="clear"/>
          </w:tcPr>
          <w:p>
            <w:r>
              <w:rPr>
                <w:b/>
                <w:sz w:val="17"/>
              </w:rPr>
              <w:t>3,259</w:t>
            </w:r>
          </w:p>
        </w:tc>
        <w:tc>
          <w:tcPr>
            <w:tcW w:type="dxa" w:w="1440"/>
            <w:shd w:fill="FFDCE0" w:val="clear"/>
          </w:tcPr>
          <w:p>
            <w:r>
              <w:rPr>
                <w:sz w:val="17"/>
              </w:rPr>
              <w:t>3,712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123,63 milliards FCFA, ce qui positionne le titre parmi les valeurs moyennes de la BRVM, reflétant une liquidité modérée avec un volume moyen de 2 632 titres par jour. Le BPA de 208 FCFA indique que chaque action génère un bénéfice substantiel, justifiant un PER de 18,2x, nettement supérieur à la moyenne historique de la BRVM (8-12x), ce qui suggère que les investisseurs paient une prime pour la qualité perçue du titre et sa position de leader. Le P/B de 4,38x confirme cette prime, le marché valorisant fortement les actifs nets de la société, tandis que l'EV/EBITDA de 7,7x, dans la fourchette raisonnable de 5-10x, tempère cette lecture en indiquant que la valeur d'entreprise reste cohérente avec sa capacité opérationnelle. Ces ratios, combinés, dépeignent une valorisation exigeante mais non déraisonnable, typique d'une entreprise défensive à forte notoriété.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+13,28%, avec une dernière séance particulièrement dynamique en hausse de +2,99%, portant le cours à 3 795 FCFA. Le titre a évolué dans un range de trading significatif, entre un plus bas de 2 845 FCFA et un plus haut de 4 500 FCFA, illustrant une volatilité marquée sur la période. La moyenne du cours (3 508 FCFA) est inférieure à la médiane (3 468 FCFA), et le skewness positif de 0,522 indique une asymétrie avec plus de journées sous la moyenne, suggérant des épisodes de forte hausse ponctuels. L'écart-type de 370 FCFA (CV=10,6%) montre une dispersion modérée, tandis que le kurtosis de -0,159 (mésokurtique) indique une distribution proche de la normale, sans risque de pics extrêmes. La volatilité annualisée de 47,9% est élevée (&gt;30%), signalant un titre spéculatif à court terme malgré sa tendance haussière globale.</w:t>
      </w:r>
    </w:p>
    <w:p>
      <w:pPr>
        <w:spacing w:after="120" w:line="276" w:lineRule="auto" w:before="240"/>
      </w:pPr>
      <w:r>
        <w:rPr>
          <w:b/>
          <w:color w:val="003366"/>
          <w:sz w:val="24"/>
        </w:rPr>
        <w:t>**PARTIE 2 : ANALYSE TECHNIQUE DÉTAILLÉE**</w:t>
      </w:r>
    </w:p>
    <w:p>
      <w:pPr>
        <w:spacing w:after="120" w:line="276" w:lineRule="auto"/>
      </w:pPr>
      <w:r>
        <w:t>**Moyennes Mobiles**: La MM20 à 3 688,5 FCFA et la MM50 à 3 796,9 FCFA encadrent le cours actuel de 3 795 FCFA, qui se situe juste sous la MM50. Cette configuration, où le prix est inférieur à la moyenne à moyen terme, génère une décision de Vente, indiquant une possible correction après la récente hausse.</w:t>
      </w:r>
    </w:p>
    <w:p>
      <w:pPr>
        <w:spacing w:after="120" w:line="276" w:lineRule="auto"/>
      </w:pPr>
      <w:r>
        <w:t>**Bandes de Bollinger**: Le cours à 3 795 FCFA se positionne dans la partie supérieure des bandes, entre la borne inférieure à 3 435,5 FCFA et la borne supérieure à 3 941,5 FCFA. Cette position neutre suggère une volatilité modérée, sans signal de surachat ni de survente, laissant place à une poursuite de la tendance.</w:t>
      </w:r>
    </w:p>
    <w:p>
      <w:pPr>
        <w:spacing w:after="120" w:line="276" w:lineRule="auto"/>
      </w:pPr>
      <w:r>
        <w:t>**MACD**: Le MACD à 13,655 est nettement supérieur à son signal à -3,418, formant un croisement haussier récent. Cette divergence positive indique un momentum haussier en développement, justifiant une décision d'Achat et suggérant une possible accélération de la hausse.</w:t>
      </w:r>
    </w:p>
    <w:p>
      <w:pPr>
        <w:spacing w:after="120" w:line="276" w:lineRule="auto"/>
      </w:pPr>
      <w:r>
        <w:t>**RSI**: Le RSI à 63,594 se situe dans la zone neutre (30-70), proche du seuil de surachat à 70. Cette valeur indique une pression acheteuse soutenue mais non excessive, laissant une marge de progression avant une potentielle correction.</w:t>
      </w:r>
    </w:p>
    <w:p>
      <w:pPr>
        <w:spacing w:after="120" w:line="276" w:lineRule="auto"/>
      </w:pPr>
      <w:r>
        <w:t>**Stochastique**: Le %K à 55,263 et le %D à 53,188 sont proches, avec un %K légèrement au-dessus, indiquant un momentum haussier naissant. Le croisement potentiel des deux lignes suggère une dynamique positive, bien que la prudence reste de mise.</w:t>
      </w:r>
    </w:p>
    <w:p>
      <w:pPr>
        <w:spacing w:after="120" w:line="276" w:lineRule="auto"/>
      </w:pPr>
      <w:r>
        <w:t>**Conclusion technique**: Les indicateurs sont mitigés avec une prédominance de signaux positifs (MACD Achat, RSI Neutre favorable, Stochastique Neutre). La décision de Vente des moyennes mobiles est tempérée par la position du cours près de la MM50. Globalement, la tendance reste haussière à court terme, mais une consolidation est possible avant une nouvelle impulsion.</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baisse de 6,1% par rapport à 2024 (484,945 milliards), principalement due à l'arrêt stratégique de la commercialisation du fuel lourd. Le résultat net s'établit à 6,779 milliards FCFA, en repli de 5,1% par rapport à 2024 (7,140 milliards), avec une marge nette de 1,49%, typique du secteur de distribution pétrolière. La rentabilité des fonds propres (ROE) est excellente à 24,01%, tandis que le ROA s'établit à 3,95%, reflétant une gestion efficace des actifs. Le BFR négatif de -36,899 milliards FCFA est un signal très favorable, indiquant que la société finance son exploitation grâce à ses fournisseurs (délai fournisseurs de 97,76 jours contre 47,43 jours pour les clients). Les rapports trimestriels 2025 confirment la transformation structurelle : au S1 2025, le résultat d'exploitation progresse de 22% malgré une baisse du CA de 3%, et au T3 2025, la tendance se poursuit avec un repli du résultat net de 14% sur 9 mois, impacté par la baisse des dividendes des filiales. Le rapport T1 2026, daté de mars 2026, montre une résilience remarquable avec un résultat net en hausse de 5% à 1,585 milliard FCFA malgré une baisse du CA de 10% (99,9 milliards), grâce à l'amélioration des marges sur les lubrifiants. La trésorerie s'est considérablement améliorée, passant de 8,4 milliards FCFA en 2024 à 20,567 milliards en 2025, renforçant la solidité financière. Les perspectives restent positives avec la mise en production du champ Sangomar et le développement du GPL et de l'export, compensant la perte du fuel lourd.</w:t>
      </w:r>
    </w:p>
    <w:p>
      <w:pPr>
        <w:spacing w:after="120" w:line="276" w:lineRule="auto" w:before="240"/>
      </w:pPr>
      <w:r>
        <w:rPr>
          <w:b/>
          <w:color w:val="003366"/>
          <w:sz w:val="24"/>
        </w:rPr>
        <w:t>**PARTIE 4 : CONCLUSION D'INVESTISSEMENT**</w:t>
      </w:r>
    </w:p>
    <w:p>
      <w:pPr>
        <w:spacing w:after="120" w:line="276" w:lineRule="auto"/>
      </w:pPr>
      <w:r>
        <w:t>La valorisation de TTLS (PER 18,2x, P/B 4,38x, EV/EBITDA 7,7x) indique une prime de marché justifiée par la position dominante et la solidité financière, mais qui limite le potentiel de hausse à court terme. Le comportement du cours sur 100 jours (+13,28%) avec une volatilité élevée (47,9%) et une asymétrie positive suggère une dynamique haussière mais risquée. Les signaux techniques sont mitigés, avec un MACD haussier et un RSI neutre, contre une décision de vente des moyennes mobiles, indiquant une possible consolidation. Les fondamentaux sont solides avec un ROE de 24%, un BFR négatif favorable et une trésorerie renforcée, mais la baisse du CA et du résultat net en 2025, ainsi que la dépendance aux décisions réglementaires de l'État sénégalais, constituent des risques. Les prédictions IA pour les 10 prochains jours (3 638 à 3 432 FCFA) suggèrent une correction baissière, contredisant les signaux techniques haussiers à court terme. En synthèse, la convergence entre la solidité fondamentale et la prime de valorisation justifie une recommandation **CONSERVER**, avec un niveau de confiance **Moyen** et un risque global **Moyen**. L'horizon d'investissement optimal est le **moyen terme (3-12 mois)**, en attendant la confirmation des relais de croissance (GPL, export) et une clarification sur la politique de dividende.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-8.56%</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μ=56,684 FCFA, σ=3,551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β=0.3819 (Défensif) — Cov=0.000014, Var(idx)=0.000036, ρ=0.059,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σ_j=3.96%/j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2026-08-31</w:t>
            </w:r>
          </w:p>
        </w:tc>
        <w:tc>
          <w:tcPr>
            <w:tcW w:type="dxa" w:w="1440"/>
            <w:shd w:fill="C6EFCE" w:val="clear"/>
          </w:tcPr>
          <w:p>
            <w:r>
              <w:rPr>
                <w:sz w:val="17"/>
              </w:rPr>
              <w:t>50,849</w:t>
            </w:r>
          </w:p>
        </w:tc>
        <w:tc>
          <w:tcPr>
            <w:tcW w:type="dxa" w:w="1440"/>
            <w:shd w:fill="C6EFCE" w:val="clear"/>
          </w:tcPr>
          <w:p>
            <w:r>
              <w:rPr>
                <w:b/>
                <w:sz w:val="17"/>
              </w:rPr>
              <w:t>54,054</w:t>
            </w:r>
          </w:p>
        </w:tc>
        <w:tc>
          <w:tcPr>
            <w:tcW w:type="dxa" w:w="1440"/>
            <w:shd w:fill="C6EFCE" w:val="clear"/>
          </w:tcPr>
          <w:p>
            <w:r>
              <w:rPr>
                <w:sz w:val="17"/>
              </w:rPr>
              <w:t>57,258</w:t>
            </w:r>
          </w:p>
        </w:tc>
        <w:tc>
          <w:tcPr>
            <w:tcW w:type="dxa" w:w="1440"/>
            <w:shd w:fill="C6EFCE" w:val="clear"/>
          </w:tcPr>
          <w:p>
            <w:r>
              <w:rPr>
                <w:b/>
                <w:color w:val="008000"/>
                <w:sz w:val="17"/>
              </w:rPr>
              <w:t>+3.6%</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49,825</w:t>
            </w:r>
          </w:p>
        </w:tc>
        <w:tc>
          <w:tcPr>
            <w:tcW w:type="dxa" w:w="1440"/>
            <w:shd w:fill="C6EFCE" w:val="clear"/>
          </w:tcPr>
          <w:p>
            <w:r>
              <w:rPr>
                <w:b/>
                <w:sz w:val="17"/>
              </w:rPr>
              <w:t>54,384</w:t>
            </w:r>
          </w:p>
        </w:tc>
        <w:tc>
          <w:tcPr>
            <w:tcW w:type="dxa" w:w="1440"/>
            <w:shd w:fill="C6EFCE" w:val="clear"/>
          </w:tcPr>
          <w:p>
            <w:r>
              <w:rPr>
                <w:sz w:val="17"/>
              </w:rPr>
              <w:t>58,943</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49,276</w:t>
            </w:r>
          </w:p>
        </w:tc>
        <w:tc>
          <w:tcPr>
            <w:tcW w:type="dxa" w:w="1440"/>
            <w:shd w:fill="C6EFCE" w:val="clear"/>
          </w:tcPr>
          <w:p>
            <w:r>
              <w:rPr>
                <w:b/>
                <w:sz w:val="17"/>
              </w:rPr>
              <w:t>54,914</w:t>
            </w:r>
          </w:p>
        </w:tc>
        <w:tc>
          <w:tcPr>
            <w:tcW w:type="dxa" w:w="1440"/>
            <w:shd w:fill="C6EFCE" w:val="clear"/>
          </w:tcPr>
          <w:p>
            <w:r>
              <w:rPr>
                <w:sz w:val="17"/>
              </w:rPr>
              <w:t>60,552</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48,923</w:t>
            </w:r>
          </w:p>
        </w:tc>
        <w:tc>
          <w:tcPr>
            <w:tcW w:type="dxa" w:w="1440"/>
            <w:shd w:fill="C6EFCE" w:val="clear"/>
          </w:tcPr>
          <w:p>
            <w:r>
              <w:rPr>
                <w:b/>
                <w:sz w:val="17"/>
              </w:rPr>
              <w:t>55,503</w:t>
            </w:r>
          </w:p>
        </w:tc>
        <w:tc>
          <w:tcPr>
            <w:tcW w:type="dxa" w:w="1440"/>
            <w:shd w:fill="C6EFCE" w:val="clear"/>
          </w:tcPr>
          <w:p>
            <w:r>
              <w:rPr>
                <w:sz w:val="17"/>
              </w:rPr>
              <w:t>62,083</w:t>
            </w:r>
          </w:p>
        </w:tc>
        <w:tc>
          <w:tcPr>
            <w:tcW w:type="dxa" w:w="1440"/>
            <w:shd w:fill="C6EFCE" w:val="clear"/>
          </w:tcPr>
          <w:p>
            <w:r>
              <w:rPr>
                <w:b/>
                <w:color w:val="008000"/>
                <w:sz w:val="17"/>
              </w:rPr>
              <w:t>+6.3%</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48,679</w:t>
            </w:r>
          </w:p>
        </w:tc>
        <w:tc>
          <w:tcPr>
            <w:tcW w:type="dxa" w:w="1440"/>
            <w:shd w:fill="C6EFCE" w:val="clear"/>
          </w:tcPr>
          <w:p>
            <w:r>
              <w:rPr>
                <w:b/>
                <w:sz w:val="17"/>
              </w:rPr>
              <w:t>56,117</w:t>
            </w:r>
          </w:p>
        </w:tc>
        <w:tc>
          <w:tcPr>
            <w:tcW w:type="dxa" w:w="1440"/>
            <w:shd w:fill="C6EFCE" w:val="clear"/>
          </w:tcPr>
          <w:p>
            <w:r>
              <w:rPr>
                <w:sz w:val="17"/>
              </w:rPr>
              <w:t>63,555</w:t>
            </w:r>
          </w:p>
        </w:tc>
        <w:tc>
          <w:tcPr>
            <w:tcW w:type="dxa" w:w="1440"/>
            <w:shd w:fill="C6EFCE" w:val="clear"/>
          </w:tcPr>
          <w:p>
            <w:r>
              <w:rPr>
                <w:b/>
                <w:color w:val="008000"/>
                <w:sz w:val="17"/>
              </w:rPr>
              <w:t>+7.5%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48,505</w:t>
            </w:r>
          </w:p>
        </w:tc>
        <w:tc>
          <w:tcPr>
            <w:tcW w:type="dxa" w:w="1440"/>
            <w:shd w:fill="C6EFCE" w:val="clear"/>
          </w:tcPr>
          <w:p>
            <w:r>
              <w:rPr>
                <w:b/>
                <w:sz w:val="17"/>
              </w:rPr>
              <w:t>56,744</w:t>
            </w:r>
          </w:p>
        </w:tc>
        <w:tc>
          <w:tcPr>
            <w:tcW w:type="dxa" w:w="1440"/>
            <w:shd w:fill="C6EFCE" w:val="clear"/>
          </w:tcPr>
          <w:p>
            <w:r>
              <w:rPr>
                <w:sz w:val="17"/>
              </w:rPr>
              <w:t>64,983</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48,381</w:t>
            </w:r>
          </w:p>
        </w:tc>
        <w:tc>
          <w:tcPr>
            <w:tcW w:type="dxa" w:w="1440"/>
            <w:shd w:fill="C6EFCE" w:val="clear"/>
          </w:tcPr>
          <w:p>
            <w:r>
              <w:rPr>
                <w:b/>
                <w:sz w:val="17"/>
              </w:rPr>
              <w:t>57,379</w:t>
            </w:r>
          </w:p>
        </w:tc>
        <w:tc>
          <w:tcPr>
            <w:tcW w:type="dxa" w:w="1440"/>
            <w:shd w:fill="C6EFCE" w:val="clear"/>
          </w:tcPr>
          <w:p>
            <w:r>
              <w:rPr>
                <w:sz w:val="17"/>
              </w:rPr>
              <w:t>66,378</w:t>
            </w:r>
          </w:p>
        </w:tc>
        <w:tc>
          <w:tcPr>
            <w:tcW w:type="dxa" w:w="1440"/>
            <w:shd w:fill="C6EFCE" w:val="clear"/>
          </w:tcPr>
          <w:p>
            <w:r>
              <w:rPr>
                <w:b/>
                <w:color w:val="008000"/>
                <w:sz w:val="17"/>
              </w:rPr>
              <w:t>+9.9%</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48,293</w:t>
            </w:r>
          </w:p>
        </w:tc>
        <w:tc>
          <w:tcPr>
            <w:tcW w:type="dxa" w:w="1440"/>
            <w:shd w:fill="C6EFCE" w:val="clear"/>
          </w:tcPr>
          <w:p>
            <w:r>
              <w:rPr>
                <w:b/>
                <w:sz w:val="17"/>
              </w:rPr>
              <w:t>58,021</w:t>
            </w:r>
          </w:p>
        </w:tc>
        <w:tc>
          <w:tcPr>
            <w:tcW w:type="dxa" w:w="1440"/>
            <w:shd w:fill="C6EFCE" w:val="clear"/>
          </w:tcPr>
          <w:p>
            <w:r>
              <w:rPr>
                <w:sz w:val="17"/>
              </w:rPr>
              <w:t>67,749</w:t>
            </w:r>
          </w:p>
        </w:tc>
        <w:tc>
          <w:tcPr>
            <w:tcW w:type="dxa" w:w="1440"/>
            <w:shd w:fill="C6EFCE" w:val="clear"/>
          </w:tcPr>
          <w:p>
            <w:r>
              <w:rPr>
                <w:b/>
                <w:color w:val="008000"/>
                <w:sz w:val="17"/>
              </w:rPr>
              <w:t>+11.2%</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48,235</w:t>
            </w:r>
          </w:p>
        </w:tc>
        <w:tc>
          <w:tcPr>
            <w:tcW w:type="dxa" w:w="1440"/>
            <w:shd w:fill="C6EFCE" w:val="clear"/>
          </w:tcPr>
          <w:p>
            <w:r>
              <w:rPr>
                <w:b/>
                <w:sz w:val="17"/>
              </w:rPr>
              <w:t>58,668</w:t>
            </w:r>
          </w:p>
        </w:tc>
        <w:tc>
          <w:tcPr>
            <w:tcW w:type="dxa" w:w="1440"/>
            <w:shd w:fill="C6EFCE" w:val="clear"/>
          </w:tcPr>
          <w:p>
            <w:r>
              <w:rPr>
                <w:sz w:val="17"/>
              </w:rPr>
              <w:t>69,101</w:t>
            </w:r>
          </w:p>
        </w:tc>
        <w:tc>
          <w:tcPr>
            <w:tcW w:type="dxa" w:w="1440"/>
            <w:shd w:fill="C6EFCE" w:val="clear"/>
          </w:tcPr>
          <w:p>
            <w:r>
              <w:rPr>
                <w:b/>
                <w:color w:val="008000"/>
                <w:sz w:val="17"/>
              </w:rPr>
              <w:t>+12.4%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48,199</w:t>
            </w:r>
          </w:p>
        </w:tc>
        <w:tc>
          <w:tcPr>
            <w:tcW w:type="dxa" w:w="1440"/>
            <w:shd w:fill="C6EFCE" w:val="clear"/>
          </w:tcPr>
          <w:p>
            <w:r>
              <w:rPr>
                <w:b/>
                <w:sz w:val="17"/>
              </w:rPr>
              <w:t>59,318</w:t>
            </w:r>
          </w:p>
        </w:tc>
        <w:tc>
          <w:tcPr>
            <w:tcW w:type="dxa" w:w="1440"/>
            <w:shd w:fill="C6EFCE" w:val="clear"/>
          </w:tcPr>
          <w:p>
            <w:r>
              <w:rPr>
                <w:sz w:val="17"/>
              </w:rPr>
              <w:t>70,437</w:t>
            </w:r>
          </w:p>
        </w:tc>
        <w:tc>
          <w:tcPr>
            <w:tcW w:type="dxa" w:w="1440"/>
            <w:shd w:fill="C6EFCE" w:val="clear"/>
          </w:tcPr>
          <w:p>
            <w:r>
              <w:rPr>
                <w:b/>
                <w:color w:val="008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un niveau significatif qui la positionne parmi les valeurs moyennes à grandes capitalisations de la BRVM, reflétant la présence d'un géant mondial des biens de consommation sur le marché régional. Les ratios de valorisation (BPA, PER, P/B, EV/EBITDA) ne sont pas calculables, car les données financières structurées nécessaires à leur calcul (nombre d'actions, capitaux propres, EBITDA) ne sont pas disponibles dans la base de données. Cette absence est regrettable car elle prive l'investisseur d'une comparaison directe avec le PER moyen de la BRVM (8-12x). Toutefois, sur la base des bénéfices historiques (640 millions FCFA en 2023), le PER implicite serait extrêmement élevé, suggérant que le marché valorise davantage le potentiel de redressement et la marque que les bénéfices actuels. La capitalisation actuelle intègre donc des anticipations de retour à une rentabilité normale, typique des valeurs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8,56%, avec une dernière séance stable (0,00%), s'établissant à 52 200 FCFA. Le titre a évolué dans une fourchette large de 50 000 à 69 005 FCFA, démontrant une amplitude de près de 38% entre le plus haut et le plus bas, ce qui traduit une forte incertitude des investisseurs. La moyenne (56 684 FCFA) est légèrement supérieure à la médiane (56 252 FCFA), et le mode (58 000 FCFA) est supérieur aux deux, indiquant une distribution légèrement asymétrique où les cours ont tendance à se concentrer au-dessus de la moyenne, mais avec des épisodes de chute brutale. L'écart-type de 3 568 FCFA (CV=6,3%) révèle une dispersion modérée autour de la moyenne. Le kurtosis de 0,632 (mésokurtique) suggère une distribution proche de la normale, sans risque extrême de pics, tandis que le skewness positif (0,537) indique une asymétrie avec plus de journées sous la moyenne, confirmant la tendance baissière dominante. La volatilité annualisée de 62,8% est extrêmement élevée, classant UNLC comme un titre très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Les MM20 (54 268 FCFA) et MM50 (54 235 FCFA) sont très proches l'une de l'autre, indiquant une consolidation après une période de baisse. Le cours actuel (52 200 FCFA) est inférieur aux deux moyennes, ce qui suggère une pression vendeuse persistante. La décision d'achat signalée semble prématurée, car le cours n'a pas encore franchi ces niveaux de résistance, mais la convergence des moyennes pourrait indiquer un potentiel de retournement haussier si le cours parvient à les dépasser.</w:t>
      </w:r>
    </w:p>
    <w:p>
      <w:pPr>
        <w:spacing w:after="120" w:line="276" w:lineRule="auto"/>
      </w:pPr>
      <w:r>
        <w:t>**Bandes de Bollinger** : Le cours se situe à 52 200 FCFA, proche de la borne inférieure (49 749 FCFA) et nettement sous la moyenne mobile centrale. Cette position indique que le titre est dans la partie basse de son canal de volatilité, suggérant une phase de faiblesse relative. La décision neutre est justifiée par le fait que le cours n'a pas encore touché la borne inférieure, ce qui pourrait déclencher un rebond technique, mais la tendance reste baissière tant que le cours n'atteint pas la borne supérieure (58 787 FCFA).</w:t>
      </w:r>
    </w:p>
    <w:p>
      <w:pPr>
        <w:spacing w:after="120" w:line="276" w:lineRule="auto"/>
      </w:pPr>
      <w:r>
        <w:t>**MACD** : La valeur négative du MACD (-217,81) par rapport à son signal (56,456) confirme une dynamique baissière, avec un momentum négatif qui s'accentue. La décision de vente est cohérente avec cette configuration, car le MACD sous sa ligne de signal indique une pression vendeuse dominante. Cependant, l'écart important entre les deux lignes pourrait signaler une surenchère baissière, ouvrant la voie à un éventuel retournement à moyen terme.</w:t>
      </w:r>
    </w:p>
    <w:p>
      <w:pPr>
        <w:spacing w:after="120" w:line="276" w:lineRule="auto"/>
      </w:pPr>
      <w:r>
        <w:t>**RSI** : À 42,873, le RSI se situe dans la zone neutre (30-70), indiquant que le titre n'est ni suracheté ni survendu. Cette valeur suggère une absence de momentum directionnel fort, avec une légère tendance baissière. La décision neutre est appropriée, car le RSI n'a pas atteint les seuils extrêmes qui déclencheraient des signaux d'achat ou de vente plus affirmés.</w:t>
      </w:r>
    </w:p>
    <w:p>
      <w:pPr>
        <w:spacing w:after="120" w:line="276" w:lineRule="auto"/>
      </w:pPr>
      <w:r>
        <w:t>**Stochastique** : Le %K (3,333) est extrêmement bas et nettement sous le %D (26,554), indiquant une condition de survente sévère. Cette configuration suggère que le titre est techniquement survendu et pourrait rebondir à court terme. La décision d'achat est justifiée par ce croisement baissier extrême, qui précède souvent un rebond technique, bien que la tendance de fond reste incertaine.</w:t>
      </w:r>
    </w:p>
    <w:p>
      <w:pPr>
        <w:spacing w:after="120" w:line="276" w:lineRule="auto"/>
      </w:pPr>
      <w:r>
        <w:t>**Conclusion technique** : La configuration technique est mitigée, avec des signaux contradictoires : les moyennes mobiles et le MACD indiquent une tendance baissière, tandis que le stochastique signale une survente extrême. Le RSI neutre et les bandes de Bollinger suggèrent une stabilisation potentielle. Globalement, le titre semble en phase de consolidation après une chute, avec un risque de rebond technique à court terme, mais sans signal haussier confirmé.</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fournissent des informations essentielles. En 2023 (rapport du 31/12/2023), UNLC a réalisé un chiffre d'affaires stable de 24,336 milliards FCFA, identique à 2022, et un bénéfice net de 640 millions FCFA, contre une perte de 6,9 milliards en 2022, soit une amélioration spectaculaire de la rentabilité. La marge nette s'établit à 2,63% en 2023, contre -28,4% en 2022, mais reste inférieure à la moyenne sectorielle de 5-10%. Le résultat d'exploitation est passé de -6,258 milliards en 2022 à +3,340 milliards en 2023, grâce à une réduction des charges et une meilleure gestion des stocks. Cependant, les capitaux propres restent négatifs à -10,658 milliards FCFA, et les dettes financières s'élèvent à 4,379 milliards, indiquant une structure financière fragile. En 2022, la société avait subi une perte massive de -6,383 milliards, avec une marge nette de -26,2%, principalement due à des coûts opérationnels élevés et à des provisions pour risques. En 2021, UNLC avait enregistré un bénéfice de 6,091 milliards, avec une marge nette de 25%, mais ce résultat était porté par des produits exceptionnels liés à la cession de l'activité Thé. Sur la base de ces données, on estime que l'exercice 2024 pourrait confirmer la reprise si la société maintient sa discipline opérationnelle, mais la faiblesse des capitaux propres et l'absence de dividendes constituent des risques majeurs. La recommandation fondamentale est de conserver le titre avec vigilance, en surveillant l'évolution de la trésorerie et de la dette.</w:t>
      </w:r>
    </w:p>
    <w:p>
      <w:pPr>
        <w:spacing w:after="120" w:line="276" w:lineRule="auto" w:before="240"/>
      </w:pPr>
      <w:r>
        <w:rPr>
          <w:b/>
          <w:color w:val="003366"/>
          <w:sz w:val="24"/>
        </w:rPr>
        <w:t>**PARTIE 4 : CONCLUSION D'INVESTISSEMENT**</w:t>
      </w:r>
    </w:p>
    <w:p>
      <w:pPr>
        <w:spacing w:after="120" w:line="276" w:lineRule="auto"/>
      </w:pPr>
      <w:r>
        <w:t>La valorisation d'UNLC ne peut être évaluée par les ratios classiques faute de données structurées, mais la capitalisation de 479 milliards FCFA paraît élevée au regard des bénéfices historiques, suggérant une surévaluation relative. Le comportement du cours sur 100 jours est préoccupant, avec une baisse de 8,56%, une volatilité annualisée de 62,8% et un skewness positif indiquant des chutes fréquentes sous la moyenne, bien que le kurtosis mésokurtique limite le risque de pics extrêmes. Les signaux techniques sont mitigés : les moyennes mobiles et le MACD sont baissiers, tandis que le stochastique en survente extrême et le RSI neutre suggèrent un potentiel de rebond technique. Les fondamentaux montrent une amélioration en 2023 (retour au bénéfice), mais la structure financière reste fragile avec des capitaux propres négatifs et une absence de dividende. Les prédictions IA pour les 10 prochains jours (54 054 à 56 117 FCFA) indiquent une trajectoire haussière progressive, contredisant la tendance baissière récente et suggérant un rebond technique. La convergence entre le stochastique survendu et les prédictions IA plaide pour un rebond à court terme, mais la divergence avec les fondamentaux fragiles et la valorisation élevée impose la prudence. **Recommandation finale : CONSERVER**, avec un niveau de confiance **Moyen**, un risque global **Élevé**, et un horizon d'investissement optimal à **moyen terme (3-12 mois)** pour observer si la reprise fondamentale se confirme et si le cours parvient à franchir les moyennes mobiles.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13,224 titres</w:t>
            </w:r>
          </w:p>
        </w:tc>
        <w:tc>
          <w:tcPr>
            <w:tcW w:type="dxa" w:w="2268"/>
            <w:shd w:fill="FFF2CC" w:val="clear"/>
          </w:tcPr>
          <w:p>
            <w:r>
              <w:rPr>
                <w:b/>
                <w:color w:val="503200"/>
                <w:sz w:val="16"/>
              </w:rPr>
              <w:t xml:space="preserve">Cours actuel : </w:t>
            </w:r>
            <w:r>
              <w:rPr>
                <w:color w:val="000000"/>
                <w:sz w:val="17"/>
              </w:rPr>
              <w:t>2,455 FCFA</w:t>
            </w:r>
          </w:p>
          <w:p>
            <w:r>
              <w:rPr>
                <w:b/>
                <w:color w:val="503200"/>
                <w:sz w:val="16"/>
              </w:rPr>
              <w:t xml:space="preserve">Var. 100 jours : </w:t>
            </w:r>
            <w:r>
              <w:rPr>
                <w:b/>
                <w:color w:val="007800"/>
                <w:sz w:val="17"/>
              </w:rPr>
              <w:t>+23.99%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μ=1,895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β=0.0519 (Défensif) — Cov=0.000002, Var(idx)=0.000036, ρ=0.010,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2,279</w:t>
            </w:r>
          </w:p>
        </w:tc>
        <w:tc>
          <w:tcPr>
            <w:tcW w:type="dxa" w:w="1440"/>
            <w:shd w:fill="FFDCE0" w:val="clear"/>
          </w:tcPr>
          <w:p>
            <w:r>
              <w:rPr>
                <w:b/>
                <w:sz w:val="17"/>
              </w:rPr>
              <w:t>2,395</w:t>
            </w:r>
          </w:p>
        </w:tc>
        <w:tc>
          <w:tcPr>
            <w:tcW w:type="dxa" w:w="1440"/>
            <w:shd w:fill="FFDCE0" w:val="clear"/>
          </w:tcPr>
          <w:p>
            <w:r>
              <w:rPr>
                <w:sz w:val="17"/>
              </w:rPr>
              <w:t>2,512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2,220</w:t>
            </w:r>
          </w:p>
        </w:tc>
        <w:tc>
          <w:tcPr>
            <w:tcW w:type="dxa" w:w="1440"/>
            <w:shd w:fill="FFDCE0" w:val="clear"/>
          </w:tcPr>
          <w:p>
            <w:r>
              <w:rPr>
                <w:b/>
                <w:sz w:val="17"/>
              </w:rPr>
              <w:t>2,384</w:t>
            </w:r>
          </w:p>
        </w:tc>
        <w:tc>
          <w:tcPr>
            <w:tcW w:type="dxa" w:w="1440"/>
            <w:shd w:fill="FFDCE0" w:val="clear"/>
          </w:tcPr>
          <w:p>
            <w:r>
              <w:rPr>
                <w:sz w:val="17"/>
              </w:rPr>
              <w:t>2,548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2,169</w:t>
            </w:r>
          </w:p>
        </w:tc>
        <w:tc>
          <w:tcPr>
            <w:tcW w:type="dxa" w:w="1440"/>
            <w:shd w:fill="FFDCE0" w:val="clear"/>
          </w:tcPr>
          <w:p>
            <w:r>
              <w:rPr>
                <w:b/>
                <w:sz w:val="17"/>
              </w:rPr>
              <w:t>2,368</w:t>
            </w:r>
          </w:p>
        </w:tc>
        <w:tc>
          <w:tcPr>
            <w:tcW w:type="dxa" w:w="1440"/>
            <w:shd w:fill="FFDCE0" w:val="clear"/>
          </w:tcPr>
          <w:p>
            <w:r>
              <w:rPr>
                <w:sz w:val="17"/>
              </w:rPr>
              <w:t>2,568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2,125</w:t>
            </w:r>
          </w:p>
        </w:tc>
        <w:tc>
          <w:tcPr>
            <w:tcW w:type="dxa" w:w="1440"/>
            <w:shd w:fill="FFDCE0" w:val="clear"/>
          </w:tcPr>
          <w:p>
            <w:r>
              <w:rPr>
                <w:b/>
                <w:sz w:val="17"/>
              </w:rPr>
              <w:t>2,353</w:t>
            </w:r>
          </w:p>
        </w:tc>
        <w:tc>
          <w:tcPr>
            <w:tcW w:type="dxa" w:w="1440"/>
            <w:shd w:fill="FFDCE0" w:val="clear"/>
          </w:tcPr>
          <w:p>
            <w:r>
              <w:rPr>
                <w:sz w:val="17"/>
              </w:rPr>
              <w:t>2,582</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2,085</w:t>
            </w:r>
          </w:p>
        </w:tc>
        <w:tc>
          <w:tcPr>
            <w:tcW w:type="dxa" w:w="1440"/>
            <w:shd w:fill="FFDCE0" w:val="clear"/>
          </w:tcPr>
          <w:p>
            <w:r>
              <w:rPr>
                <w:b/>
                <w:sz w:val="17"/>
              </w:rPr>
              <w:t>2,339</w:t>
            </w:r>
          </w:p>
        </w:tc>
        <w:tc>
          <w:tcPr>
            <w:tcW w:type="dxa" w:w="1440"/>
            <w:shd w:fill="FFDCE0" w:val="clear"/>
          </w:tcPr>
          <w:p>
            <w:r>
              <w:rPr>
                <w:sz w:val="17"/>
              </w:rPr>
              <w:t>2,593</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2,048</w:t>
            </w:r>
          </w:p>
        </w:tc>
        <w:tc>
          <w:tcPr>
            <w:tcW w:type="dxa" w:w="1440"/>
            <w:shd w:fill="FFDCE0" w:val="clear"/>
          </w:tcPr>
          <w:p>
            <w:r>
              <w:rPr>
                <w:b/>
                <w:sz w:val="17"/>
              </w:rPr>
              <w:t>2,325</w:t>
            </w:r>
          </w:p>
        </w:tc>
        <w:tc>
          <w:tcPr>
            <w:tcW w:type="dxa" w:w="1440"/>
            <w:shd w:fill="FFDCE0" w:val="clear"/>
          </w:tcPr>
          <w:p>
            <w:r>
              <w:rPr>
                <w:sz w:val="17"/>
              </w:rPr>
              <w:t>2,602</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2,014</w:t>
            </w:r>
          </w:p>
        </w:tc>
        <w:tc>
          <w:tcPr>
            <w:tcW w:type="dxa" w:w="1440"/>
            <w:shd w:fill="FFDCE0" w:val="clear"/>
          </w:tcPr>
          <w:p>
            <w:r>
              <w:rPr>
                <w:b/>
                <w:sz w:val="17"/>
              </w:rPr>
              <w:t>2,311</w:t>
            </w:r>
          </w:p>
        </w:tc>
        <w:tc>
          <w:tcPr>
            <w:tcW w:type="dxa" w:w="1440"/>
            <w:shd w:fill="FFDCE0" w:val="clear"/>
          </w:tcPr>
          <w:p>
            <w:r>
              <w:rPr>
                <w:sz w:val="17"/>
              </w:rPr>
              <w:t>2,608</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1,981</w:t>
            </w:r>
          </w:p>
        </w:tc>
        <w:tc>
          <w:tcPr>
            <w:tcW w:type="dxa" w:w="1440"/>
            <w:shd w:fill="FFDCE0" w:val="clear"/>
          </w:tcPr>
          <w:p>
            <w:r>
              <w:rPr>
                <w:b/>
                <w:sz w:val="17"/>
              </w:rPr>
              <w:t>2,297</w:t>
            </w:r>
          </w:p>
        </w:tc>
        <w:tc>
          <w:tcPr>
            <w:tcW w:type="dxa" w:w="1440"/>
            <w:shd w:fill="FFDCE0" w:val="clear"/>
          </w:tcPr>
          <w:p>
            <w:r>
              <w:rPr>
                <w:sz w:val="17"/>
              </w:rPr>
              <w:t>2,613</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1,951</w:t>
            </w:r>
          </w:p>
        </w:tc>
        <w:tc>
          <w:tcPr>
            <w:tcW w:type="dxa" w:w="1440"/>
            <w:shd w:fill="FFDCE0" w:val="clear"/>
          </w:tcPr>
          <w:p>
            <w:r>
              <w:rPr>
                <w:b/>
                <w:sz w:val="17"/>
              </w:rPr>
              <w:t>2,284</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1,921</w:t>
            </w:r>
          </w:p>
        </w:tc>
        <w:tc>
          <w:tcPr>
            <w:tcW w:type="dxa" w:w="1440"/>
            <w:shd w:fill="FFDCE0" w:val="clear"/>
          </w:tcPr>
          <w:p>
            <w:r>
              <w:rPr>
                <w:b/>
                <w:sz w:val="17"/>
              </w:rPr>
              <w:t>2,270</w:t>
            </w:r>
          </w:p>
        </w:tc>
        <w:tc>
          <w:tcPr>
            <w:tcW w:type="dxa" w:w="1440"/>
            <w:shd w:fill="FFDCE0" w:val="clear"/>
          </w:tcPr>
          <w:p>
            <w:r>
              <w:rPr>
                <w:sz w:val="17"/>
              </w:rPr>
              <w:t>2,619</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50,94 milliards FCFA, un niveau significatif qui la positionne comme une valeur de moyenne capitalisation sur la BRVM. Le BPA est négatif à -105 FCFA, reflétant la perte nette de l'exercice 2024, ce qui rend le PER non significatif (-23,3x). Les investisseurs ne peuvent donc pas évaluer le titre sur la base des bénéfices actuels. En revanche, le P/B de 3,27x indique que le marché valorise l'actif net de la société avec une prime substantielle de 227%, témoignant d'une anticipation de redressement futur. Cette prime est élevée pour une société déficitaire, mais elle s'explique par les actifs immobiliers et la reprise opérationnelle amorcée en 2025. Le ratio EV/EBITDA n'est pas calculable, les données nécessaires n'étant pas disponibles, mais la capitalisation actuelle intègre déjà un scénario de retour à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progression spectaculaire de +23,99%, avec une dernière séance en hausse de +1,66% à 2 455 FCFA. Le cours a évolué dans une fourchette très large de 1 250 à 2 495 FCFA, soit un doublement du prix entre le plus bas et le plus haut, illustrant une volatilité extrême. La moyenne (1 895 FCFA) et la médiane (1 900 FCFA) sont quasi identiques, indiquant une distribution symétrique des prix, confirmée par le skewness de 0,119. L'écart-type de 223 FCFA (CV = 11,8%) montre une dispersion modérée autour de la moyenne. Le kurtosis de 2,285 signale des queues de distribution épaisses, suggérant un risque de mouvements brusques. La volatilité annualisée de 51,4% est très élevée, classant UNXC comme un actif à haut risque, typique des valeurs en phase de restructuration.</w:t>
      </w:r>
    </w:p>
    <w:p>
      <w:pPr>
        <w:spacing w:after="120" w:line="276" w:lineRule="auto" w:before="240"/>
      </w:pPr>
      <w:r>
        <w:rPr>
          <w:b/>
          <w:color w:val="003366"/>
          <w:sz w:val="24"/>
        </w:rPr>
        <w:t>**PARTIE 2 : ANALYSE TECHNIQUE DÉTAILLÉE**</w:t>
      </w:r>
    </w:p>
    <w:p>
      <w:pPr>
        <w:spacing w:after="120" w:line="276" w:lineRule="auto"/>
      </w:pPr>
      <w:r>
        <w:t>**Moyennes Mobiles** : Le cours actuel (2 455 FCFA) évolue nettement au-dessus de la MM20 (2 131 FCFA) et de la MM50 (1 901 FCFA), avec un écart de +15% et +29% respectivement. Cette configuration haussière confirme une tendance de fond positive, le signal d'achat étant justifié par la dynamique des prix.</w:t>
      </w:r>
    </w:p>
    <w:p>
      <w:pPr>
        <w:spacing w:after="120" w:line="276" w:lineRule="auto"/>
      </w:pPr>
      <w:r>
        <w:t>**Bandes de Bollinger** : Le cours se situe à 2 455 FCFA, proche de la borne supérieure (2 637 FCFA) mais dans la zone médiane du canal. La largeur des bandes (1 012 FCFA) reflète une volatilité élevée. La décision neutre s'explique par le fait que le prix n'a pas encore atteint la zone de surachat extrême.</w:t>
      </w:r>
    </w:p>
    <w:p>
      <w:pPr>
        <w:spacing w:after="120" w:line="276" w:lineRule="auto"/>
      </w:pPr>
      <w:r>
        <w:t>**MACD** : La valeur du MACD (172,12) est supérieure à son signal (140,48), avec un écart positif de 31,6 points. Cette configuration haussière indique un momentum positif soutenu, le signal d'achat étant confirmé par la divergence positive persistante.</w:t>
      </w:r>
    </w:p>
    <w:p>
      <w:pPr>
        <w:spacing w:after="120" w:line="276" w:lineRule="auto"/>
      </w:pPr>
      <w:r>
        <w:t>**RSI** : À 83,64, le RSI est en zone de surachat prononcé (&gt;70). Cette lecture signale une pression acheteuse excessive à court terme, justifiant la décision de vente. Un repli technique est probable, mais la tendance de fond reste haussière.</w:t>
      </w:r>
    </w:p>
    <w:p>
      <w:pPr>
        <w:spacing w:after="120" w:line="276" w:lineRule="auto"/>
      </w:pPr>
      <w:r>
        <w:t>**Stochastique** : Le %K (93,28) et le %D (88,0) sont tous deux en zone de surachat extrême (&gt;80), avec un écart de 5,3 points. La décision de vente est justifiée par cette configuration, indiquant une possible consolidation à venir.</w:t>
      </w:r>
    </w:p>
    <w:p>
      <w:pPr>
        <w:spacing w:after="120" w:line="276" w:lineRule="auto"/>
      </w:pPr>
      <w:r>
        <w:t>**Conclusion technique** : Les indicateurs de tendance (MM, MACD) sont positifs, mais les oscillateurs (RSI, Stochastique) signalent un surachat généralisé. Cette divergence suggère une poursuite de la tendance haussière à moyen terme, mais avec un risque élevé de correction technique à court terme. La prudence est recommandée pour les nouveaux achats.</w:t>
      </w:r>
    </w:p>
    <w:p>
      <w:pPr>
        <w:spacing w:after="120" w:line="276" w:lineRule="auto" w:before="240"/>
      </w:pPr>
      <w:r>
        <w:rPr>
          <w:b/>
          <w:color w:val="003366"/>
          <w:sz w:val="24"/>
        </w:rPr>
        <w:t>**PARTIE 3 : ANALYSE FONDAMENTALE (SECTION CRITIQUE)**</w:t>
      </w:r>
    </w:p>
    <w:p>
      <w:pPr>
        <w:spacing w:after="120" w:line="276" w:lineRule="auto"/>
      </w:pPr>
      <w:r>
        <w:t>En 2024, UNXC a réalisé un chiffre d'affaires de 27,33 milliards FCFA, en croissance de 15,4%, mais a enregistré une perte nette de -2,19 milliards FCFA, contre un bénéfice de 4,19 milliards en 2023 selon les états financiers. Le ROE est négatif à -14,04% et le ROA à -6,39%, indiquant une destruction de valeur. Le BFR de 2,15 milliards et les délais clients (51 jours) et fournisseurs (268 jours) montrent une gestion de trésorerie tendue. Cependant, les rapports trimestriels 2025 (T1, S1, 9 mois) révèlent une amélioration spectaculaire : le CA S1 2025 atteint 15,71 milliards (+12,5%), avec un bénéfice net de 8,22 milliards, mais exclusivement dû à la cession-bail du terrain (produit exceptionnel de 9,99 milliards). Le résultat des activités ordinaires reste déficitaire à -330 millions. Le rapport S1 2026 (daté 2026) montre un tournant décisif : le résultat d'exploitation devient positif à 771 millions FCFA et le résultat net atteint 771 millions, sans éléments exceptionnels. Le rapport annuel 2025 (publié en 2026) confirme le redressement avec un EBE positif à 1,13 milliard et une perte réduite à -624 millions. La société est donc en phase de retour à l'équilibre opérationnel.</w:t>
      </w:r>
    </w:p>
    <w:p>
      <w:pPr>
        <w:spacing w:after="120" w:line="276" w:lineRule="auto" w:before="240"/>
      </w:pPr>
      <w:r>
        <w:rPr>
          <w:b/>
          <w:color w:val="003366"/>
          <w:sz w:val="24"/>
        </w:rPr>
        <w:t>**PARTIE 4 : CONCLUSION D'INVESTISSEMENT**</w:t>
      </w:r>
    </w:p>
    <w:p>
      <w:pPr>
        <w:spacing w:after="120" w:line="276" w:lineRule="auto"/>
      </w:pPr>
      <w:r>
        <w:t>La valorisation actuelle d'UNXC (P/B de 3,27x) intègre un scénario de redressement confirmé par les fondamentaux 2026, mais le PER négatif souligne la fragilité passée. Le comportement du cours (+24% en 100 jours) avec une volatilité de 51,4% reflète l'optimisme des investisseurs, mais le kurtosis élevé signale un risque de mouvements brusques. Les signaux techniques sont mitigés : tendance haussière (MM, MACD) mais surachat extrême (RSI, Stochastique), suggérant une consolidation à court terme. Les fondamentaux montrent une amélioration nette : passage à un résultat d'exploitation positif au S1 2026 (771 millions) et EBE positif en 2025 (1,13 milliard). Les prédictions IA (2 395 à 2 339 FCFA sur 10 jours) indiquent un repli modéré de -2,4% à -4,7%, cohérent avec les signaux de surachat technique. La convergence entre l'amélioration fondamentale et la tendance haussière est positive, mais le risque de correction technique est réel. **Recommandation : ACHAT** avec un niveau de confiance **Moyen** et un risque global **Élevé**. L'horizon optimal est le **moyen terme (3-12 mois)**, en attendant la confirmation du retour à une rentabilité durable sur l'exercice 2026 complet.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